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9AD364">
      <w:pPr>
        <w:ind w:firstLine="720"/>
        <w:rPr>
          <w:rFonts w:hint="default" w:ascii="Times New Roman" w:hAnsi="Times New Roman" w:eastAsia="仿宋" w:cs="Times New Roman"/>
          <w:color w:val="auto"/>
          <w:sz w:val="36"/>
          <w:szCs w:val="36"/>
          <w:highlight w:val="none"/>
          <w:lang w:val="en-US" w:eastAsia="zh-CN"/>
        </w:rPr>
      </w:pPr>
    </w:p>
    <w:p w14:paraId="00AF3128">
      <w:pPr>
        <w:ind w:firstLine="720"/>
        <w:rPr>
          <w:rFonts w:hint="default" w:ascii="Times New Roman" w:hAnsi="Times New Roman" w:eastAsia="仿宋" w:cs="Times New Roman"/>
          <w:color w:val="auto"/>
          <w:sz w:val="36"/>
          <w:szCs w:val="36"/>
          <w:highlight w:val="none"/>
        </w:rPr>
      </w:pPr>
    </w:p>
    <w:p w14:paraId="3075D7D3">
      <w:pPr>
        <w:ind w:firstLine="720"/>
        <w:rPr>
          <w:rFonts w:hint="default" w:ascii="Times New Roman" w:hAnsi="Times New Roman" w:eastAsia="仿宋" w:cs="Times New Roman"/>
          <w:color w:val="auto"/>
          <w:sz w:val="36"/>
          <w:szCs w:val="36"/>
          <w:highlight w:val="none"/>
        </w:rPr>
      </w:pPr>
    </w:p>
    <w:p w14:paraId="4E695590">
      <w:pPr>
        <w:ind w:firstLine="720"/>
        <w:rPr>
          <w:rFonts w:hint="default" w:ascii="Times New Roman" w:hAnsi="Times New Roman" w:eastAsia="仿宋" w:cs="Times New Roman"/>
          <w:color w:val="auto"/>
          <w:sz w:val="36"/>
          <w:szCs w:val="36"/>
          <w:highlight w:val="none"/>
        </w:rPr>
      </w:pPr>
    </w:p>
    <w:p w14:paraId="7E6AB8D2">
      <w:pPr>
        <w:ind w:firstLine="720"/>
        <w:rPr>
          <w:rFonts w:hint="default" w:ascii="Times New Roman" w:hAnsi="Times New Roman" w:eastAsia="仿宋" w:cs="Times New Roman"/>
          <w:color w:val="auto"/>
          <w:sz w:val="36"/>
          <w:szCs w:val="36"/>
          <w:highlight w:val="none"/>
        </w:rPr>
      </w:pPr>
    </w:p>
    <w:p w14:paraId="5FE226AD">
      <w:pPr>
        <w:ind w:firstLine="720"/>
        <w:rPr>
          <w:rFonts w:hint="default" w:ascii="Times New Roman" w:hAnsi="Times New Roman" w:eastAsia="仿宋" w:cs="Times New Roman"/>
          <w:color w:val="auto"/>
          <w:sz w:val="36"/>
          <w:szCs w:val="36"/>
          <w:highlight w:val="none"/>
        </w:rPr>
      </w:pPr>
    </w:p>
    <w:p w14:paraId="65E01F05">
      <w:pPr>
        <w:adjustRightInd w:val="0"/>
        <w:snapToGrid w:val="0"/>
        <w:jc w:val="center"/>
        <w:rPr>
          <w:rFonts w:hint="default" w:ascii="Times New Roman" w:hAnsi="Times New Roman" w:cs="Times New Roman"/>
          <w:bCs/>
          <w:color w:val="auto"/>
          <w:sz w:val="72"/>
          <w:szCs w:val="72"/>
          <w:highlight w:val="none"/>
        </w:rPr>
      </w:pPr>
      <w:bookmarkStart w:id="0" w:name="_Toc75185880"/>
      <w:bookmarkStart w:id="1" w:name="_Toc81381069"/>
      <w:bookmarkStart w:id="2" w:name="_Toc81905876"/>
      <w:r>
        <w:rPr>
          <w:rFonts w:hint="default" w:ascii="Times New Roman" w:hAnsi="Times New Roman" w:cs="Times New Roman"/>
          <w:bCs/>
          <w:color w:val="auto"/>
          <w:sz w:val="72"/>
          <w:szCs w:val="72"/>
          <w:highlight w:val="none"/>
        </w:rPr>
        <w:t>建设项目环境影响报告表</w:t>
      </w:r>
      <w:bookmarkEnd w:id="0"/>
      <w:bookmarkEnd w:id="1"/>
      <w:bookmarkEnd w:id="2"/>
    </w:p>
    <w:p w14:paraId="55467D34">
      <w:pPr>
        <w:adjustRightInd w:val="0"/>
        <w:snapToGrid w:val="0"/>
        <w:spacing w:before="192" w:beforeLines="80"/>
        <w:jc w:val="center"/>
        <w:rPr>
          <w:rFonts w:hint="default" w:ascii="Times New Roman" w:hAnsi="Times New Roman" w:cs="Times New Roman"/>
          <w:bCs/>
          <w:color w:val="auto"/>
          <w:sz w:val="48"/>
          <w:szCs w:val="48"/>
          <w:highlight w:val="none"/>
        </w:rPr>
      </w:pPr>
      <w:r>
        <w:rPr>
          <w:rFonts w:hint="default" w:ascii="Times New Roman" w:hAnsi="Times New Roman" w:cs="Times New Roman"/>
          <w:bCs/>
          <w:color w:val="auto"/>
          <w:sz w:val="48"/>
          <w:szCs w:val="48"/>
          <w:highlight w:val="none"/>
        </w:rPr>
        <w:t>（污染影响类）</w:t>
      </w:r>
    </w:p>
    <w:p w14:paraId="44B52D89">
      <w:pPr>
        <w:ind w:firstLine="720"/>
        <w:rPr>
          <w:rFonts w:hint="default" w:ascii="Times New Roman" w:hAnsi="Times New Roman" w:cs="Times New Roman"/>
          <w:color w:val="auto"/>
          <w:sz w:val="36"/>
          <w:szCs w:val="36"/>
          <w:highlight w:val="none"/>
        </w:rPr>
      </w:pPr>
    </w:p>
    <w:p w14:paraId="75FD1EDE">
      <w:pPr>
        <w:ind w:firstLine="720"/>
        <w:rPr>
          <w:rFonts w:hint="default" w:ascii="Times New Roman" w:hAnsi="Times New Roman" w:cs="Times New Roman"/>
          <w:color w:val="auto"/>
          <w:sz w:val="36"/>
          <w:szCs w:val="36"/>
          <w:highlight w:val="none"/>
        </w:rPr>
      </w:pPr>
    </w:p>
    <w:p w14:paraId="1FB05001">
      <w:pPr>
        <w:ind w:firstLine="720"/>
        <w:rPr>
          <w:rFonts w:hint="default" w:ascii="Times New Roman" w:hAnsi="Times New Roman" w:cs="Times New Roman"/>
          <w:color w:val="auto"/>
          <w:sz w:val="36"/>
          <w:szCs w:val="36"/>
          <w:highlight w:val="none"/>
        </w:rPr>
      </w:pPr>
    </w:p>
    <w:p w14:paraId="4FB583C1">
      <w:pPr>
        <w:ind w:firstLine="720"/>
        <w:rPr>
          <w:rFonts w:hint="default" w:ascii="Times New Roman" w:hAnsi="Times New Roman" w:cs="Times New Roman"/>
          <w:color w:val="auto"/>
          <w:sz w:val="36"/>
          <w:szCs w:val="36"/>
          <w:highlight w:val="none"/>
        </w:rPr>
      </w:pPr>
    </w:p>
    <w:p w14:paraId="0FBF2B5B">
      <w:pPr>
        <w:ind w:firstLine="720"/>
        <w:rPr>
          <w:rFonts w:hint="default" w:ascii="Times New Roman" w:hAnsi="Times New Roman" w:cs="Times New Roman"/>
          <w:color w:val="auto"/>
          <w:sz w:val="36"/>
          <w:szCs w:val="36"/>
          <w:highlight w:val="none"/>
        </w:rPr>
      </w:pPr>
    </w:p>
    <w:p w14:paraId="19B6FE07">
      <w:pPr>
        <w:pStyle w:val="38"/>
        <w:rPr>
          <w:rFonts w:hint="default" w:ascii="Times New Roman" w:hAnsi="Times New Roman" w:cs="Times New Roman"/>
          <w:color w:val="auto"/>
          <w:highlight w:val="none"/>
        </w:rPr>
      </w:pPr>
    </w:p>
    <w:p w14:paraId="0211FAC1">
      <w:pPr>
        <w:rPr>
          <w:rFonts w:hint="default" w:ascii="Times New Roman" w:hAnsi="Times New Roman" w:cs="Times New Roman"/>
          <w:color w:val="auto"/>
          <w:highlight w:val="none"/>
        </w:rPr>
      </w:pPr>
    </w:p>
    <w:p w14:paraId="603235D2">
      <w:pPr>
        <w:pStyle w:val="38"/>
        <w:rPr>
          <w:rFonts w:hint="default" w:ascii="Times New Roman" w:hAnsi="Times New Roman" w:cs="Times New Roman"/>
          <w:color w:val="auto"/>
          <w:highlight w:val="none"/>
        </w:rPr>
      </w:pPr>
    </w:p>
    <w:p w14:paraId="4CB3FAA1">
      <w:pPr>
        <w:ind w:firstLine="720"/>
        <w:rPr>
          <w:rFonts w:hint="default" w:ascii="Times New Roman" w:hAnsi="Times New Roman" w:cs="Times New Roman"/>
          <w:color w:val="auto"/>
          <w:sz w:val="36"/>
          <w:szCs w:val="36"/>
          <w:highlight w:val="none"/>
        </w:rPr>
      </w:pPr>
    </w:p>
    <w:p w14:paraId="50F6C7C4">
      <w:pPr>
        <w:ind w:firstLine="720"/>
        <w:rPr>
          <w:rFonts w:hint="default" w:ascii="Times New Roman" w:hAnsi="Times New Roman" w:cs="Times New Roman"/>
          <w:color w:val="auto"/>
          <w:sz w:val="36"/>
          <w:szCs w:val="36"/>
          <w:highlight w:val="none"/>
        </w:rPr>
      </w:pPr>
    </w:p>
    <w:p w14:paraId="1081C104">
      <w:pPr>
        <w:adjustRightInd w:val="0"/>
        <w:snapToGrid w:val="0"/>
        <w:spacing w:line="288" w:lineRule="auto"/>
        <w:ind w:left="1800" w:hanging="1800" w:hangingChars="500"/>
        <w:rPr>
          <w:rFonts w:hint="default" w:ascii="Times New Roman" w:hAnsi="Times New Roman" w:cs="Times New Roman"/>
          <w:color w:val="auto"/>
          <w:sz w:val="36"/>
          <w:szCs w:val="36"/>
          <w:highlight w:val="none"/>
          <w:u w:val="single"/>
        </w:rPr>
      </w:pPr>
      <w:r>
        <w:rPr>
          <w:rFonts w:hint="default" w:ascii="Times New Roman" w:hAnsi="Times New Roman" w:cs="Times New Roman"/>
          <w:color w:val="auto"/>
          <w:sz w:val="36"/>
          <w:szCs w:val="36"/>
          <w:highlight w:val="none"/>
        </w:rPr>
        <w:t>项目名称：</w:t>
      </w:r>
      <w:r>
        <w:rPr>
          <w:rFonts w:hint="default" w:ascii="Times New Roman" w:hAnsi="Times New Roman" w:cs="Times New Roman"/>
          <w:color w:val="auto"/>
          <w:sz w:val="36"/>
          <w:szCs w:val="36"/>
          <w:highlight w:val="none"/>
          <w:u w:val="single"/>
          <w:lang w:eastAsia="zh-CN"/>
        </w:rPr>
        <w:t>虎林市迎胜沥青混凝土搅拌有限公司</w:t>
      </w:r>
      <w:r>
        <w:rPr>
          <w:rFonts w:hint="default" w:ascii="Times New Roman" w:hAnsi="Times New Roman" w:cs="Times New Roman"/>
          <w:color w:val="auto"/>
          <w:sz w:val="36"/>
          <w:szCs w:val="36"/>
          <w:highlight w:val="none"/>
          <w:u w:val="single"/>
        </w:rPr>
        <w:t>沥青混凝土搅拌站建设项目</w:t>
      </w:r>
    </w:p>
    <w:p w14:paraId="54A53DCF">
      <w:pPr>
        <w:adjustRightInd w:val="0"/>
        <w:snapToGrid w:val="0"/>
        <w:spacing w:line="288" w:lineRule="auto"/>
        <w:ind w:left="2520" w:hanging="2520" w:hangingChars="700"/>
        <w:rPr>
          <w:rFonts w:hint="default" w:ascii="Times New Roman" w:hAnsi="Times New Roman" w:cs="Times New Roman"/>
          <w:color w:val="auto"/>
          <w:sz w:val="36"/>
          <w:szCs w:val="36"/>
          <w:highlight w:val="none"/>
          <w:u w:val="single"/>
        </w:rPr>
      </w:pPr>
      <w:r>
        <w:rPr>
          <w:rFonts w:hint="default" w:ascii="Times New Roman" w:hAnsi="Times New Roman" w:cs="Times New Roman"/>
          <w:color w:val="auto"/>
          <w:sz w:val="36"/>
          <w:szCs w:val="36"/>
          <w:highlight w:val="none"/>
        </w:rPr>
        <w:t>建设单位（盖章）：</w:t>
      </w:r>
      <w:r>
        <w:rPr>
          <w:rFonts w:hint="default" w:ascii="Times New Roman" w:hAnsi="Times New Roman" w:cs="Times New Roman"/>
          <w:color w:val="auto"/>
          <w:sz w:val="36"/>
          <w:szCs w:val="36"/>
          <w:highlight w:val="none"/>
          <w:u w:val="single"/>
          <w:lang w:eastAsia="zh-CN"/>
        </w:rPr>
        <w:t>虎林市迎胜沥青混凝土搅拌有限公司</w:t>
      </w:r>
      <w:r>
        <w:rPr>
          <w:rFonts w:hint="default" w:ascii="Times New Roman" w:hAnsi="Times New Roman" w:cs="Times New Roman"/>
          <w:color w:val="auto"/>
          <w:sz w:val="36"/>
          <w:szCs w:val="36"/>
          <w:highlight w:val="none"/>
          <w:u w:val="single"/>
        </w:rPr>
        <w:t xml:space="preserve">   </w:t>
      </w:r>
    </w:p>
    <w:p w14:paraId="0E8AA004">
      <w:pPr>
        <w:adjustRightInd w:val="0"/>
        <w:snapToGrid w:val="0"/>
        <w:spacing w:line="288" w:lineRule="auto"/>
        <w:rPr>
          <w:rFonts w:hint="default" w:ascii="Times New Roman" w:hAnsi="Times New Roman" w:cs="Times New Roman"/>
          <w:color w:val="auto"/>
          <w:sz w:val="36"/>
          <w:szCs w:val="36"/>
          <w:highlight w:val="none"/>
          <w:u w:val="single"/>
        </w:rPr>
      </w:pPr>
      <w:r>
        <w:rPr>
          <w:rFonts w:hint="default" w:ascii="Times New Roman" w:hAnsi="Times New Roman" w:cs="Times New Roman"/>
          <w:color w:val="auto"/>
          <w:sz w:val="36"/>
          <w:szCs w:val="36"/>
          <w:highlight w:val="none"/>
        </w:rPr>
        <w:t>编制日期：</w:t>
      </w:r>
      <w:r>
        <w:rPr>
          <w:rFonts w:hint="default" w:ascii="Times New Roman" w:hAnsi="Times New Roman" w:cs="Times New Roman"/>
          <w:color w:val="auto"/>
          <w:sz w:val="36"/>
          <w:szCs w:val="36"/>
          <w:highlight w:val="none"/>
          <w:u w:val="single"/>
        </w:rPr>
        <w:t xml:space="preserve">             2025年</w:t>
      </w:r>
      <w:r>
        <w:rPr>
          <w:rFonts w:hint="default" w:ascii="Times New Roman" w:hAnsi="Times New Roman" w:cs="Times New Roman"/>
          <w:color w:val="auto"/>
          <w:sz w:val="36"/>
          <w:szCs w:val="36"/>
          <w:highlight w:val="none"/>
          <w:u w:val="single"/>
          <w:lang w:val="en-US" w:eastAsia="zh-CN"/>
        </w:rPr>
        <w:t>9</w:t>
      </w:r>
      <w:r>
        <w:rPr>
          <w:rFonts w:hint="default" w:ascii="Times New Roman" w:hAnsi="Times New Roman" w:cs="Times New Roman"/>
          <w:color w:val="auto"/>
          <w:sz w:val="36"/>
          <w:szCs w:val="36"/>
          <w:highlight w:val="none"/>
          <w:u w:val="single"/>
        </w:rPr>
        <w:t xml:space="preserve">月             </w:t>
      </w:r>
      <w:r>
        <w:rPr>
          <w:rFonts w:hint="default" w:ascii="Times New Roman" w:hAnsi="Times New Roman" w:cs="Times New Roman"/>
          <w:color w:val="auto"/>
          <w:sz w:val="36"/>
          <w:szCs w:val="36"/>
          <w:highlight w:val="none"/>
          <w:u w:val="single"/>
          <w:lang w:val="en-US" w:eastAsia="zh-CN"/>
        </w:rPr>
        <w:t xml:space="preserve"> </w:t>
      </w:r>
      <w:r>
        <w:rPr>
          <w:rFonts w:hint="default" w:ascii="Times New Roman" w:hAnsi="Times New Roman" w:cs="Times New Roman"/>
          <w:color w:val="auto"/>
          <w:sz w:val="36"/>
          <w:szCs w:val="36"/>
          <w:highlight w:val="none"/>
          <w:u w:val="single"/>
        </w:rPr>
        <w:t xml:space="preserve">  </w:t>
      </w:r>
    </w:p>
    <w:p w14:paraId="0482DB6A">
      <w:pPr>
        <w:adjustRightInd w:val="0"/>
        <w:snapToGrid w:val="0"/>
        <w:spacing w:line="288" w:lineRule="auto"/>
        <w:ind w:firstLine="720"/>
        <w:rPr>
          <w:rFonts w:hint="default" w:ascii="Times New Roman" w:hAnsi="Times New Roman" w:cs="Times New Roman"/>
          <w:color w:val="auto"/>
          <w:sz w:val="36"/>
          <w:szCs w:val="36"/>
          <w:highlight w:val="none"/>
          <w:u w:val="single"/>
        </w:rPr>
      </w:pPr>
      <w:bookmarkStart w:id="3" w:name="_Hlk57884087"/>
    </w:p>
    <w:p w14:paraId="43C74C69">
      <w:pPr>
        <w:adjustRightInd w:val="0"/>
        <w:snapToGrid w:val="0"/>
        <w:spacing w:line="288" w:lineRule="auto"/>
        <w:ind w:firstLine="720"/>
        <w:rPr>
          <w:rFonts w:hint="default" w:ascii="Times New Roman" w:hAnsi="Times New Roman" w:cs="Times New Roman"/>
          <w:color w:val="auto"/>
          <w:sz w:val="36"/>
          <w:szCs w:val="36"/>
          <w:highlight w:val="none"/>
        </w:rPr>
      </w:pPr>
    </w:p>
    <w:p w14:paraId="027F99DE">
      <w:pPr>
        <w:adjustRightInd w:val="0"/>
        <w:snapToGrid w:val="0"/>
        <w:spacing w:line="288" w:lineRule="auto"/>
        <w:ind w:firstLine="720"/>
        <w:rPr>
          <w:rFonts w:hint="default" w:ascii="Times New Roman" w:hAnsi="Times New Roman" w:cs="Times New Roman"/>
          <w:color w:val="auto"/>
          <w:sz w:val="36"/>
          <w:szCs w:val="36"/>
          <w:highlight w:val="none"/>
        </w:rPr>
      </w:pPr>
    </w:p>
    <w:bookmarkEnd w:id="3"/>
    <w:p w14:paraId="0852A66D">
      <w:pPr>
        <w:adjustRightInd w:val="0"/>
        <w:snapToGrid w:val="0"/>
        <w:spacing w:line="288" w:lineRule="auto"/>
        <w:jc w:val="center"/>
        <w:rPr>
          <w:rFonts w:hint="default" w:ascii="Times New Roman" w:hAnsi="Times New Roman" w:cs="Times New Roman"/>
          <w:color w:val="auto"/>
          <w:sz w:val="36"/>
          <w:szCs w:val="36"/>
          <w:highlight w:val="none"/>
        </w:rPr>
      </w:pPr>
      <w:r>
        <w:rPr>
          <w:rFonts w:hint="default" w:ascii="Times New Roman" w:hAnsi="Times New Roman" w:cs="Times New Roman"/>
          <w:color w:val="auto"/>
          <w:sz w:val="36"/>
          <w:szCs w:val="36"/>
          <w:highlight w:val="none"/>
        </w:rPr>
        <w:t>中华人民共和国生态环境部制</w:t>
      </w:r>
    </w:p>
    <w:p w14:paraId="31F7A5ED">
      <w:pPr>
        <w:rPr>
          <w:rFonts w:hint="default" w:ascii="Times New Roman" w:hAnsi="Times New Roman" w:cs="Times New Roman"/>
          <w:color w:val="auto"/>
          <w:sz w:val="36"/>
          <w:szCs w:val="36"/>
          <w:highlight w:val="none"/>
        </w:rPr>
      </w:pPr>
      <w:r>
        <w:rPr>
          <w:rFonts w:hint="default" w:ascii="Times New Roman" w:hAnsi="Times New Roman" w:cs="Times New Roman"/>
          <w:color w:val="auto"/>
          <w:sz w:val="36"/>
          <w:szCs w:val="36"/>
          <w:highlight w:val="none"/>
        </w:rPr>
        <w:br w:type="page"/>
      </w:r>
    </w:p>
    <w:p w14:paraId="44984165">
      <w:pPr>
        <w:rPr>
          <w:rFonts w:hint="default" w:ascii="Times New Roman" w:hAnsi="Times New Roman" w:eastAsia="宋体" w:cs="Times New Roman"/>
          <w:color w:val="auto"/>
          <w:sz w:val="44"/>
          <w:szCs w:val="44"/>
          <w:highlight w:val="none"/>
          <w:lang w:eastAsia="zh-CN"/>
        </w:rPr>
      </w:pPr>
      <w:r>
        <w:rPr>
          <w:rFonts w:hint="default" w:ascii="Times New Roman" w:hAnsi="Times New Roman" w:eastAsia="宋体" w:cs="Times New Roman"/>
          <w:color w:val="auto"/>
          <w:sz w:val="44"/>
          <w:szCs w:val="44"/>
          <w:highlight w:val="none"/>
          <w:lang w:eastAsia="zh-CN"/>
        </w:rPr>
        <w:drawing>
          <wp:inline distT="0" distB="0" distL="114300" distR="114300">
            <wp:extent cx="5603875" cy="7702550"/>
            <wp:effectExtent l="0" t="0" r="15875" b="12700"/>
            <wp:docPr id="1" name="图片 1" descr="deaf2c53a93ae4996306fee803b6b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af2c53a93ae4996306fee803b6bc3"/>
                    <pic:cNvPicPr>
                      <a:picLocks noChangeAspect="1"/>
                    </pic:cNvPicPr>
                  </pic:nvPicPr>
                  <pic:blipFill>
                    <a:blip r:embed="rId12"/>
                    <a:stretch>
                      <a:fillRect/>
                    </a:stretch>
                  </pic:blipFill>
                  <pic:spPr>
                    <a:xfrm>
                      <a:off x="0" y="0"/>
                      <a:ext cx="5603875" cy="7702550"/>
                    </a:xfrm>
                    <a:prstGeom prst="rect">
                      <a:avLst/>
                    </a:prstGeom>
                  </pic:spPr>
                </pic:pic>
              </a:graphicData>
            </a:graphic>
          </wp:inline>
        </w:drawing>
      </w:r>
      <w:r>
        <w:rPr>
          <w:rFonts w:hint="default" w:ascii="Times New Roman" w:hAnsi="Times New Roman" w:eastAsia="宋体" w:cs="Times New Roman"/>
          <w:color w:val="auto"/>
          <w:sz w:val="44"/>
          <w:szCs w:val="44"/>
          <w:highlight w:val="none"/>
          <w:lang w:eastAsia="zh-CN"/>
        </w:rPr>
        <w:drawing>
          <wp:inline distT="0" distB="0" distL="114300" distR="114300">
            <wp:extent cx="5584825" cy="8296275"/>
            <wp:effectExtent l="0" t="0" r="15875" b="9525"/>
            <wp:docPr id="30" name="图片 30" descr="16402a3f018ae9801a0e8fcd85b5f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6402a3f018ae9801a0e8fcd85b5f0b"/>
                    <pic:cNvPicPr>
                      <a:picLocks noChangeAspect="1"/>
                    </pic:cNvPicPr>
                  </pic:nvPicPr>
                  <pic:blipFill>
                    <a:blip r:embed="rId13"/>
                    <a:stretch>
                      <a:fillRect/>
                    </a:stretch>
                  </pic:blipFill>
                  <pic:spPr>
                    <a:xfrm>
                      <a:off x="0" y="0"/>
                      <a:ext cx="5584825" cy="8296275"/>
                    </a:xfrm>
                    <a:prstGeom prst="rect">
                      <a:avLst/>
                    </a:prstGeom>
                  </pic:spPr>
                </pic:pic>
              </a:graphicData>
            </a:graphic>
          </wp:inline>
        </w:drawing>
      </w:r>
    </w:p>
    <w:p w14:paraId="20E2DA61">
      <w:pPr>
        <w:rPr>
          <w:rFonts w:hint="default" w:ascii="Times New Roman" w:hAnsi="Times New Roman" w:cs="Times New Roman"/>
          <w:color w:val="auto"/>
          <w:sz w:val="44"/>
          <w:szCs w:val="44"/>
          <w:highlight w:val="none"/>
        </w:rPr>
      </w:pPr>
      <w:r>
        <w:rPr>
          <w:rFonts w:hint="default" w:ascii="Times New Roman" w:hAnsi="Times New Roman" w:cs="Times New Roman"/>
          <w:color w:val="auto"/>
          <w:sz w:val="44"/>
          <w:szCs w:val="44"/>
          <w:highlight w:val="none"/>
        </w:rPr>
        <w:br w:type="page"/>
      </w:r>
    </w:p>
    <w:p w14:paraId="622694F4">
      <w:pPr>
        <w:spacing w:line="360" w:lineRule="auto"/>
        <w:jc w:val="center"/>
        <w:rPr>
          <w:rFonts w:hint="default" w:ascii="Times New Roman" w:hAnsi="Times New Roman" w:eastAsia="仿宋" w:cs="Times New Roman"/>
          <w:color w:val="auto"/>
          <w:kern w:val="2"/>
          <w:sz w:val="22"/>
          <w:szCs w:val="28"/>
          <w:highlight w:val="none"/>
          <w:lang w:val="en-US" w:eastAsia="zh-CN" w:bidi="ar-SA"/>
        </w:rPr>
      </w:pPr>
      <w:r>
        <w:rPr>
          <w:rFonts w:hint="default" w:ascii="Times New Roman" w:hAnsi="Times New Roman" w:cs="Times New Roman"/>
          <w:color w:val="auto"/>
          <w:sz w:val="44"/>
          <w:szCs w:val="44"/>
          <w:highlight w:val="none"/>
        </w:rPr>
        <w:t>目  录</w:t>
      </w:r>
      <w:r>
        <w:rPr>
          <w:rFonts w:hint="default" w:ascii="Times New Roman" w:hAnsi="Times New Roman" w:cs="Times New Roman"/>
          <w:color w:val="auto"/>
          <w:sz w:val="22"/>
          <w:szCs w:val="28"/>
          <w:highlight w:val="none"/>
        </w:rPr>
        <w:fldChar w:fldCharType="begin"/>
      </w:r>
      <w:r>
        <w:rPr>
          <w:rFonts w:hint="default" w:ascii="Times New Roman" w:hAnsi="Times New Roman" w:cs="Times New Roman"/>
          <w:color w:val="auto"/>
          <w:sz w:val="22"/>
          <w:szCs w:val="28"/>
          <w:highlight w:val="none"/>
        </w:rPr>
        <w:instrText xml:space="preserve"> TOC \o "1-3" \h \z \u </w:instrText>
      </w:r>
      <w:r>
        <w:rPr>
          <w:rFonts w:hint="default" w:ascii="Times New Roman" w:hAnsi="Times New Roman" w:cs="Times New Roman"/>
          <w:color w:val="auto"/>
          <w:sz w:val="22"/>
          <w:szCs w:val="28"/>
          <w:highlight w:val="none"/>
        </w:rPr>
        <w:fldChar w:fldCharType="separate"/>
      </w:r>
    </w:p>
    <w:p w14:paraId="553124F9">
      <w:pPr>
        <w:pStyle w:val="20"/>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_Toc11468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30"/>
          <w:highlight w:val="none"/>
        </w:rPr>
        <w:t>一、建设项目基本情况</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_Toc11468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1</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72BA3D38">
      <w:pPr>
        <w:pStyle w:val="20"/>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_Toc28355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30"/>
          <w:highlight w:val="none"/>
        </w:rPr>
        <w:t>二、建设项目工程分析</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_Toc28355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14</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437D30D9">
      <w:pPr>
        <w:pStyle w:val="20"/>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_Toc10157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30"/>
          <w:highlight w:val="none"/>
        </w:rPr>
        <w:t>三、区域环境质量现状、环境保护目标及评价标准</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_Toc10157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30</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6881F365">
      <w:pPr>
        <w:pStyle w:val="20"/>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_Toc6450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30"/>
          <w:highlight w:val="none"/>
        </w:rPr>
        <w:t>四、主要环境影响和保护措施</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_Toc6450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39</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42B440E0">
      <w:pPr>
        <w:pStyle w:val="20"/>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_Toc26052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30"/>
          <w:highlight w:val="none"/>
        </w:rPr>
        <w:t>五、环境保护措施监督检查清单</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_Toc26052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64</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404FC549">
      <w:pPr>
        <w:pStyle w:val="20"/>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_Toc31450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30"/>
          <w:highlight w:val="none"/>
        </w:rPr>
        <w:t>六、结论</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_Toc31450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67</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25AA628D">
      <w:pPr>
        <w:pStyle w:val="20"/>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_Toc16316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30"/>
          <w:highlight w:val="none"/>
        </w:rPr>
        <w:t>附表</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_Toc16316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68</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0A95FE32">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_Toc4596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bCs/>
          <w:snapToGrid w:val="0"/>
          <w:color w:val="auto"/>
          <w:szCs w:val="32"/>
          <w:highlight w:val="none"/>
        </w:rPr>
        <w:t>建设项目污染物排放量汇总表</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_Toc4596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68</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745B330C">
      <w:pPr>
        <w:pStyle w:val="20"/>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_Toc10791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30"/>
          <w:highlight w:val="none"/>
        </w:rPr>
        <w:t>附图</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_Toc10791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69</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199FA205">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_Toc3434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28"/>
          <w:highlight w:val="none"/>
        </w:rPr>
        <w:t>附图1 地理位置图</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_Toc3434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69</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7282CDD3">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_Toc5816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28"/>
          <w:highlight w:val="none"/>
        </w:rPr>
        <w:t xml:space="preserve">附图2 </w:t>
      </w:r>
      <w:r>
        <w:rPr>
          <w:rFonts w:hint="default" w:ascii="Times New Roman" w:hAnsi="Times New Roman" w:eastAsia="黑体" w:cs="Times New Roman"/>
          <w:snapToGrid w:val="0"/>
          <w:color w:val="auto"/>
          <w:szCs w:val="28"/>
          <w:highlight w:val="none"/>
          <w:lang w:val="en-US" w:eastAsia="zh-CN"/>
        </w:rPr>
        <w:t>平面布置图</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_Toc5816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70</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3B439646">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_Toc32125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24"/>
          <w:highlight w:val="none"/>
        </w:rPr>
        <w:t>附图</w:t>
      </w:r>
      <w:r>
        <w:rPr>
          <w:rFonts w:hint="default" w:ascii="Times New Roman" w:hAnsi="Times New Roman" w:eastAsia="黑体" w:cs="Times New Roman"/>
          <w:snapToGrid w:val="0"/>
          <w:color w:val="auto"/>
          <w:szCs w:val="24"/>
          <w:highlight w:val="none"/>
          <w:lang w:val="en-US" w:eastAsia="zh-CN"/>
        </w:rPr>
        <w:t>3</w:t>
      </w:r>
      <w:r>
        <w:rPr>
          <w:rFonts w:hint="default" w:ascii="Times New Roman" w:hAnsi="Times New Roman" w:eastAsia="黑体" w:cs="Times New Roman"/>
          <w:snapToGrid w:val="0"/>
          <w:color w:val="auto"/>
          <w:szCs w:val="24"/>
          <w:highlight w:val="none"/>
        </w:rPr>
        <w:t xml:space="preserve"> 分区防渗图</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_Toc32125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71</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1C126849">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_Toc11605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24"/>
          <w:highlight w:val="none"/>
        </w:rPr>
        <w:t>附图</w:t>
      </w:r>
      <w:r>
        <w:rPr>
          <w:rFonts w:hint="default" w:ascii="Times New Roman" w:hAnsi="Times New Roman" w:eastAsia="黑体" w:cs="Times New Roman"/>
          <w:snapToGrid w:val="0"/>
          <w:color w:val="auto"/>
          <w:szCs w:val="24"/>
          <w:highlight w:val="none"/>
          <w:lang w:val="en-US" w:eastAsia="zh-CN"/>
        </w:rPr>
        <w:t>4</w:t>
      </w:r>
      <w:r>
        <w:rPr>
          <w:rFonts w:hint="default" w:ascii="Times New Roman" w:hAnsi="Times New Roman" w:eastAsia="黑体" w:cs="Times New Roman"/>
          <w:snapToGrid w:val="0"/>
          <w:color w:val="auto"/>
          <w:szCs w:val="24"/>
          <w:highlight w:val="none"/>
        </w:rPr>
        <w:t xml:space="preserve"> 大气环境敏感目标分布图</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_Toc11605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72</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4B9570B2">
      <w:pPr>
        <w:pStyle w:val="20"/>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_Toc3904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30"/>
          <w:highlight w:val="none"/>
        </w:rPr>
        <w:t>附件</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_Toc3904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73</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36EA634A">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_Toc23651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28"/>
          <w:highlight w:val="none"/>
        </w:rPr>
        <w:t>附件1 营业执照</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_Toc23651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73</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524E2EF2">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_Toc4713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28"/>
          <w:highlight w:val="none"/>
        </w:rPr>
        <w:t xml:space="preserve">附件2 </w:t>
      </w:r>
      <w:r>
        <w:rPr>
          <w:rFonts w:hint="default" w:ascii="Times New Roman" w:hAnsi="Times New Roman" w:eastAsia="黑体" w:cs="Times New Roman"/>
          <w:snapToGrid w:val="0"/>
          <w:color w:val="auto"/>
          <w:szCs w:val="28"/>
          <w:highlight w:val="none"/>
          <w:lang w:val="en-US" w:eastAsia="zh-CN"/>
        </w:rPr>
        <w:t>用地性质</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_Toc4713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74</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126407BD">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_Toc9844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28"/>
          <w:highlight w:val="none"/>
        </w:rPr>
        <w:t>附件</w:t>
      </w:r>
      <w:r>
        <w:rPr>
          <w:rFonts w:hint="default" w:ascii="Times New Roman" w:hAnsi="Times New Roman" w:eastAsia="黑体" w:cs="Times New Roman"/>
          <w:snapToGrid w:val="0"/>
          <w:color w:val="auto"/>
          <w:szCs w:val="28"/>
          <w:highlight w:val="none"/>
          <w:lang w:val="en-US" w:eastAsia="zh-CN"/>
        </w:rPr>
        <w:t>3</w:t>
      </w:r>
      <w:r>
        <w:rPr>
          <w:rFonts w:hint="default" w:ascii="Times New Roman" w:hAnsi="Times New Roman" w:eastAsia="黑体" w:cs="Times New Roman"/>
          <w:snapToGrid w:val="0"/>
          <w:color w:val="auto"/>
          <w:szCs w:val="28"/>
          <w:highlight w:val="none"/>
        </w:rPr>
        <w:t xml:space="preserve"> 现状监测报告</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_Toc9844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75</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4F98F221">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_Toc23723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color w:val="auto"/>
          <w:highlight w:val="none"/>
          <w:lang w:val="en-US" w:eastAsia="zh-CN"/>
        </w:rPr>
        <w:t>附件4补充监测报告</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_Toc23723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79</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32906748">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_Toc25839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28"/>
          <w:highlight w:val="none"/>
        </w:rPr>
        <w:t>附件</w:t>
      </w:r>
      <w:r>
        <w:rPr>
          <w:rFonts w:hint="default" w:ascii="Times New Roman" w:hAnsi="Times New Roman" w:eastAsia="黑体" w:cs="Times New Roman"/>
          <w:snapToGrid w:val="0"/>
          <w:color w:val="auto"/>
          <w:szCs w:val="28"/>
          <w:highlight w:val="none"/>
          <w:lang w:val="en-US" w:eastAsia="zh-CN"/>
        </w:rPr>
        <w:t>5</w:t>
      </w:r>
      <w:r>
        <w:rPr>
          <w:rFonts w:hint="default" w:ascii="Times New Roman" w:hAnsi="Times New Roman" w:eastAsia="黑体" w:cs="Times New Roman"/>
          <w:snapToGrid w:val="0"/>
          <w:color w:val="auto"/>
          <w:szCs w:val="28"/>
          <w:highlight w:val="none"/>
        </w:rPr>
        <w:t xml:space="preserve"> </w:t>
      </w:r>
      <w:r>
        <w:rPr>
          <w:rFonts w:hint="default" w:ascii="Times New Roman" w:hAnsi="Times New Roman" w:eastAsia="黑体" w:cs="Times New Roman"/>
          <w:snapToGrid w:val="0"/>
          <w:color w:val="auto"/>
          <w:szCs w:val="28"/>
          <w:highlight w:val="none"/>
          <w:lang w:val="en-US" w:eastAsia="zh-CN"/>
        </w:rPr>
        <w:t>租赁协议</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_Toc25839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84</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362AD29B">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_Toc1434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szCs w:val="28"/>
          <w:highlight w:val="none"/>
          <w:lang w:val="en-US" w:eastAsia="zh-CN"/>
        </w:rPr>
        <w:t xml:space="preserve">附件6 </w:t>
      </w:r>
      <w:r>
        <w:rPr>
          <w:rFonts w:hint="default" w:ascii="Times New Roman" w:hAnsi="Times New Roman" w:eastAsia="黑体" w:cs="Times New Roman"/>
          <w:snapToGrid w:val="0"/>
          <w:color w:val="auto"/>
          <w:szCs w:val="28"/>
          <w:highlight w:val="none"/>
        </w:rPr>
        <w:t>生态环境分区管控分析报告</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_Toc1434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85</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5085EB51">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_Toc2214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kern w:val="0"/>
          <w:szCs w:val="28"/>
          <w:highlight w:val="none"/>
        </w:rPr>
        <w:t>附件</w:t>
      </w:r>
      <w:r>
        <w:rPr>
          <w:rFonts w:hint="default" w:ascii="Times New Roman" w:hAnsi="Times New Roman" w:eastAsia="黑体" w:cs="Times New Roman"/>
          <w:snapToGrid w:val="0"/>
          <w:color w:val="auto"/>
          <w:kern w:val="0"/>
          <w:szCs w:val="28"/>
          <w:highlight w:val="none"/>
          <w:lang w:val="en-US" w:eastAsia="zh-CN"/>
        </w:rPr>
        <w:t>7</w:t>
      </w:r>
      <w:r>
        <w:rPr>
          <w:rFonts w:hint="default" w:ascii="Times New Roman" w:hAnsi="Times New Roman" w:eastAsia="黑体" w:cs="Times New Roman"/>
          <w:snapToGrid w:val="0"/>
          <w:color w:val="auto"/>
          <w:kern w:val="0"/>
          <w:szCs w:val="28"/>
          <w:highlight w:val="none"/>
        </w:rPr>
        <w:t xml:space="preserve"> 总量计算说明</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_Toc2214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91</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5C57E6FF">
      <w:pPr>
        <w:pStyle w:val="23"/>
        <w:tabs>
          <w:tab w:val="right" w:leader="dot" w:pos="8844"/>
        </w:tabs>
        <w:spacing w:line="360" w:lineRule="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8"/>
          <w:highlight w:val="none"/>
        </w:rPr>
        <w:fldChar w:fldCharType="begin"/>
      </w:r>
      <w:r>
        <w:rPr>
          <w:rFonts w:hint="default" w:ascii="Times New Roman" w:hAnsi="Times New Roman" w:eastAsia="黑体" w:cs="Times New Roman"/>
          <w:color w:val="auto"/>
          <w:szCs w:val="28"/>
          <w:highlight w:val="none"/>
        </w:rPr>
        <w:instrText xml:space="preserve"> HYPERLINK \l _Toc23557 </w:instrText>
      </w:r>
      <w:r>
        <w:rPr>
          <w:rFonts w:hint="default" w:ascii="Times New Roman" w:hAnsi="Times New Roman" w:eastAsia="黑体" w:cs="Times New Roman"/>
          <w:color w:val="auto"/>
          <w:szCs w:val="28"/>
          <w:highlight w:val="none"/>
        </w:rPr>
        <w:fldChar w:fldCharType="separate"/>
      </w:r>
      <w:r>
        <w:rPr>
          <w:rFonts w:hint="default" w:ascii="Times New Roman" w:hAnsi="Times New Roman" w:eastAsia="黑体" w:cs="Times New Roman"/>
          <w:snapToGrid w:val="0"/>
          <w:color w:val="auto"/>
          <w:kern w:val="0"/>
          <w:szCs w:val="28"/>
          <w:highlight w:val="none"/>
        </w:rPr>
        <w:t>附件</w:t>
      </w:r>
      <w:r>
        <w:rPr>
          <w:rFonts w:hint="default" w:ascii="Times New Roman" w:hAnsi="Times New Roman" w:eastAsia="黑体" w:cs="Times New Roman"/>
          <w:snapToGrid w:val="0"/>
          <w:color w:val="auto"/>
          <w:kern w:val="0"/>
          <w:szCs w:val="28"/>
          <w:highlight w:val="none"/>
          <w:lang w:val="en-US" w:eastAsia="zh-CN"/>
        </w:rPr>
        <w:t>8</w:t>
      </w:r>
      <w:r>
        <w:rPr>
          <w:rFonts w:hint="default" w:ascii="Times New Roman" w:hAnsi="Times New Roman" w:eastAsia="黑体" w:cs="Times New Roman"/>
          <w:snapToGrid w:val="0"/>
          <w:color w:val="auto"/>
          <w:kern w:val="0"/>
          <w:szCs w:val="28"/>
          <w:highlight w:val="none"/>
        </w:rPr>
        <w:t xml:space="preserve"> 大气环境影响专项评价</w:t>
      </w:r>
      <w:r>
        <w:rPr>
          <w:rFonts w:hint="default" w:ascii="Times New Roman" w:hAnsi="Times New Roman" w:eastAsia="黑体" w:cs="Times New Roman"/>
          <w:color w:val="auto"/>
          <w:highlight w:val="none"/>
        </w:rPr>
        <w:tab/>
      </w:r>
      <w:r>
        <w:rPr>
          <w:rFonts w:hint="default" w:ascii="Times New Roman" w:hAnsi="Times New Roman" w:eastAsia="黑体" w:cs="Times New Roman"/>
          <w:color w:val="auto"/>
          <w:highlight w:val="none"/>
        </w:rPr>
        <w:fldChar w:fldCharType="begin"/>
      </w:r>
      <w:r>
        <w:rPr>
          <w:rFonts w:hint="default" w:ascii="Times New Roman" w:hAnsi="Times New Roman" w:eastAsia="黑体" w:cs="Times New Roman"/>
          <w:color w:val="auto"/>
          <w:highlight w:val="none"/>
        </w:rPr>
        <w:instrText xml:space="preserve"> PAGEREF _Toc23557 \h </w:instrText>
      </w:r>
      <w:r>
        <w:rPr>
          <w:rFonts w:hint="default" w:ascii="Times New Roman" w:hAnsi="Times New Roman" w:eastAsia="黑体" w:cs="Times New Roman"/>
          <w:color w:val="auto"/>
          <w:highlight w:val="none"/>
        </w:rPr>
        <w:fldChar w:fldCharType="separate"/>
      </w:r>
      <w:r>
        <w:rPr>
          <w:rFonts w:hint="default" w:ascii="Times New Roman" w:hAnsi="Times New Roman" w:eastAsia="黑体" w:cs="Times New Roman"/>
          <w:color w:val="auto"/>
          <w:highlight w:val="none"/>
        </w:rPr>
        <w:t>95</w:t>
      </w:r>
      <w:r>
        <w:rPr>
          <w:rFonts w:hint="default" w:ascii="Times New Roman" w:hAnsi="Times New Roman" w:eastAsia="黑体" w:cs="Times New Roman"/>
          <w:color w:val="auto"/>
          <w:highlight w:val="none"/>
        </w:rPr>
        <w:fldChar w:fldCharType="end"/>
      </w:r>
      <w:r>
        <w:rPr>
          <w:rFonts w:hint="default" w:ascii="Times New Roman" w:hAnsi="Times New Roman" w:eastAsia="黑体" w:cs="Times New Roman"/>
          <w:color w:val="auto"/>
          <w:szCs w:val="28"/>
          <w:highlight w:val="none"/>
        </w:rPr>
        <w:fldChar w:fldCharType="end"/>
      </w:r>
    </w:p>
    <w:p w14:paraId="1275479D">
      <w:pPr>
        <w:spacing w:line="360" w:lineRule="auto"/>
        <w:jc w:val="center"/>
        <w:rPr>
          <w:rFonts w:hint="default" w:ascii="Times New Roman" w:hAnsi="Times New Roman" w:eastAsia="仿宋" w:cs="Times New Roman"/>
          <w:color w:val="auto"/>
          <w:sz w:val="22"/>
          <w:szCs w:val="28"/>
          <w:highlight w:val="none"/>
        </w:rPr>
      </w:pPr>
      <w:r>
        <w:rPr>
          <w:rFonts w:hint="default" w:ascii="Times New Roman" w:hAnsi="Times New Roman" w:eastAsia="仿宋" w:cs="Times New Roman"/>
          <w:color w:val="auto"/>
          <w:sz w:val="22"/>
          <w:szCs w:val="28"/>
          <w:highlight w:val="none"/>
        </w:rPr>
        <w:fldChar w:fldCharType="end"/>
      </w:r>
    </w:p>
    <w:p w14:paraId="70C26C4B">
      <w:pPr>
        <w:adjustRightInd w:val="0"/>
        <w:snapToGrid w:val="0"/>
        <w:spacing w:line="288" w:lineRule="auto"/>
        <w:ind w:firstLine="720"/>
        <w:rPr>
          <w:rFonts w:hint="default" w:ascii="Times New Roman" w:hAnsi="Times New Roman" w:eastAsia="仿宋" w:cs="Times New Roman"/>
          <w:color w:val="auto"/>
          <w:sz w:val="36"/>
          <w:szCs w:val="36"/>
          <w:highlight w:val="none"/>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DC223B4">
      <w:pPr>
        <w:pStyle w:val="25"/>
        <w:adjustRightInd w:val="0"/>
        <w:snapToGrid w:val="0"/>
        <w:spacing w:before="0" w:beforeAutospacing="0" w:after="0" w:afterAutospacing="0"/>
        <w:outlineLvl w:val="0"/>
        <w:rPr>
          <w:rFonts w:hint="default" w:ascii="Times New Roman" w:hAnsi="Times New Roman" w:cs="Times New Roman"/>
          <w:snapToGrid w:val="0"/>
          <w:color w:val="auto"/>
          <w:sz w:val="30"/>
          <w:szCs w:val="30"/>
          <w:highlight w:val="none"/>
        </w:rPr>
      </w:pPr>
      <w:bookmarkStart w:id="4" w:name="_Toc11468"/>
      <w:r>
        <w:rPr>
          <w:rFonts w:hint="default" w:ascii="Times New Roman" w:hAnsi="Times New Roman" w:cs="Times New Roman"/>
          <w:snapToGrid w:val="0"/>
          <w:color w:val="auto"/>
          <w:sz w:val="30"/>
          <w:szCs w:val="30"/>
          <w:highlight w:val="none"/>
        </w:rPr>
        <w:t>一、建设项目基本情况</w:t>
      </w:r>
      <w:bookmarkEnd w:id="4"/>
    </w:p>
    <w:tbl>
      <w:tblPr>
        <w:tblStyle w:val="30"/>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51"/>
        <w:gridCol w:w="1585"/>
        <w:gridCol w:w="1842"/>
        <w:gridCol w:w="3592"/>
      </w:tblGrid>
      <w:tr w14:paraId="638636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04112AB5">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建设项目名称</w:t>
            </w:r>
          </w:p>
        </w:tc>
        <w:tc>
          <w:tcPr>
            <w:tcW w:w="7019" w:type="dxa"/>
            <w:gridSpan w:val="3"/>
            <w:vAlign w:val="center"/>
          </w:tcPr>
          <w:p w14:paraId="783C0A47">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虎林市迎胜沥青混凝土搅拌有限公司</w:t>
            </w:r>
            <w:r>
              <w:rPr>
                <w:rFonts w:hint="default" w:ascii="Times New Roman" w:hAnsi="Times New Roman" w:cs="Times New Roman"/>
                <w:color w:val="auto"/>
                <w:sz w:val="24"/>
                <w:highlight w:val="none"/>
              </w:rPr>
              <w:t>沥青混凝土搅拌站建设项目</w:t>
            </w:r>
          </w:p>
        </w:tc>
      </w:tr>
      <w:tr w14:paraId="5FD16A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3F31BBB3">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项目代码</w:t>
            </w:r>
          </w:p>
        </w:tc>
        <w:tc>
          <w:tcPr>
            <w:tcW w:w="7019" w:type="dxa"/>
            <w:gridSpan w:val="3"/>
            <w:vAlign w:val="center"/>
          </w:tcPr>
          <w:p w14:paraId="14719466">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w:t>
            </w:r>
          </w:p>
        </w:tc>
      </w:tr>
      <w:tr w14:paraId="780C72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748C5297">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建设单位联系人</w:t>
            </w:r>
          </w:p>
        </w:tc>
        <w:tc>
          <w:tcPr>
            <w:tcW w:w="1585" w:type="dxa"/>
            <w:vAlign w:val="center"/>
          </w:tcPr>
          <w:p w14:paraId="18C238AE">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张太君</w:t>
            </w:r>
          </w:p>
        </w:tc>
        <w:tc>
          <w:tcPr>
            <w:tcW w:w="1842" w:type="dxa"/>
            <w:vAlign w:val="center"/>
          </w:tcPr>
          <w:p w14:paraId="08B94F7C">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联系方式</w:t>
            </w:r>
          </w:p>
        </w:tc>
        <w:tc>
          <w:tcPr>
            <w:tcW w:w="3592" w:type="dxa"/>
            <w:vAlign w:val="center"/>
          </w:tcPr>
          <w:p w14:paraId="5F33D218">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18346707167 </w:t>
            </w:r>
          </w:p>
        </w:tc>
      </w:tr>
      <w:tr w14:paraId="6A7BCA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3B1EEBBC">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建设地点</w:t>
            </w:r>
          </w:p>
        </w:tc>
        <w:tc>
          <w:tcPr>
            <w:tcW w:w="7019" w:type="dxa"/>
            <w:gridSpan w:val="3"/>
            <w:vAlign w:val="center"/>
          </w:tcPr>
          <w:p w14:paraId="4AE60E1F">
            <w:pPr>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黑龙江省鸡西市虎林市东诚镇东风村村委会西南350米</w:t>
            </w:r>
          </w:p>
        </w:tc>
      </w:tr>
      <w:tr w14:paraId="3378D4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61BB4DD2">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地理坐标</w:t>
            </w:r>
          </w:p>
        </w:tc>
        <w:tc>
          <w:tcPr>
            <w:tcW w:w="7019" w:type="dxa"/>
            <w:gridSpan w:val="3"/>
            <w:vAlign w:val="center"/>
          </w:tcPr>
          <w:p w14:paraId="6731DA68">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u w:val="single"/>
              </w:rPr>
              <w:t>1</w:t>
            </w:r>
            <w:r>
              <w:rPr>
                <w:rFonts w:hint="default" w:ascii="Times New Roman" w:hAnsi="Times New Roman" w:cs="Times New Roman"/>
                <w:color w:val="auto"/>
                <w:sz w:val="24"/>
                <w:highlight w:val="none"/>
                <w:u w:val="single"/>
                <w:lang w:val="en-US" w:eastAsia="zh-CN"/>
              </w:rPr>
              <w:t>33</w:t>
            </w:r>
            <w:r>
              <w:rPr>
                <w:rFonts w:hint="default" w:ascii="Times New Roman" w:hAnsi="Times New Roman" w:cs="Times New Roman"/>
                <w:color w:val="auto"/>
                <w:sz w:val="24"/>
                <w:highlight w:val="none"/>
              </w:rPr>
              <w:t>度</w:t>
            </w:r>
            <w:r>
              <w:rPr>
                <w:rFonts w:hint="default" w:ascii="Times New Roman" w:hAnsi="Times New Roman" w:cs="Times New Roman"/>
                <w:color w:val="auto"/>
                <w:sz w:val="24"/>
                <w:highlight w:val="none"/>
                <w:u w:val="single"/>
                <w:lang w:val="en-US" w:eastAsia="zh-CN"/>
              </w:rPr>
              <w:t>01</w:t>
            </w:r>
            <w:r>
              <w:rPr>
                <w:rFonts w:hint="default" w:ascii="Times New Roman" w:hAnsi="Times New Roman" w:cs="Times New Roman"/>
                <w:color w:val="auto"/>
                <w:sz w:val="24"/>
                <w:highlight w:val="none"/>
              </w:rPr>
              <w:t>分</w:t>
            </w:r>
            <w:r>
              <w:rPr>
                <w:rFonts w:hint="default" w:ascii="Times New Roman" w:hAnsi="Times New Roman" w:cs="Times New Roman"/>
                <w:color w:val="auto"/>
                <w:sz w:val="24"/>
                <w:highlight w:val="none"/>
                <w:u w:val="single"/>
                <w:lang w:val="en-US" w:eastAsia="zh-CN"/>
              </w:rPr>
              <w:t>53.156</w:t>
            </w:r>
            <w:r>
              <w:rPr>
                <w:rFonts w:hint="default" w:ascii="Times New Roman" w:hAnsi="Times New Roman" w:cs="Times New Roman"/>
                <w:color w:val="auto"/>
                <w:sz w:val="24"/>
                <w:highlight w:val="none"/>
              </w:rPr>
              <w:t>秒，</w:t>
            </w:r>
            <w:r>
              <w:rPr>
                <w:rFonts w:hint="default" w:ascii="Times New Roman" w:hAnsi="Times New Roman" w:cs="Times New Roman"/>
                <w:color w:val="auto"/>
                <w:sz w:val="24"/>
                <w:highlight w:val="none"/>
                <w:u w:val="single"/>
              </w:rPr>
              <w:t>45</w:t>
            </w:r>
            <w:r>
              <w:rPr>
                <w:rFonts w:hint="default" w:ascii="Times New Roman" w:hAnsi="Times New Roman" w:cs="Times New Roman"/>
                <w:color w:val="auto"/>
                <w:sz w:val="24"/>
                <w:highlight w:val="none"/>
              </w:rPr>
              <w:t>度</w:t>
            </w:r>
            <w:r>
              <w:rPr>
                <w:rFonts w:hint="default" w:ascii="Times New Roman" w:hAnsi="Times New Roman" w:cs="Times New Roman"/>
                <w:color w:val="auto"/>
                <w:sz w:val="24"/>
                <w:highlight w:val="none"/>
                <w:u w:val="single"/>
                <w:lang w:val="en-US" w:eastAsia="zh-CN"/>
              </w:rPr>
              <w:t>47</w:t>
            </w:r>
            <w:r>
              <w:rPr>
                <w:rFonts w:hint="default" w:ascii="Times New Roman" w:hAnsi="Times New Roman" w:cs="Times New Roman"/>
                <w:color w:val="auto"/>
                <w:sz w:val="24"/>
                <w:highlight w:val="none"/>
              </w:rPr>
              <w:t>分</w:t>
            </w:r>
            <w:r>
              <w:rPr>
                <w:rFonts w:hint="default" w:ascii="Times New Roman" w:hAnsi="Times New Roman" w:cs="Times New Roman"/>
                <w:color w:val="auto"/>
                <w:sz w:val="24"/>
                <w:highlight w:val="none"/>
                <w:u w:val="single"/>
                <w:lang w:val="en-US" w:eastAsia="zh-CN"/>
              </w:rPr>
              <w:t>32.646</w:t>
            </w:r>
            <w:r>
              <w:rPr>
                <w:rFonts w:hint="default" w:ascii="Times New Roman" w:hAnsi="Times New Roman" w:cs="Times New Roman"/>
                <w:color w:val="auto"/>
                <w:sz w:val="24"/>
                <w:highlight w:val="none"/>
              </w:rPr>
              <w:t>秒）</w:t>
            </w:r>
          </w:p>
        </w:tc>
      </w:tr>
      <w:tr w14:paraId="6EC090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6606627A">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国民经济</w:t>
            </w:r>
          </w:p>
          <w:p w14:paraId="0F8996E6">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p>
        </w:tc>
        <w:tc>
          <w:tcPr>
            <w:tcW w:w="1585" w:type="dxa"/>
            <w:vAlign w:val="center"/>
          </w:tcPr>
          <w:p w14:paraId="0367997F">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C3099其他非金属矿物制品制造</w:t>
            </w:r>
          </w:p>
        </w:tc>
        <w:tc>
          <w:tcPr>
            <w:tcW w:w="1842" w:type="dxa"/>
            <w:vAlign w:val="center"/>
          </w:tcPr>
          <w:p w14:paraId="1ED55491">
            <w:pPr>
              <w:jc w:val="center"/>
              <w:rPr>
                <w:rFonts w:hint="default" w:ascii="Times New Roman" w:hAnsi="Times New Roman" w:cs="Times New Roman"/>
                <w:color w:val="auto"/>
                <w:sz w:val="24"/>
                <w:highlight w:val="none"/>
              </w:rPr>
            </w:pPr>
            <w:bookmarkStart w:id="5" w:name="_Hlk49843745"/>
            <w:r>
              <w:rPr>
                <w:rFonts w:hint="default" w:ascii="Times New Roman" w:hAnsi="Times New Roman" w:cs="Times New Roman"/>
                <w:color w:val="auto"/>
                <w:sz w:val="24"/>
                <w:highlight w:val="none"/>
              </w:rPr>
              <w:t>建设项目</w:t>
            </w:r>
          </w:p>
          <w:p w14:paraId="6C714161">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bookmarkEnd w:id="5"/>
          </w:p>
        </w:tc>
        <w:tc>
          <w:tcPr>
            <w:tcW w:w="3592" w:type="dxa"/>
            <w:vAlign w:val="center"/>
          </w:tcPr>
          <w:p w14:paraId="70ABE8F3">
            <w:pPr>
              <w:autoSpaceDE w:val="0"/>
              <w:autoSpaceDN w:val="0"/>
              <w:adjustRightInd w:val="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二十七、非金属矿物制品业30---60、耐火材料制品制造308；石墨及其他非金属矿物制品制造309---“其他”</w:t>
            </w:r>
          </w:p>
        </w:tc>
      </w:tr>
      <w:tr w14:paraId="391321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1ACE136A">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建设性质</w:t>
            </w:r>
          </w:p>
        </w:tc>
        <w:tc>
          <w:tcPr>
            <w:tcW w:w="1585" w:type="dxa"/>
            <w:vAlign w:val="center"/>
          </w:tcPr>
          <w:p w14:paraId="3244ADB4">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√新建（迁建）</w:t>
            </w:r>
          </w:p>
          <w:p w14:paraId="60701292">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□改建</w:t>
            </w:r>
          </w:p>
          <w:p w14:paraId="4B319F68">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□扩建</w:t>
            </w:r>
          </w:p>
          <w:p w14:paraId="77019CA2">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□技术改造</w:t>
            </w:r>
          </w:p>
        </w:tc>
        <w:tc>
          <w:tcPr>
            <w:tcW w:w="1842" w:type="dxa"/>
            <w:vAlign w:val="center"/>
          </w:tcPr>
          <w:p w14:paraId="2EEE1E3E">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w:t>
            </w:r>
          </w:p>
          <w:p w14:paraId="742E5BD2">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申报情形</w:t>
            </w:r>
          </w:p>
        </w:tc>
        <w:tc>
          <w:tcPr>
            <w:tcW w:w="3592" w:type="dxa"/>
            <w:vAlign w:val="center"/>
          </w:tcPr>
          <w:p w14:paraId="0C34DCC8">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√首次申报项目</w:t>
            </w:r>
          </w:p>
          <w:p w14:paraId="478E09E1">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□不予批准后再次申报项目</w:t>
            </w:r>
          </w:p>
          <w:p w14:paraId="41C1DB8E">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□超五年重新审核项目</w:t>
            </w:r>
          </w:p>
          <w:p w14:paraId="5086499D">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□重大变动重新报批项目</w:t>
            </w:r>
          </w:p>
        </w:tc>
      </w:tr>
      <w:tr w14:paraId="0CE0F8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14F84BD5">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项目审批（核准/备案）部门（选填）</w:t>
            </w:r>
          </w:p>
        </w:tc>
        <w:tc>
          <w:tcPr>
            <w:tcW w:w="1585" w:type="dxa"/>
            <w:vAlign w:val="center"/>
          </w:tcPr>
          <w:p w14:paraId="080B0165">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w:t>
            </w:r>
          </w:p>
        </w:tc>
        <w:tc>
          <w:tcPr>
            <w:tcW w:w="1842" w:type="dxa"/>
            <w:vAlign w:val="center"/>
          </w:tcPr>
          <w:p w14:paraId="4DF235D0">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项目审批（核准/备案）文号（选填）</w:t>
            </w:r>
          </w:p>
        </w:tc>
        <w:tc>
          <w:tcPr>
            <w:tcW w:w="3592" w:type="dxa"/>
            <w:vAlign w:val="center"/>
          </w:tcPr>
          <w:p w14:paraId="0712BE35">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w:t>
            </w:r>
          </w:p>
        </w:tc>
      </w:tr>
      <w:tr w14:paraId="0D8E7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31A6F711">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总投资（万元）</w:t>
            </w:r>
          </w:p>
        </w:tc>
        <w:tc>
          <w:tcPr>
            <w:tcW w:w="1585" w:type="dxa"/>
            <w:vAlign w:val="center"/>
          </w:tcPr>
          <w:p w14:paraId="17F5D444">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1000</w:t>
            </w:r>
          </w:p>
        </w:tc>
        <w:tc>
          <w:tcPr>
            <w:tcW w:w="1842" w:type="dxa"/>
            <w:tcMar>
              <w:top w:w="16" w:type="dxa"/>
              <w:left w:w="16" w:type="dxa"/>
              <w:right w:w="16" w:type="dxa"/>
            </w:tcMar>
            <w:vAlign w:val="center"/>
          </w:tcPr>
          <w:p w14:paraId="4B47B017">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环保投资（万元）</w:t>
            </w:r>
          </w:p>
        </w:tc>
        <w:tc>
          <w:tcPr>
            <w:tcW w:w="3592" w:type="dxa"/>
            <w:vAlign w:val="center"/>
          </w:tcPr>
          <w:p w14:paraId="71AB3C1D">
            <w:pPr>
              <w:jc w:val="center"/>
              <w:rPr>
                <w:rFonts w:hint="default" w:ascii="Times New Roman" w:hAnsi="Times New Roman" w:cs="Times New Roman"/>
                <w:color w:val="auto"/>
                <w:sz w:val="24"/>
                <w:highlight w:val="none"/>
                <w:lang w:val="en-US"/>
              </w:rPr>
            </w:pPr>
            <w:r>
              <w:rPr>
                <w:rFonts w:hint="default" w:ascii="Times New Roman" w:hAnsi="Times New Roman" w:cs="Times New Roman"/>
                <w:color w:val="auto"/>
                <w:sz w:val="24"/>
                <w:highlight w:val="none"/>
                <w:lang w:val="en-US" w:eastAsia="zh-CN"/>
              </w:rPr>
              <w:t>50</w:t>
            </w:r>
          </w:p>
        </w:tc>
      </w:tr>
      <w:tr w14:paraId="2010C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78D842C8">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环保投资占比（%）</w:t>
            </w:r>
          </w:p>
        </w:tc>
        <w:tc>
          <w:tcPr>
            <w:tcW w:w="1585" w:type="dxa"/>
            <w:vAlign w:val="center"/>
          </w:tcPr>
          <w:p w14:paraId="602A5398">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5</w:t>
            </w:r>
          </w:p>
        </w:tc>
        <w:tc>
          <w:tcPr>
            <w:tcW w:w="1842" w:type="dxa"/>
            <w:tcMar>
              <w:top w:w="16" w:type="dxa"/>
              <w:left w:w="16" w:type="dxa"/>
              <w:right w:w="16" w:type="dxa"/>
            </w:tcMar>
            <w:vAlign w:val="center"/>
          </w:tcPr>
          <w:p w14:paraId="710447B8">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3592" w:type="dxa"/>
            <w:vAlign w:val="center"/>
          </w:tcPr>
          <w:p w14:paraId="4DA5F92F">
            <w:pPr>
              <w:jc w:val="center"/>
              <w:rPr>
                <w:rFonts w:hint="default" w:ascii="Times New Roman" w:hAnsi="Times New Roman" w:cs="Times New Roman"/>
                <w:color w:val="auto"/>
                <w:sz w:val="24"/>
                <w:highlight w:val="none"/>
              </w:rPr>
            </w:pPr>
            <w:bookmarkStart w:id="6" w:name="_Hlk193464773"/>
            <w:r>
              <w:rPr>
                <w:rFonts w:hint="default" w:ascii="Times New Roman" w:hAnsi="Times New Roman" w:cs="Times New Roman"/>
                <w:color w:val="auto"/>
                <w:sz w:val="24"/>
                <w:highlight w:val="none"/>
              </w:rPr>
              <w:t>2025年</w:t>
            </w:r>
            <w:r>
              <w:rPr>
                <w:rFonts w:hint="default"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rPr>
              <w:t>月</w:t>
            </w:r>
            <w:bookmarkEnd w:id="6"/>
            <w:r>
              <w:rPr>
                <w:rFonts w:hint="default" w:ascii="Times New Roman" w:hAnsi="Times New Roman" w:cs="Times New Roman"/>
                <w:color w:val="auto"/>
                <w:sz w:val="24"/>
                <w:highlight w:val="none"/>
              </w:rPr>
              <w:t>-2025年</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月</w:t>
            </w:r>
          </w:p>
        </w:tc>
      </w:tr>
      <w:tr w14:paraId="628FBD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51" w:type="dxa"/>
            <w:tcMar>
              <w:top w:w="16" w:type="dxa"/>
              <w:left w:w="16" w:type="dxa"/>
              <w:right w:w="16" w:type="dxa"/>
            </w:tcMar>
            <w:vAlign w:val="center"/>
          </w:tcPr>
          <w:p w14:paraId="39187A46">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是否开工建设</w:t>
            </w:r>
          </w:p>
        </w:tc>
        <w:tc>
          <w:tcPr>
            <w:tcW w:w="1585" w:type="dxa"/>
            <w:vAlign w:val="center"/>
          </w:tcPr>
          <w:p w14:paraId="7F0DF3C7">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√否</w:t>
            </w:r>
          </w:p>
          <w:p w14:paraId="3983B9E0">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是</w:t>
            </w:r>
          </w:p>
        </w:tc>
        <w:tc>
          <w:tcPr>
            <w:tcW w:w="1842" w:type="dxa"/>
            <w:tcMar>
              <w:top w:w="16" w:type="dxa"/>
              <w:left w:w="16" w:type="dxa"/>
              <w:right w:w="16" w:type="dxa"/>
            </w:tcMar>
            <w:vAlign w:val="center"/>
          </w:tcPr>
          <w:p w14:paraId="020D34E5">
            <w:pPr>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用地（用海）</w:t>
            </w:r>
          </w:p>
          <w:p w14:paraId="0C1503B6">
            <w:pPr>
              <w:jc w:val="center"/>
              <w:rPr>
                <w:rFonts w:hint="default" w:ascii="Times New Roman" w:hAnsi="Times New Roman" w:cs="Times New Roman"/>
                <w:color w:val="auto"/>
                <w:sz w:val="24"/>
                <w:highlight w:val="none"/>
              </w:rPr>
            </w:pPr>
            <w:r>
              <w:rPr>
                <w:rFonts w:hint="default" w:ascii="Times New Roman" w:hAnsi="Times New Roman" w:cs="Times New Roman"/>
                <w:color w:val="auto"/>
                <w:spacing w:val="-6"/>
                <w:sz w:val="24"/>
                <w:highlight w:val="none"/>
              </w:rPr>
              <w:t>面积（m</w:t>
            </w:r>
            <w:r>
              <w:rPr>
                <w:rFonts w:hint="default" w:ascii="Times New Roman" w:hAnsi="Times New Roman" w:cs="Times New Roman"/>
                <w:color w:val="auto"/>
                <w:spacing w:val="-6"/>
                <w:sz w:val="24"/>
                <w:highlight w:val="none"/>
                <w:vertAlign w:val="superscript"/>
              </w:rPr>
              <w:t>2</w:t>
            </w:r>
            <w:r>
              <w:rPr>
                <w:rFonts w:hint="default" w:ascii="Times New Roman" w:hAnsi="Times New Roman" w:cs="Times New Roman"/>
                <w:color w:val="auto"/>
                <w:spacing w:val="-6"/>
                <w:sz w:val="24"/>
                <w:highlight w:val="none"/>
              </w:rPr>
              <w:t>）</w:t>
            </w:r>
          </w:p>
        </w:tc>
        <w:tc>
          <w:tcPr>
            <w:tcW w:w="3592" w:type="dxa"/>
            <w:vAlign w:val="center"/>
          </w:tcPr>
          <w:p w14:paraId="67D4D8A0">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10920.022</w:t>
            </w:r>
          </w:p>
        </w:tc>
      </w:tr>
      <w:tr w14:paraId="05B541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851" w:type="dxa"/>
            <w:vAlign w:val="center"/>
          </w:tcPr>
          <w:p w14:paraId="7FDFE48C">
            <w:pPr>
              <w:jc w:val="center"/>
              <w:rPr>
                <w:rFonts w:hint="default" w:ascii="Times New Roman" w:hAnsi="Times New Roman" w:eastAsia="仿宋" w:cs="Times New Roman"/>
                <w:color w:val="auto"/>
                <w:kern w:val="0"/>
                <w:sz w:val="24"/>
                <w:highlight w:val="none"/>
              </w:rPr>
            </w:pPr>
            <w:r>
              <w:rPr>
                <w:rFonts w:hint="default" w:ascii="Times New Roman" w:hAnsi="Times New Roman" w:cs="Times New Roman"/>
                <w:color w:val="auto"/>
                <w:kern w:val="0"/>
                <w:sz w:val="24"/>
                <w:highlight w:val="none"/>
              </w:rPr>
              <w:t>专项评价设置情况</w:t>
            </w:r>
          </w:p>
        </w:tc>
        <w:tc>
          <w:tcPr>
            <w:tcW w:w="7019" w:type="dxa"/>
            <w:gridSpan w:val="3"/>
            <w:vAlign w:val="center"/>
          </w:tcPr>
          <w:p w14:paraId="2A166C8C">
            <w:pPr>
              <w:autoSpaceDE w:val="0"/>
              <w:autoSpaceDN w:val="0"/>
              <w:adjustRightInd w:val="0"/>
              <w:snapToGrid w:val="0"/>
              <w:spacing w:line="500" w:lineRule="exact"/>
              <w:ind w:firstLine="480" w:firstLineChars="200"/>
              <w:rPr>
                <w:rFonts w:hint="default" w:ascii="Times New Roman" w:hAnsi="Times New Roman" w:eastAsia="黑体" w:cs="Times New Roman"/>
                <w:bCs/>
                <w:color w:val="auto"/>
                <w:kern w:val="0"/>
                <w:sz w:val="24"/>
                <w:highlight w:val="none"/>
              </w:rPr>
            </w:pPr>
            <w:r>
              <w:rPr>
                <w:rFonts w:hint="default" w:ascii="Times New Roman" w:hAnsi="Times New Roman" w:cs="Times New Roman"/>
                <w:color w:val="auto"/>
                <w:kern w:val="0"/>
                <w:sz w:val="24"/>
                <w:highlight w:val="none"/>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本项目不涉及集中式饮用水水源和热水、矿泉水、温泉等特殊地下水资源保护区，项目专项设置情况参照下表。</w:t>
            </w:r>
          </w:p>
          <w:p w14:paraId="37E2B5A6">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表1-1 专项评价设置情况一览表</w:t>
            </w:r>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28" w:type="dxa"/>
                <w:bottom w:w="28" w:type="dxa"/>
                <w:right w:w="28" w:type="dxa"/>
              </w:tblCellMar>
            </w:tblPr>
            <w:tblGrid>
              <w:gridCol w:w="899"/>
              <w:gridCol w:w="2515"/>
              <w:gridCol w:w="2427"/>
              <w:gridCol w:w="962"/>
            </w:tblGrid>
            <w:tr w14:paraId="33774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0" w:type="pct"/>
                  <w:tcMar>
                    <w:left w:w="57" w:type="dxa"/>
                    <w:right w:w="57" w:type="dxa"/>
                  </w:tcMar>
                  <w:vAlign w:val="center"/>
                </w:tcPr>
                <w:p w14:paraId="0A94D1D5">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专项评价类别</w:t>
                  </w:r>
                </w:p>
              </w:tc>
              <w:tc>
                <w:tcPr>
                  <w:tcW w:w="1848" w:type="pct"/>
                  <w:tcMar>
                    <w:left w:w="57" w:type="dxa"/>
                    <w:right w:w="57" w:type="dxa"/>
                  </w:tcMar>
                  <w:vAlign w:val="center"/>
                </w:tcPr>
                <w:p w14:paraId="159652BA">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设置原则</w:t>
                  </w:r>
                </w:p>
              </w:tc>
              <w:tc>
                <w:tcPr>
                  <w:tcW w:w="1783" w:type="pct"/>
                  <w:tcMar>
                    <w:left w:w="57" w:type="dxa"/>
                    <w:right w:w="57" w:type="dxa"/>
                  </w:tcMar>
                  <w:vAlign w:val="center"/>
                </w:tcPr>
                <w:p w14:paraId="6F1B9273">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本项目情况</w:t>
                  </w:r>
                </w:p>
              </w:tc>
              <w:tc>
                <w:tcPr>
                  <w:tcW w:w="707" w:type="pct"/>
                  <w:tcMar>
                    <w:left w:w="57" w:type="dxa"/>
                    <w:right w:w="57" w:type="dxa"/>
                  </w:tcMar>
                  <w:vAlign w:val="center"/>
                </w:tcPr>
                <w:p w14:paraId="20E4898F">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是否设置专项</w:t>
                  </w:r>
                </w:p>
              </w:tc>
            </w:tr>
            <w:tr w14:paraId="57ED17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0" w:type="pct"/>
                  <w:tcMar>
                    <w:left w:w="57" w:type="dxa"/>
                    <w:right w:w="57" w:type="dxa"/>
                  </w:tcMar>
                  <w:vAlign w:val="center"/>
                </w:tcPr>
                <w:p w14:paraId="727ED87E">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大气</w:t>
                  </w:r>
                </w:p>
              </w:tc>
              <w:tc>
                <w:tcPr>
                  <w:tcW w:w="1848" w:type="pct"/>
                  <w:tcMar>
                    <w:left w:w="57" w:type="dxa"/>
                    <w:right w:w="57" w:type="dxa"/>
                  </w:tcMar>
                  <w:vAlign w:val="center"/>
                </w:tcPr>
                <w:p w14:paraId="37CD8035">
                  <w:pPr>
                    <w:autoSpaceDE w:val="0"/>
                    <w:autoSpaceDN w:val="0"/>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排放废气含有毒有害污染物</w:t>
                  </w:r>
                  <w:r>
                    <w:rPr>
                      <w:rFonts w:hint="default" w:ascii="Times New Roman" w:hAnsi="Times New Roman" w:cs="Times New Roman"/>
                      <w:color w:val="auto"/>
                      <w:szCs w:val="21"/>
                      <w:highlight w:val="none"/>
                      <w:vertAlign w:val="superscript"/>
                    </w:rPr>
                    <w:t>①</w:t>
                  </w:r>
                  <w:r>
                    <w:rPr>
                      <w:rFonts w:hint="default" w:ascii="Times New Roman" w:hAnsi="Times New Roman" w:cs="Times New Roman"/>
                      <w:color w:val="auto"/>
                      <w:szCs w:val="21"/>
                      <w:highlight w:val="none"/>
                    </w:rPr>
                    <w:t>、二噁英、苯并[a]芘、氰化物、氯气且厂界外500米范围内有环境空气保护目标</w:t>
                  </w:r>
                  <w:r>
                    <w:rPr>
                      <w:rFonts w:hint="default" w:ascii="Times New Roman" w:hAnsi="Times New Roman" w:cs="Times New Roman"/>
                      <w:color w:val="auto"/>
                      <w:szCs w:val="21"/>
                      <w:highlight w:val="none"/>
                      <w:vertAlign w:val="superscript"/>
                    </w:rPr>
                    <w:t>②</w:t>
                  </w:r>
                  <w:r>
                    <w:rPr>
                      <w:rFonts w:hint="default" w:ascii="Times New Roman" w:hAnsi="Times New Roman" w:cs="Times New Roman"/>
                      <w:color w:val="auto"/>
                      <w:szCs w:val="21"/>
                      <w:highlight w:val="none"/>
                    </w:rPr>
                    <w:t>的建设项目。</w:t>
                  </w:r>
                </w:p>
              </w:tc>
              <w:tc>
                <w:tcPr>
                  <w:tcW w:w="1783" w:type="pct"/>
                  <w:tcMar>
                    <w:left w:w="57" w:type="dxa"/>
                    <w:right w:w="57" w:type="dxa"/>
                  </w:tcMar>
                  <w:vAlign w:val="center"/>
                </w:tcPr>
                <w:p w14:paraId="621B86A5">
                  <w:pPr>
                    <w:autoSpaceDE w:val="0"/>
                    <w:autoSpaceDN w:val="0"/>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本项目排放废气中含苯并[a]芘且厂界外500米范围内有环境空气保护目标。因此，需设置大气专项评价。</w:t>
                  </w:r>
                </w:p>
              </w:tc>
              <w:tc>
                <w:tcPr>
                  <w:tcW w:w="707" w:type="pct"/>
                  <w:tcMar>
                    <w:left w:w="57" w:type="dxa"/>
                    <w:right w:w="57" w:type="dxa"/>
                  </w:tcMar>
                  <w:vAlign w:val="center"/>
                </w:tcPr>
                <w:p w14:paraId="49F2AA1F">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w:t>
                  </w:r>
                </w:p>
              </w:tc>
            </w:tr>
            <w:tr w14:paraId="67D815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634" w:hRule="atLeast"/>
              </w:trPr>
              <w:tc>
                <w:tcPr>
                  <w:tcW w:w="660" w:type="pct"/>
                  <w:tcMar>
                    <w:left w:w="57" w:type="dxa"/>
                    <w:right w:w="57" w:type="dxa"/>
                  </w:tcMar>
                  <w:vAlign w:val="center"/>
                </w:tcPr>
                <w:p w14:paraId="77A5606E">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地表水</w:t>
                  </w:r>
                </w:p>
              </w:tc>
              <w:tc>
                <w:tcPr>
                  <w:tcW w:w="1848" w:type="pct"/>
                  <w:tcMar>
                    <w:left w:w="57" w:type="dxa"/>
                    <w:right w:w="57" w:type="dxa"/>
                  </w:tcMar>
                  <w:vAlign w:val="center"/>
                </w:tcPr>
                <w:p w14:paraId="30ACBAC8">
                  <w:pPr>
                    <w:autoSpaceDE w:val="0"/>
                    <w:autoSpaceDN w:val="0"/>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新增工业废水直排建设项目（槽罐车外送污水处理厂的除外）；新增废水直排的污水集中处理厂。</w:t>
                  </w:r>
                </w:p>
              </w:tc>
              <w:tc>
                <w:tcPr>
                  <w:tcW w:w="1783" w:type="pct"/>
                  <w:tcMar>
                    <w:left w:w="57" w:type="dxa"/>
                    <w:right w:w="57" w:type="dxa"/>
                  </w:tcMar>
                  <w:vAlign w:val="center"/>
                </w:tcPr>
                <w:p w14:paraId="0F538705">
                  <w:pPr>
                    <w:autoSpaceDE w:val="0"/>
                    <w:autoSpaceDN w:val="0"/>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本项目不属于工业废水直排建设项目以及废水直排的污水集中处理厂。</w:t>
                  </w:r>
                </w:p>
              </w:tc>
              <w:tc>
                <w:tcPr>
                  <w:tcW w:w="707" w:type="pct"/>
                  <w:tcMar>
                    <w:left w:w="57" w:type="dxa"/>
                    <w:right w:w="57" w:type="dxa"/>
                  </w:tcMar>
                  <w:vAlign w:val="center"/>
                </w:tcPr>
                <w:p w14:paraId="7E6D3986">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14:paraId="238BF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0" w:type="pct"/>
                  <w:tcMar>
                    <w:left w:w="57" w:type="dxa"/>
                    <w:right w:w="57" w:type="dxa"/>
                  </w:tcMar>
                  <w:vAlign w:val="center"/>
                </w:tcPr>
                <w:p w14:paraId="19E94AC0">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环境风险</w:t>
                  </w:r>
                </w:p>
              </w:tc>
              <w:tc>
                <w:tcPr>
                  <w:tcW w:w="1848" w:type="pct"/>
                  <w:tcMar>
                    <w:left w:w="57" w:type="dxa"/>
                    <w:right w:w="57" w:type="dxa"/>
                  </w:tcMar>
                  <w:vAlign w:val="center"/>
                </w:tcPr>
                <w:p w14:paraId="120D6898">
                  <w:pPr>
                    <w:autoSpaceDE w:val="0"/>
                    <w:autoSpaceDN w:val="0"/>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有毒有害和易燃易爆危险物质存储量超过临界量</w:t>
                  </w:r>
                  <w:r>
                    <w:rPr>
                      <w:rFonts w:hint="default" w:ascii="Times New Roman" w:hAnsi="Times New Roman" w:cs="Times New Roman"/>
                      <w:color w:val="auto"/>
                      <w:highlight w:val="none"/>
                      <w:vertAlign w:val="superscript"/>
                    </w:rPr>
                    <w:t>③</w:t>
                  </w:r>
                  <w:r>
                    <w:rPr>
                      <w:rFonts w:hint="default" w:ascii="Times New Roman" w:hAnsi="Times New Roman" w:cs="Times New Roman"/>
                      <w:color w:val="auto"/>
                      <w:highlight w:val="none"/>
                    </w:rPr>
                    <w:t>的建设项目。</w:t>
                  </w:r>
                </w:p>
              </w:tc>
              <w:tc>
                <w:tcPr>
                  <w:tcW w:w="1783" w:type="pct"/>
                  <w:tcMar>
                    <w:left w:w="57" w:type="dxa"/>
                    <w:right w:w="57" w:type="dxa"/>
                  </w:tcMar>
                  <w:vAlign w:val="center"/>
                </w:tcPr>
                <w:p w14:paraId="48E9E690">
                  <w:pPr>
                    <w:autoSpaceDE w:val="0"/>
                    <w:autoSpaceDN w:val="0"/>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本项目不涉及有毒有害和易燃易爆危险物质。</w:t>
                  </w:r>
                </w:p>
              </w:tc>
              <w:tc>
                <w:tcPr>
                  <w:tcW w:w="707" w:type="pct"/>
                  <w:tcMar>
                    <w:left w:w="57" w:type="dxa"/>
                    <w:right w:w="57" w:type="dxa"/>
                  </w:tcMar>
                  <w:vAlign w:val="center"/>
                </w:tcPr>
                <w:p w14:paraId="278C0E0F">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14:paraId="1CA28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0" w:type="pct"/>
                  <w:tcMar>
                    <w:left w:w="57" w:type="dxa"/>
                    <w:right w:w="57" w:type="dxa"/>
                  </w:tcMar>
                  <w:vAlign w:val="center"/>
                </w:tcPr>
                <w:p w14:paraId="3048FB53">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生态</w:t>
                  </w:r>
                </w:p>
              </w:tc>
              <w:tc>
                <w:tcPr>
                  <w:tcW w:w="1848" w:type="pct"/>
                  <w:tcMar>
                    <w:left w:w="57" w:type="dxa"/>
                    <w:right w:w="57" w:type="dxa"/>
                  </w:tcMar>
                  <w:vAlign w:val="center"/>
                </w:tcPr>
                <w:p w14:paraId="76952B5A">
                  <w:pPr>
                    <w:autoSpaceDE w:val="0"/>
                    <w:autoSpaceDN w:val="0"/>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取水口下游500米范围内有重要水生生物的自然产卵场、索饵场、越冬场和洄游通道的新增河道取水的污染类建设项目。</w:t>
                  </w:r>
                </w:p>
              </w:tc>
              <w:tc>
                <w:tcPr>
                  <w:tcW w:w="1783" w:type="pct"/>
                  <w:tcMar>
                    <w:left w:w="57" w:type="dxa"/>
                    <w:right w:w="57" w:type="dxa"/>
                  </w:tcMar>
                  <w:vAlign w:val="center"/>
                </w:tcPr>
                <w:p w14:paraId="1757F61C">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本项目不涉及取水口。</w:t>
                  </w:r>
                </w:p>
              </w:tc>
              <w:tc>
                <w:tcPr>
                  <w:tcW w:w="707" w:type="pct"/>
                  <w:tcMar>
                    <w:left w:w="57" w:type="dxa"/>
                    <w:right w:w="57" w:type="dxa"/>
                  </w:tcMar>
                  <w:vAlign w:val="center"/>
                </w:tcPr>
                <w:p w14:paraId="13035AF8">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14:paraId="50EC6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0" w:type="pct"/>
                  <w:tcMar>
                    <w:left w:w="57" w:type="dxa"/>
                    <w:right w:w="57" w:type="dxa"/>
                  </w:tcMar>
                  <w:vAlign w:val="center"/>
                </w:tcPr>
                <w:p w14:paraId="799BAEDF">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海洋</w:t>
                  </w:r>
                </w:p>
              </w:tc>
              <w:tc>
                <w:tcPr>
                  <w:tcW w:w="1848" w:type="pct"/>
                  <w:tcMar>
                    <w:left w:w="57" w:type="dxa"/>
                    <w:right w:w="57" w:type="dxa"/>
                  </w:tcMar>
                  <w:vAlign w:val="center"/>
                </w:tcPr>
                <w:p w14:paraId="7FED8F21">
                  <w:pPr>
                    <w:autoSpaceDE w:val="0"/>
                    <w:autoSpaceDN w:val="0"/>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直接向海排放污染物的海洋工程建设项目。</w:t>
                  </w:r>
                </w:p>
              </w:tc>
              <w:tc>
                <w:tcPr>
                  <w:tcW w:w="1783" w:type="pct"/>
                  <w:tcMar>
                    <w:left w:w="57" w:type="dxa"/>
                    <w:right w:w="57" w:type="dxa"/>
                  </w:tcMar>
                  <w:vAlign w:val="center"/>
                </w:tcPr>
                <w:p w14:paraId="6A3E2178">
                  <w:pPr>
                    <w:autoSpaceDE w:val="0"/>
                    <w:autoSpaceDN w:val="0"/>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本项目不属于向海洋排放污染物的海洋工程建设项目。</w:t>
                  </w:r>
                </w:p>
              </w:tc>
              <w:tc>
                <w:tcPr>
                  <w:tcW w:w="707" w:type="pct"/>
                  <w:tcMar>
                    <w:left w:w="57" w:type="dxa"/>
                    <w:right w:w="57" w:type="dxa"/>
                  </w:tcMar>
                  <w:vAlign w:val="center"/>
                </w:tcPr>
                <w:p w14:paraId="5B76FE57">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否</w:t>
                  </w:r>
                </w:p>
              </w:tc>
            </w:tr>
            <w:tr w14:paraId="3261A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5000" w:type="pct"/>
                  <w:gridSpan w:val="4"/>
                  <w:tcMar>
                    <w:left w:w="57" w:type="dxa"/>
                    <w:right w:w="57" w:type="dxa"/>
                  </w:tcMar>
                  <w:vAlign w:val="center"/>
                </w:tcPr>
                <w:p w14:paraId="2FAB01B8">
                  <w:pPr>
                    <w:autoSpaceDE w:val="0"/>
                    <w:autoSpaceDN w:val="0"/>
                    <w:adjustRightInd w:val="0"/>
                    <w:snapToGrid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注：①废气中有毒有害污染物指纳入《有毒有害大气污染物名录》的污染物（不包括无排放标准的污染物）。</w:t>
                  </w:r>
                </w:p>
                <w:p w14:paraId="2962D685">
                  <w:pPr>
                    <w:autoSpaceDE w:val="0"/>
                    <w:autoSpaceDN w:val="0"/>
                    <w:adjustRightInd w:val="0"/>
                    <w:snapToGrid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②环境空气保护目标指自然保护区、风景名胜区、居住区、文化区和农村地区中人群较集中的区域。</w:t>
                  </w:r>
                </w:p>
                <w:p w14:paraId="2AA94E0F">
                  <w:pPr>
                    <w:autoSpaceDE w:val="0"/>
                    <w:autoSpaceDN w:val="0"/>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sz w:val="18"/>
                      <w:szCs w:val="18"/>
                      <w:highlight w:val="none"/>
                    </w:rPr>
                    <w:t>③临界量及其计算方法参考《建设项目环境风险评价技术导则》（HJ 169）附录B、附录C。</w:t>
                  </w:r>
                </w:p>
              </w:tc>
            </w:tr>
          </w:tbl>
          <w:p w14:paraId="0139E1E7">
            <w:pPr>
              <w:autoSpaceDE w:val="0"/>
              <w:autoSpaceDN w:val="0"/>
              <w:adjustRightInd w:val="0"/>
              <w:snapToGrid w:val="0"/>
              <w:spacing w:line="500" w:lineRule="exact"/>
              <w:ind w:firstLine="480" w:firstLineChars="200"/>
              <w:rPr>
                <w:rFonts w:hint="default" w:ascii="Times New Roman" w:hAnsi="Times New Roman" w:eastAsia="仿宋" w:cs="Times New Roman"/>
                <w:color w:val="auto"/>
                <w:kern w:val="0"/>
                <w:sz w:val="24"/>
                <w:highlight w:val="none"/>
              </w:rPr>
            </w:pPr>
            <w:r>
              <w:rPr>
                <w:rFonts w:hint="default" w:ascii="Times New Roman" w:hAnsi="Times New Roman" w:cs="Times New Roman"/>
                <w:color w:val="auto"/>
                <w:kern w:val="0"/>
                <w:sz w:val="24"/>
                <w:highlight w:val="none"/>
              </w:rPr>
              <w:t>根据上表分析可知，本项目需开展大气专项评价工作。</w:t>
            </w:r>
          </w:p>
        </w:tc>
      </w:tr>
      <w:tr w14:paraId="01CC0A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3" w:hRule="atLeast"/>
          <w:jc w:val="center"/>
        </w:trPr>
        <w:tc>
          <w:tcPr>
            <w:tcW w:w="1851" w:type="dxa"/>
            <w:vAlign w:val="center"/>
          </w:tcPr>
          <w:p w14:paraId="7EF717B9">
            <w:pPr>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规划情况</w:t>
            </w:r>
          </w:p>
        </w:tc>
        <w:tc>
          <w:tcPr>
            <w:tcW w:w="7019" w:type="dxa"/>
            <w:gridSpan w:val="3"/>
            <w:vAlign w:val="center"/>
          </w:tcPr>
          <w:p w14:paraId="1A5D380C">
            <w:pPr>
              <w:autoSpaceDE w:val="0"/>
              <w:autoSpaceDN w:val="0"/>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r>
      <w:tr w14:paraId="6A879A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64" w:hRule="atLeast"/>
          <w:jc w:val="center"/>
        </w:trPr>
        <w:tc>
          <w:tcPr>
            <w:tcW w:w="1851" w:type="dxa"/>
            <w:vAlign w:val="center"/>
          </w:tcPr>
          <w:p w14:paraId="3DB3151A">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规划环境影响</w:t>
            </w:r>
          </w:p>
          <w:p w14:paraId="6E2158F7">
            <w:pPr>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评价情况</w:t>
            </w:r>
          </w:p>
        </w:tc>
        <w:tc>
          <w:tcPr>
            <w:tcW w:w="7019" w:type="dxa"/>
            <w:gridSpan w:val="3"/>
            <w:vAlign w:val="center"/>
          </w:tcPr>
          <w:p w14:paraId="4E6CDCB0">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w:t>
            </w:r>
          </w:p>
        </w:tc>
      </w:tr>
      <w:tr w14:paraId="798292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85" w:hRule="atLeast"/>
          <w:jc w:val="center"/>
        </w:trPr>
        <w:tc>
          <w:tcPr>
            <w:tcW w:w="1851" w:type="dxa"/>
            <w:vAlign w:val="center"/>
          </w:tcPr>
          <w:p w14:paraId="6F49417D">
            <w:pPr>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规划及规划环境影响评价符合性分析</w:t>
            </w:r>
          </w:p>
        </w:tc>
        <w:tc>
          <w:tcPr>
            <w:tcW w:w="7019" w:type="dxa"/>
            <w:gridSpan w:val="3"/>
            <w:vAlign w:val="center"/>
          </w:tcPr>
          <w:p w14:paraId="48A2B617">
            <w:pPr>
              <w:autoSpaceDE w:val="0"/>
              <w:autoSpaceDN w:val="0"/>
              <w:adjustRightInd w:val="0"/>
              <w:snapToGrid w:val="0"/>
              <w:spacing w:line="50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r>
      <w:tr w14:paraId="602F1B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51" w:hRule="atLeast"/>
          <w:jc w:val="center"/>
        </w:trPr>
        <w:tc>
          <w:tcPr>
            <w:tcW w:w="1851" w:type="dxa"/>
            <w:vAlign w:val="center"/>
          </w:tcPr>
          <w:p w14:paraId="22DF7D39">
            <w:pPr>
              <w:jc w:val="center"/>
              <w:rPr>
                <w:rFonts w:hint="default" w:ascii="Times New Roman" w:hAnsi="Times New Roman" w:eastAsia="仿宋" w:cs="Times New Roman"/>
                <w:color w:val="auto"/>
                <w:kern w:val="0"/>
                <w:sz w:val="24"/>
                <w:highlight w:val="none"/>
              </w:rPr>
            </w:pPr>
            <w:r>
              <w:rPr>
                <w:rFonts w:hint="default" w:ascii="Times New Roman" w:hAnsi="Times New Roman" w:cs="Times New Roman"/>
                <w:color w:val="auto"/>
                <w:kern w:val="0"/>
                <w:sz w:val="24"/>
                <w:highlight w:val="none"/>
              </w:rPr>
              <w:t>其他符合性分析</w:t>
            </w:r>
          </w:p>
        </w:tc>
        <w:tc>
          <w:tcPr>
            <w:tcW w:w="7019" w:type="dxa"/>
            <w:gridSpan w:val="3"/>
            <w:vAlign w:val="center"/>
          </w:tcPr>
          <w:p w14:paraId="44B03FA7">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一、产业政策相符性分析</w:t>
            </w:r>
          </w:p>
          <w:p w14:paraId="1A7561B7">
            <w:pPr>
              <w:pStyle w:val="10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根据《产业结构调整指导目录（2024年本）》，本项目不属于《产业结构调整指导目录（2024年本）》中鼓励类、限制类、淘汰类项目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本项目为允许类项目</w:t>
            </w:r>
            <w:r>
              <w:rPr>
                <w:rFonts w:hint="default" w:ascii="Times New Roman" w:hAnsi="Times New Roman" w:cs="Times New Roman"/>
                <w:color w:val="auto"/>
                <w:highlight w:val="none"/>
              </w:rPr>
              <w:t>。</w:t>
            </w:r>
          </w:p>
          <w:p w14:paraId="029609EF">
            <w:pPr>
              <w:pStyle w:val="10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项目所用设备及产品无淘汰落后生产工艺装备和产品。</w:t>
            </w:r>
          </w:p>
          <w:p w14:paraId="497F5E87">
            <w:pPr>
              <w:pStyle w:val="10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项目所涉及行业性、领域性、区域性等方面无《关于印发&lt;市场准入负面清单（202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年版）&gt;的通知》中违规另设市场准入行政审批情况。</w:t>
            </w:r>
          </w:p>
          <w:p w14:paraId="14C52182">
            <w:pPr>
              <w:pStyle w:val="10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综上所述，本项目建设符合国家产业政策要求。</w:t>
            </w:r>
          </w:p>
          <w:p w14:paraId="205984C3">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二、项目与“生态环境分区管控”符合性分析</w:t>
            </w:r>
          </w:p>
          <w:p w14:paraId="34AF77DB">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本项目位于黑龙江省鸡西市虎林市东诚镇东风村村委会西南350米，根据2024年1月22日黑龙江省生态环境厅《关于发布2023年生态环境分区管控动态更新成果的通知》（黑环发〔2024〕1号）、《鸡西市生态环境准入清单（2023年版）》以及参照查询黑龙江省生态环境分区管控数据应用平台可知：本项目属于虎林市城镇空间重点管控单元（ZH23038120002）和虎林市水环境农业污染重点管控区重点管控单元（ZH23038120003）。本项目与黑龙江省生态环境分区管控成果数据相交情况汇总表见下表，本项目与环境管控单元示意图见下图</w:t>
            </w:r>
            <w:r>
              <w:rPr>
                <w:rFonts w:hint="default" w:ascii="Times New Roman" w:hAnsi="Times New Roman" w:cs="Times New Roman"/>
                <w:color w:val="auto"/>
                <w:sz w:val="24"/>
                <w:highlight w:val="none"/>
              </w:rPr>
              <w:t>。</w:t>
            </w:r>
          </w:p>
          <w:p w14:paraId="6722B415">
            <w:pPr>
              <w:pStyle w:val="68"/>
              <w:spacing w:line="500" w:lineRule="exact"/>
              <w:ind w:left="0" w:leftChars="0" w:firstLine="0" w:firstLineChars="0"/>
              <w:jc w:val="center"/>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表1-2  本项目与“三线一单”成果相交情况一览表</w:t>
            </w:r>
          </w:p>
          <w:tbl>
            <w:tblPr>
              <w:tblStyle w:val="31"/>
              <w:tblW w:w="496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6"/>
              <w:gridCol w:w="1494"/>
              <w:gridCol w:w="759"/>
              <w:gridCol w:w="889"/>
              <w:gridCol w:w="954"/>
              <w:gridCol w:w="1899"/>
            </w:tblGrid>
            <w:tr w14:paraId="31A7E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59" w:type="pct"/>
                  <w:tcBorders>
                    <w:left w:val="nil"/>
                  </w:tcBorders>
                  <w:shd w:val="clear" w:color="auto" w:fill="auto"/>
                  <w:vAlign w:val="center"/>
                </w:tcPr>
                <w:p w14:paraId="761816ED">
                  <w:pPr>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一级</w:t>
                  </w:r>
                </w:p>
                <w:p w14:paraId="59DA2718">
                  <w:pPr>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cs="Times New Roman"/>
                      <w:color w:val="auto"/>
                      <w:sz w:val="21"/>
                      <w:szCs w:val="21"/>
                      <w:highlight w:val="none"/>
                      <w:lang w:val="zh-CN"/>
                    </w:rPr>
                    <w:t>分类</w:t>
                  </w:r>
                </w:p>
              </w:tc>
              <w:tc>
                <w:tcPr>
                  <w:tcW w:w="1106" w:type="pct"/>
                  <w:shd w:val="clear" w:color="auto" w:fill="auto"/>
                  <w:vAlign w:val="center"/>
                </w:tcPr>
                <w:p w14:paraId="6A7FE731">
                  <w:pPr>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cs="Times New Roman"/>
                      <w:color w:val="auto"/>
                      <w:sz w:val="21"/>
                      <w:szCs w:val="21"/>
                      <w:highlight w:val="none"/>
                      <w:lang w:val="zh-CN"/>
                    </w:rPr>
                    <w:t>二级分类</w:t>
                  </w:r>
                </w:p>
              </w:tc>
              <w:tc>
                <w:tcPr>
                  <w:tcW w:w="562" w:type="pct"/>
                  <w:shd w:val="clear" w:color="auto" w:fill="auto"/>
                  <w:vAlign w:val="center"/>
                </w:tcPr>
                <w:p w14:paraId="169F08DD">
                  <w:pPr>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cs="Times New Roman"/>
                      <w:color w:val="auto"/>
                      <w:sz w:val="21"/>
                      <w:szCs w:val="21"/>
                      <w:highlight w:val="none"/>
                    </w:rPr>
                    <w:t>是否相交</w:t>
                  </w:r>
                </w:p>
              </w:tc>
              <w:tc>
                <w:tcPr>
                  <w:tcW w:w="658" w:type="pct"/>
                  <w:shd w:val="clear" w:color="auto" w:fill="auto"/>
                  <w:vAlign w:val="center"/>
                </w:tcPr>
                <w:p w14:paraId="00A72634">
                  <w:pPr>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cs="Times New Roman"/>
                      <w:color w:val="auto"/>
                      <w:sz w:val="21"/>
                      <w:szCs w:val="21"/>
                      <w:highlight w:val="none"/>
                    </w:rPr>
                    <w:t>所属地市</w:t>
                  </w:r>
                </w:p>
              </w:tc>
              <w:tc>
                <w:tcPr>
                  <w:tcW w:w="706" w:type="pct"/>
                  <w:shd w:val="clear" w:color="auto" w:fill="auto"/>
                  <w:vAlign w:val="center"/>
                </w:tcPr>
                <w:p w14:paraId="63C9239F">
                  <w:pPr>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cs="Times New Roman"/>
                      <w:color w:val="auto"/>
                      <w:sz w:val="21"/>
                      <w:szCs w:val="21"/>
                      <w:highlight w:val="none"/>
                    </w:rPr>
                    <w:t>所属区县</w:t>
                  </w:r>
                </w:p>
              </w:tc>
              <w:tc>
                <w:tcPr>
                  <w:tcW w:w="1406" w:type="pct"/>
                  <w:tcBorders>
                    <w:right w:val="nil"/>
                  </w:tcBorders>
                  <w:shd w:val="clear" w:color="auto" w:fill="auto"/>
                  <w:vAlign w:val="center"/>
                </w:tcPr>
                <w:p w14:paraId="7FF5C2D9">
                  <w:pPr>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cs="Times New Roman"/>
                      <w:color w:val="auto"/>
                      <w:sz w:val="21"/>
                      <w:szCs w:val="21"/>
                      <w:highlight w:val="none"/>
                      <w:lang w:val="zh-CN"/>
                    </w:rPr>
                    <w:t>相交</w:t>
                  </w:r>
                  <w:r>
                    <w:rPr>
                      <w:rFonts w:hint="default" w:ascii="Times New Roman" w:hAnsi="Times New Roman" w:cs="Times New Roman"/>
                      <w:color w:val="auto"/>
                      <w:sz w:val="21"/>
                      <w:szCs w:val="21"/>
                      <w:highlight w:val="none"/>
                    </w:rPr>
                    <w:t>区域</w:t>
                  </w:r>
                </w:p>
              </w:tc>
            </w:tr>
            <w:tr w14:paraId="33965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59" w:type="pct"/>
                  <w:vMerge w:val="restart"/>
                  <w:tcBorders>
                    <w:left w:val="nil"/>
                  </w:tcBorders>
                  <w:vAlign w:val="center"/>
                </w:tcPr>
                <w:p w14:paraId="79081143">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环境质量底线</w:t>
                  </w:r>
                </w:p>
              </w:tc>
              <w:tc>
                <w:tcPr>
                  <w:tcW w:w="1106" w:type="pct"/>
                  <w:vAlign w:val="center"/>
                </w:tcPr>
                <w:p w14:paraId="1DD0D2F7">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水环境农业污染重点管控区</w:t>
                  </w:r>
                </w:p>
              </w:tc>
              <w:tc>
                <w:tcPr>
                  <w:tcW w:w="562" w:type="pct"/>
                  <w:vAlign w:val="center"/>
                </w:tcPr>
                <w:p w14:paraId="592CACB0">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w:t>
                  </w:r>
                </w:p>
              </w:tc>
              <w:tc>
                <w:tcPr>
                  <w:tcW w:w="658" w:type="pct"/>
                  <w:vAlign w:val="center"/>
                </w:tcPr>
                <w:p w14:paraId="789E7989">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鸡西市</w:t>
                  </w:r>
                </w:p>
              </w:tc>
              <w:tc>
                <w:tcPr>
                  <w:tcW w:w="706" w:type="pct"/>
                  <w:vAlign w:val="center"/>
                </w:tcPr>
                <w:p w14:paraId="2F7120CD">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虎林市</w:t>
                  </w:r>
                </w:p>
              </w:tc>
              <w:tc>
                <w:tcPr>
                  <w:tcW w:w="1406" w:type="pct"/>
                  <w:tcBorders>
                    <w:right w:val="nil"/>
                  </w:tcBorders>
                  <w:vAlign w:val="center"/>
                </w:tcPr>
                <w:p w14:paraId="600CD784">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穆棱河松阿察河穆棱河口内虎林市</w:t>
                  </w:r>
                </w:p>
              </w:tc>
            </w:tr>
            <w:tr w14:paraId="75A2D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59" w:type="pct"/>
                  <w:vMerge w:val="continue"/>
                  <w:tcBorders>
                    <w:left w:val="nil"/>
                  </w:tcBorders>
                  <w:vAlign w:val="center"/>
                </w:tcPr>
                <w:p w14:paraId="13908EC2">
                  <w:pPr>
                    <w:jc w:val="center"/>
                    <w:rPr>
                      <w:rFonts w:hint="default" w:ascii="Times New Roman" w:hAnsi="Times New Roman" w:cs="Times New Roman"/>
                      <w:color w:val="auto"/>
                      <w:sz w:val="21"/>
                      <w:szCs w:val="21"/>
                      <w:highlight w:val="none"/>
                      <w:lang w:val="en-US" w:eastAsia="zh-CN"/>
                    </w:rPr>
                  </w:pPr>
                </w:p>
              </w:tc>
              <w:tc>
                <w:tcPr>
                  <w:tcW w:w="1106" w:type="pct"/>
                  <w:vAlign w:val="center"/>
                </w:tcPr>
                <w:p w14:paraId="01DD68A1">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大气环境一般管控区</w:t>
                  </w:r>
                </w:p>
              </w:tc>
              <w:tc>
                <w:tcPr>
                  <w:tcW w:w="562" w:type="pct"/>
                  <w:vAlign w:val="center"/>
                </w:tcPr>
                <w:p w14:paraId="37B89AE7">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w:t>
                  </w:r>
                </w:p>
              </w:tc>
              <w:tc>
                <w:tcPr>
                  <w:tcW w:w="658" w:type="pct"/>
                  <w:vAlign w:val="center"/>
                </w:tcPr>
                <w:p w14:paraId="0E6C1CF5">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鸡西市</w:t>
                  </w:r>
                </w:p>
              </w:tc>
              <w:tc>
                <w:tcPr>
                  <w:tcW w:w="706" w:type="pct"/>
                  <w:vAlign w:val="center"/>
                </w:tcPr>
                <w:p w14:paraId="7E7FF15B">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虎林市</w:t>
                  </w:r>
                </w:p>
              </w:tc>
              <w:tc>
                <w:tcPr>
                  <w:tcW w:w="1406" w:type="pct"/>
                  <w:tcBorders>
                    <w:right w:val="nil"/>
                  </w:tcBorders>
                  <w:vAlign w:val="center"/>
                </w:tcPr>
                <w:p w14:paraId="38F8E35B">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虎林市大气环境一般管控区</w:t>
                  </w:r>
                </w:p>
              </w:tc>
            </w:tr>
            <w:tr w14:paraId="2F1E5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59" w:type="pct"/>
                  <w:tcBorders>
                    <w:left w:val="nil"/>
                  </w:tcBorders>
                  <w:vAlign w:val="center"/>
                </w:tcPr>
                <w:p w14:paraId="2A9C1B4F">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资源利用上线</w:t>
                  </w:r>
                </w:p>
              </w:tc>
              <w:tc>
                <w:tcPr>
                  <w:tcW w:w="1106" w:type="pct"/>
                  <w:vAlign w:val="center"/>
                </w:tcPr>
                <w:p w14:paraId="3E16C3D0">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自然资源一般管控区</w:t>
                  </w:r>
                </w:p>
              </w:tc>
              <w:tc>
                <w:tcPr>
                  <w:tcW w:w="562" w:type="pct"/>
                  <w:vAlign w:val="center"/>
                </w:tcPr>
                <w:p w14:paraId="1B92803F">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w:t>
                  </w:r>
                </w:p>
              </w:tc>
              <w:tc>
                <w:tcPr>
                  <w:tcW w:w="658" w:type="pct"/>
                  <w:vAlign w:val="center"/>
                </w:tcPr>
                <w:p w14:paraId="5EA6412B">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鸡西市</w:t>
                  </w:r>
                </w:p>
              </w:tc>
              <w:tc>
                <w:tcPr>
                  <w:tcW w:w="706" w:type="pct"/>
                  <w:vAlign w:val="center"/>
                </w:tcPr>
                <w:p w14:paraId="4A0A7E40">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虎林市</w:t>
                  </w:r>
                </w:p>
              </w:tc>
              <w:tc>
                <w:tcPr>
                  <w:tcW w:w="1406" w:type="pct"/>
                  <w:tcBorders>
                    <w:right w:val="nil"/>
                  </w:tcBorders>
                  <w:vAlign w:val="center"/>
                </w:tcPr>
                <w:p w14:paraId="36CD75D7">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虎林市自然资源一般管控区</w:t>
                  </w:r>
                </w:p>
              </w:tc>
            </w:tr>
            <w:tr w14:paraId="17084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59" w:type="pct"/>
                  <w:tcBorders>
                    <w:left w:val="nil"/>
                  </w:tcBorders>
                  <w:vAlign w:val="center"/>
                </w:tcPr>
                <w:p w14:paraId="15A6AF00">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环境管控单元</w:t>
                  </w:r>
                </w:p>
              </w:tc>
              <w:tc>
                <w:tcPr>
                  <w:tcW w:w="1106" w:type="pct"/>
                  <w:shd w:val="clear" w:color="auto" w:fill="auto"/>
                  <w:vAlign w:val="center"/>
                </w:tcPr>
                <w:p w14:paraId="0C4081A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重点管控单元</w:t>
                  </w:r>
                </w:p>
              </w:tc>
              <w:tc>
                <w:tcPr>
                  <w:tcW w:w="562" w:type="pct"/>
                  <w:shd w:val="clear" w:color="auto" w:fill="auto"/>
                  <w:vAlign w:val="center"/>
                </w:tcPr>
                <w:p w14:paraId="6002EE8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是</w:t>
                  </w:r>
                </w:p>
              </w:tc>
              <w:tc>
                <w:tcPr>
                  <w:tcW w:w="658" w:type="pct"/>
                  <w:shd w:val="clear" w:color="auto" w:fill="auto"/>
                  <w:vAlign w:val="center"/>
                </w:tcPr>
                <w:p w14:paraId="1972D68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鸡西市</w:t>
                  </w:r>
                </w:p>
              </w:tc>
              <w:tc>
                <w:tcPr>
                  <w:tcW w:w="706" w:type="pct"/>
                  <w:shd w:val="clear" w:color="auto" w:fill="auto"/>
                  <w:vAlign w:val="center"/>
                </w:tcPr>
                <w:p w14:paraId="226C26A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虎林市</w:t>
                  </w:r>
                </w:p>
              </w:tc>
              <w:tc>
                <w:tcPr>
                  <w:tcW w:w="1406" w:type="pct"/>
                  <w:tcBorders>
                    <w:right w:val="nil"/>
                  </w:tcBorders>
                  <w:shd w:val="clear" w:color="auto" w:fill="auto"/>
                  <w:vAlign w:val="center"/>
                </w:tcPr>
                <w:p w14:paraId="6B4505F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虎林市水环境农业污染重点管控区</w:t>
                  </w:r>
                </w:p>
              </w:tc>
            </w:tr>
          </w:tbl>
          <w:p w14:paraId="450982FA">
            <w:pPr>
              <w:widowControl/>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（1）生态保护红线</w:t>
            </w:r>
          </w:p>
          <w:p w14:paraId="5B823518">
            <w:pPr>
              <w:widowControl/>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鸡西市人民政府关于实施“三线一单”生态环境分区管控的意见》（鸡政发〔2021〕7号）及黑龙江省生态环境分区管控数据应用平台出具的“生态环境分区管控分析报告”可知，本项目不在各类保护地中，不占用生态保护红线。符合生态保护红线要求。</w:t>
            </w:r>
          </w:p>
          <w:p w14:paraId="47703AF4">
            <w:pPr>
              <w:widowControl/>
              <w:adjustRightInd w:val="0"/>
              <w:snapToGrid w:val="0"/>
              <w:jc w:val="center"/>
              <w:rPr>
                <w:rFonts w:hint="default" w:ascii="Times New Roman" w:hAnsi="Times New Roman" w:eastAsia="黑体" w:cs="Times New Roman"/>
                <w:color w:val="auto"/>
                <w:kern w:val="0"/>
                <w:sz w:val="24"/>
                <w:szCs w:val="20"/>
                <w:highlight w:val="none"/>
              </w:rPr>
            </w:pPr>
            <w:r>
              <w:rPr>
                <w:rFonts w:hint="default" w:ascii="Times New Roman" w:hAnsi="Times New Roman" w:cs="Times New Roman"/>
                <w:color w:val="auto"/>
                <w:highlight w:val="none"/>
              </w:rPr>
              <w:drawing>
                <wp:inline distT="0" distB="0" distL="114300" distR="114300">
                  <wp:extent cx="4179570" cy="2836545"/>
                  <wp:effectExtent l="0" t="0" r="11430" b="1905"/>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14"/>
                          <a:stretch>
                            <a:fillRect/>
                          </a:stretch>
                        </pic:blipFill>
                        <pic:spPr>
                          <a:xfrm>
                            <a:off x="0" y="0"/>
                            <a:ext cx="4179570" cy="2836545"/>
                          </a:xfrm>
                          <a:prstGeom prst="rect">
                            <a:avLst/>
                          </a:prstGeom>
                          <a:noFill/>
                          <a:ln>
                            <a:no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702272" behindDoc="0" locked="0" layoutInCell="1" allowOverlap="1">
                      <wp:simplePos x="0" y="0"/>
                      <wp:positionH relativeFrom="column">
                        <wp:posOffset>1162050</wp:posOffset>
                      </wp:positionH>
                      <wp:positionV relativeFrom="paragraph">
                        <wp:posOffset>1180465</wp:posOffset>
                      </wp:positionV>
                      <wp:extent cx="804545" cy="320675"/>
                      <wp:effectExtent l="6350" t="6350" r="8255" b="149225"/>
                      <wp:wrapNone/>
                      <wp:docPr id="91" name="圆角矩形标注 91"/>
                      <wp:cNvGraphicFramePr/>
                      <a:graphic xmlns:a="http://schemas.openxmlformats.org/drawingml/2006/main">
                        <a:graphicData uri="http://schemas.microsoft.com/office/word/2010/wordprocessingShape">
                          <wps:wsp>
                            <wps:cNvSpPr/>
                            <wps:spPr>
                              <a:xfrm>
                                <a:off x="3416300" y="3543300"/>
                                <a:ext cx="804545" cy="320675"/>
                              </a:xfrm>
                              <a:prstGeom prst="wedgeRoundRectCallout">
                                <a:avLst>
                                  <a:gd name="adj1" fmla="val 40607"/>
                                  <a:gd name="adj2" fmla="val 92178"/>
                                  <a:gd name="adj3" fmla="val 16667"/>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4117A1DC">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91.5pt;margin-top:92.95pt;height:25.25pt;width:63.35pt;z-index:251702272;v-text-anchor:middle;mso-width-relative:page;mso-height-relative:page;" fillcolor="#FFFFFF [3212]" filled="t" stroked="t" coordsize="21600,21600" o:gfxdata="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" adj="19571,30710,14400">
                      <v:fill on="t" focussize="0,0"/>
                      <v:stroke weight="1pt" color="#2F5597 [2404]" miterlimit="8" joinstyle="miter"/>
                      <v:imagedata o:title=""/>
                      <o:lock v:ext="edit" aspectratio="f"/>
                      <v:textbox>
                        <w:txbxContent>
                          <w:p w14:paraId="4117A1DC">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3296" behindDoc="0" locked="0" layoutInCell="1" allowOverlap="1">
                      <wp:simplePos x="0" y="0"/>
                      <wp:positionH relativeFrom="column">
                        <wp:posOffset>1859280</wp:posOffset>
                      </wp:positionH>
                      <wp:positionV relativeFrom="paragraph">
                        <wp:posOffset>1578610</wp:posOffset>
                      </wp:positionV>
                      <wp:extent cx="130175" cy="129540"/>
                      <wp:effectExtent l="19050" t="21590" r="22225" b="20320"/>
                      <wp:wrapNone/>
                      <wp:docPr id="92" name="五角星 92"/>
                      <wp:cNvGraphicFramePr/>
                      <a:graphic xmlns:a="http://schemas.openxmlformats.org/drawingml/2006/main">
                        <a:graphicData uri="http://schemas.microsoft.com/office/word/2010/wordprocessingShape">
                          <wps:wsp>
                            <wps:cNvSpPr/>
                            <wps:spPr>
                              <a:xfrm>
                                <a:off x="4069715" y="3881120"/>
                                <a:ext cx="130175" cy="12954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46.4pt;margin-top:124.3pt;height:10.2pt;width:10.25pt;z-index:251703296;v-text-anchor:middle;mso-width-relative:page;mso-height-relative:page;" fillcolor="#FF0000" filled="t" stroked="t" coordsize="130175,129540" o:gfxdata="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mc+Qv2AAAAAsBAAAPAAAAAAAAAAEA&#10;IAAAACIAAABkcnMvZG93bnJldi54bWxQSwECFAAUAAAACACHTuJA9fpko4ECAAAFBQAADgAAAAAA&#10;AAABACAAAAAnAQAAZHJzL2Uyb0RvYy54bWxQSwUGAAAAAAYABgBZAQAAGgYAAAAA&#10;" path="m0,49479l49722,49480,65087,0,80452,49480,130174,49479,89948,80059,105313,129539,65087,98959,24861,129539,40226,80059xe">
                      <v:path o:connectlocs="65087,0;0,49479;24861,129539;105313,129539;130174,49479" o:connectangles="247,164,82,82,0"/>
                      <v:fill on="t" focussize="0,0"/>
                      <v:stroke weight="1pt" color="#FF0000 [2404]" miterlimit="8" joinstyle="miter"/>
                      <v:imagedata o:title=""/>
                      <o:lock v:ext="edit" aspectratio="f"/>
                    </v:shape>
                  </w:pict>
                </mc:Fallback>
              </mc:AlternateContent>
            </w:r>
          </w:p>
          <w:p w14:paraId="7F7580F2">
            <w:pPr>
              <w:widowControl/>
              <w:adjustRightInd w:val="0"/>
              <w:snapToGrid w:val="0"/>
              <w:spacing w:line="360" w:lineRule="auto"/>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图1-1  本项目与生态保护红线位置关系图</w:t>
            </w:r>
          </w:p>
          <w:p w14:paraId="3F347B65">
            <w:pPr>
              <w:widowControl/>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（2）环境质量底线</w:t>
            </w:r>
          </w:p>
          <w:p w14:paraId="6A2A8DD0">
            <w:pPr>
              <w:widowControl/>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①大气环境</w:t>
            </w:r>
          </w:p>
          <w:p w14:paraId="466C33AE">
            <w:pPr>
              <w:widowControl/>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根据黑龙江省生态环境监测中心202</w:t>
            </w:r>
            <w:r>
              <w:rPr>
                <w:rFonts w:hint="default" w:ascii="Times New Roman" w:hAnsi="Times New Roman" w:cs="Times New Roman"/>
                <w:color w:val="auto"/>
                <w:kern w:val="0"/>
                <w:sz w:val="24"/>
                <w:szCs w:val="24"/>
                <w:highlight w:val="none"/>
                <w:lang w:val="en-US" w:eastAsia="zh-CN" w:bidi="ar-SA"/>
              </w:rPr>
              <w:t>5</w:t>
            </w:r>
            <w:r>
              <w:rPr>
                <w:rFonts w:hint="default" w:ascii="Times New Roman" w:hAnsi="Times New Roman" w:eastAsia="宋体" w:cs="Times New Roman"/>
                <w:color w:val="auto"/>
                <w:kern w:val="0"/>
                <w:sz w:val="24"/>
                <w:szCs w:val="24"/>
                <w:highlight w:val="none"/>
                <w:lang w:val="en-US" w:eastAsia="zh-CN" w:bidi="ar-SA"/>
              </w:rPr>
              <w:t>年1月公布的《202</w:t>
            </w:r>
            <w:r>
              <w:rPr>
                <w:rFonts w:hint="default" w:ascii="Times New Roman" w:hAnsi="Times New Roman" w:cs="Times New Roman"/>
                <w:color w:val="auto"/>
                <w:kern w:val="0"/>
                <w:sz w:val="24"/>
                <w:szCs w:val="24"/>
                <w:highlight w:val="none"/>
                <w:lang w:val="en-US" w:eastAsia="zh-CN" w:bidi="ar-SA"/>
              </w:rPr>
              <w:t>4</w:t>
            </w:r>
            <w:r>
              <w:rPr>
                <w:rFonts w:hint="default" w:ascii="Times New Roman" w:hAnsi="Times New Roman" w:eastAsia="宋体" w:cs="Times New Roman"/>
                <w:color w:val="auto"/>
                <w:kern w:val="0"/>
                <w:sz w:val="24"/>
                <w:szCs w:val="24"/>
                <w:highlight w:val="none"/>
                <w:lang w:val="en-US" w:eastAsia="zh-CN" w:bidi="ar-SA"/>
              </w:rPr>
              <w:t>年黑龙江省生态环境质量状况》数据，鸡西市202</w:t>
            </w:r>
            <w:r>
              <w:rPr>
                <w:rFonts w:hint="default" w:ascii="Times New Roman" w:hAnsi="Times New Roman" w:cs="Times New Roman"/>
                <w:color w:val="auto"/>
                <w:kern w:val="0"/>
                <w:sz w:val="24"/>
                <w:szCs w:val="24"/>
                <w:highlight w:val="none"/>
                <w:lang w:val="en-US" w:eastAsia="zh-CN" w:bidi="ar-SA"/>
              </w:rPr>
              <w:t>4</w:t>
            </w:r>
            <w:r>
              <w:rPr>
                <w:rFonts w:hint="default" w:ascii="Times New Roman" w:hAnsi="Times New Roman" w:eastAsia="宋体" w:cs="Times New Roman"/>
                <w:color w:val="auto"/>
                <w:kern w:val="0"/>
                <w:sz w:val="24"/>
                <w:szCs w:val="24"/>
                <w:highlight w:val="none"/>
                <w:lang w:val="en-US" w:eastAsia="zh-CN" w:bidi="ar-SA"/>
              </w:rPr>
              <w:t>年空气质量级别达到二级标准，达标天数为3</w:t>
            </w:r>
            <w:r>
              <w:rPr>
                <w:rFonts w:hint="default" w:ascii="Times New Roman" w:hAnsi="Times New Roman" w:cs="Times New Roman"/>
                <w:color w:val="auto"/>
                <w:kern w:val="0"/>
                <w:sz w:val="24"/>
                <w:szCs w:val="24"/>
                <w:highlight w:val="none"/>
                <w:lang w:val="en-US" w:eastAsia="zh-CN" w:bidi="ar-SA"/>
              </w:rPr>
              <w:t>48</w:t>
            </w:r>
            <w:r>
              <w:rPr>
                <w:rFonts w:hint="default" w:ascii="Times New Roman" w:hAnsi="Times New Roman" w:eastAsia="宋体" w:cs="Times New Roman"/>
                <w:color w:val="auto"/>
                <w:kern w:val="0"/>
                <w:sz w:val="24"/>
                <w:szCs w:val="24"/>
                <w:highlight w:val="none"/>
                <w:lang w:val="en-US" w:eastAsia="zh-CN" w:bidi="ar-SA"/>
              </w:rPr>
              <w:t>天（9</w:t>
            </w:r>
            <w:r>
              <w:rPr>
                <w:rFonts w:hint="default" w:ascii="Times New Roman" w:hAnsi="Times New Roman" w:cs="Times New Roman"/>
                <w:color w:val="auto"/>
                <w:kern w:val="0"/>
                <w:sz w:val="24"/>
                <w:szCs w:val="24"/>
                <w:highlight w:val="none"/>
                <w:lang w:val="en-US" w:eastAsia="zh-CN" w:bidi="ar-SA"/>
              </w:rPr>
              <w:t>5.1</w:t>
            </w:r>
            <w:r>
              <w:rPr>
                <w:rFonts w:hint="default" w:ascii="Times New Roman" w:hAnsi="Times New Roman" w:eastAsia="宋体" w:cs="Times New Roman"/>
                <w:color w:val="auto"/>
                <w:kern w:val="0"/>
                <w:sz w:val="24"/>
                <w:szCs w:val="24"/>
                <w:highlight w:val="none"/>
                <w:lang w:val="en-US" w:eastAsia="zh-CN" w:bidi="ar-SA"/>
              </w:rPr>
              <w:t>%）。PM</w:t>
            </w:r>
            <w:r>
              <w:rPr>
                <w:rFonts w:hint="default" w:ascii="Times New Roman" w:hAnsi="Times New Roman" w:eastAsia="宋体" w:cs="Times New Roman"/>
                <w:color w:val="auto"/>
                <w:kern w:val="0"/>
                <w:sz w:val="24"/>
                <w:szCs w:val="24"/>
                <w:highlight w:val="none"/>
                <w:vertAlign w:val="subscript"/>
                <w:lang w:val="en-US" w:eastAsia="zh-CN" w:bidi="ar-SA"/>
              </w:rPr>
              <w:t>2.5</w:t>
            </w:r>
            <w:r>
              <w:rPr>
                <w:rFonts w:hint="default" w:ascii="Times New Roman" w:hAnsi="Times New Roman" w:eastAsia="宋体" w:cs="Times New Roman"/>
                <w:color w:val="auto"/>
                <w:kern w:val="0"/>
                <w:sz w:val="24"/>
                <w:szCs w:val="24"/>
                <w:highlight w:val="none"/>
                <w:lang w:val="en-US" w:eastAsia="zh-CN" w:bidi="ar-SA"/>
              </w:rPr>
              <w:t>、PM</w:t>
            </w:r>
            <w:r>
              <w:rPr>
                <w:rFonts w:hint="default" w:ascii="Times New Roman" w:hAnsi="Times New Roman" w:eastAsia="宋体" w:cs="Times New Roman"/>
                <w:color w:val="auto"/>
                <w:kern w:val="0"/>
                <w:sz w:val="24"/>
                <w:szCs w:val="24"/>
                <w:highlight w:val="none"/>
                <w:vertAlign w:val="subscript"/>
                <w:lang w:val="en-US" w:eastAsia="zh-CN" w:bidi="ar-SA"/>
              </w:rPr>
              <w:t>10</w:t>
            </w:r>
            <w:r>
              <w:rPr>
                <w:rFonts w:hint="default" w:ascii="Times New Roman" w:hAnsi="Times New Roman" w:eastAsia="宋体" w:cs="Times New Roman"/>
                <w:color w:val="auto"/>
                <w:kern w:val="0"/>
                <w:sz w:val="24"/>
                <w:szCs w:val="24"/>
                <w:highlight w:val="none"/>
                <w:lang w:val="en-US" w:eastAsia="zh-CN" w:bidi="ar-SA"/>
              </w:rPr>
              <w:t>、SO</w:t>
            </w:r>
            <w:r>
              <w:rPr>
                <w:rFonts w:hint="default" w:ascii="Times New Roman" w:hAnsi="Times New Roman" w:eastAsia="宋体" w:cs="Times New Roman"/>
                <w:color w:val="auto"/>
                <w:kern w:val="0"/>
                <w:sz w:val="24"/>
                <w:szCs w:val="24"/>
                <w:highlight w:val="none"/>
                <w:vertAlign w:val="sub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、NO</w:t>
            </w:r>
            <w:r>
              <w:rPr>
                <w:rFonts w:hint="default" w:ascii="Times New Roman" w:hAnsi="Times New Roman" w:eastAsia="宋体" w:cs="Times New Roman"/>
                <w:color w:val="auto"/>
                <w:kern w:val="0"/>
                <w:sz w:val="24"/>
                <w:szCs w:val="24"/>
                <w:highlight w:val="none"/>
                <w:vertAlign w:val="sub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、CO-95per、O</w:t>
            </w:r>
            <w:r>
              <w:rPr>
                <w:rFonts w:hint="default" w:ascii="Times New Roman" w:hAnsi="Times New Roman" w:eastAsia="宋体" w:cs="Times New Roman"/>
                <w:color w:val="auto"/>
                <w:kern w:val="0"/>
                <w:sz w:val="24"/>
                <w:szCs w:val="24"/>
                <w:highlight w:val="none"/>
                <w:vertAlign w:val="sub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-8h-90per年均浓度分别为</w:t>
            </w:r>
            <w:r>
              <w:rPr>
                <w:rFonts w:hint="default" w:ascii="Times New Roman" w:hAnsi="Times New Roman" w:cs="Times New Roman"/>
                <w:color w:val="auto"/>
                <w:kern w:val="0"/>
                <w:sz w:val="24"/>
                <w:szCs w:val="24"/>
                <w:highlight w:val="none"/>
                <w:lang w:val="en-US" w:eastAsia="zh-CN" w:bidi="ar-SA"/>
              </w:rPr>
              <w:t>27μg</w:t>
            </w:r>
            <w:r>
              <w:rPr>
                <w:rFonts w:hint="default" w:ascii="Times New Roman" w:hAnsi="Times New Roman" w:eastAsia="宋体" w:cs="Times New Roman"/>
                <w:color w:val="auto"/>
                <w:kern w:val="0"/>
                <w:sz w:val="24"/>
                <w:szCs w:val="24"/>
                <w:highlight w:val="none"/>
                <w:lang w:val="en-US" w:eastAsia="zh-CN" w:bidi="ar-SA"/>
              </w:rPr>
              <w:t>/m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、46μg/m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、8μg/m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w:t>
            </w:r>
            <w:r>
              <w:rPr>
                <w:rFonts w:hint="default" w:ascii="Times New Roman" w:hAnsi="Times New Roman" w:cs="Times New Roman"/>
                <w:color w:val="auto"/>
                <w:kern w:val="0"/>
                <w:sz w:val="24"/>
                <w:szCs w:val="24"/>
                <w:highlight w:val="none"/>
                <w:lang w:val="en-US" w:eastAsia="zh-CN" w:bidi="ar-SA"/>
              </w:rPr>
              <w:t>17</w:t>
            </w:r>
            <w:r>
              <w:rPr>
                <w:rFonts w:hint="default" w:ascii="Times New Roman" w:hAnsi="Times New Roman" w:eastAsia="宋体" w:cs="Times New Roman"/>
                <w:color w:val="auto"/>
                <w:kern w:val="0"/>
                <w:sz w:val="24"/>
                <w:szCs w:val="24"/>
                <w:highlight w:val="none"/>
                <w:lang w:val="en-US" w:eastAsia="zh-CN" w:bidi="ar-SA"/>
              </w:rPr>
              <w:t>μg/m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w:t>
            </w:r>
            <w:r>
              <w:rPr>
                <w:rFonts w:hint="default" w:ascii="Times New Roman" w:hAnsi="Times New Roman" w:cs="Times New Roman"/>
                <w:color w:val="auto"/>
                <w:kern w:val="0"/>
                <w:sz w:val="24"/>
                <w:szCs w:val="24"/>
                <w:highlight w:val="none"/>
                <w:lang w:val="en-US" w:eastAsia="zh-CN" w:bidi="ar-SA"/>
              </w:rPr>
              <w:t>1.0</w:t>
            </w:r>
            <w:r>
              <w:rPr>
                <w:rFonts w:hint="default" w:ascii="Times New Roman" w:hAnsi="Times New Roman" w:eastAsia="宋体" w:cs="Times New Roman"/>
                <w:color w:val="auto"/>
                <w:kern w:val="0"/>
                <w:sz w:val="24"/>
                <w:szCs w:val="24"/>
                <w:highlight w:val="none"/>
                <w:lang w:val="en-US" w:eastAsia="zh-CN" w:bidi="ar-SA"/>
              </w:rPr>
              <w:t>mg/m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、9</w:t>
            </w:r>
            <w:r>
              <w:rPr>
                <w:rFonts w:hint="default" w:ascii="Times New Roman" w:hAnsi="Times New Roman" w:cs="Times New Roman"/>
                <w:color w:val="auto"/>
                <w:kern w:val="0"/>
                <w:sz w:val="24"/>
                <w:szCs w:val="24"/>
                <w:highlight w:val="none"/>
                <w:lang w:val="en-US" w:eastAsia="zh-CN" w:bidi="ar-SA"/>
              </w:rPr>
              <w:t>0</w:t>
            </w:r>
            <w:r>
              <w:rPr>
                <w:rFonts w:hint="default" w:ascii="Times New Roman" w:hAnsi="Times New Roman" w:eastAsia="宋体" w:cs="Times New Roman"/>
                <w:color w:val="auto"/>
                <w:kern w:val="0"/>
                <w:sz w:val="24"/>
                <w:szCs w:val="24"/>
                <w:highlight w:val="none"/>
                <w:lang w:val="en-US" w:eastAsia="zh-CN" w:bidi="ar-SA"/>
              </w:rPr>
              <w:t>μg/m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；各污染物平均浓度均优于《环境空气质量标准》（GB3095-2012）中二级标准限值，区域属于环境空气质量达标区。</w:t>
            </w:r>
          </w:p>
          <w:p w14:paraId="54237F75">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运行期间产生废气主要为原料运输及原料堆场装卸粉尘、原料堆场粉尘、冷料上料输送废气、骨料加热烘干废气、导热油炉烟气、沥青烟搅拌废气。原料运输及原料堆场装卸粉尘采用汽车运输，运输车辆全部采用苫布覆盖；矿粉由厂家直接运送至厂区矿粉罐内，原料采用封闭式罐车运入厂区，原料采用汽车运输，运输车辆全部采用苫布覆盖。原料堆场粉尘，安装喷淋装置。冷料通过铲车、封闭皮带输送至封闭式沥青混凝土拌合站。骨料烘干运行过程中处于密闭状态，骨料烘干废气、骨料燃烧器燃烧废气经低氮燃烧+旋风+布袋除尘器处理后排放。沥青搅拌废气通过电捕焦油器+活性炭吸附装置处理后排放。导热油炉废气经低氮燃烧后烟气高空排放；矿粉仓经布袋除尘处理后排放。采取措施后厂区内污染物排放量小，对环境影响较小，满足“环境质量底线”管理的要求。</w:t>
            </w:r>
          </w:p>
          <w:p w14:paraId="610E9EE0">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②水环境</w:t>
            </w:r>
          </w:p>
          <w:p w14:paraId="612BDE67">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全国重要江河湖泊水功能区划（2011-2030年）》，本项目所在区域属于凯北站至东仁义屯断面，本项目所在穆棱河水质目标为Ⅲ类，根据鸡西市人民政府网站发布的2024年地表水国控考核断面水质信息公开，穆棱河水质状况良好，满足《地表水环境质量标准》（GB3838-2002）中Ⅲ类水质标准。</w:t>
            </w:r>
          </w:p>
          <w:p w14:paraId="0C7A5102">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乳化沥青用水进入产品不外排；生活污水排入防渗旱厕，定期清掏外运堆肥，不外排；喷淋用水全部自然蒸发；冲洗废水沉淀后回用，不外排。不会对地表水和地下水环境造成影响，因此不会对区域水环境造成影响，因此符合黑龙江省水环境质量底线要求。</w:t>
            </w:r>
          </w:p>
          <w:p w14:paraId="2581C5AC">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③声环境</w:t>
            </w:r>
          </w:p>
          <w:p w14:paraId="65EDD50C">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本</w:t>
            </w:r>
            <w:r>
              <w:rPr>
                <w:rFonts w:hint="default" w:ascii="Times New Roman" w:hAnsi="Times New Roman" w:cs="Times New Roman"/>
                <w:color w:val="auto"/>
                <w:sz w:val="24"/>
                <w:highlight w:val="none"/>
                <w:lang w:val="en-US" w:eastAsia="zh-CN"/>
              </w:rPr>
              <w:t>项目</w:t>
            </w:r>
            <w:r>
              <w:rPr>
                <w:rFonts w:hint="default" w:ascii="Times New Roman" w:hAnsi="Times New Roman" w:cs="Times New Roman"/>
                <w:color w:val="auto"/>
                <w:sz w:val="24"/>
                <w:highlight w:val="none"/>
              </w:rPr>
              <w:t>厂界噪声</w:t>
            </w:r>
            <w:r>
              <w:rPr>
                <w:rFonts w:hint="default" w:ascii="Times New Roman" w:hAnsi="Times New Roman" w:cs="Times New Roman"/>
                <w:color w:val="auto"/>
                <w:sz w:val="24"/>
                <w:highlight w:val="none"/>
                <w:lang w:val="en-US" w:eastAsia="zh-CN"/>
              </w:rPr>
              <w:t>执行</w:t>
            </w:r>
            <w:r>
              <w:rPr>
                <w:rFonts w:hint="default" w:ascii="Times New Roman" w:hAnsi="Times New Roman" w:cs="Times New Roman"/>
                <w:color w:val="auto"/>
                <w:sz w:val="24"/>
                <w:highlight w:val="none"/>
              </w:rPr>
              <w:t>《工业企业厂界环境噪声排放标准》（GB12348-2008）中2类标准要求</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本项目</w:t>
            </w:r>
            <w:r>
              <w:rPr>
                <w:rFonts w:hint="default" w:ascii="Times New Roman" w:hAnsi="Times New Roman" w:cs="Times New Roman"/>
                <w:color w:val="auto"/>
                <w:sz w:val="24"/>
                <w:highlight w:val="none"/>
              </w:rPr>
              <w:t>选用低噪声设备，经减振、消声、隔声处理等降噪措施后，运营时厂界噪声均</w:t>
            </w:r>
            <w:r>
              <w:rPr>
                <w:rFonts w:hint="default" w:ascii="Times New Roman" w:hAnsi="Times New Roman" w:cs="Times New Roman"/>
                <w:color w:val="auto"/>
                <w:sz w:val="24"/>
                <w:highlight w:val="none"/>
                <w:lang w:val="en-US" w:eastAsia="zh-CN"/>
              </w:rPr>
              <w:t>可</w:t>
            </w:r>
            <w:r>
              <w:rPr>
                <w:rFonts w:hint="default" w:ascii="Times New Roman" w:hAnsi="Times New Roman" w:cs="Times New Roman"/>
                <w:color w:val="auto"/>
                <w:sz w:val="24"/>
                <w:highlight w:val="none"/>
              </w:rPr>
              <w:t>满足《工业企业厂界环境噪声排放标准》（GB12348-2008）表2中的2类标准。因此，在采取相应措施后，本项目的建设对周围声环境产生影响较小</w:t>
            </w:r>
            <w:r>
              <w:rPr>
                <w:rFonts w:hint="default" w:ascii="Times New Roman" w:hAnsi="Times New Roman" w:cs="Times New Roman"/>
                <w:color w:val="auto"/>
                <w:sz w:val="24"/>
                <w:highlight w:val="none"/>
                <w:lang w:eastAsia="zh-CN"/>
              </w:rPr>
              <w:t>。</w:t>
            </w:r>
          </w:p>
          <w:p w14:paraId="15B78324">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（3）资源利用上线</w:t>
            </w:r>
          </w:p>
          <w:p w14:paraId="4084EFC3">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用水由厂区原有水井提供。本项目不属于高水耗，高能耗行业；本项目不占用基本农田和黑土地，结合用地现状，项目运营期为5月下旬-10月下旬，约150天，无需供暖，生产用热采用柴油为原料，不消耗煤炭能源。综上，本项目符合黑龙江省能源、水资源、土地资源等资源利用上线要求。</w:t>
            </w:r>
          </w:p>
          <w:p w14:paraId="7BB8459C">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（4）生态环境准入清单</w:t>
            </w:r>
          </w:p>
          <w:p w14:paraId="69A6DE97">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kern w:val="2"/>
                <w:sz w:val="24"/>
                <w:szCs w:val="28"/>
                <w:highlight w:val="none"/>
                <w:u w:val="none"/>
                <w:lang w:val="en-US" w:eastAsia="zh-CN" w:bidi="ar-SA"/>
              </w:rPr>
            </w:pPr>
            <w:r>
              <w:rPr>
                <w:rFonts w:hint="default" w:ascii="Times New Roman" w:hAnsi="Times New Roman" w:cs="Times New Roman"/>
                <w:color w:val="auto"/>
                <w:sz w:val="24"/>
                <w:highlight w:val="none"/>
                <w:lang w:val="en-US" w:eastAsia="zh-CN"/>
              </w:rPr>
              <w:t>本项目位于</w:t>
            </w:r>
            <w:r>
              <w:rPr>
                <w:rFonts w:hint="default" w:ascii="Times New Roman" w:hAnsi="Times New Roman" w:cs="Times New Roman"/>
                <w:color w:val="auto"/>
                <w:sz w:val="24"/>
                <w:highlight w:val="none"/>
                <w:lang w:eastAsia="zh-CN"/>
              </w:rPr>
              <w:t>黑龙江省鸡西市虎林市东诚镇东风村村委会西南350米</w:t>
            </w:r>
            <w:r>
              <w:rPr>
                <w:rFonts w:hint="default" w:ascii="Times New Roman" w:hAnsi="Times New Roman" w:cs="Times New Roman"/>
                <w:snapToGrid w:val="0"/>
                <w:color w:val="auto"/>
                <w:sz w:val="24"/>
                <w:highlight w:val="none"/>
              </w:rPr>
              <w:t>，</w:t>
            </w:r>
            <w:r>
              <w:rPr>
                <w:rFonts w:hint="default" w:ascii="Times New Roman" w:hAnsi="Times New Roman" w:cs="Times New Roman"/>
                <w:color w:val="auto"/>
                <w:sz w:val="24"/>
                <w:highlight w:val="none"/>
              </w:rPr>
              <w:t>根据黑龙江省生态环境分区管控数据应用平台查询成果《</w:t>
            </w:r>
            <w:r>
              <w:rPr>
                <w:rFonts w:hint="default" w:ascii="Times New Roman" w:hAnsi="Times New Roman" w:cs="Times New Roman"/>
                <w:color w:val="auto"/>
                <w:sz w:val="24"/>
                <w:highlight w:val="none"/>
                <w:lang w:eastAsia="zh-CN"/>
              </w:rPr>
              <w:t>虎林市迎胜沥青混凝土搅拌有限公司</w:t>
            </w:r>
            <w:r>
              <w:rPr>
                <w:rFonts w:hint="default" w:ascii="Times New Roman" w:hAnsi="Times New Roman" w:cs="Times New Roman"/>
                <w:color w:val="auto"/>
                <w:sz w:val="24"/>
                <w:highlight w:val="none"/>
              </w:rPr>
              <w:t>沥青混凝土搅拌站建设项目生态环境分区管控分析报告》（见附件</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），《关于发布2023年生态环境分区管控动态更新成果的通知》（黑环发〔2024〕1号）、《鸡西市生态环境准入清单（2023年版）》以及参照查询黑龙江省生态环境分区管控数据应用平台可知：本项目</w:t>
            </w:r>
            <w:r>
              <w:rPr>
                <w:rFonts w:hint="default" w:ascii="Times New Roman" w:hAnsi="Times New Roman" w:cs="Times New Roman"/>
                <w:color w:val="auto"/>
                <w:sz w:val="24"/>
                <w:highlight w:val="none"/>
                <w:lang w:val="en-US" w:eastAsia="zh-CN"/>
              </w:rPr>
              <w:t>位于</w:t>
            </w:r>
            <w:r>
              <w:rPr>
                <w:rFonts w:hint="default" w:ascii="Times New Roman" w:hAnsi="Times New Roman" w:cs="Times New Roman"/>
                <w:color w:val="auto"/>
                <w:sz w:val="24"/>
                <w:highlight w:val="none"/>
              </w:rPr>
              <w:t>虎林市水环境农业污染重点管控区重点管控单元（ZH23038120003）</w:t>
            </w:r>
            <w:r>
              <w:rPr>
                <w:rFonts w:hint="default" w:ascii="Times New Roman" w:hAnsi="Times New Roman" w:eastAsia="宋体" w:cs="Times New Roman"/>
                <w:color w:val="auto"/>
                <w:kern w:val="2"/>
                <w:sz w:val="24"/>
                <w:szCs w:val="28"/>
                <w:highlight w:val="none"/>
                <w:u w:val="none"/>
                <w:lang w:val="en-US" w:eastAsia="zh-CN" w:bidi="ar-SA"/>
              </w:rPr>
              <w:t>，平台报告见附件，符合性分析详见下表</w:t>
            </w:r>
            <w:r>
              <w:rPr>
                <w:rFonts w:hint="default" w:ascii="Times New Roman" w:hAnsi="Times New Roman" w:cs="Times New Roman"/>
                <w:color w:val="auto"/>
                <w:kern w:val="2"/>
                <w:sz w:val="24"/>
                <w:szCs w:val="28"/>
                <w:highlight w:val="none"/>
                <w:u w:val="none"/>
                <w:lang w:val="en-US" w:eastAsia="zh-CN" w:bidi="ar-SA"/>
              </w:rPr>
              <w:t>。</w:t>
            </w:r>
          </w:p>
          <w:p w14:paraId="6A0AD1CB">
            <w:pPr>
              <w:pStyle w:val="156"/>
              <w:spacing w:line="240" w:lineRule="auto"/>
              <w:ind w:firstLine="422"/>
              <w:jc w:val="center"/>
              <w:rPr>
                <w:rFonts w:hint="default" w:ascii="Times New Roman" w:hAnsi="Times New Roman" w:cs="Times New Roman"/>
                <w:color w:val="auto"/>
                <w:sz w:val="21"/>
                <w:highlight w:val="none"/>
              </w:rPr>
            </w:pPr>
            <w:r>
              <w:rPr>
                <w:rFonts w:hint="default" w:ascii="Times New Roman" w:hAnsi="Times New Roman" w:cs="Times New Roman"/>
                <w:b/>
                <w:bCs/>
                <w:color w:val="auto"/>
                <w:sz w:val="21"/>
                <w:highlight w:val="none"/>
              </w:rPr>
              <w:t>表1-</w:t>
            </w:r>
            <w:r>
              <w:rPr>
                <w:rFonts w:hint="default" w:ascii="Times New Roman" w:hAnsi="Times New Roman" w:cs="Times New Roman"/>
                <w:b/>
                <w:bCs/>
                <w:color w:val="auto"/>
                <w:sz w:val="21"/>
                <w:highlight w:val="none"/>
                <w:lang w:val="en-US" w:eastAsia="zh-CN"/>
              </w:rPr>
              <w:t>3</w:t>
            </w:r>
            <w:r>
              <w:rPr>
                <w:rFonts w:hint="default" w:ascii="Times New Roman" w:hAnsi="Times New Roman" w:cs="Times New Roman"/>
                <w:b/>
                <w:bCs/>
                <w:color w:val="auto"/>
                <w:sz w:val="21"/>
                <w:highlight w:val="none"/>
              </w:rPr>
              <w:t xml:space="preserve"> </w:t>
            </w:r>
            <w:r>
              <w:rPr>
                <w:rFonts w:hint="default" w:ascii="Times New Roman" w:hAnsi="Times New Roman" w:cs="Times New Roman"/>
                <w:b/>
                <w:bCs/>
                <w:color w:val="auto"/>
                <w:sz w:val="21"/>
                <w:highlight w:val="none"/>
                <w:lang w:val="en-US" w:eastAsia="zh-CN"/>
              </w:rPr>
              <w:t>鸡西</w:t>
            </w:r>
            <w:r>
              <w:rPr>
                <w:rFonts w:hint="default" w:ascii="Times New Roman" w:hAnsi="Times New Roman" w:cs="Times New Roman"/>
                <w:b/>
                <w:bCs/>
                <w:color w:val="auto"/>
                <w:sz w:val="21"/>
                <w:highlight w:val="none"/>
              </w:rPr>
              <w:t>市生态环境准入清单符合性分析</w:t>
            </w:r>
          </w:p>
          <w:tbl>
            <w:tblPr>
              <w:tblStyle w:val="3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938"/>
              <w:gridCol w:w="645"/>
              <w:gridCol w:w="3067"/>
              <w:gridCol w:w="947"/>
            </w:tblGrid>
            <w:tr w14:paraId="66624C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3" w:type="pct"/>
                  <w:tcBorders>
                    <w:tl2br w:val="nil"/>
                    <w:tr2bl w:val="nil"/>
                  </w:tcBorders>
                  <w:noWrap w:val="0"/>
                  <w:vAlign w:val="center"/>
                </w:tcPr>
                <w:p w14:paraId="0E0E76BF">
                  <w:pPr>
                    <w:pStyle w:val="61"/>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管控单元编码</w:t>
                  </w:r>
                </w:p>
              </w:tc>
              <w:tc>
                <w:tcPr>
                  <w:tcW w:w="689" w:type="pct"/>
                  <w:tcBorders>
                    <w:tl2br w:val="nil"/>
                    <w:tr2bl w:val="nil"/>
                  </w:tcBorders>
                  <w:noWrap w:val="0"/>
                  <w:vAlign w:val="center"/>
                </w:tcPr>
                <w:p w14:paraId="2C879DFC">
                  <w:pPr>
                    <w:pStyle w:val="61"/>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环境管控单元名称</w:t>
                  </w:r>
                </w:p>
              </w:tc>
              <w:tc>
                <w:tcPr>
                  <w:tcW w:w="474" w:type="pct"/>
                  <w:tcBorders>
                    <w:tl2br w:val="nil"/>
                    <w:tr2bl w:val="nil"/>
                  </w:tcBorders>
                  <w:noWrap w:val="0"/>
                  <w:vAlign w:val="center"/>
                </w:tcPr>
                <w:p w14:paraId="63375148">
                  <w:pPr>
                    <w:pStyle w:val="61"/>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管控单元类别</w:t>
                  </w:r>
                </w:p>
              </w:tc>
              <w:tc>
                <w:tcPr>
                  <w:tcW w:w="2255" w:type="pct"/>
                  <w:tcBorders>
                    <w:tl2br w:val="nil"/>
                    <w:tr2bl w:val="nil"/>
                  </w:tcBorders>
                  <w:noWrap w:val="0"/>
                  <w:vAlign w:val="center"/>
                </w:tcPr>
                <w:p w14:paraId="7E35C0C4">
                  <w:pPr>
                    <w:pStyle w:val="61"/>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管控要求</w:t>
                  </w:r>
                </w:p>
              </w:tc>
              <w:tc>
                <w:tcPr>
                  <w:tcW w:w="696" w:type="pct"/>
                  <w:tcBorders>
                    <w:tl2br w:val="nil"/>
                    <w:tr2bl w:val="nil"/>
                  </w:tcBorders>
                  <w:noWrap w:val="0"/>
                  <w:vAlign w:val="center"/>
                </w:tcPr>
                <w:p w14:paraId="211A352D">
                  <w:pPr>
                    <w:pStyle w:val="61"/>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本项目内容及符合性分析</w:t>
                  </w:r>
                </w:p>
              </w:tc>
            </w:tr>
            <w:tr w14:paraId="7AA8C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83" w:type="pct"/>
                  <w:tcBorders>
                    <w:tl2br w:val="nil"/>
                    <w:tr2bl w:val="nil"/>
                  </w:tcBorders>
                  <w:noWrap w:val="0"/>
                  <w:vAlign w:val="center"/>
                </w:tcPr>
                <w:p w14:paraId="2D0EA81E">
                  <w:pPr>
                    <w:pStyle w:val="61"/>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rPr>
                  </w:pPr>
                  <w:r>
                    <w:rPr>
                      <w:rFonts w:hint="default" w:ascii="Times New Roman" w:hAnsi="Times New Roman" w:eastAsia="宋体" w:cs="Times New Roman"/>
                      <w:b w:val="0"/>
                      <w:bCs/>
                      <w:color w:val="auto"/>
                      <w:kern w:val="2"/>
                      <w:sz w:val="21"/>
                      <w:szCs w:val="21"/>
                      <w:highlight w:val="none"/>
                      <w:lang w:val="en-US" w:eastAsia="zh-CN"/>
                    </w:rPr>
                    <w:t>ZH23038120003</w:t>
                  </w:r>
                </w:p>
              </w:tc>
              <w:tc>
                <w:tcPr>
                  <w:tcW w:w="689" w:type="pct"/>
                  <w:tcBorders>
                    <w:tl2br w:val="nil"/>
                    <w:tr2bl w:val="nil"/>
                  </w:tcBorders>
                  <w:noWrap w:val="0"/>
                  <w:vAlign w:val="center"/>
                </w:tcPr>
                <w:p w14:paraId="32C91DDE">
                  <w:pPr>
                    <w:pStyle w:val="61"/>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highlight w:val="none"/>
                      <w:lang w:val="en-US"/>
                    </w:rPr>
                  </w:pPr>
                  <w:r>
                    <w:rPr>
                      <w:rFonts w:hint="default" w:ascii="Times New Roman" w:hAnsi="Times New Roman" w:eastAsia="宋体" w:cs="Times New Roman"/>
                      <w:b w:val="0"/>
                      <w:bCs/>
                      <w:color w:val="auto"/>
                      <w:kern w:val="2"/>
                      <w:sz w:val="21"/>
                      <w:szCs w:val="21"/>
                      <w:highlight w:val="none"/>
                      <w:lang w:val="en-US"/>
                    </w:rPr>
                    <w:t>虎林市水环境农业污染重点管控区</w:t>
                  </w:r>
                </w:p>
              </w:tc>
              <w:tc>
                <w:tcPr>
                  <w:tcW w:w="474" w:type="pct"/>
                  <w:tcBorders>
                    <w:tl2br w:val="nil"/>
                    <w:tr2bl w:val="nil"/>
                  </w:tcBorders>
                  <w:noWrap w:val="0"/>
                  <w:vAlign w:val="center"/>
                </w:tcPr>
                <w:p w14:paraId="7702AF47">
                  <w:pPr>
                    <w:pStyle w:val="61"/>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rPr>
                  </w:pPr>
                  <w:r>
                    <w:rPr>
                      <w:rFonts w:hint="default" w:ascii="Times New Roman" w:hAnsi="Times New Roman" w:eastAsia="宋体" w:cs="Times New Roman"/>
                      <w:b w:val="0"/>
                      <w:bCs/>
                      <w:color w:val="auto"/>
                      <w:kern w:val="2"/>
                      <w:sz w:val="21"/>
                      <w:szCs w:val="21"/>
                      <w:highlight w:val="none"/>
                      <w:lang w:val="en-US" w:eastAsia="zh-CN"/>
                    </w:rPr>
                    <w:t>重点管控单元</w:t>
                  </w:r>
                </w:p>
              </w:tc>
              <w:tc>
                <w:tcPr>
                  <w:tcW w:w="2255" w:type="pct"/>
                  <w:tcBorders>
                    <w:tl2br w:val="nil"/>
                    <w:tr2bl w:val="nil"/>
                  </w:tcBorders>
                  <w:noWrap w:val="0"/>
                  <w:vAlign w:val="center"/>
                </w:tcPr>
                <w:p w14:paraId="65471742">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b/>
                      <w:bCs/>
                      <w:color w:val="auto"/>
                      <w:kern w:val="0"/>
                      <w:sz w:val="21"/>
                      <w:szCs w:val="21"/>
                      <w:highlight w:val="none"/>
                      <w:lang w:val="en-US" w:eastAsia="zh-CN" w:bidi="ar"/>
                    </w:rPr>
                    <w:t xml:space="preserve">一、空间布局约束 </w:t>
                  </w:r>
                </w:p>
                <w:p w14:paraId="5F8EF772">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
                    </w:rPr>
                    <w:t xml:space="preserve">1.科学划定畜禽养殖禁养区。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w:t>
                  </w:r>
                </w:p>
                <w:p w14:paraId="5C441998">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b/>
                      <w:bCs/>
                      <w:color w:val="auto"/>
                      <w:kern w:val="0"/>
                      <w:sz w:val="21"/>
                      <w:szCs w:val="21"/>
                      <w:highlight w:val="none"/>
                      <w:lang w:val="en-US" w:eastAsia="zh-CN" w:bidi="ar"/>
                    </w:rPr>
                    <w:t xml:space="preserve">二、污染物排放管控 </w:t>
                  </w:r>
                </w:p>
                <w:p w14:paraId="131FB502">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
                    </w:rPr>
                    <w:t xml:space="preserve">1.支持规模化畜禽养殖场（小区）开展标准化改造和建设，提高畜禽粪污收集和处理机械化水平，实施雨污分流、粪污资源化利用，控制畜禽养殖污染排放。2.畜禽散养密集区所在 </w:t>
                  </w:r>
                </w:p>
                <w:p w14:paraId="7F08D7B1">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
                    </w:rPr>
                    <w:t xml:space="preserve">地县级人民政府应当组织对畜禽粪便、污水进行集中处理利用，督促乡镇人民政府建设或者配备污染防治配套设施。 3.全面加强农业面源污染防控，科学合理使用农业投入品，提高 </w:t>
                  </w:r>
                </w:p>
                <w:p w14:paraId="619F454F">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
                    </w:rPr>
                    <w:t xml:space="preserve">使用效率，减少农业内源性污染。 </w:t>
                  </w:r>
                </w:p>
                <w:p w14:paraId="3C19EC8D">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b/>
                      <w:bCs/>
                      <w:color w:val="auto"/>
                      <w:kern w:val="0"/>
                      <w:sz w:val="21"/>
                      <w:szCs w:val="21"/>
                      <w:highlight w:val="none"/>
                      <w:lang w:val="en-US" w:eastAsia="zh-CN" w:bidi="ar"/>
                    </w:rPr>
                    <w:t>三、环境风险防控</w:t>
                  </w:r>
                </w:p>
                <w:p w14:paraId="091B7090">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
                    </w:rPr>
                    <w:t xml:space="preserve">/ </w:t>
                  </w:r>
                </w:p>
                <w:p w14:paraId="47DD25D3">
                  <w:pPr>
                    <w:keepNext w:val="0"/>
                    <w:keepLines w:val="0"/>
                    <w:widowControl/>
                    <w:suppressLineNumbers w:val="0"/>
                    <w:jc w:val="left"/>
                    <w:rPr>
                      <w:rFonts w:hint="default" w:ascii="Times New Roman" w:hAnsi="Times New Roman" w:cs="Times New Roman"/>
                      <w:color w:val="auto"/>
                      <w:highlight w:val="none"/>
                    </w:rPr>
                  </w:pPr>
                  <w:r>
                    <w:rPr>
                      <w:rFonts w:hint="default" w:ascii="Times New Roman" w:hAnsi="Times New Roman" w:eastAsia="宋体" w:cs="Times New Roman"/>
                      <w:b/>
                      <w:bCs/>
                      <w:color w:val="auto"/>
                      <w:kern w:val="0"/>
                      <w:sz w:val="21"/>
                      <w:szCs w:val="21"/>
                      <w:highlight w:val="none"/>
                      <w:lang w:val="en-US" w:eastAsia="zh-CN" w:bidi="ar"/>
                    </w:rPr>
                    <w:t xml:space="preserve">四、资源开发效率要求 </w:t>
                  </w:r>
                </w:p>
                <w:p w14:paraId="239E4C93">
                  <w:pPr>
                    <w:keepNext w:val="0"/>
                    <w:keepLines w:val="0"/>
                    <w:widowControl/>
                    <w:suppressLineNumbers w:val="0"/>
                    <w:jc w:val="left"/>
                    <w:rPr>
                      <w:rFonts w:hint="default" w:ascii="Times New Roman" w:hAnsi="Times New Roman" w:eastAsia="宋体" w:cs="Times New Roman"/>
                      <w:b w:val="0"/>
                      <w:bCs/>
                      <w:color w:val="auto"/>
                      <w:kern w:val="2"/>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696" w:type="pct"/>
                  <w:tcBorders>
                    <w:tl2br w:val="nil"/>
                    <w:tr2bl w:val="nil"/>
                  </w:tcBorders>
                  <w:noWrap w:val="0"/>
                  <w:vAlign w:val="center"/>
                </w:tcPr>
                <w:p w14:paraId="62A7E13A">
                  <w:pPr>
                    <w:pStyle w:val="61"/>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本项目为混凝土搅拌站建设项目，不属于</w:t>
                  </w:r>
                  <w:r>
                    <w:rPr>
                      <w:rFonts w:hint="default" w:ascii="Times New Roman" w:hAnsi="Times New Roman" w:eastAsia="宋体" w:cs="Times New Roman"/>
                      <w:color w:val="auto"/>
                      <w:kern w:val="0"/>
                      <w:sz w:val="21"/>
                      <w:szCs w:val="21"/>
                      <w:highlight w:val="none"/>
                      <w:lang w:val="en-US" w:eastAsia="zh-CN" w:bidi="ar"/>
                    </w:rPr>
                    <w:t>畜禽养殖项目，本项目符合管控要求。</w:t>
                  </w:r>
                </w:p>
              </w:tc>
            </w:tr>
          </w:tbl>
          <w:p w14:paraId="690D1A2B">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2"/>
                <w:sz w:val="24"/>
                <w:szCs w:val="24"/>
                <w:highlight w:val="none"/>
                <w:lang w:val="en-US" w:eastAsia="zh-CN" w:bidi="ar-SA"/>
              </w:rPr>
              <w:t>综上，本项目建设符合“</w:t>
            </w:r>
            <w:r>
              <w:rPr>
                <w:rFonts w:hint="default" w:ascii="Times New Roman" w:hAnsi="Times New Roman" w:cs="Times New Roman"/>
                <w:color w:val="auto"/>
                <w:sz w:val="24"/>
                <w:highlight w:val="none"/>
              </w:rPr>
              <w:t>生态环境分区管控</w:t>
            </w:r>
            <w:r>
              <w:rPr>
                <w:rFonts w:hint="default" w:ascii="Times New Roman" w:hAnsi="Times New Roman" w:eastAsia="宋体" w:cs="Times New Roman"/>
                <w:color w:val="auto"/>
                <w:kern w:val="2"/>
                <w:sz w:val="24"/>
                <w:szCs w:val="24"/>
                <w:highlight w:val="none"/>
                <w:lang w:val="en-US" w:eastAsia="zh-CN" w:bidi="ar-SA"/>
              </w:rPr>
              <w:t>”要求</w:t>
            </w:r>
            <w:r>
              <w:rPr>
                <w:rFonts w:hint="default" w:ascii="Times New Roman" w:hAnsi="Times New Roman" w:cs="Times New Roman"/>
                <w:color w:val="auto"/>
                <w:sz w:val="24"/>
                <w:highlight w:val="none"/>
              </w:rPr>
              <w:t>。</w:t>
            </w:r>
          </w:p>
          <w:p w14:paraId="2BAFBA49">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三、选址合理性分析</w:t>
            </w:r>
          </w:p>
          <w:p w14:paraId="11E2775B">
            <w:pPr>
              <w:pStyle w:val="10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（1）选址合理性</w:t>
            </w:r>
          </w:p>
          <w:p w14:paraId="035A09B1">
            <w:pPr>
              <w:pStyle w:val="10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w:t>
            </w:r>
            <w:r>
              <w:rPr>
                <w:rFonts w:hint="default" w:ascii="Times New Roman" w:hAnsi="Times New Roman" w:cs="Times New Roman"/>
                <w:color w:val="auto"/>
                <w:highlight w:val="none"/>
                <w:lang w:eastAsia="zh-CN"/>
              </w:rPr>
              <w:t>黑龙江省鸡西市虎林市东诚镇东风村村委会西南350米</w:t>
            </w:r>
            <w:r>
              <w:rPr>
                <w:rFonts w:hint="default" w:ascii="Times New Roman" w:hAnsi="Times New Roman" w:cs="Times New Roman"/>
                <w:color w:val="auto"/>
                <w:kern w:val="0"/>
                <w:highlight w:val="none"/>
              </w:rPr>
              <w:t>，本项目</w:t>
            </w:r>
            <w:bookmarkStart w:id="7" w:name="_Hlk193464667"/>
            <w:r>
              <w:rPr>
                <w:rFonts w:hint="default" w:ascii="Times New Roman" w:hAnsi="Times New Roman" w:cs="Times New Roman"/>
                <w:color w:val="auto"/>
                <w:kern w:val="0"/>
                <w:highlight w:val="none"/>
              </w:rPr>
              <w:t>东侧为</w:t>
            </w:r>
            <w:r>
              <w:rPr>
                <w:rFonts w:hint="default" w:ascii="Times New Roman" w:hAnsi="Times New Roman" w:cs="Times New Roman"/>
                <w:color w:val="auto"/>
                <w:kern w:val="0"/>
                <w:highlight w:val="none"/>
                <w:lang w:val="en-US" w:eastAsia="zh-CN"/>
              </w:rPr>
              <w:t>村路</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南侧为</w:t>
            </w:r>
            <w:r>
              <w:rPr>
                <w:rFonts w:hint="default" w:ascii="Times New Roman" w:hAnsi="Times New Roman" w:cs="Times New Roman"/>
                <w:color w:val="auto"/>
                <w:kern w:val="0"/>
                <w:highlight w:val="none"/>
                <w:lang w:val="en-US" w:eastAsia="zh-CN"/>
              </w:rPr>
              <w:t>闲置厂房</w:t>
            </w:r>
            <w:r>
              <w:rPr>
                <w:rFonts w:hint="default" w:ascii="Times New Roman" w:hAnsi="Times New Roman" w:cs="Times New Roman"/>
                <w:color w:val="auto"/>
                <w:kern w:val="0"/>
                <w:highlight w:val="none"/>
              </w:rPr>
              <w:t>，西侧为</w:t>
            </w:r>
            <w:r>
              <w:rPr>
                <w:rFonts w:hint="default" w:ascii="Times New Roman" w:hAnsi="Times New Roman" w:cs="Times New Roman"/>
                <w:color w:val="auto"/>
                <w:kern w:val="0"/>
                <w:highlight w:val="none"/>
                <w:lang w:val="en-US" w:eastAsia="zh-CN"/>
              </w:rPr>
              <w:t>生物颗粒加工厂及林地</w:t>
            </w:r>
            <w:r>
              <w:rPr>
                <w:rFonts w:hint="default" w:ascii="Times New Roman" w:hAnsi="Times New Roman" w:cs="Times New Roman"/>
                <w:color w:val="auto"/>
                <w:kern w:val="0"/>
                <w:highlight w:val="none"/>
              </w:rPr>
              <w:t>，北侧为</w:t>
            </w:r>
            <w:bookmarkEnd w:id="7"/>
            <w:r>
              <w:rPr>
                <w:rFonts w:hint="default" w:ascii="Times New Roman" w:hAnsi="Times New Roman" w:cs="Times New Roman"/>
                <w:color w:val="auto"/>
                <w:kern w:val="0"/>
                <w:highlight w:val="none"/>
                <w:lang w:val="en-US" w:eastAsia="zh-CN"/>
              </w:rPr>
              <w:t>林地</w:t>
            </w:r>
            <w:r>
              <w:rPr>
                <w:rFonts w:hint="default" w:ascii="Times New Roman" w:hAnsi="Times New Roman" w:cs="Times New Roman"/>
                <w:color w:val="auto"/>
                <w:kern w:val="0"/>
                <w:highlight w:val="none"/>
              </w:rPr>
              <w:t>。本项目选址位置用地性质为工业用地（附件2），</w:t>
            </w:r>
            <w:r>
              <w:rPr>
                <w:rFonts w:hint="default" w:ascii="Times New Roman" w:hAnsi="Times New Roman" w:cs="Times New Roman"/>
                <w:color w:val="auto"/>
                <w:kern w:val="0"/>
                <w:highlight w:val="none"/>
                <w:lang w:val="en-US" w:eastAsia="zh-CN"/>
              </w:rPr>
              <w:t>本项目位于虎林市东诚镇村庄建设区（</w:t>
            </w:r>
            <w:bookmarkStart w:id="8" w:name="OLE_LINK1"/>
            <w:r>
              <w:rPr>
                <w:rFonts w:hint="default" w:ascii="Times New Roman" w:hAnsi="Times New Roman" w:cs="Times New Roman"/>
                <w:color w:val="auto"/>
                <w:kern w:val="0"/>
                <w:highlight w:val="none"/>
                <w:lang w:val="en-US" w:eastAsia="zh-CN"/>
              </w:rPr>
              <w:t>图1-2</w:t>
            </w:r>
            <w:bookmarkEnd w:id="8"/>
            <w:r>
              <w:rPr>
                <w:rFonts w:hint="default" w:ascii="Times New Roman" w:hAnsi="Times New Roman" w:cs="Times New Roman"/>
                <w:color w:val="auto"/>
                <w:kern w:val="0"/>
                <w:highlight w:val="none"/>
                <w:lang w:val="en-US" w:eastAsia="zh-CN"/>
              </w:rPr>
              <w:t>），属于城镇开发边界内，为沥青混凝土项目符合</w:t>
            </w:r>
            <w:r>
              <w:rPr>
                <w:rFonts w:hint="default" w:ascii="Times New Roman" w:hAnsi="Times New Roman" w:eastAsia="宋体" w:cs="Times New Roman"/>
                <w:color w:val="auto"/>
                <w:kern w:val="2"/>
                <w:sz w:val="24"/>
                <w:szCs w:val="24"/>
                <w:highlight w:val="none"/>
                <w:lang w:val="en-US" w:eastAsia="zh-CN" w:bidi="ar-SA"/>
              </w:rPr>
              <w:t>《虎林市东诚镇国土空间总体规划（2021-2035年）》</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cs="Times New Roman"/>
                <w:color w:val="auto"/>
                <w:highlight w:val="none"/>
              </w:rPr>
              <w:t>根据本项目生态环境分区管控分析报告（附件</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），选址位置处无自然保护区、风景旅游区、文物保护区及珍稀动物保护区等敏感因素。因此本项目的</w:t>
            </w:r>
            <w:r>
              <w:rPr>
                <w:rFonts w:hint="default" w:ascii="Times New Roman" w:hAnsi="Times New Roman" w:cs="Times New Roman"/>
                <w:color w:val="auto"/>
                <w:highlight w:val="none"/>
                <w:lang w:val="en-US" w:eastAsia="zh-CN"/>
              </w:rPr>
              <w:t>用地符合</w:t>
            </w:r>
            <w:r>
              <w:rPr>
                <w:rFonts w:hint="default" w:ascii="Times New Roman" w:hAnsi="Times New Roman" w:cs="Times New Roman"/>
                <w:color w:val="auto"/>
                <w:highlight w:val="none"/>
              </w:rPr>
              <w:t>要求。</w:t>
            </w:r>
          </w:p>
          <w:p w14:paraId="0720CF16">
            <w:pPr>
              <w:spacing w:line="500" w:lineRule="exact"/>
              <w:ind w:firstLine="480" w:firstLineChars="200"/>
              <w:rPr>
                <w:rFonts w:hint="default" w:ascii="Times New Roman" w:hAnsi="Times New Roman" w:cs="Times New Roman"/>
                <w:color w:val="auto"/>
                <w:kern w:val="0"/>
                <w:sz w:val="24"/>
                <w:highlight w:val="none"/>
                <w:lang w:val="zh-CN"/>
              </w:rPr>
            </w:pPr>
            <w:r>
              <w:rPr>
                <w:rFonts w:hint="default" w:ascii="Times New Roman" w:hAnsi="Times New Roman" w:cs="Times New Roman"/>
                <w:color w:val="auto"/>
                <w:kern w:val="0"/>
                <w:sz w:val="24"/>
                <w:highlight w:val="none"/>
                <w:lang w:val="zh-CN"/>
              </w:rPr>
              <w:t>（2）外环境相容性</w:t>
            </w:r>
          </w:p>
          <w:p w14:paraId="36100BCB">
            <w:pPr>
              <w:spacing w:line="500" w:lineRule="exact"/>
              <w:ind w:firstLine="480" w:firstLineChars="200"/>
              <w:rPr>
                <w:rFonts w:hint="default" w:ascii="Times New Roman" w:hAnsi="Times New Roman" w:cs="Times New Roman"/>
                <w:color w:val="auto"/>
                <w:kern w:val="0"/>
                <w:sz w:val="24"/>
                <w:highlight w:val="none"/>
                <w:lang w:val="zh-CN"/>
              </w:rPr>
            </w:pPr>
            <w:r>
              <w:rPr>
                <w:rFonts w:hint="default" w:ascii="Times New Roman" w:hAnsi="Times New Roman" w:cs="Times New Roman"/>
                <w:color w:val="auto"/>
                <w:kern w:val="0"/>
                <w:sz w:val="24"/>
                <w:highlight w:val="none"/>
                <w:lang w:val="zh-CN"/>
              </w:rPr>
              <w:fldChar w:fldCharType="begin"/>
            </w:r>
            <w:r>
              <w:rPr>
                <w:rFonts w:hint="default" w:ascii="Times New Roman" w:hAnsi="Times New Roman" w:cs="Times New Roman"/>
                <w:color w:val="auto"/>
                <w:kern w:val="0"/>
                <w:sz w:val="24"/>
                <w:highlight w:val="none"/>
                <w:lang w:val="zh-CN"/>
              </w:rPr>
              <w:instrText xml:space="preserve"> = 1 \* GB3 </w:instrText>
            </w:r>
            <w:r>
              <w:rPr>
                <w:rFonts w:hint="default" w:ascii="Times New Roman" w:hAnsi="Times New Roman" w:cs="Times New Roman"/>
                <w:color w:val="auto"/>
                <w:kern w:val="0"/>
                <w:sz w:val="24"/>
                <w:highlight w:val="none"/>
                <w:lang w:val="zh-CN"/>
              </w:rPr>
              <w:fldChar w:fldCharType="separate"/>
            </w:r>
            <w:r>
              <w:rPr>
                <w:rFonts w:hint="default" w:ascii="Times New Roman" w:hAnsi="Times New Roman" w:cs="Times New Roman"/>
                <w:color w:val="auto"/>
                <w:kern w:val="0"/>
                <w:sz w:val="24"/>
                <w:highlight w:val="none"/>
                <w:lang w:val="zh-CN"/>
              </w:rPr>
              <w:t>①</w:t>
            </w:r>
            <w:r>
              <w:rPr>
                <w:rFonts w:hint="default" w:ascii="Times New Roman" w:hAnsi="Times New Roman" w:cs="Times New Roman"/>
                <w:color w:val="auto"/>
                <w:kern w:val="0"/>
                <w:sz w:val="24"/>
                <w:highlight w:val="none"/>
                <w:lang w:val="zh-CN"/>
              </w:rPr>
              <w:fldChar w:fldCharType="end"/>
            </w:r>
            <w:r>
              <w:rPr>
                <w:rFonts w:hint="default" w:ascii="Times New Roman" w:hAnsi="Times New Roman" w:cs="Times New Roman"/>
                <w:color w:val="auto"/>
                <w:kern w:val="0"/>
                <w:sz w:val="24"/>
                <w:highlight w:val="none"/>
                <w:lang w:val="zh-CN"/>
              </w:rPr>
              <w:t>项目所在地具有方便的交通运输和水电条件，便于项目的建设。</w:t>
            </w:r>
          </w:p>
          <w:p w14:paraId="0FF7BC55">
            <w:pPr>
              <w:spacing w:line="500" w:lineRule="exact"/>
              <w:ind w:firstLine="480" w:firstLineChars="200"/>
              <w:rPr>
                <w:rFonts w:hint="default" w:ascii="Times New Roman" w:hAnsi="Times New Roman" w:cs="Times New Roman"/>
                <w:color w:val="auto"/>
                <w:kern w:val="0"/>
                <w:sz w:val="24"/>
                <w:highlight w:val="none"/>
                <w:lang w:val="zh-CN"/>
              </w:rPr>
            </w:pPr>
            <w:r>
              <w:rPr>
                <w:rFonts w:hint="default" w:ascii="Times New Roman" w:hAnsi="Times New Roman" w:cs="Times New Roman"/>
                <w:color w:val="auto"/>
                <w:kern w:val="0"/>
                <w:sz w:val="24"/>
                <w:highlight w:val="none"/>
                <w:lang w:val="zh-CN"/>
              </w:rPr>
              <w:t>②项目建设过程中产生的噪声、废水、废气、固废对周围环境将产生一定影响，但通过采取相应的环保措施可使该项目的环境影响降低。项目建成后对周边环境的影响主要是废气、生活污水、固体废物以及设备产生的噪声，采取污染防治措施后对周边环境影响较小。</w:t>
            </w:r>
          </w:p>
          <w:p w14:paraId="7907E874">
            <w:pPr>
              <w:pStyle w:val="63"/>
              <w:spacing w:line="500" w:lineRule="exact"/>
              <w:ind w:firstLine="48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（3）环境功能一致性分析</w:t>
            </w:r>
          </w:p>
          <w:p w14:paraId="6551AFE3">
            <w:pPr>
              <w:pStyle w:val="63"/>
              <w:spacing w:line="500" w:lineRule="exact"/>
              <w:ind w:firstLine="48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根据工程分析确定的污染物源强，通过大气环境、水环境、声环境、固体废物影响分析，说明项目建成后污染物达标排放，对区域环境空气、水环境、声环境影响较小。项目建设不会使得环境功能发生改变。</w:t>
            </w:r>
          </w:p>
          <w:p w14:paraId="3F87ECAD">
            <w:pPr>
              <w:pStyle w:val="95"/>
              <w:spacing w:line="500" w:lineRule="exact"/>
              <w:ind w:firstLine="48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综上所述，项目选址可行。</w:t>
            </w:r>
          </w:p>
          <w:p w14:paraId="508E0F81">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四、与</w:t>
            </w:r>
            <w:bookmarkStart w:id="9" w:name="_Hlk186813939"/>
            <w:r>
              <w:rPr>
                <w:rFonts w:hint="default" w:ascii="Times New Roman" w:hAnsi="Times New Roman" w:cs="Times New Roman"/>
                <w:color w:val="auto"/>
                <w:sz w:val="24"/>
                <w:highlight w:val="none"/>
              </w:rPr>
              <w:t>《黑龙江省大气污染防治行动计划实施细则》</w:t>
            </w:r>
            <w:bookmarkEnd w:id="9"/>
            <w:r>
              <w:rPr>
                <w:rFonts w:hint="default" w:ascii="Times New Roman" w:hAnsi="Times New Roman" w:cs="Times New Roman"/>
                <w:color w:val="auto"/>
                <w:sz w:val="24"/>
                <w:highlight w:val="none"/>
              </w:rPr>
              <w:t>符合性分析</w:t>
            </w:r>
          </w:p>
          <w:p w14:paraId="5E2CD1B2">
            <w:pPr>
              <w:pStyle w:val="61"/>
              <w:spacing w:line="400" w:lineRule="exact"/>
              <w:jc w:val="center"/>
              <w:rPr>
                <w:rFonts w:hint="default" w:ascii="Times New Roman" w:hAnsi="Times New Roman" w:eastAsia="黑体" w:cs="Times New Roman"/>
                <w:color w:val="auto"/>
                <w:kern w:val="0"/>
                <w:sz w:val="22"/>
                <w:szCs w:val="22"/>
                <w:highlight w:val="none"/>
                <w:lang w:val="en-US" w:eastAsia="zh-CN" w:bidi="ar-SA"/>
              </w:rPr>
            </w:pPr>
            <w:r>
              <w:rPr>
                <w:rFonts w:hint="default" w:ascii="Times New Roman" w:hAnsi="Times New Roman" w:eastAsia="黑体" w:cs="Times New Roman"/>
                <w:color w:val="auto"/>
                <w:kern w:val="0"/>
                <w:sz w:val="22"/>
                <w:szCs w:val="22"/>
                <w:highlight w:val="none"/>
                <w:lang w:val="en-US" w:eastAsia="zh-CN" w:bidi="ar-SA"/>
              </w:rPr>
              <w:t>表1-4 与《黑龙江省大气污染防治行动计划实施细则》符合性分析</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27"/>
              <w:gridCol w:w="2513"/>
              <w:gridCol w:w="863"/>
            </w:tblGrid>
            <w:tr w14:paraId="4E943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19" w:type="pct"/>
                  <w:vAlign w:val="center"/>
                </w:tcPr>
                <w:p w14:paraId="47CE617F">
                  <w:pPr>
                    <w:pStyle w:val="107"/>
                    <w:rPr>
                      <w:rFonts w:hint="default" w:ascii="Times New Roman" w:hAnsi="Times New Roman" w:cs="Times New Roman"/>
                      <w:color w:val="auto"/>
                      <w:highlight w:val="none"/>
                    </w:rPr>
                  </w:pPr>
                  <w:r>
                    <w:rPr>
                      <w:rFonts w:hint="default" w:ascii="Times New Roman" w:hAnsi="Times New Roman" w:cs="Times New Roman"/>
                      <w:color w:val="auto"/>
                      <w:highlight w:val="none"/>
                    </w:rPr>
                    <w:t>文件要求</w:t>
                  </w:r>
                </w:p>
              </w:tc>
              <w:tc>
                <w:tcPr>
                  <w:tcW w:w="1847" w:type="pct"/>
                  <w:vAlign w:val="center"/>
                </w:tcPr>
                <w:p w14:paraId="0A538308">
                  <w:pPr>
                    <w:pStyle w:val="107"/>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p>
              </w:tc>
              <w:tc>
                <w:tcPr>
                  <w:tcW w:w="634" w:type="pct"/>
                  <w:vAlign w:val="center"/>
                </w:tcPr>
                <w:p w14:paraId="5D92413F">
                  <w:pPr>
                    <w:pStyle w:val="107"/>
                    <w:rPr>
                      <w:rFonts w:hint="default" w:ascii="Times New Roman" w:hAnsi="Times New Roman" w:cs="Times New Roman"/>
                      <w:color w:val="auto"/>
                      <w:highlight w:val="none"/>
                    </w:rPr>
                  </w:pPr>
                  <w:r>
                    <w:rPr>
                      <w:rFonts w:hint="default" w:ascii="Times New Roman" w:hAnsi="Times New Roman" w:cs="Times New Roman"/>
                      <w:color w:val="auto"/>
                      <w:highlight w:val="none"/>
                    </w:rPr>
                    <w:t>符合性</w:t>
                  </w:r>
                </w:p>
              </w:tc>
            </w:tr>
            <w:tr w14:paraId="71B9AC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6" w:hRule="atLeast"/>
                <w:jc w:val="center"/>
              </w:trPr>
              <w:tc>
                <w:tcPr>
                  <w:tcW w:w="2519" w:type="pct"/>
                  <w:vAlign w:val="center"/>
                </w:tcPr>
                <w:p w14:paraId="0F97F71A">
                  <w:pPr>
                    <w:pStyle w:val="107"/>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加大集中供热工程建设，淘汰分散燃煤小锅炉。积极推进“三供两治”工程项目建设，加大城市及周边现有燃煤发电机组的供热改造力度，推进大型集中供热企业接收分散供热小锅炉，拔除小烟筒。</w:t>
                  </w:r>
                </w:p>
              </w:tc>
              <w:tc>
                <w:tcPr>
                  <w:tcW w:w="1847" w:type="pct"/>
                  <w:vAlign w:val="center"/>
                </w:tcPr>
                <w:p w14:paraId="1D2C1DF7">
                  <w:pPr>
                    <w:pStyle w:val="107"/>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本项目新建1台21</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MW燃烧器，用于骨料烘干，燃料为轻质柴油，新建1台</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0万Kcal导热油炉，用于加热沥青储罐，燃料为轻质柴油，不涉</w:t>
                  </w:r>
                  <w:r>
                    <w:rPr>
                      <w:rFonts w:hint="default" w:ascii="Times New Roman" w:hAnsi="Times New Roman" w:cs="Times New Roman"/>
                      <w:color w:val="auto"/>
                      <w:highlight w:val="none"/>
                      <w:lang w:val="en-US" w:eastAsia="zh-CN"/>
                    </w:rPr>
                    <w:t>及</w:t>
                  </w:r>
                  <w:r>
                    <w:rPr>
                      <w:rFonts w:hint="default" w:ascii="Times New Roman" w:hAnsi="Times New Roman" w:cs="Times New Roman"/>
                      <w:color w:val="auto"/>
                      <w:highlight w:val="none"/>
                    </w:rPr>
                    <w:t>燃煤锅炉。</w:t>
                  </w:r>
                </w:p>
              </w:tc>
              <w:tc>
                <w:tcPr>
                  <w:tcW w:w="634" w:type="pct"/>
                  <w:vAlign w:val="center"/>
                </w:tcPr>
                <w:p w14:paraId="40981523">
                  <w:pPr>
                    <w:pStyle w:val="107"/>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69562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519" w:type="pct"/>
                  <w:vAlign w:val="center"/>
                </w:tcPr>
                <w:p w14:paraId="650E797A">
                  <w:pPr>
                    <w:pStyle w:val="107"/>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加强扬尘控制，深化面源污染治理。各地要大力推进园林城市建设，提高街道两侧硬化率、绿化率，减少市区、城乡结合部街路裸露地面。运输渣土、沙石等车辆必须采取密闭措施，并逐步安装卫星定位系统。推行道路机械化清扫等高效、低尘作业方式。建设工程施工现场必须设置全封闭围挡墙，严禁敞开式作业。大力推广预拌砂浆，减少施工现场污染。建筑施工场地出口道路必须硬化并设置车辆清洗平台，对出场车辆逐台进行清洗。大型堆场应建立密闭料仓与传送装置，露天堆放的应建设防风抑尘网等；长期堆放的废弃物，应采取覆绿、铺装、硬化、定期喷洒抑尘剂或稳定剂等措施，控制扬尘污染。</w:t>
                  </w:r>
                </w:p>
              </w:tc>
              <w:tc>
                <w:tcPr>
                  <w:tcW w:w="1847" w:type="pct"/>
                  <w:vAlign w:val="center"/>
                </w:tcPr>
                <w:p w14:paraId="1BD5E757">
                  <w:pPr>
                    <w:pStyle w:val="107"/>
                    <w:jc w:val="both"/>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本项目加强扬尘控制，厂区路面全部硬化，减少裸露地面。本项目运输车辆采取密闭措施，逐步安装卫星定位系统，严格监控运输路线。推行机械化清扫等高效、低尘作业方式。本项目施工期施工现场设置全封闭围挡墙，严禁敞开式作业。采用预拌砂浆，减少施工现场污染，施工场地出口道路硬化，设置车辆清洗平台，对出厂车辆逐台进行清洗。本项目</w:t>
                  </w:r>
                  <w:r>
                    <w:rPr>
                      <w:rFonts w:hint="default" w:ascii="Times New Roman" w:hAnsi="Times New Roman" w:cs="Times New Roman"/>
                      <w:color w:val="auto"/>
                      <w:kern w:val="0"/>
                      <w:szCs w:val="21"/>
                      <w:highlight w:val="none"/>
                      <w:lang w:val="en-US" w:eastAsia="zh-CN"/>
                    </w:rPr>
                    <w:t>原料</w:t>
                  </w:r>
                  <w:r>
                    <w:rPr>
                      <w:rFonts w:hint="default" w:ascii="Times New Roman" w:hAnsi="Times New Roman" w:cs="Times New Roman"/>
                      <w:color w:val="auto"/>
                      <w:kern w:val="0"/>
                      <w:szCs w:val="21"/>
                      <w:highlight w:val="none"/>
                    </w:rPr>
                    <w:t>堆场</w:t>
                  </w:r>
                  <w:r>
                    <w:rPr>
                      <w:rFonts w:hint="default" w:ascii="Times New Roman" w:hAnsi="Times New Roman" w:cs="Times New Roman"/>
                      <w:color w:val="auto"/>
                      <w:kern w:val="0"/>
                      <w:szCs w:val="21"/>
                      <w:highlight w:val="none"/>
                      <w:lang w:val="en-US" w:eastAsia="zh-CN"/>
                    </w:rPr>
                    <w:t>设置防风抑尘网</w:t>
                  </w:r>
                  <w:r>
                    <w:rPr>
                      <w:rFonts w:hint="default" w:ascii="Times New Roman" w:hAnsi="Times New Roman" w:cs="Times New Roman"/>
                      <w:color w:val="auto"/>
                      <w:kern w:val="0"/>
                      <w:szCs w:val="21"/>
                      <w:highlight w:val="none"/>
                    </w:rPr>
                    <w:t>，定期喷洒抑尘剂措施控制扬尘污染，随用随存，不长期堆存。</w:t>
                  </w:r>
                </w:p>
                <w:p w14:paraId="29861761">
                  <w:pPr>
                    <w:pStyle w:val="107"/>
                    <w:jc w:val="both"/>
                    <w:rPr>
                      <w:rFonts w:hint="default" w:ascii="Times New Roman" w:hAnsi="Times New Roman" w:eastAsia="宋体" w:cs="Times New Roman"/>
                      <w:color w:val="auto"/>
                      <w:highlight w:val="none"/>
                      <w:lang w:eastAsia="zh-CN"/>
                    </w:rPr>
                  </w:pPr>
                </w:p>
              </w:tc>
              <w:tc>
                <w:tcPr>
                  <w:tcW w:w="634" w:type="pct"/>
                  <w:vAlign w:val="center"/>
                </w:tcPr>
                <w:p w14:paraId="2EF2767F">
                  <w:pPr>
                    <w:pStyle w:val="107"/>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236FE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519" w:type="pct"/>
                  <w:vAlign w:val="center"/>
                </w:tcPr>
                <w:p w14:paraId="7776B358">
                  <w:pPr>
                    <w:pStyle w:val="107"/>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严格实施污染物排放总量控制，将二氧化硫、氮氧化物、烟粉尘、挥发性有机物排放总量控制要求作为项目环境影响评价审批的前置条件。</w:t>
                  </w:r>
                </w:p>
              </w:tc>
              <w:tc>
                <w:tcPr>
                  <w:tcW w:w="1847" w:type="pct"/>
                  <w:vAlign w:val="center"/>
                </w:tcPr>
                <w:p w14:paraId="6B4EF39C">
                  <w:pPr>
                    <w:pStyle w:val="107"/>
                    <w:jc w:val="both"/>
                    <w:rPr>
                      <w:rFonts w:hint="default" w:ascii="Times New Roman" w:hAnsi="Times New Roman" w:cs="Times New Roman"/>
                      <w:color w:val="auto"/>
                      <w:kern w:val="0"/>
                      <w:szCs w:val="21"/>
                      <w:highlight w:val="none"/>
                      <w:lang w:eastAsia="zh-CN"/>
                    </w:rPr>
                  </w:pPr>
                  <w:r>
                    <w:rPr>
                      <w:rFonts w:hint="default" w:ascii="Times New Roman" w:hAnsi="Times New Roman" w:cs="Times New Roman"/>
                      <w:color w:val="auto"/>
                      <w:kern w:val="0"/>
                      <w:szCs w:val="21"/>
                      <w:highlight w:val="none"/>
                    </w:rPr>
                    <w:t>本项目总量控制指标见下文中表3-1</w:t>
                  </w:r>
                  <w:r>
                    <w:rPr>
                      <w:rFonts w:hint="default" w:ascii="Times New Roman" w:hAnsi="Times New Roman" w:cs="Times New Roman"/>
                      <w:color w:val="auto"/>
                      <w:kern w:val="0"/>
                      <w:szCs w:val="21"/>
                      <w:highlight w:val="none"/>
                      <w:lang w:val="en-US" w:eastAsia="zh-CN"/>
                    </w:rPr>
                    <w:t>3</w:t>
                  </w:r>
                  <w:r>
                    <w:rPr>
                      <w:rFonts w:hint="default" w:ascii="Times New Roman" w:hAnsi="Times New Roman" w:cs="Times New Roman"/>
                      <w:color w:val="auto"/>
                      <w:kern w:val="0"/>
                      <w:szCs w:val="21"/>
                      <w:highlight w:val="none"/>
                    </w:rPr>
                    <w:t>，将二氧化硫、氮氧化物、烟粉尘、挥发性有机物排放总量控制要求作为项目环境影响评价审批的前置条件</w:t>
                  </w:r>
                  <w:r>
                    <w:rPr>
                      <w:rFonts w:hint="default" w:ascii="Times New Roman" w:hAnsi="Times New Roman" w:cs="Times New Roman"/>
                      <w:color w:val="auto"/>
                      <w:kern w:val="0"/>
                      <w:szCs w:val="21"/>
                      <w:highlight w:val="none"/>
                      <w:lang w:eastAsia="zh-CN"/>
                    </w:rPr>
                    <w:t>。</w:t>
                  </w:r>
                </w:p>
                <w:p w14:paraId="4215750E">
                  <w:pPr>
                    <w:pStyle w:val="107"/>
                    <w:jc w:val="both"/>
                    <w:rPr>
                      <w:rFonts w:hint="default" w:ascii="Times New Roman" w:hAnsi="Times New Roman" w:cs="Times New Roman"/>
                      <w:color w:val="auto"/>
                      <w:kern w:val="0"/>
                      <w:szCs w:val="21"/>
                      <w:highlight w:val="none"/>
                    </w:rPr>
                  </w:pPr>
                </w:p>
              </w:tc>
              <w:tc>
                <w:tcPr>
                  <w:tcW w:w="634" w:type="pct"/>
                  <w:vAlign w:val="center"/>
                </w:tcPr>
                <w:p w14:paraId="0BCA32D0">
                  <w:pPr>
                    <w:pStyle w:val="107"/>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12507295">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zh-CN"/>
              </w:rPr>
              <w:t>五、</w:t>
            </w:r>
            <w:r>
              <w:rPr>
                <w:rFonts w:hint="default" w:ascii="Times New Roman" w:hAnsi="Times New Roman" w:cs="Times New Roman"/>
                <w:color w:val="auto"/>
                <w:sz w:val="24"/>
                <w:highlight w:val="none"/>
              </w:rPr>
              <w:t>与《黑龙江省空气质量持续改善行动计划实施方案》符合性分析</w:t>
            </w:r>
          </w:p>
          <w:p w14:paraId="1600A011">
            <w:pPr>
              <w:pStyle w:val="88"/>
              <w:spacing w:line="400" w:lineRule="exact"/>
              <w:rPr>
                <w:rFonts w:hint="default" w:ascii="Times New Roman" w:hAnsi="Times New Roman" w:cs="Times New Roman"/>
                <w:color w:val="auto"/>
                <w:szCs w:val="24"/>
                <w:highlight w:val="none"/>
              </w:rPr>
            </w:pPr>
            <w:r>
              <w:rPr>
                <w:rFonts w:hint="default" w:ascii="Times New Roman" w:hAnsi="Times New Roman" w:cs="Times New Roman"/>
                <w:color w:val="auto"/>
                <w:sz w:val="24"/>
                <w:szCs w:val="24"/>
                <w:highlight w:val="none"/>
              </w:rPr>
              <w:t>表1-</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 xml:space="preserve"> 与《黑龙江省空气质量持续改善行动计划实施方案》符合性分析</w:t>
            </w:r>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53"/>
              <w:gridCol w:w="1159"/>
              <w:gridCol w:w="891"/>
            </w:tblGrid>
            <w:tr w14:paraId="40160B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3493" w:type="pct"/>
                  <w:vAlign w:val="center"/>
                </w:tcPr>
                <w:p w14:paraId="565DA9D5">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文件要求</w:t>
                  </w:r>
                </w:p>
              </w:tc>
              <w:tc>
                <w:tcPr>
                  <w:tcW w:w="852" w:type="pct"/>
                  <w:vAlign w:val="center"/>
                </w:tcPr>
                <w:p w14:paraId="0640B52C">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p>
              </w:tc>
              <w:tc>
                <w:tcPr>
                  <w:tcW w:w="654" w:type="pct"/>
                  <w:vAlign w:val="center"/>
                </w:tcPr>
                <w:p w14:paraId="4FA6B68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符合性</w:t>
                  </w:r>
                </w:p>
              </w:tc>
            </w:tr>
            <w:tr w14:paraId="336E45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1" w:hRule="atLeast"/>
              </w:trPr>
              <w:tc>
                <w:tcPr>
                  <w:tcW w:w="3493" w:type="pct"/>
                  <w:tcBorders>
                    <w:bottom w:val="single" w:color="auto" w:sz="4" w:space="0"/>
                  </w:tcBorders>
                  <w:vAlign w:val="center"/>
                </w:tcPr>
                <w:p w14:paraId="663BF107">
                  <w:pPr>
                    <w:pStyle w:val="74"/>
                    <w:numPr>
                      <w:ilvl w:val="0"/>
                      <w:numId w:val="2"/>
                    </w:num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省发展改革委、省生态环境厅、省住房城乡建设厅、省市场监管局等按职责分工负责）</w:t>
                  </w:r>
                </w:p>
                <w:p w14:paraId="1BEAD379">
                  <w:pPr>
                    <w:pStyle w:val="74"/>
                    <w:numPr>
                      <w:ilvl w:val="0"/>
                      <w:numId w:val="0"/>
                    </w:numPr>
                    <w:ind w:leftChars="0"/>
                    <w:jc w:val="both"/>
                    <w:rPr>
                      <w:rFonts w:hint="default" w:ascii="Times New Roman" w:hAnsi="Times New Roman" w:eastAsia="宋体" w:cs="Times New Roman"/>
                      <w:color w:val="auto"/>
                      <w:szCs w:val="21"/>
                      <w:highlight w:val="none"/>
                      <w:lang w:eastAsia="zh-CN"/>
                    </w:rPr>
                  </w:pPr>
                </w:p>
              </w:tc>
              <w:tc>
                <w:tcPr>
                  <w:tcW w:w="852" w:type="pct"/>
                  <w:tcBorders>
                    <w:bottom w:val="single" w:color="auto" w:sz="4" w:space="0"/>
                  </w:tcBorders>
                  <w:vAlign w:val="center"/>
                </w:tcPr>
                <w:p w14:paraId="06ED449A">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本项目采用导热油锅炉加热沥青储罐，无需冬季供暖，本项目不涉及建设燃煤供热锅炉。</w:t>
                  </w:r>
                </w:p>
              </w:tc>
              <w:tc>
                <w:tcPr>
                  <w:tcW w:w="654" w:type="pct"/>
                  <w:vMerge w:val="restart"/>
                  <w:vAlign w:val="center"/>
                </w:tcPr>
                <w:p w14:paraId="0489001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7B657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3493" w:type="pct"/>
                  <w:tcBorders>
                    <w:top w:val="single" w:color="auto" w:sz="4" w:space="0"/>
                  </w:tcBorders>
                  <w:vAlign w:val="center"/>
                </w:tcPr>
                <w:p w14:paraId="437EF16A">
                  <w:pPr>
                    <w:pStyle w:val="74"/>
                    <w:numPr>
                      <w:ilvl w:val="0"/>
                      <w:numId w:val="2"/>
                    </w:numPr>
                    <w:ind w:left="0" w:leftChars="0" w:firstLine="0" w:firstLineChars="0"/>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推进重点行业污染深度治理。高质量推动钢铁、水泥、焦化等重点行业及锅炉超低排放改造。推进鸡西市、双鸭山市、七台河市等煤炭类城市焦化企业超低排放改造，在全流程超低排放改造过程中，改造周期较长的，优先推动氮氧化物超低排放改造。到2025年，哈尔滨市、齐齐哈尔市、双鸭山市、伊春市4家长流程钢铁企业基本完成超低排放改造；在用65蒸吨/小时以上燃煤锅炉（含电力）基本实现超低排放。（省生态环境厅牵头，省发展改革委、省工业和信息化厅等按职责分工负责）</w:t>
                  </w:r>
                </w:p>
                <w:p w14:paraId="2DEAB0A3">
                  <w:pPr>
                    <w:pStyle w:val="74"/>
                    <w:numPr>
                      <w:ilvl w:val="0"/>
                      <w:numId w:val="0"/>
                    </w:numPr>
                    <w:ind w:leftChars="0"/>
                    <w:jc w:val="both"/>
                    <w:rPr>
                      <w:rFonts w:hint="default" w:ascii="Times New Roman" w:hAnsi="Times New Roman" w:eastAsia="宋体" w:cs="Times New Roman"/>
                      <w:color w:val="auto"/>
                      <w:szCs w:val="21"/>
                      <w:highlight w:val="none"/>
                      <w:lang w:eastAsia="zh-CN"/>
                    </w:rPr>
                  </w:pPr>
                </w:p>
              </w:tc>
              <w:tc>
                <w:tcPr>
                  <w:tcW w:w="852" w:type="pct"/>
                  <w:tcBorders>
                    <w:top w:val="single" w:color="auto" w:sz="4" w:space="0"/>
                  </w:tcBorders>
                  <w:vAlign w:val="center"/>
                </w:tcPr>
                <w:p w14:paraId="3950F8D6">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本项目不属于文中提到的钢铁、水泥、焦化等重点行业及锅炉超低排放改造相关项目。</w:t>
                  </w:r>
                </w:p>
              </w:tc>
              <w:tc>
                <w:tcPr>
                  <w:tcW w:w="654" w:type="pct"/>
                  <w:vMerge w:val="continue"/>
                  <w:vAlign w:val="center"/>
                </w:tcPr>
                <w:p w14:paraId="4F3A04B1">
                  <w:pPr>
                    <w:pStyle w:val="74"/>
                    <w:rPr>
                      <w:rFonts w:hint="default" w:ascii="Times New Roman" w:hAnsi="Times New Roman" w:cs="Times New Roman"/>
                      <w:color w:val="auto"/>
                      <w:szCs w:val="21"/>
                      <w:highlight w:val="none"/>
                    </w:rPr>
                  </w:pPr>
                </w:p>
              </w:tc>
            </w:tr>
          </w:tbl>
          <w:p w14:paraId="3FD5AEE3">
            <w:pPr>
              <w:adjustRightInd w:val="0"/>
              <w:snapToGrid w:val="0"/>
              <w:spacing w:line="500" w:lineRule="exact"/>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六、与《黑龙江省“十四五”生态环境保护规划》符合性分析</w:t>
            </w:r>
          </w:p>
          <w:p w14:paraId="00D6542B">
            <w:pPr>
              <w:pStyle w:val="88"/>
              <w:spacing w:line="400" w:lineRule="exact"/>
              <w:rPr>
                <w:rFonts w:hint="default" w:ascii="Times New Roman" w:hAnsi="Times New Roman" w:cs="Times New Roman"/>
                <w:color w:val="auto"/>
                <w:szCs w:val="24"/>
                <w:highlight w:val="none"/>
              </w:rPr>
            </w:pPr>
            <w:r>
              <w:rPr>
                <w:rFonts w:hint="default" w:ascii="Times New Roman" w:hAnsi="Times New Roman" w:cs="Times New Roman"/>
                <w:color w:val="auto"/>
                <w:sz w:val="24"/>
                <w:szCs w:val="24"/>
                <w:highlight w:val="none"/>
              </w:rPr>
              <w:t>表1-</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 xml:space="preserve"> 与《黑龙江省“十四五”生态环境保护规划》符合性分析</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24"/>
              <w:gridCol w:w="2146"/>
              <w:gridCol w:w="733"/>
            </w:tblGrid>
            <w:tr w14:paraId="1F75B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884" w:type="pct"/>
                  <w:vAlign w:val="center"/>
                </w:tcPr>
                <w:p w14:paraId="363E829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文件要求</w:t>
                  </w:r>
                </w:p>
              </w:tc>
              <w:tc>
                <w:tcPr>
                  <w:tcW w:w="1577" w:type="pct"/>
                  <w:vAlign w:val="center"/>
                </w:tcPr>
                <w:p w14:paraId="2A1DEEF6">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p>
              </w:tc>
              <w:tc>
                <w:tcPr>
                  <w:tcW w:w="539" w:type="pct"/>
                  <w:vAlign w:val="center"/>
                </w:tcPr>
                <w:p w14:paraId="31765A97">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符合性</w:t>
                  </w:r>
                </w:p>
              </w:tc>
            </w:tr>
            <w:tr w14:paraId="537AB4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884" w:type="pct"/>
                  <w:vAlign w:val="center"/>
                </w:tcPr>
                <w:p w14:paraId="4F003057">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和矿石码头、干散货码头物料堆场，全面完成抑尘设施建设和物料输送系统封闭改造，鼓励有条件的码头堆场实施全封闭改造。”</w:t>
                  </w:r>
                </w:p>
              </w:tc>
              <w:tc>
                <w:tcPr>
                  <w:tcW w:w="1577" w:type="pct"/>
                  <w:vAlign w:val="center"/>
                </w:tcPr>
                <w:p w14:paraId="7BE3D3E3">
                  <w:pPr>
                    <w:pStyle w:val="74"/>
                    <w:jc w:val="both"/>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本项目严格落实施工工地扬尘管控责任，强化扬尘治理措施，施工期采取设置围挡，使用商品混凝土，粉性物料集中地点存放并加盖苫布、干燥天气应经常性给</w:t>
                  </w:r>
                  <w:r>
                    <w:rPr>
                      <w:rFonts w:hint="default" w:ascii="Times New Roman" w:hAnsi="Times New Roman" w:cs="Times New Roman"/>
                      <w:color w:val="auto"/>
                      <w:szCs w:val="21"/>
                      <w:highlight w:val="none"/>
                      <w:lang w:val="en-US" w:eastAsia="zh-CN"/>
                    </w:rPr>
                    <w:t>原料堆场喷淋</w:t>
                  </w:r>
                  <w:r>
                    <w:rPr>
                      <w:rFonts w:hint="default" w:ascii="Times New Roman" w:hAnsi="Times New Roman" w:cs="Times New Roman"/>
                      <w:color w:val="auto"/>
                      <w:szCs w:val="21"/>
                      <w:highlight w:val="none"/>
                    </w:rPr>
                    <w:t>等措施以减少施工期扬尘。采取措施后项目粉尘排放量较小</w:t>
                  </w:r>
                  <w:r>
                    <w:rPr>
                      <w:rFonts w:hint="default" w:ascii="Times New Roman" w:hAnsi="Times New Roman" w:cs="Times New Roman"/>
                      <w:color w:val="auto"/>
                      <w:szCs w:val="21"/>
                      <w:highlight w:val="none"/>
                      <w:lang w:eastAsia="zh-CN"/>
                    </w:rPr>
                    <w:t>。</w:t>
                  </w:r>
                </w:p>
                <w:p w14:paraId="374FDB4E">
                  <w:pPr>
                    <w:pStyle w:val="74"/>
                    <w:jc w:val="both"/>
                    <w:rPr>
                      <w:rFonts w:hint="default" w:ascii="Times New Roman" w:hAnsi="Times New Roman" w:cs="Times New Roman"/>
                      <w:color w:val="auto"/>
                      <w:szCs w:val="21"/>
                      <w:highlight w:val="none"/>
                    </w:rPr>
                  </w:pPr>
                </w:p>
              </w:tc>
              <w:tc>
                <w:tcPr>
                  <w:tcW w:w="539" w:type="pct"/>
                  <w:vAlign w:val="center"/>
                </w:tcPr>
                <w:p w14:paraId="6B528818">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bl>
          <w:p w14:paraId="3D31B4A9">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zh-CN"/>
              </w:rPr>
              <w:t>七、</w:t>
            </w:r>
            <w:r>
              <w:rPr>
                <w:rFonts w:hint="default" w:ascii="Times New Roman" w:hAnsi="Times New Roman" w:cs="Times New Roman"/>
                <w:color w:val="auto"/>
                <w:sz w:val="24"/>
                <w:highlight w:val="none"/>
              </w:rPr>
              <w:t>与《鸡西市空气质量持续改善行动计划贯彻落实方案》符合性分析</w:t>
            </w:r>
          </w:p>
          <w:p w14:paraId="059B784A">
            <w:pPr>
              <w:pStyle w:val="88"/>
              <w:spacing w:line="400" w:lineRule="exact"/>
              <w:rPr>
                <w:rFonts w:hint="default" w:ascii="Times New Roman" w:hAnsi="Times New Roman" w:cs="Times New Roman"/>
                <w:color w:val="auto"/>
                <w:szCs w:val="24"/>
                <w:highlight w:val="none"/>
              </w:rPr>
            </w:pPr>
            <w:r>
              <w:rPr>
                <w:rFonts w:hint="default" w:ascii="Times New Roman" w:hAnsi="Times New Roman" w:cs="Times New Roman"/>
                <w:color w:val="auto"/>
                <w:sz w:val="24"/>
                <w:szCs w:val="24"/>
                <w:highlight w:val="none"/>
              </w:rPr>
              <w:t>表1-</w:t>
            </w:r>
            <w:r>
              <w:rPr>
                <w:rFonts w:hint="default" w:ascii="Times New Roman" w:hAnsi="Times New Roman"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 xml:space="preserve"> 与《</w:t>
            </w:r>
            <w:r>
              <w:rPr>
                <w:rFonts w:hint="default" w:ascii="Times New Roman" w:hAnsi="Times New Roman" w:cs="Times New Roman"/>
                <w:color w:val="auto"/>
                <w:sz w:val="24"/>
                <w:highlight w:val="none"/>
              </w:rPr>
              <w:t>鸡西市空气质量持续改善行动计划贯彻落实方案</w:t>
            </w:r>
            <w:r>
              <w:rPr>
                <w:rFonts w:hint="default" w:ascii="Times New Roman" w:hAnsi="Times New Roman" w:cs="Times New Roman"/>
                <w:color w:val="auto"/>
                <w:sz w:val="24"/>
                <w:szCs w:val="24"/>
                <w:highlight w:val="none"/>
              </w:rPr>
              <w:t>》符合性分析</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24"/>
              <w:gridCol w:w="2146"/>
              <w:gridCol w:w="733"/>
            </w:tblGrid>
            <w:tr w14:paraId="2AA7E4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2884" w:type="pct"/>
                  <w:vAlign w:val="center"/>
                </w:tcPr>
                <w:p w14:paraId="3A335490">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文件要求</w:t>
                  </w:r>
                </w:p>
              </w:tc>
              <w:tc>
                <w:tcPr>
                  <w:tcW w:w="1577" w:type="pct"/>
                  <w:vAlign w:val="center"/>
                </w:tcPr>
                <w:p w14:paraId="157E06E7">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p>
              </w:tc>
              <w:tc>
                <w:tcPr>
                  <w:tcW w:w="539" w:type="pct"/>
                  <w:vAlign w:val="center"/>
                </w:tcPr>
                <w:p w14:paraId="4993C636">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符合性</w:t>
                  </w:r>
                </w:p>
              </w:tc>
            </w:tr>
            <w:tr w14:paraId="33A76F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84" w:type="pct"/>
                  <w:vAlign w:val="center"/>
                </w:tcPr>
                <w:p w14:paraId="27516F5C">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持续开展燃煤锅炉淘汰改造。有序推进小型电站锅炉和服役时间超过15年的老旧低效工业锅炉淘汰工作。将燃煤供热锅炉替代项目纳入城镇供热规划。县级及以上城市建成区原则上不再新建35蒸吨/小时及以下燃煤锅炉，其他地区原则上不再新建10蒸吨/小时及以下燃煤锅炉和2蒸吨/小时及以下生物质锅炉。加快热力管网建设，推广中长距离供热，加快替代供热管网覆盖范围内的小型燃煤锅炉，充分释放热电联产、工业余热等供热能力。到2025年，全市淘汰管网覆盖范围内的供热燃煤锅炉；细颗粒物（PM2.5）未达标县（市）区基本淘汰10蒸吨/小时及以下的燃煤锅炉。</w:t>
                  </w:r>
                </w:p>
              </w:tc>
              <w:tc>
                <w:tcPr>
                  <w:tcW w:w="1577" w:type="pct"/>
                  <w:vAlign w:val="center"/>
                </w:tcPr>
                <w:p w14:paraId="1419CE72">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本项目采用</w:t>
                  </w:r>
                  <w:r>
                    <w:rPr>
                      <w:rFonts w:hint="default" w:ascii="Times New Roman" w:hAnsi="Times New Roman" w:cs="Times New Roman"/>
                      <w:color w:val="auto"/>
                      <w:szCs w:val="21"/>
                      <w:highlight w:val="none"/>
                      <w:lang w:val="en-US" w:eastAsia="zh-CN"/>
                    </w:rPr>
                    <w:t>燃油</w:t>
                  </w:r>
                  <w:r>
                    <w:rPr>
                      <w:rFonts w:hint="default" w:ascii="Times New Roman" w:hAnsi="Times New Roman" w:cs="Times New Roman"/>
                      <w:color w:val="auto"/>
                      <w:szCs w:val="21"/>
                      <w:highlight w:val="none"/>
                    </w:rPr>
                    <w:t>导热油锅炉加热沥青储罐，冬季</w:t>
                  </w:r>
                  <w:r>
                    <w:rPr>
                      <w:rFonts w:hint="default" w:ascii="Times New Roman" w:hAnsi="Times New Roman" w:cs="Times New Roman"/>
                      <w:color w:val="auto"/>
                      <w:szCs w:val="21"/>
                      <w:highlight w:val="none"/>
                      <w:lang w:val="en-US" w:eastAsia="zh-CN"/>
                    </w:rPr>
                    <w:t>不生产，</w:t>
                  </w:r>
                  <w:r>
                    <w:rPr>
                      <w:rFonts w:hint="default" w:ascii="Times New Roman" w:hAnsi="Times New Roman" w:cs="Times New Roman"/>
                      <w:color w:val="auto"/>
                      <w:szCs w:val="21"/>
                      <w:highlight w:val="none"/>
                    </w:rPr>
                    <w:t>无需供暖，本项目不涉及建设燃煤供热锅炉。</w:t>
                  </w:r>
                </w:p>
              </w:tc>
              <w:tc>
                <w:tcPr>
                  <w:tcW w:w="539" w:type="pct"/>
                  <w:vMerge w:val="restart"/>
                  <w:vAlign w:val="center"/>
                </w:tcPr>
                <w:p w14:paraId="299946F1">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02D80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884" w:type="pct"/>
                  <w:vAlign w:val="center"/>
                </w:tcPr>
                <w:p w14:paraId="6C52B311">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深化扬尘污染综合治理。全面推行绿色施工，严格执行“六个百分之百”，将防治扬尘污染费用纳入工程造价。到2025年，全市装配式建筑占新建建筑面积的比例力争达到20%；地级及以上城市建成区道路机械化清扫率达到80%左右，县城达到70%左右。对城市公共裸地进行排查建档并采取防尘措施。城市大型煤炭、矿石等干散货码头物料堆场基本完成抑尘设施建设和物料输送系统封闭改造。</w:t>
                  </w:r>
                </w:p>
              </w:tc>
              <w:tc>
                <w:tcPr>
                  <w:tcW w:w="1577" w:type="pct"/>
                  <w:vAlign w:val="center"/>
                </w:tcPr>
                <w:p w14:paraId="3EFB48FF">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本项目强化扬尘治理措施，施工期采取设置围挡，使用商品混凝土，粉性物料集中地点存放并加盖苫布、干燥天气应经常性给沙堆洒水等措施以减少施工期扬尘。</w:t>
                  </w:r>
                </w:p>
              </w:tc>
              <w:tc>
                <w:tcPr>
                  <w:tcW w:w="539" w:type="pct"/>
                  <w:vMerge w:val="continue"/>
                  <w:vAlign w:val="center"/>
                </w:tcPr>
                <w:p w14:paraId="28C6E4D5">
                  <w:pPr>
                    <w:pStyle w:val="74"/>
                    <w:rPr>
                      <w:rFonts w:hint="default" w:ascii="Times New Roman" w:hAnsi="Times New Roman" w:cs="Times New Roman"/>
                      <w:color w:val="auto"/>
                      <w:szCs w:val="21"/>
                      <w:highlight w:val="none"/>
                    </w:rPr>
                  </w:pPr>
                </w:p>
              </w:tc>
            </w:tr>
          </w:tbl>
          <w:p w14:paraId="0F1611A8">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zh-CN"/>
              </w:rPr>
              <w:t>八、</w:t>
            </w:r>
            <w:r>
              <w:rPr>
                <w:rFonts w:hint="default" w:ascii="Times New Roman" w:hAnsi="Times New Roman" w:cs="Times New Roman"/>
                <w:color w:val="auto"/>
                <w:sz w:val="24"/>
                <w:highlight w:val="none"/>
              </w:rPr>
              <w:t>与《环境空气细颗粒物污染综合防治技术政策》符合性分析</w:t>
            </w:r>
          </w:p>
          <w:p w14:paraId="69EEFF25">
            <w:pPr>
              <w:pStyle w:val="88"/>
              <w:spacing w:line="400" w:lineRule="exact"/>
              <w:rPr>
                <w:rFonts w:hint="default" w:ascii="Times New Roman" w:hAnsi="Times New Roman" w:cs="Times New Roman"/>
                <w:color w:val="auto"/>
                <w:sz w:val="24"/>
                <w:szCs w:val="24"/>
                <w:highlight w:val="none"/>
              </w:rPr>
            </w:pPr>
          </w:p>
          <w:p w14:paraId="7170D5D6">
            <w:pPr>
              <w:pStyle w:val="88"/>
              <w:spacing w:line="40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表1-8 与《环境空气细颗粒物污染综合防治技术政策》符合性分析</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01"/>
              <w:gridCol w:w="1769"/>
              <w:gridCol w:w="733"/>
            </w:tblGrid>
            <w:tr w14:paraId="09E21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3161" w:type="pct"/>
                  <w:vAlign w:val="center"/>
                </w:tcPr>
                <w:p w14:paraId="68C3E706">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文件要求</w:t>
                  </w:r>
                </w:p>
              </w:tc>
              <w:tc>
                <w:tcPr>
                  <w:tcW w:w="1300" w:type="pct"/>
                  <w:vAlign w:val="center"/>
                </w:tcPr>
                <w:p w14:paraId="4D9084B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p>
              </w:tc>
              <w:tc>
                <w:tcPr>
                  <w:tcW w:w="539" w:type="pct"/>
                  <w:vAlign w:val="center"/>
                </w:tcPr>
                <w:p w14:paraId="0DCF4E1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符合性</w:t>
                  </w:r>
                </w:p>
              </w:tc>
            </w:tr>
            <w:tr w14:paraId="1A6E5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3161" w:type="pct"/>
                  <w:vAlign w:val="center"/>
                </w:tcPr>
                <w:p w14:paraId="4BDF134E">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0"/>
                      <w:highlight w:val="none"/>
                    </w:rPr>
                    <w:t>三、防治工业污染要求：（十一）应加强对各类污染源的监管，确保污染治理设施稳定运行，切实落实企业环保责任。鼓励采用低能耗、低污染的生产工艺，提高各个行业的清洁生产水平，降低污染物产生量。（十二）应制定严格、完善的国家和地方工业污染物排放标准，明确各行业排放控制要求。在环境污染严重、污染物排放量大的地区，应制定实施严格的地方排放标准或国家排放标准特别排放限值。（十三）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十五）产生大气颗粒物及其前体物污染物的生产活动应尽量采用密闭装置，避免无组织排放；无法完全密闭的，应安装集气装置收集逸散的污染物，经净化后排放。</w:t>
                  </w:r>
                </w:p>
              </w:tc>
              <w:tc>
                <w:tcPr>
                  <w:tcW w:w="1300" w:type="pct"/>
                  <w:vAlign w:val="center"/>
                </w:tcPr>
                <w:p w14:paraId="6FCE69F5">
                  <w:pPr>
                    <w:pStyle w:val="74"/>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营期加强监管各处污染源，严格落实环保责任，本项目排放颗粒物的工业污染源包括骨料加热烘干废气等均分别采用袋除尘等除尘技术处理后达到相应的国家和地方工业污染物排放标准限值后排放。项目原料的上料、输送过程采用封闭装置。</w:t>
                  </w:r>
                </w:p>
              </w:tc>
              <w:tc>
                <w:tcPr>
                  <w:tcW w:w="539" w:type="pct"/>
                  <w:vMerge w:val="restart"/>
                  <w:vAlign w:val="center"/>
                </w:tcPr>
                <w:p w14:paraId="49F86C4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733CE6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5" w:hRule="atLeast"/>
              </w:trPr>
              <w:tc>
                <w:tcPr>
                  <w:tcW w:w="3161" w:type="pct"/>
                  <w:vAlign w:val="center"/>
                </w:tcPr>
                <w:p w14:paraId="6CF8E581">
                  <w:pPr>
                    <w:pStyle w:val="74"/>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五、防治扬尘污染要求：（二十二）扬尘污染源应以道路扬尘、施工扬尘、粉状物料贮存场扬尘、城市裸土起尘等为防治重点。应参照《防治城市扬尘污染技术规范》，开展城市扬尘综合整治，减少城市裸地面积，采取植树种草等措施提高绿化率，或适当采用地面硬化措施，遏止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二十四）实行粉状物料及渣土车辆密闭运输，加强监管，防止遗撒。及时进行道路清扫、冲洗、洒水作业，减少道路扬尘。规范园林绿化设计和施工管理，防止园林绿地土壤向道路流失。</w:t>
                  </w:r>
                </w:p>
              </w:tc>
              <w:tc>
                <w:tcPr>
                  <w:tcW w:w="1300" w:type="pct"/>
                  <w:vAlign w:val="center"/>
                </w:tcPr>
                <w:p w14:paraId="4C70D5DE">
                  <w:pPr>
                    <w:pStyle w:val="74"/>
                    <w:jc w:val="both"/>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本项目采取地面硬化措施及洒水降尘等措施防止颗粒物逸散，对运输车辆进行密闭或采用苫布覆盖并加强监管，防止遗撒。及时进行道路清扫、冲洗、洒水作业，减少道路扬尘。</w:t>
                  </w:r>
                </w:p>
              </w:tc>
              <w:tc>
                <w:tcPr>
                  <w:tcW w:w="539" w:type="pct"/>
                  <w:vMerge w:val="continue"/>
                  <w:vAlign w:val="center"/>
                </w:tcPr>
                <w:p w14:paraId="5FBA212E">
                  <w:pPr>
                    <w:pStyle w:val="74"/>
                    <w:rPr>
                      <w:rFonts w:hint="default" w:ascii="Times New Roman" w:hAnsi="Times New Roman" w:cs="Times New Roman"/>
                      <w:color w:val="auto"/>
                      <w:szCs w:val="21"/>
                      <w:highlight w:val="none"/>
                    </w:rPr>
                  </w:pPr>
                </w:p>
              </w:tc>
            </w:tr>
          </w:tbl>
          <w:p w14:paraId="1C70BBC1">
            <w:pPr>
              <w:adjustRightInd w:val="0"/>
              <w:snapToGrid w:val="0"/>
              <w:spacing w:line="500" w:lineRule="exact"/>
              <w:ind w:firstLine="480" w:firstLineChars="200"/>
              <w:rPr>
                <w:rFonts w:hint="default" w:ascii="Times New Roman" w:hAnsi="Times New Roman" w:cs="Times New Roman"/>
                <w:color w:val="auto"/>
                <w:sz w:val="24"/>
                <w:highlight w:val="none"/>
                <w:lang w:val="en-US" w:eastAsia="zh-CN"/>
              </w:rPr>
            </w:pPr>
          </w:p>
          <w:p w14:paraId="2D3F18BD">
            <w:pPr>
              <w:adjustRightInd w:val="0"/>
              <w:snapToGrid w:val="0"/>
              <w:spacing w:line="500" w:lineRule="exact"/>
              <w:ind w:firstLine="480" w:firstLineChars="200"/>
              <w:rPr>
                <w:rFonts w:hint="default" w:ascii="Times New Roman" w:hAnsi="Times New Roman" w:cs="Times New Roman"/>
                <w:color w:val="auto"/>
                <w:sz w:val="24"/>
                <w:highlight w:val="none"/>
                <w:lang w:val="en-US" w:eastAsia="zh-CN"/>
              </w:rPr>
            </w:pPr>
          </w:p>
          <w:p w14:paraId="5FCF0241">
            <w:pPr>
              <w:adjustRightInd w:val="0"/>
              <w:snapToGrid w:val="0"/>
              <w:spacing w:line="500" w:lineRule="exact"/>
              <w:ind w:firstLine="480" w:firstLineChars="200"/>
              <w:rPr>
                <w:rFonts w:hint="default" w:ascii="Times New Roman" w:hAnsi="Times New Roman" w:cs="Times New Roman"/>
                <w:color w:val="auto"/>
                <w:sz w:val="24"/>
                <w:highlight w:val="none"/>
                <w:lang w:val="en-US" w:eastAsia="zh-CN"/>
              </w:rPr>
            </w:pPr>
          </w:p>
          <w:p w14:paraId="36DEFF8C">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九、</w:t>
            </w:r>
            <w:r>
              <w:rPr>
                <w:rFonts w:hint="default" w:ascii="Times New Roman" w:hAnsi="Times New Roman" w:cs="Times New Roman"/>
                <w:color w:val="auto"/>
                <w:sz w:val="24"/>
                <w:highlight w:val="none"/>
              </w:rPr>
              <w:t>与《</w:t>
            </w:r>
            <w:r>
              <w:rPr>
                <w:rFonts w:hint="default" w:ascii="Times New Roman" w:hAnsi="Times New Roman" w:cs="Times New Roman"/>
                <w:color w:val="auto"/>
                <w:sz w:val="24"/>
                <w:highlight w:val="none"/>
                <w:lang w:val="en-US" w:eastAsia="zh-CN"/>
              </w:rPr>
              <w:t>黑龙江省大气污染防治条例</w:t>
            </w:r>
            <w:r>
              <w:rPr>
                <w:rFonts w:hint="default" w:ascii="Times New Roman" w:hAnsi="Times New Roman" w:cs="Times New Roman"/>
                <w:color w:val="auto"/>
                <w:sz w:val="24"/>
                <w:highlight w:val="none"/>
              </w:rPr>
              <w:t>》符合性分析</w:t>
            </w:r>
          </w:p>
          <w:p w14:paraId="376EC632">
            <w:pPr>
              <w:pStyle w:val="88"/>
              <w:spacing w:line="40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表1-</w:t>
            </w:r>
            <w:r>
              <w:rPr>
                <w:rFonts w:hint="default" w:ascii="Times New Roman" w:hAnsi="Times New Roman" w:cs="Times New Roman"/>
                <w:color w:val="auto"/>
                <w:sz w:val="24"/>
                <w:szCs w:val="24"/>
                <w:highlight w:val="none"/>
                <w:lang w:val="en-US" w:eastAsia="zh-CN"/>
              </w:rPr>
              <w:t>9</w:t>
            </w:r>
            <w:r>
              <w:rPr>
                <w:rFonts w:hint="default" w:ascii="Times New Roman" w:hAnsi="Times New Roman" w:cs="Times New Roman"/>
                <w:color w:val="auto"/>
                <w:sz w:val="24"/>
                <w:szCs w:val="24"/>
                <w:highlight w:val="none"/>
              </w:rPr>
              <w:t xml:space="preserve"> 与《</w:t>
            </w:r>
            <w:r>
              <w:rPr>
                <w:rFonts w:hint="default" w:ascii="Times New Roman" w:hAnsi="Times New Roman" w:cs="Times New Roman"/>
                <w:color w:val="auto"/>
                <w:sz w:val="24"/>
                <w:highlight w:val="none"/>
                <w:lang w:val="en-US" w:eastAsia="zh-CN"/>
              </w:rPr>
              <w:t>黑龙江省大气污染防治条例</w:t>
            </w:r>
            <w:r>
              <w:rPr>
                <w:rFonts w:hint="default" w:ascii="Times New Roman" w:hAnsi="Times New Roman" w:cs="Times New Roman"/>
                <w:color w:val="auto"/>
                <w:sz w:val="24"/>
                <w:szCs w:val="24"/>
                <w:highlight w:val="none"/>
              </w:rPr>
              <w:t>》符合性分析</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34"/>
              <w:gridCol w:w="3034"/>
              <w:gridCol w:w="734"/>
            </w:tblGrid>
            <w:tr w14:paraId="6BB634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2230" w:type="pct"/>
                  <w:vAlign w:val="center"/>
                </w:tcPr>
                <w:p w14:paraId="7C623758">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文件要求</w:t>
                  </w:r>
                </w:p>
              </w:tc>
              <w:tc>
                <w:tcPr>
                  <w:tcW w:w="2230" w:type="pct"/>
                  <w:vAlign w:val="center"/>
                </w:tcPr>
                <w:p w14:paraId="44D20E65">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p>
              </w:tc>
              <w:tc>
                <w:tcPr>
                  <w:tcW w:w="539" w:type="pct"/>
                  <w:vAlign w:val="center"/>
                </w:tcPr>
                <w:p w14:paraId="3D812297">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符合性</w:t>
                  </w:r>
                </w:p>
              </w:tc>
            </w:tr>
            <w:tr w14:paraId="11C0CD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1" w:hRule="atLeast"/>
              </w:trPr>
              <w:tc>
                <w:tcPr>
                  <w:tcW w:w="2230" w:type="pct"/>
                  <w:vAlign w:val="center"/>
                </w:tcPr>
                <w:p w14:paraId="417A6323">
                  <w:pPr>
                    <w:adjustRightInd w:val="0"/>
                    <w:snapToGrid w:val="0"/>
                    <w:rPr>
                      <w:rFonts w:hint="default" w:ascii="Times New Roman" w:hAnsi="Times New Roman" w:cs="Times New Roman"/>
                      <w:color w:val="auto"/>
                      <w:szCs w:val="21"/>
                      <w:highlight w:val="none"/>
                    </w:rPr>
                  </w:pPr>
                  <w:r>
                    <w:rPr>
                      <w:rFonts w:hint="default" w:ascii="Times New Roman" w:hAnsi="Times New Roman" w:eastAsia="宋体" w:cs="Times New Roman"/>
                      <w:color w:val="auto"/>
                      <w:kern w:val="2"/>
                      <w:sz w:val="21"/>
                      <w:szCs w:val="20"/>
                      <w:highlight w:val="none"/>
                      <w:lang w:val="en-US" w:eastAsia="zh-CN" w:bidi="ar-SA"/>
                    </w:rPr>
                    <w:t>设区的市级城市建成区内，禁止新建额定蒸发量低于每小时二十吨或者额定功率低于十四兆瓦的燃煤锅炉；已经建成的额定蒸发量每小时十吨以下或者额定功率七兆瓦以下的燃煤锅炉，应当在国家规定的期限内淘汰。</w:t>
                  </w:r>
                </w:p>
              </w:tc>
              <w:tc>
                <w:tcPr>
                  <w:tcW w:w="2230" w:type="pct"/>
                  <w:vAlign w:val="center"/>
                </w:tcPr>
                <w:p w14:paraId="0DBE0249">
                  <w:pPr>
                    <w:pStyle w:val="74"/>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本项目新建1台100万kal的</w:t>
                  </w:r>
                  <w:r>
                    <w:rPr>
                      <w:rFonts w:hint="default" w:ascii="Times New Roman" w:hAnsi="Times New Roman" w:cs="Times New Roman"/>
                      <w:color w:val="auto"/>
                      <w:kern w:val="2"/>
                      <w:sz w:val="21"/>
                      <w:szCs w:val="20"/>
                      <w:highlight w:val="none"/>
                      <w:lang w:val="en-US" w:eastAsia="zh-CN" w:bidi="ar-SA"/>
                    </w:rPr>
                    <w:t>燃油</w:t>
                  </w:r>
                  <w:r>
                    <w:rPr>
                      <w:rFonts w:hint="default" w:ascii="Times New Roman" w:hAnsi="Times New Roman" w:eastAsia="宋体" w:cs="Times New Roman"/>
                      <w:color w:val="auto"/>
                      <w:kern w:val="2"/>
                      <w:sz w:val="21"/>
                      <w:szCs w:val="20"/>
                      <w:highlight w:val="none"/>
                      <w:lang w:val="en-US" w:eastAsia="zh-CN" w:bidi="ar-SA"/>
                    </w:rPr>
                    <w:t>导热油炉</w:t>
                  </w:r>
                  <w:r>
                    <w:rPr>
                      <w:rFonts w:hint="default" w:ascii="Times New Roman" w:hAnsi="Times New Roman" w:cs="Times New Roman"/>
                      <w:color w:val="auto"/>
                      <w:kern w:val="2"/>
                      <w:sz w:val="21"/>
                      <w:szCs w:val="20"/>
                      <w:highlight w:val="none"/>
                      <w:lang w:val="en-US" w:eastAsia="zh-CN" w:bidi="ar-SA"/>
                    </w:rPr>
                    <w:t>对沥青进行加热</w:t>
                  </w:r>
                  <w:r>
                    <w:rPr>
                      <w:rFonts w:hint="default" w:ascii="Times New Roman" w:hAnsi="Times New Roman" w:eastAsia="宋体" w:cs="Times New Roman"/>
                      <w:color w:val="auto"/>
                      <w:kern w:val="2"/>
                      <w:sz w:val="21"/>
                      <w:szCs w:val="20"/>
                      <w:highlight w:val="none"/>
                      <w:lang w:val="en-US" w:eastAsia="zh-CN" w:bidi="ar-SA"/>
                    </w:rPr>
                    <w:t>，</w:t>
                  </w:r>
                  <w:r>
                    <w:rPr>
                      <w:rFonts w:hint="default" w:ascii="Times New Roman" w:hAnsi="Times New Roman" w:cs="Times New Roman"/>
                      <w:color w:val="auto"/>
                      <w:kern w:val="2"/>
                      <w:sz w:val="21"/>
                      <w:szCs w:val="20"/>
                      <w:highlight w:val="none"/>
                      <w:lang w:val="en-US" w:eastAsia="zh-CN" w:bidi="ar-SA"/>
                    </w:rPr>
                    <w:t>新建1台21.7MW燃油燃烧器进行骨料加热，本项目不涉及燃煤锅炉建设，</w:t>
                  </w:r>
                  <w:r>
                    <w:rPr>
                      <w:rFonts w:hint="default" w:ascii="Times New Roman" w:hAnsi="Times New Roman" w:eastAsia="宋体" w:cs="Times New Roman"/>
                      <w:color w:val="auto"/>
                      <w:kern w:val="2"/>
                      <w:sz w:val="21"/>
                      <w:szCs w:val="20"/>
                      <w:highlight w:val="none"/>
                      <w:lang w:val="en-US" w:eastAsia="zh-CN" w:bidi="ar-SA"/>
                    </w:rPr>
                    <w:t>本项目符合《黑龙江省大气污染防治条例》相关要求。</w:t>
                  </w:r>
                </w:p>
              </w:tc>
              <w:tc>
                <w:tcPr>
                  <w:tcW w:w="539" w:type="pct"/>
                  <w:vAlign w:val="center"/>
                </w:tcPr>
                <w:p w14:paraId="2BE0E8E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bl>
          <w:p w14:paraId="55D2B934">
            <w:pPr>
              <w:pStyle w:val="88"/>
              <w:spacing w:line="400" w:lineRule="exact"/>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十、与《虎林市东诚镇国土空间总体规划（2021-2035年）》</w:t>
            </w:r>
          </w:p>
          <w:p w14:paraId="4BA0BFA1">
            <w:pPr>
              <w:pStyle w:val="88"/>
              <w:spacing w:line="400" w:lineRule="exact"/>
              <w:rPr>
                <w:rFonts w:hint="default" w:ascii="Times New Roman" w:hAnsi="Times New Roman" w:cs="Times New Roman"/>
                <w:color w:val="auto"/>
                <w:sz w:val="22"/>
                <w:szCs w:val="22"/>
                <w:highlight w:val="none"/>
              </w:rPr>
            </w:pPr>
            <w:r>
              <w:rPr>
                <w:rFonts w:hint="default" w:ascii="Times New Roman" w:hAnsi="Times New Roman" w:cs="Times New Roman"/>
                <w:color w:val="auto"/>
                <w:sz w:val="22"/>
                <w:szCs w:val="22"/>
                <w:highlight w:val="none"/>
              </w:rPr>
              <w:t>表1-</w:t>
            </w:r>
            <w:r>
              <w:rPr>
                <w:rFonts w:hint="default" w:ascii="Times New Roman" w:hAnsi="Times New Roman" w:cs="Times New Roman"/>
                <w:color w:val="auto"/>
                <w:sz w:val="22"/>
                <w:szCs w:val="22"/>
                <w:highlight w:val="none"/>
                <w:lang w:val="en-US" w:eastAsia="zh-CN"/>
              </w:rPr>
              <w:t>10</w:t>
            </w:r>
            <w:r>
              <w:rPr>
                <w:rFonts w:hint="default" w:ascii="Times New Roman" w:hAnsi="Times New Roman" w:cs="Times New Roman"/>
                <w:color w:val="auto"/>
                <w:sz w:val="22"/>
                <w:szCs w:val="22"/>
                <w:highlight w:val="none"/>
              </w:rPr>
              <w:t xml:space="preserve"> 与《虎林市东诚镇国土空间总体规划（2021-2035年）》符合性分析</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34"/>
              <w:gridCol w:w="3034"/>
              <w:gridCol w:w="734"/>
            </w:tblGrid>
            <w:tr w14:paraId="71CA2D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2230" w:type="pct"/>
                  <w:vAlign w:val="center"/>
                </w:tcPr>
                <w:p w14:paraId="6567E28B">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文件要求</w:t>
                  </w:r>
                </w:p>
              </w:tc>
              <w:tc>
                <w:tcPr>
                  <w:tcW w:w="2230" w:type="pct"/>
                  <w:vAlign w:val="center"/>
                </w:tcPr>
                <w:p w14:paraId="49013EEF">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p>
              </w:tc>
              <w:tc>
                <w:tcPr>
                  <w:tcW w:w="539" w:type="pct"/>
                  <w:vAlign w:val="center"/>
                </w:tcPr>
                <w:p w14:paraId="0A11829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符合性</w:t>
                  </w:r>
                </w:p>
              </w:tc>
            </w:tr>
            <w:tr w14:paraId="6868F1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30" w:type="pct"/>
                  <w:vAlign w:val="center"/>
                </w:tcPr>
                <w:p w14:paraId="1EF45619">
                  <w:pPr>
                    <w:adjustRightInd w:val="0"/>
                    <w:snapToGrid w:val="0"/>
                    <w:rPr>
                      <w:rFonts w:hint="default" w:ascii="Times New Roman" w:hAnsi="Times New Roman" w:cs="Times New Roman"/>
                      <w:color w:val="auto"/>
                      <w:kern w:val="2"/>
                      <w:sz w:val="21"/>
                      <w:szCs w:val="20"/>
                      <w:highlight w:val="none"/>
                      <w:lang w:val="en-US" w:eastAsia="zh-CN" w:bidi="ar-SA"/>
                    </w:rPr>
                  </w:pPr>
                  <w:r>
                    <w:rPr>
                      <w:rFonts w:hint="default" w:ascii="Times New Roman" w:hAnsi="Times New Roman" w:cs="Times New Roman"/>
                      <w:color w:val="auto"/>
                      <w:kern w:val="2"/>
                      <w:sz w:val="21"/>
                      <w:szCs w:val="20"/>
                      <w:highlight w:val="none"/>
                      <w:lang w:val="en-US" w:eastAsia="zh-CN" w:bidi="ar-SA"/>
                    </w:rPr>
                    <w:t>落实“三条”控制线</w:t>
                  </w:r>
                </w:p>
                <w:p w14:paraId="2BBD850C">
                  <w:pPr>
                    <w:adjustRightInd w:val="0"/>
                    <w:snapToGrid w:val="0"/>
                    <w:rPr>
                      <w:rFonts w:hint="default" w:ascii="Times New Roman" w:hAnsi="Times New Roman" w:cs="Times New Roman"/>
                      <w:color w:val="auto"/>
                      <w:kern w:val="2"/>
                      <w:sz w:val="21"/>
                      <w:szCs w:val="20"/>
                      <w:highlight w:val="none"/>
                      <w:lang w:val="en-US" w:eastAsia="zh-CN" w:bidi="ar-SA"/>
                    </w:rPr>
                  </w:pPr>
                  <w:r>
                    <w:rPr>
                      <w:rFonts w:hint="default" w:ascii="Times New Roman" w:hAnsi="Times New Roman" w:cs="Times New Roman"/>
                      <w:color w:val="auto"/>
                      <w:kern w:val="2"/>
                      <w:sz w:val="21"/>
                      <w:szCs w:val="20"/>
                      <w:highlight w:val="none"/>
                      <w:lang w:val="en-US" w:eastAsia="zh-CN" w:bidi="ar-SA"/>
                    </w:rPr>
                    <w:t>永久基本农田：落实最严格的耕地保护制度，对永久基本农田实行特殊保护，坚决防止永久基本农田“非农化”。强化永久基本农田对各类建设布局的约束，完善永久基本农田保护补偿机制。</w:t>
                  </w:r>
                </w:p>
                <w:p w14:paraId="19A577C3">
                  <w:pPr>
                    <w:adjustRightInd w:val="0"/>
                    <w:snapToGrid w:val="0"/>
                    <w:rPr>
                      <w:rFonts w:hint="default" w:ascii="Times New Roman" w:hAnsi="Times New Roman" w:cs="Times New Roman"/>
                      <w:color w:val="auto"/>
                      <w:szCs w:val="21"/>
                      <w:highlight w:val="none"/>
                    </w:rPr>
                  </w:pPr>
                  <w:r>
                    <w:rPr>
                      <w:rFonts w:hint="default" w:ascii="Times New Roman" w:hAnsi="Times New Roman" w:eastAsia="宋体" w:cs="Times New Roman"/>
                      <w:color w:val="auto"/>
                      <w:kern w:val="2"/>
                      <w:sz w:val="21"/>
                      <w:szCs w:val="20"/>
                      <w:highlight w:val="none"/>
                      <w:lang w:val="en-US" w:eastAsia="zh-CN" w:bidi="ar-SA"/>
                    </w:rPr>
                    <w:t>城镇开发边界</w:t>
                  </w:r>
                  <w:r>
                    <w:rPr>
                      <w:rFonts w:hint="default" w:ascii="Times New Roman" w:hAnsi="Times New Roman" w:cs="Times New Roman"/>
                      <w:color w:val="auto"/>
                      <w:kern w:val="2"/>
                      <w:sz w:val="21"/>
                      <w:szCs w:val="20"/>
                      <w:highlight w:val="none"/>
                      <w:lang w:val="en-US" w:eastAsia="zh-CN" w:bidi="ar-SA"/>
                    </w:rPr>
                    <w:t>：强化城镇开发边界对开发建设行为的刚性约束作用，框定总量，限定容量，防止城镇无序蔓延。考虑城镇未来发展的不确定性，科学预留具有兼容性的留白区，为未来发展留有开发空间</w:t>
                  </w:r>
                  <w:r>
                    <w:rPr>
                      <w:rFonts w:hint="default" w:ascii="Times New Roman" w:hAnsi="Times New Roman" w:eastAsia="宋体" w:cs="Times New Roman"/>
                      <w:color w:val="auto"/>
                      <w:kern w:val="2"/>
                      <w:sz w:val="21"/>
                      <w:szCs w:val="20"/>
                      <w:highlight w:val="none"/>
                      <w:lang w:val="en-US" w:eastAsia="zh-CN" w:bidi="ar-SA"/>
                    </w:rPr>
                    <w:t>。</w:t>
                  </w:r>
                </w:p>
              </w:tc>
              <w:tc>
                <w:tcPr>
                  <w:tcW w:w="2230" w:type="pct"/>
                  <w:vAlign w:val="center"/>
                </w:tcPr>
                <w:p w14:paraId="1CE6E706">
                  <w:pPr>
                    <w:pStyle w:val="74"/>
                    <w:jc w:val="both"/>
                    <w:rPr>
                      <w:rFonts w:hint="default" w:ascii="Times New Roman" w:hAnsi="Times New Roman" w:cs="Times New Roman"/>
                      <w:color w:val="auto"/>
                      <w:highlight w:val="none"/>
                      <w:lang w:val="en-US"/>
                    </w:rPr>
                  </w:pPr>
                  <w:r>
                    <w:rPr>
                      <w:rFonts w:hint="default" w:ascii="Times New Roman" w:hAnsi="Times New Roman" w:eastAsia="宋体" w:cs="Times New Roman"/>
                      <w:color w:val="auto"/>
                      <w:kern w:val="2"/>
                      <w:sz w:val="21"/>
                      <w:szCs w:val="20"/>
                      <w:highlight w:val="none"/>
                      <w:lang w:val="en-US" w:eastAsia="zh-CN" w:bidi="ar-SA"/>
                    </w:rPr>
                    <w:t>本项目</w:t>
                  </w:r>
                  <w:r>
                    <w:rPr>
                      <w:rFonts w:hint="default" w:ascii="Times New Roman" w:hAnsi="Times New Roman" w:cs="Times New Roman"/>
                      <w:color w:val="auto"/>
                      <w:kern w:val="2"/>
                      <w:sz w:val="21"/>
                      <w:szCs w:val="20"/>
                      <w:highlight w:val="none"/>
                      <w:lang w:val="en-US" w:eastAsia="zh-CN" w:bidi="ar-SA"/>
                    </w:rPr>
                    <w:t>位于城镇开发边界内，本项目符合《虎林市东诚镇国土空间总体规划（2021-2035年）》。</w:t>
                  </w:r>
                </w:p>
              </w:tc>
              <w:tc>
                <w:tcPr>
                  <w:tcW w:w="539" w:type="pct"/>
                  <w:vAlign w:val="center"/>
                </w:tcPr>
                <w:p w14:paraId="2FE29AD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6497EE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30" w:type="pct"/>
                  <w:vAlign w:val="center"/>
                </w:tcPr>
                <w:p w14:paraId="27185CE9">
                  <w:pPr>
                    <w:adjustRightInd w:val="0"/>
                    <w:snapToGrid w:val="0"/>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kern w:val="2"/>
                      <w:sz w:val="21"/>
                      <w:szCs w:val="20"/>
                      <w:highlight w:val="none"/>
                      <w:lang w:val="en-US" w:eastAsia="zh-CN" w:bidi="ar-SA"/>
                    </w:rPr>
                    <w:t>村庄建设区、一般农业区、林业发展区：农田保护区外，为满足农林牧渔等农业发展以及农民集中生活和生产配套为主的区域。</w:t>
                  </w:r>
                </w:p>
              </w:tc>
              <w:tc>
                <w:tcPr>
                  <w:tcW w:w="2230" w:type="pct"/>
                  <w:vAlign w:val="center"/>
                </w:tcPr>
                <w:p w14:paraId="2E1F301F">
                  <w:pPr>
                    <w:pStyle w:val="74"/>
                    <w:jc w:val="both"/>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cs="Times New Roman"/>
                      <w:color w:val="auto"/>
                      <w:kern w:val="2"/>
                      <w:sz w:val="21"/>
                      <w:szCs w:val="20"/>
                      <w:highlight w:val="none"/>
                      <w:lang w:val="en-US" w:eastAsia="zh-CN" w:bidi="ar-SA"/>
                    </w:rPr>
                    <w:t>本项目位于村庄建设区，本项目为沥青混凝土项目，沥青混凝土为基础建设原料。项目所在分区见图1-2。</w:t>
                  </w:r>
                </w:p>
              </w:tc>
              <w:tc>
                <w:tcPr>
                  <w:tcW w:w="539" w:type="pct"/>
                  <w:vAlign w:val="center"/>
                </w:tcPr>
                <w:p w14:paraId="3F5A2AEC">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bl>
          <w:p w14:paraId="4C5D64F6">
            <w:pPr>
              <w:pStyle w:val="68"/>
              <w:adjustRightInd w:val="0"/>
              <w:snapToGrid w:val="0"/>
              <w:spacing w:line="240" w:lineRule="auto"/>
              <w:ind w:firstLine="0" w:firstLineChars="0"/>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mc:AlternateContent>
                <mc:Choice Requires="wps">
                  <w:drawing>
                    <wp:anchor distT="0" distB="0" distL="114300" distR="114300" simplePos="0" relativeHeight="251707392" behindDoc="0" locked="0" layoutInCell="1" allowOverlap="1">
                      <wp:simplePos x="0" y="0"/>
                      <wp:positionH relativeFrom="column">
                        <wp:posOffset>3566160</wp:posOffset>
                      </wp:positionH>
                      <wp:positionV relativeFrom="paragraph">
                        <wp:posOffset>3028950</wp:posOffset>
                      </wp:positionV>
                      <wp:extent cx="840105" cy="528955"/>
                      <wp:effectExtent l="6350" t="6350" r="10795" b="17145"/>
                      <wp:wrapNone/>
                      <wp:docPr id="114" name="矩形 114"/>
                      <wp:cNvGraphicFramePr/>
                      <a:graphic xmlns:a="http://schemas.openxmlformats.org/drawingml/2006/main">
                        <a:graphicData uri="http://schemas.microsoft.com/office/word/2010/wordprocessingShape">
                          <wps:wsp>
                            <wps:cNvSpPr/>
                            <wps:spPr>
                              <a:xfrm>
                                <a:off x="5614035" y="5061585"/>
                                <a:ext cx="840105" cy="52895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0.8pt;margin-top:238.5pt;height:41.65pt;width:66.15pt;z-index:251707392;v-text-anchor:middle;mso-width-relative:page;mso-height-relative:page;" fillcolor="#FFFFFF [3212]" filled="t" stroked="t" coordsize="21600,21600" o:gfxdata="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Nzmakzb&#10;AAAACwEAAA8AAAAAAAAAAQAgAAAAIgAAAGRycy9kb3ducmV2LnhtbFBLAQIUABQAAAAIAIdO4kCn&#10;px8BjwIAACUFAAAOAAAAAAAAAAEAIAAAACoBAABkcnMvZTJvRG9jLnhtbFBLBQYAAAAABgAGAFkB&#10;AAArBgAAAAA=&#10;">
                      <v:fill on="t" focussize="0,0"/>
                      <v:stroke weight="1pt" color="#2F5597 [2404]" miterlimit="8" joinstyle="miter"/>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10464" behindDoc="0" locked="0" layoutInCell="1" allowOverlap="1">
                      <wp:simplePos x="0" y="0"/>
                      <wp:positionH relativeFrom="column">
                        <wp:posOffset>3687445</wp:posOffset>
                      </wp:positionH>
                      <wp:positionV relativeFrom="paragraph">
                        <wp:posOffset>3219450</wp:posOffset>
                      </wp:positionV>
                      <wp:extent cx="754380" cy="312420"/>
                      <wp:effectExtent l="0" t="0" r="0" b="0"/>
                      <wp:wrapNone/>
                      <wp:docPr id="117" name="矩形 117"/>
                      <wp:cNvGraphicFramePr/>
                      <a:graphic xmlns:a="http://schemas.openxmlformats.org/drawingml/2006/main">
                        <a:graphicData uri="http://schemas.microsoft.com/office/word/2010/wordprocessingShape">
                          <wps:wsp>
                            <wps:cNvSpPr/>
                            <wps:spPr>
                              <a:xfrm>
                                <a:off x="0" y="0"/>
                                <a:ext cx="754380" cy="3124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C3F6BEF">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35pt;margin-top:253.5pt;height:24.6pt;width:59.4pt;z-index:251710464;v-text-anchor:middle;mso-width-relative:page;mso-height-relative:page;" filled="f" stroked="f" coordsize="21600,21600" o:gfxdata="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4LrfPZAAAACwEAAA8AAAAAAAAAAQAgAAAAIgAAAGRycy9kb3ducmV2LnhtbFBLAQIUABQA&#10;AAAIAIdO4kDkg4VtYQIAALAEAAAOAAAAAAAAAAEAIAAAACgBAABkcnMvZTJvRG9jLnhtbFBLBQYA&#10;AAAABgAGAFkBAAD7BQAAAAA=&#10;">
                      <v:fill on="f" focussize="0,0"/>
                      <v:stroke on="f" weight="1pt" miterlimit="8" joinstyle="miter"/>
                      <v:imagedata o:title=""/>
                      <o:lock v:ext="edit" aspectratio="f"/>
                      <v:textbox>
                        <w:txbxContent>
                          <w:p w14:paraId="7C3F6BEF">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v:textbox>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9440" behindDoc="0" locked="0" layoutInCell="1" allowOverlap="1">
                      <wp:simplePos x="0" y="0"/>
                      <wp:positionH relativeFrom="column">
                        <wp:posOffset>3674745</wp:posOffset>
                      </wp:positionH>
                      <wp:positionV relativeFrom="paragraph">
                        <wp:posOffset>3337560</wp:posOffset>
                      </wp:positionV>
                      <wp:extent cx="75565" cy="75565"/>
                      <wp:effectExtent l="19050" t="21590" r="19685" b="17145"/>
                      <wp:wrapNone/>
                      <wp:docPr id="116" name="五角星 116"/>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89.35pt;margin-top:262.8pt;height:5.95pt;width:5.95pt;z-index:251709440;v-text-anchor:middle;mso-width-relative:page;mso-height-relative:page;" fillcolor="#FF0000" filled="t" stroked="t" coordsize="75565,75565" o:gfxdata="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NwQe32gAAAAsBAAAPAAAAAAAAAAEAIAAAACIAAABkcnMvZG93&#10;bnJldi54bWxQSwECFAAUAAAACACHTuJAGNjqQ3ACAAD5BAAADgAAAAAAAAABACAAAAApAQAAZHJz&#10;L2Uyb0RvYy54bWxQSwUGAAAAAAYABgBZAQAACwYAAAAA&#10;" path="m0,28863l28863,28863,37782,0,46701,28863,75564,28863,52213,46701,61133,75564,37782,57726,14431,75564,23351,46701xe">
                      <v:path o:connectlocs="37782,0;0,28863;14431,75564;61133,75564;75564,28863"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8416" behindDoc="0" locked="0" layoutInCell="1" allowOverlap="1">
                      <wp:simplePos x="0" y="0"/>
                      <wp:positionH relativeFrom="column">
                        <wp:posOffset>3622040</wp:posOffset>
                      </wp:positionH>
                      <wp:positionV relativeFrom="paragraph">
                        <wp:posOffset>2980690</wp:posOffset>
                      </wp:positionV>
                      <wp:extent cx="754380" cy="312420"/>
                      <wp:effectExtent l="0" t="0" r="0" b="0"/>
                      <wp:wrapNone/>
                      <wp:docPr id="115" name="矩形 115"/>
                      <wp:cNvGraphicFramePr/>
                      <a:graphic xmlns:a="http://schemas.openxmlformats.org/drawingml/2006/main">
                        <a:graphicData uri="http://schemas.microsoft.com/office/word/2010/wordprocessingShape">
                          <wps:wsp>
                            <wps:cNvSpPr/>
                            <wps:spPr>
                              <a:xfrm>
                                <a:off x="0" y="0"/>
                                <a:ext cx="754380" cy="3124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AF97D12">
                                  <w:pPr>
                                    <w:jc w:val="cente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 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2pt;margin-top:234.7pt;height:24.6pt;width:59.4pt;z-index:251708416;v-text-anchor:middle;mso-width-relative:page;mso-height-relative:page;" filled="f" stroked="f" coordsize="21600,21600" o:gfxdata="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wS/b7ZAAAACwEAAA8AAAAAAAAAAQAgAAAAIgAAAGRycy9kb3ducmV2LnhtbFBLAQIUABQA&#10;AAAIAIdO4kAkmpFNYQIAALAEAAAOAAAAAAAAAAEAIAAAACgBAABkcnMvZTJvRG9jLnhtbFBLBQYA&#10;AAAABgAGAFkBAAD7BQAAAAA=&#10;">
                      <v:fill on="f" focussize="0,0"/>
                      <v:stroke on="f" weight="1pt" miterlimit="8" joinstyle="miter"/>
                      <v:imagedata o:title=""/>
                      <o:lock v:ext="edit" aspectratio="f"/>
                      <v:textbox>
                        <w:txbxContent>
                          <w:p w14:paraId="5AF97D12">
                            <w:pPr>
                              <w:jc w:val="cente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 例</w:t>
                            </w:r>
                          </w:p>
                        </w:txbxContent>
                      </v:textbox>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6368" behindDoc="0" locked="0" layoutInCell="1" allowOverlap="1">
                      <wp:simplePos x="0" y="0"/>
                      <wp:positionH relativeFrom="column">
                        <wp:posOffset>1050925</wp:posOffset>
                      </wp:positionH>
                      <wp:positionV relativeFrom="paragraph">
                        <wp:posOffset>1449705</wp:posOffset>
                      </wp:positionV>
                      <wp:extent cx="75565" cy="75565"/>
                      <wp:effectExtent l="19050" t="21590" r="19685" b="17145"/>
                      <wp:wrapNone/>
                      <wp:docPr id="113" name="五角星 113"/>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82.75pt;margin-top:114.15pt;height:5.95pt;width:5.95pt;z-index:251706368;v-text-anchor:middle;mso-width-relative:page;mso-height-relative:page;" fillcolor="#FF0000" filled="t" stroked="t" coordsize="75565,75565" o:gfxdata="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gCNWbbAAAACwEAAA8AAAAAAAAAAQAgAAAAIgAAAGRycy9k&#10;b3ducmV2LnhtbFBLAQIUABQAAAAIAIdO4kAHTLs7cQIAAPkEAAAOAAAAAAAAAAEAIAAAACoBAABk&#10;cnMvZTJvRG9jLnhtbFBLBQYAAAAABgAGAFkBAAANBgAAAAA=&#10;" path="m0,28863l28863,28863,37782,0,46701,28863,75564,28863,52213,46701,61133,75564,37782,57726,14431,75564,23351,46701xe">
                      <v:path o:connectlocs="37782,0;0,28863;14431,75564;61133,75564;75564,28863"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5344" behindDoc="0" locked="0" layoutInCell="1" allowOverlap="1">
                      <wp:simplePos x="0" y="0"/>
                      <wp:positionH relativeFrom="column">
                        <wp:posOffset>2197100</wp:posOffset>
                      </wp:positionH>
                      <wp:positionV relativeFrom="paragraph">
                        <wp:posOffset>682625</wp:posOffset>
                      </wp:positionV>
                      <wp:extent cx="75565" cy="75565"/>
                      <wp:effectExtent l="19050" t="21590" r="19685" b="17145"/>
                      <wp:wrapNone/>
                      <wp:docPr id="112" name="五角星 112"/>
                      <wp:cNvGraphicFramePr/>
                      <a:graphic xmlns:a="http://schemas.openxmlformats.org/drawingml/2006/main">
                        <a:graphicData uri="http://schemas.microsoft.com/office/word/2010/wordprocessingShape">
                          <wps:wsp>
                            <wps:cNvSpPr/>
                            <wps:spPr>
                              <a:xfrm>
                                <a:off x="4220210" y="2844800"/>
                                <a:ext cx="75565" cy="755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3pt;margin-top:53.75pt;height:5.95pt;width:5.95pt;z-index:251705344;v-text-anchor:middle;mso-width-relative:page;mso-height-relative:page;" fillcolor="#FF0000" filled="t" stroked="t" coordsize="75565,75565" o:gfxdata="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J4kvJNwAAAALAQAADwAAAAAAAAABACAA&#10;AAAiAAAAZHJzL2Rvd25yZXYueG1sUEsBAhQAFAAAAAgAh07iQFCmjV97AgAABQUAAA4AAAAAAAAA&#10;AQAgAAAAKwEAAGRycy9lMm9Eb2MueG1sUEsFBgAAAAAGAAYAWQEAABgGAAAAAA==&#10;" path="m0,28863l28863,28863,37782,0,46701,28863,75564,28863,52213,46701,61133,75564,37782,57726,14431,75564,23351,46701xe">
                      <v:path o:connectlocs="37782,0;0,28863;14431,75564;61133,75564;75564,28863"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4320" behindDoc="0" locked="0" layoutInCell="1" allowOverlap="1">
                      <wp:simplePos x="0" y="0"/>
                      <wp:positionH relativeFrom="column">
                        <wp:posOffset>1469390</wp:posOffset>
                      </wp:positionH>
                      <wp:positionV relativeFrom="paragraph">
                        <wp:posOffset>76835</wp:posOffset>
                      </wp:positionV>
                      <wp:extent cx="2147570" cy="1186815"/>
                      <wp:effectExtent l="405130" t="6350" r="19050" b="216535"/>
                      <wp:wrapNone/>
                      <wp:docPr id="110" name="圆角矩形标注 110"/>
                      <wp:cNvGraphicFramePr/>
                      <a:graphic xmlns:a="http://schemas.openxmlformats.org/drawingml/2006/main">
                        <a:graphicData uri="http://schemas.microsoft.com/office/word/2010/wordprocessingShape">
                          <wps:wsp>
                            <wps:cNvSpPr/>
                            <wps:spPr>
                              <a:xfrm>
                                <a:off x="3683000" y="2637155"/>
                                <a:ext cx="2147570" cy="1186815"/>
                              </a:xfrm>
                              <a:prstGeom prst="wedgeRoundRectCallout">
                                <a:avLst>
                                  <a:gd name="adj1" fmla="val -67563"/>
                                  <a:gd name="adj2" fmla="val 64660"/>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C829200">
                                  <w:pPr>
                                    <w:jc w:val="center"/>
                                  </w:pPr>
                                  <w:r>
                                    <w:drawing>
                                      <wp:inline distT="0" distB="0" distL="114300" distR="114300">
                                        <wp:extent cx="1835785" cy="1357630"/>
                                        <wp:effectExtent l="0" t="0" r="12065" b="13970"/>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pic:cNvPicPr>
                                              </pic:nvPicPr>
                                              <pic:blipFill>
                                                <a:blip r:embed="rId15"/>
                                                <a:stretch>
                                                  <a:fillRect/>
                                                </a:stretch>
                                              </pic:blipFill>
                                              <pic:spPr>
                                                <a:xfrm>
                                                  <a:off x="0" y="0"/>
                                                  <a:ext cx="1835785" cy="13576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15.7pt;margin-top:6.05pt;height:93.45pt;width:169.1pt;z-index:251704320;v-text-anchor:middle;mso-width-relative:page;mso-height-relative:page;" fillcolor="#FFFFFF [3212]" filled="t" stroked="t" coordsize="21600,21600" o:gfxdata="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C96V3O2gAAAAoBAAAPAAAAAAAAAAEAIAAAACIAAABkcnMvZG93bnJldi54bWxQSwEC&#10;FAAUAAAACACHTuJADmk3VtYCAACjBQAADgAAAAAAAAABACAAAAApAQAAZHJzL2Uyb0RvYy54bWxQ&#10;SwUGAAAAAAYABgBZAQAAcQYAAAAA&#10;" adj="-3794,24767,14400">
                      <v:fill on="t" focussize="0,0"/>
                      <v:stroke weight="1pt" color="#000000 [3213]" miterlimit="8" joinstyle="miter"/>
                      <v:imagedata o:title=""/>
                      <o:lock v:ext="edit" aspectratio="f"/>
                      <v:textbox>
                        <w:txbxContent>
                          <w:p w14:paraId="2C829200">
                            <w:pPr>
                              <w:jc w:val="center"/>
                            </w:pPr>
                            <w:r>
                              <w:drawing>
                                <wp:inline distT="0" distB="0" distL="114300" distR="114300">
                                  <wp:extent cx="1835785" cy="1357630"/>
                                  <wp:effectExtent l="0" t="0" r="12065" b="13970"/>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pic:cNvPicPr>
                                        </pic:nvPicPr>
                                        <pic:blipFill>
                                          <a:blip r:embed="rId15"/>
                                          <a:stretch>
                                            <a:fillRect/>
                                          </a:stretch>
                                        </pic:blipFill>
                                        <pic:spPr>
                                          <a:xfrm>
                                            <a:off x="0" y="0"/>
                                            <a:ext cx="1835785" cy="1357630"/>
                                          </a:xfrm>
                                          <a:prstGeom prst="rect">
                                            <a:avLst/>
                                          </a:prstGeom>
                                          <a:noFill/>
                                          <a:ln>
                                            <a:noFill/>
                                          </a:ln>
                                        </pic:spPr>
                                      </pic:pic>
                                    </a:graphicData>
                                  </a:graphic>
                                </wp:inline>
                              </w:drawing>
                            </w:r>
                          </w:p>
                        </w:txbxContent>
                      </v:textbox>
                    </v:shape>
                  </w:pict>
                </mc:Fallback>
              </mc:AlternateContent>
            </w:r>
            <w:r>
              <w:rPr>
                <w:rFonts w:hint="default" w:ascii="Times New Roman" w:hAnsi="Times New Roman" w:cs="Times New Roman"/>
                <w:color w:val="auto"/>
                <w:highlight w:val="none"/>
              </w:rPr>
              <w:drawing>
                <wp:inline distT="0" distB="0" distL="114300" distR="114300">
                  <wp:extent cx="4392295" cy="3544570"/>
                  <wp:effectExtent l="0" t="0" r="8255" b="17780"/>
                  <wp:docPr id="1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
                          <pic:cNvPicPr>
                            <a:picLocks noChangeAspect="1"/>
                          </pic:cNvPicPr>
                        </pic:nvPicPr>
                        <pic:blipFill>
                          <a:blip r:embed="rId16"/>
                          <a:stretch>
                            <a:fillRect/>
                          </a:stretch>
                        </pic:blipFill>
                        <pic:spPr>
                          <a:xfrm>
                            <a:off x="0" y="0"/>
                            <a:ext cx="4392295" cy="3544570"/>
                          </a:xfrm>
                          <a:prstGeom prst="rect">
                            <a:avLst/>
                          </a:prstGeom>
                          <a:noFill/>
                          <a:ln>
                            <a:noFill/>
                          </a:ln>
                        </pic:spPr>
                      </pic:pic>
                    </a:graphicData>
                  </a:graphic>
                </wp:inline>
              </w:drawing>
            </w:r>
          </w:p>
          <w:p w14:paraId="3F670B05">
            <w:pPr>
              <w:pStyle w:val="68"/>
              <w:adjustRightInd w:val="0"/>
              <w:snapToGrid w:val="0"/>
              <w:spacing w:line="240" w:lineRule="auto"/>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图1-2 虎林市东诚镇分区图</w:t>
            </w:r>
          </w:p>
          <w:p w14:paraId="477ED11D">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41D8A54B">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50EA4206">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480ECAAE">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2EFD66FC">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193A00F1">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318B87AE">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6F9E71AC">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1698D481">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3A957346">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2995A458">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0F4BDF69">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1427806C">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5C43D453">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72B6EE08">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7C26407D">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52658AC6">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0B0E1C40">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3C2D5E6C">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6F0A3A9D">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29FAF6E0">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57A3584C">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3E254A25">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68937E80">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0301626C">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7062ABA8">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574C18BE">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2D385D27">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2DD88C65">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p w14:paraId="637E1A87">
            <w:pPr>
              <w:pStyle w:val="68"/>
              <w:adjustRightInd w:val="0"/>
              <w:snapToGrid w:val="0"/>
              <w:spacing w:line="240" w:lineRule="auto"/>
              <w:ind w:firstLine="0" w:firstLineChars="0"/>
              <w:rPr>
                <w:rFonts w:hint="default" w:ascii="Times New Roman" w:hAnsi="Times New Roman" w:cs="Times New Roman"/>
                <w:color w:val="auto"/>
                <w:highlight w:val="none"/>
                <w:lang w:val="zh-CN"/>
              </w:rPr>
            </w:pPr>
          </w:p>
        </w:tc>
      </w:tr>
    </w:tbl>
    <w:p w14:paraId="34C00342">
      <w:pPr>
        <w:pStyle w:val="25"/>
        <w:adjustRightInd w:val="0"/>
        <w:snapToGrid w:val="0"/>
        <w:spacing w:before="0" w:beforeAutospacing="0" w:after="0" w:afterAutospacing="0"/>
        <w:outlineLvl w:val="0"/>
        <w:rPr>
          <w:rFonts w:hint="default" w:ascii="Times New Roman" w:hAnsi="Times New Roman" w:cs="Times New Roman"/>
          <w:snapToGrid w:val="0"/>
          <w:color w:val="auto"/>
          <w:sz w:val="30"/>
          <w:szCs w:val="30"/>
          <w:highlight w:val="none"/>
        </w:rPr>
        <w:sectPr>
          <w:footerReference r:id="rId4"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30FDC771">
      <w:pPr>
        <w:pStyle w:val="25"/>
        <w:adjustRightInd w:val="0"/>
        <w:snapToGrid w:val="0"/>
        <w:spacing w:before="0" w:beforeAutospacing="0" w:after="0" w:afterAutospacing="0"/>
        <w:outlineLvl w:val="0"/>
        <w:rPr>
          <w:rFonts w:hint="default" w:ascii="Times New Roman" w:hAnsi="Times New Roman" w:cs="Times New Roman"/>
          <w:snapToGrid w:val="0"/>
          <w:color w:val="auto"/>
          <w:sz w:val="30"/>
          <w:szCs w:val="30"/>
          <w:highlight w:val="none"/>
        </w:rPr>
      </w:pPr>
      <w:bookmarkStart w:id="10" w:name="_Toc28355"/>
      <w:r>
        <w:rPr>
          <w:rFonts w:hint="default" w:ascii="Times New Roman" w:hAnsi="Times New Roman" w:cs="Times New Roman"/>
          <w:snapToGrid w:val="0"/>
          <w:color w:val="auto"/>
          <w:sz w:val="30"/>
          <w:szCs w:val="30"/>
          <w:highlight w:val="none"/>
        </w:rPr>
        <w:t>二、建设项目工程分析</w:t>
      </w:r>
      <w:bookmarkEnd w:id="10"/>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8125"/>
      </w:tblGrid>
      <w:tr w14:paraId="1E49F5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9" w:type="dxa"/>
            <w:vAlign w:val="center"/>
          </w:tcPr>
          <w:p w14:paraId="32356E63">
            <w:pPr>
              <w:jc w:val="center"/>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建设内容</w:t>
            </w:r>
          </w:p>
        </w:tc>
        <w:tc>
          <w:tcPr>
            <w:tcW w:w="8125" w:type="dxa"/>
            <w:vAlign w:val="center"/>
          </w:tcPr>
          <w:p w14:paraId="2E4D0612">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1、建设规模</w:t>
            </w:r>
          </w:p>
          <w:p w14:paraId="51294AAB">
            <w:pPr>
              <w:spacing w:line="500" w:lineRule="exact"/>
              <w:ind w:firstLine="480" w:firstLineChars="200"/>
              <w:rPr>
                <w:rFonts w:hint="default" w:ascii="Times New Roman" w:hAnsi="Times New Roman" w:cs="Times New Roman"/>
                <w:color w:val="auto"/>
                <w:sz w:val="24"/>
                <w:highlight w:val="none"/>
              </w:rPr>
            </w:pPr>
            <w:bookmarkStart w:id="11" w:name="_Hlk193464721"/>
            <w:bookmarkStart w:id="12" w:name="_Hlk186813612"/>
            <w:r>
              <w:rPr>
                <w:rFonts w:hint="default" w:ascii="Times New Roman" w:hAnsi="Times New Roman" w:cs="Times New Roman"/>
                <w:color w:val="auto"/>
                <w:sz w:val="24"/>
                <w:highlight w:val="none"/>
                <w:lang w:eastAsia="zh-CN"/>
              </w:rPr>
              <w:t>虎林市迎胜沥青混凝土搅拌有限公司</w:t>
            </w:r>
            <w:r>
              <w:rPr>
                <w:rFonts w:hint="default" w:ascii="Times New Roman" w:hAnsi="Times New Roman" w:cs="Times New Roman"/>
                <w:color w:val="auto"/>
                <w:sz w:val="24"/>
                <w:highlight w:val="none"/>
              </w:rPr>
              <w:t>位于</w:t>
            </w:r>
            <w:r>
              <w:rPr>
                <w:rFonts w:hint="default" w:ascii="Times New Roman" w:hAnsi="Times New Roman" w:cs="Times New Roman"/>
                <w:color w:val="auto"/>
                <w:sz w:val="24"/>
                <w:highlight w:val="none"/>
                <w:lang w:eastAsia="zh-CN"/>
              </w:rPr>
              <w:t>黑龙江省鸡西市虎林市东诚镇东风村村委会西南350米</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用地性质为工业用地</w:t>
            </w:r>
            <w:r>
              <w:rPr>
                <w:rFonts w:hint="default" w:ascii="Times New Roman" w:hAnsi="Times New Roman" w:cs="Times New Roman"/>
                <w:color w:val="auto"/>
                <w:sz w:val="24"/>
                <w:highlight w:val="none"/>
              </w:rPr>
              <w:t>。</w:t>
            </w:r>
            <w:r>
              <w:rPr>
                <w:rFonts w:hint="default" w:ascii="Times New Roman" w:hAnsi="Times New Roman" w:cs="Times New Roman"/>
                <w:bCs/>
                <w:color w:val="auto"/>
                <w:sz w:val="24"/>
                <w:highlight w:val="none"/>
              </w:rPr>
              <w:t>本</w:t>
            </w:r>
            <w:r>
              <w:rPr>
                <w:rFonts w:hint="default" w:ascii="Times New Roman" w:hAnsi="Times New Roman" w:cs="Times New Roman"/>
                <w:color w:val="auto"/>
                <w:kern w:val="0"/>
                <w:sz w:val="24"/>
                <w:highlight w:val="none"/>
              </w:rPr>
              <w:t>项目总占地面积为</w:t>
            </w:r>
            <w:r>
              <w:rPr>
                <w:rFonts w:hint="default" w:ascii="Times New Roman" w:hAnsi="Times New Roman" w:cs="Times New Roman"/>
                <w:color w:val="auto"/>
                <w:sz w:val="24"/>
                <w:highlight w:val="none"/>
                <w:lang w:val="en-US" w:eastAsia="zh-CN"/>
              </w:rPr>
              <w:t>10920.022</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kern w:val="0"/>
                <w:sz w:val="24"/>
                <w:highlight w:val="none"/>
              </w:rPr>
              <w:t>。主要建设内容为新建1</w:t>
            </w:r>
            <w:r>
              <w:rPr>
                <w:rFonts w:hint="default" w:ascii="Times New Roman" w:hAnsi="Times New Roman" w:cs="Times New Roman"/>
                <w:color w:val="auto"/>
                <w:kern w:val="0"/>
                <w:sz w:val="24"/>
                <w:highlight w:val="none"/>
                <w:lang w:val="en-US" w:eastAsia="zh-CN"/>
              </w:rPr>
              <w:t>条</w:t>
            </w:r>
            <w:r>
              <w:rPr>
                <w:rFonts w:hint="default" w:ascii="Times New Roman" w:hAnsi="Times New Roman" w:cs="Times New Roman"/>
                <w:color w:val="auto"/>
                <w:kern w:val="0"/>
                <w:sz w:val="24"/>
                <w:highlight w:val="none"/>
              </w:rPr>
              <w:t>沥青混凝土</w:t>
            </w:r>
            <w:r>
              <w:rPr>
                <w:rFonts w:hint="default" w:ascii="Times New Roman" w:hAnsi="Times New Roman" w:cs="Times New Roman"/>
                <w:color w:val="auto"/>
                <w:kern w:val="0"/>
                <w:sz w:val="24"/>
                <w:highlight w:val="none"/>
                <w:lang w:val="en-US" w:eastAsia="zh-CN"/>
              </w:rPr>
              <w:t>生产线，</w:t>
            </w:r>
            <w:r>
              <w:rPr>
                <w:rFonts w:hint="default" w:ascii="Times New Roman" w:hAnsi="Times New Roman" w:cs="Times New Roman"/>
                <w:color w:val="auto"/>
                <w:kern w:val="0"/>
                <w:sz w:val="24"/>
                <w:highlight w:val="none"/>
              </w:rPr>
              <w:t>年生产沥青混凝土</w:t>
            </w:r>
            <w:r>
              <w:rPr>
                <w:rFonts w:hint="default" w:ascii="Times New Roman" w:hAnsi="Times New Roman" w:cs="Times New Roman"/>
                <w:color w:val="auto"/>
                <w:kern w:val="0"/>
                <w:sz w:val="24"/>
                <w:highlight w:val="none"/>
                <w:lang w:val="en-US" w:eastAsia="zh-CN"/>
              </w:rPr>
              <w:t>10</w:t>
            </w:r>
            <w:r>
              <w:rPr>
                <w:rFonts w:hint="default" w:ascii="Times New Roman" w:hAnsi="Times New Roman" w:cs="Times New Roman"/>
                <w:color w:val="auto"/>
                <w:kern w:val="0"/>
                <w:sz w:val="24"/>
                <w:highlight w:val="none"/>
              </w:rPr>
              <w:t>万</w:t>
            </w:r>
            <w:r>
              <w:rPr>
                <w:rFonts w:hint="default" w:ascii="Times New Roman" w:hAnsi="Times New Roman" w:cs="Times New Roman"/>
                <w:color w:val="auto"/>
                <w:kern w:val="0"/>
                <w:sz w:val="24"/>
                <w:highlight w:val="none"/>
                <w:lang w:val="en-US" w:eastAsia="zh-CN"/>
              </w:rPr>
              <w:t>吨；建设1条乳化沥青生产线</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年产100吨乳化沥青</w:t>
            </w:r>
            <w:r>
              <w:rPr>
                <w:rFonts w:hint="default" w:ascii="Times New Roman" w:hAnsi="Times New Roman" w:cs="Times New Roman"/>
                <w:color w:val="auto"/>
                <w:sz w:val="24"/>
                <w:highlight w:val="none"/>
              </w:rPr>
              <w:t>。</w:t>
            </w:r>
            <w:bookmarkEnd w:id="11"/>
          </w:p>
          <w:bookmarkEnd w:id="12"/>
          <w:p w14:paraId="2256BC0A">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2、建设内容</w:t>
            </w:r>
          </w:p>
          <w:p w14:paraId="4EFA538B">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本项目主体工程、储运工程、辅助工程、公用工程及环保工程等详见下表。</w:t>
            </w:r>
          </w:p>
          <w:p w14:paraId="7D42DE84">
            <w:pPr>
              <w:pStyle w:val="61"/>
              <w:adjustRightInd/>
              <w:snapToGrid/>
              <w:spacing w:line="400" w:lineRule="exact"/>
              <w:ind w:firstLine="48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表2-1 建设项目组成一览表</w:t>
            </w:r>
          </w:p>
          <w:tbl>
            <w:tblPr>
              <w:tblStyle w:val="30"/>
              <w:tblW w:w="0" w:type="auto"/>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655"/>
              <w:gridCol w:w="1203"/>
              <w:gridCol w:w="5362"/>
              <w:gridCol w:w="689"/>
            </w:tblGrid>
            <w:tr w14:paraId="24CD3E7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Align w:val="center"/>
                </w:tcPr>
                <w:p w14:paraId="614A3E09">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p>
              </w:tc>
              <w:tc>
                <w:tcPr>
                  <w:tcW w:w="1203" w:type="dxa"/>
                  <w:vAlign w:val="center"/>
                </w:tcPr>
                <w:p w14:paraId="5FAFAA66">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5362" w:type="dxa"/>
                  <w:vAlign w:val="center"/>
                </w:tcPr>
                <w:p w14:paraId="4F5BF5AC">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tc>
              <w:tc>
                <w:tcPr>
                  <w:tcW w:w="689" w:type="dxa"/>
                  <w:vAlign w:val="center"/>
                </w:tcPr>
                <w:p w14:paraId="4564E473">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r>
            <w:tr w14:paraId="79FFDB2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001" w:hRule="atLeast"/>
                <w:jc w:val="center"/>
              </w:trPr>
              <w:tc>
                <w:tcPr>
                  <w:tcW w:w="655" w:type="dxa"/>
                  <w:vMerge w:val="restart"/>
                  <w:vAlign w:val="center"/>
                </w:tcPr>
                <w:p w14:paraId="7F8A240C">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1203" w:type="dxa"/>
                  <w:tcBorders>
                    <w:bottom w:val="single" w:color="auto" w:sz="4" w:space="0"/>
                  </w:tcBorders>
                  <w:vAlign w:val="center"/>
                </w:tcPr>
                <w:p w14:paraId="340C34A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沥青混凝土</w:t>
                  </w:r>
                  <w:r>
                    <w:rPr>
                      <w:rFonts w:hint="default" w:ascii="Times New Roman" w:hAnsi="Times New Roman" w:cs="Times New Roman"/>
                      <w:color w:val="auto"/>
                      <w:szCs w:val="21"/>
                      <w:highlight w:val="none"/>
                      <w:lang w:eastAsia="zh-CN"/>
                    </w:rPr>
                    <w:t>拌合</w:t>
                  </w:r>
                  <w:r>
                    <w:rPr>
                      <w:rFonts w:hint="default" w:ascii="Times New Roman" w:hAnsi="Times New Roman" w:cs="Times New Roman"/>
                      <w:color w:val="auto"/>
                      <w:szCs w:val="21"/>
                      <w:highlight w:val="none"/>
                      <w:lang w:val="en-US" w:eastAsia="zh-CN"/>
                    </w:rPr>
                    <w:t>系统</w:t>
                  </w:r>
                </w:p>
              </w:tc>
              <w:tc>
                <w:tcPr>
                  <w:tcW w:w="5362" w:type="dxa"/>
                  <w:shd w:val="clear" w:color="auto" w:fill="auto"/>
                  <w:vAlign w:val="center"/>
                </w:tcPr>
                <w:p w14:paraId="16F456B2">
                  <w:pP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本项目</w:t>
                  </w:r>
                  <w:r>
                    <w:rPr>
                      <w:rFonts w:hint="default" w:ascii="Times New Roman" w:hAnsi="Times New Roman" w:cs="Times New Roman"/>
                      <w:color w:val="auto"/>
                      <w:sz w:val="21"/>
                      <w:szCs w:val="21"/>
                      <w:highlight w:val="none"/>
                      <w:lang w:val="en-US" w:eastAsia="zh-CN"/>
                    </w:rPr>
                    <w:t>建设沥青混凝土生产线一条，建成后年生产沥青混凝土10万吨，沥青混凝土成品直接外运，不在厂区内储存。拌合装置设备型号为XAP245。占地面积1444m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，钢结构，高20m密闭设置，内设拌合装置</w:t>
                  </w:r>
                  <w:r>
                    <w:rPr>
                      <w:rFonts w:hint="default" w:ascii="Times New Roman" w:hAnsi="Times New Roman" w:cs="Times New Roman"/>
                      <w:color w:val="auto"/>
                      <w:szCs w:val="21"/>
                      <w:highlight w:val="none"/>
                    </w:rPr>
                    <w:t>及各配套系统，将沥青、碎石、矿粉等原料按照一定的比例进行搅拌成沥青混凝土成品</w:t>
                  </w:r>
                  <w:r>
                    <w:rPr>
                      <w:rFonts w:hint="default" w:ascii="Times New Roman" w:hAnsi="Times New Roman" w:cs="Times New Roman"/>
                      <w:color w:val="auto"/>
                      <w:sz w:val="21"/>
                      <w:szCs w:val="21"/>
                      <w:highlight w:val="none"/>
                      <w:lang w:val="en-US" w:eastAsia="zh-CN"/>
                    </w:rPr>
                    <w:t>，导热油炉，沥青罐、矿粉仓等生产设施均位于拌合系统旁，输送系统均为密闭</w:t>
                  </w:r>
                  <w:r>
                    <w:rPr>
                      <w:rFonts w:hint="default" w:ascii="Times New Roman" w:hAnsi="Times New Roman" w:cs="Times New Roman"/>
                      <w:color w:val="auto"/>
                      <w:szCs w:val="21"/>
                      <w:highlight w:val="none"/>
                    </w:rPr>
                    <w:t>。</w:t>
                  </w:r>
                </w:p>
              </w:tc>
              <w:tc>
                <w:tcPr>
                  <w:tcW w:w="689" w:type="dxa"/>
                  <w:shd w:val="clear" w:color="auto" w:fill="auto"/>
                  <w:vAlign w:val="center"/>
                </w:tcPr>
                <w:p w14:paraId="5A24468E">
                  <w:pPr>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新建</w:t>
                  </w:r>
                </w:p>
              </w:tc>
            </w:tr>
            <w:tr w14:paraId="113DC94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630E91E6">
                  <w:pPr>
                    <w:pStyle w:val="65"/>
                    <w:rPr>
                      <w:rFonts w:hint="default" w:ascii="Times New Roman" w:hAnsi="Times New Roman" w:cs="Times New Roman"/>
                      <w:color w:val="auto"/>
                      <w:sz w:val="21"/>
                      <w:szCs w:val="21"/>
                      <w:highlight w:val="none"/>
                    </w:rPr>
                  </w:pPr>
                </w:p>
              </w:tc>
              <w:tc>
                <w:tcPr>
                  <w:tcW w:w="1203" w:type="dxa"/>
                  <w:tcBorders>
                    <w:top w:val="single" w:color="auto" w:sz="4" w:space="0"/>
                  </w:tcBorders>
                  <w:vAlign w:val="center"/>
                </w:tcPr>
                <w:p w14:paraId="7FFC3B3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乳化沥青</w:t>
                  </w:r>
                  <w:r>
                    <w:rPr>
                      <w:rFonts w:hint="default" w:ascii="Times New Roman" w:hAnsi="Times New Roman" w:cs="Times New Roman"/>
                      <w:bCs/>
                      <w:color w:val="auto"/>
                      <w:sz w:val="21"/>
                      <w:szCs w:val="21"/>
                      <w:highlight w:val="none"/>
                      <w:lang w:val="en-US" w:eastAsia="zh-CN"/>
                    </w:rPr>
                    <w:t>搅拌系统</w:t>
                  </w:r>
                </w:p>
              </w:tc>
              <w:tc>
                <w:tcPr>
                  <w:tcW w:w="5362" w:type="dxa"/>
                  <w:vAlign w:val="center"/>
                </w:tcPr>
                <w:p w14:paraId="1CF9981A">
                  <w:pPr>
                    <w:rPr>
                      <w:rFonts w:hint="default" w:ascii="Times New Roman" w:hAnsi="Times New Roman" w:cs="Times New Roman"/>
                      <w:color w:val="auto"/>
                      <w:szCs w:val="21"/>
                      <w:highlight w:val="none"/>
                      <w:lang w:val="en-US"/>
                    </w:rPr>
                  </w:pPr>
                  <w:r>
                    <w:rPr>
                      <w:rFonts w:hint="default" w:ascii="Times New Roman" w:hAnsi="Times New Roman" w:eastAsia="宋体" w:cs="Times New Roman"/>
                      <w:bCs/>
                      <w:color w:val="auto"/>
                      <w:sz w:val="21"/>
                      <w:szCs w:val="21"/>
                      <w:highlight w:val="none"/>
                      <w:vertAlign w:val="baseline"/>
                      <w:lang w:val="en-US" w:eastAsia="zh-CN"/>
                    </w:rPr>
                    <w:t>本项目新建</w:t>
                  </w:r>
                  <w:r>
                    <w:rPr>
                      <w:rFonts w:hint="default" w:ascii="Times New Roman" w:hAnsi="Times New Roman" w:cs="Times New Roman"/>
                      <w:bCs/>
                      <w:color w:val="auto"/>
                      <w:sz w:val="21"/>
                      <w:szCs w:val="21"/>
                      <w:highlight w:val="none"/>
                      <w:vertAlign w:val="baseline"/>
                      <w:lang w:val="en-US" w:eastAsia="zh-CN"/>
                    </w:rPr>
                    <w:t>一条</w:t>
                  </w:r>
                  <w:r>
                    <w:rPr>
                      <w:rFonts w:hint="default" w:ascii="Times New Roman" w:hAnsi="Times New Roman" w:eastAsia="宋体" w:cs="Times New Roman"/>
                      <w:bCs/>
                      <w:color w:val="auto"/>
                      <w:sz w:val="21"/>
                      <w:szCs w:val="21"/>
                      <w:highlight w:val="none"/>
                      <w:vertAlign w:val="baseline"/>
                      <w:lang w:val="en-US" w:eastAsia="zh-CN"/>
                    </w:rPr>
                    <w:t>乳化沥青生产线，产能为100t/a，</w:t>
                  </w:r>
                  <w:r>
                    <w:rPr>
                      <w:rFonts w:hint="default" w:ascii="Times New Roman" w:hAnsi="Times New Roman" w:cs="Times New Roman"/>
                      <w:bCs/>
                      <w:color w:val="auto"/>
                      <w:sz w:val="21"/>
                      <w:szCs w:val="21"/>
                      <w:highlight w:val="none"/>
                      <w:vertAlign w:val="baseline"/>
                      <w:lang w:val="en-US" w:eastAsia="zh-CN"/>
                    </w:rPr>
                    <w:t>占地</w:t>
                  </w:r>
                  <w:r>
                    <w:rPr>
                      <w:rFonts w:hint="default" w:ascii="Times New Roman" w:hAnsi="Times New Roman" w:eastAsia="宋体" w:cs="Times New Roman"/>
                      <w:bCs/>
                      <w:color w:val="auto"/>
                      <w:sz w:val="21"/>
                      <w:szCs w:val="21"/>
                      <w:highlight w:val="none"/>
                      <w:vertAlign w:val="baseline"/>
                      <w:lang w:val="en-US" w:eastAsia="zh-CN"/>
                    </w:rPr>
                    <w:t>面积</w:t>
                  </w:r>
                  <w:r>
                    <w:rPr>
                      <w:rFonts w:hint="default" w:ascii="Times New Roman" w:hAnsi="Times New Roman" w:cs="Times New Roman"/>
                      <w:bCs/>
                      <w:color w:val="auto"/>
                      <w:sz w:val="21"/>
                      <w:szCs w:val="21"/>
                      <w:highlight w:val="none"/>
                      <w:vertAlign w:val="baseline"/>
                      <w:lang w:val="en-US" w:eastAsia="zh-CN"/>
                    </w:rPr>
                    <w:t>13</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，高2.2米。内设乳化沥青搅拌装置，将沥青、乳化剂、水按一定比例搅拌，输送系统均为密闭</w:t>
                  </w:r>
                  <w:r>
                    <w:rPr>
                      <w:rFonts w:hint="default" w:ascii="Times New Roman" w:hAnsi="Times New Roman" w:cs="Times New Roman"/>
                      <w:color w:val="auto"/>
                      <w:szCs w:val="21"/>
                      <w:highlight w:val="none"/>
                    </w:rPr>
                    <w:t>。</w:t>
                  </w:r>
                </w:p>
              </w:tc>
              <w:tc>
                <w:tcPr>
                  <w:tcW w:w="689" w:type="dxa"/>
                  <w:vAlign w:val="center"/>
                </w:tcPr>
                <w:p w14:paraId="40B64BBE">
                  <w:pPr>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新建</w:t>
                  </w:r>
                </w:p>
              </w:tc>
            </w:tr>
            <w:tr w14:paraId="765D183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restart"/>
                  <w:vAlign w:val="center"/>
                </w:tcPr>
                <w:p w14:paraId="181D93B2">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辅助工程</w:t>
                  </w:r>
                </w:p>
              </w:tc>
              <w:tc>
                <w:tcPr>
                  <w:tcW w:w="1203" w:type="dxa"/>
                  <w:vAlign w:val="center"/>
                </w:tcPr>
                <w:p w14:paraId="167E3A51">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导热油炉</w:t>
                  </w:r>
                </w:p>
              </w:tc>
              <w:tc>
                <w:tcPr>
                  <w:tcW w:w="5362" w:type="dxa"/>
                  <w:vAlign w:val="center"/>
                </w:tcPr>
                <w:p w14:paraId="2F1D8561">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rPr>
                    <w:t>占地面积30m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，位于厂区西北侧，设置一台100万kcal燃油导热油炉，年运行150天，年工作800小时。</w:t>
                  </w:r>
                </w:p>
              </w:tc>
              <w:tc>
                <w:tcPr>
                  <w:tcW w:w="689" w:type="dxa"/>
                  <w:vAlign w:val="center"/>
                </w:tcPr>
                <w:p w14:paraId="3D4257A7">
                  <w:pPr>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新建</w:t>
                  </w:r>
                </w:p>
              </w:tc>
            </w:tr>
            <w:tr w14:paraId="5E6BF25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17D1F4EE">
                  <w:pPr>
                    <w:pStyle w:val="65"/>
                    <w:rPr>
                      <w:rFonts w:hint="default" w:ascii="Times New Roman" w:hAnsi="Times New Roman" w:cs="Times New Roman"/>
                      <w:color w:val="auto"/>
                      <w:sz w:val="21"/>
                      <w:szCs w:val="21"/>
                      <w:highlight w:val="none"/>
                    </w:rPr>
                  </w:pPr>
                </w:p>
              </w:tc>
              <w:tc>
                <w:tcPr>
                  <w:tcW w:w="1203" w:type="dxa"/>
                  <w:shd w:val="clear" w:color="auto" w:fill="auto"/>
                  <w:vAlign w:val="center"/>
                </w:tcPr>
                <w:p w14:paraId="27868D6A">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实验室</w:t>
                  </w:r>
                </w:p>
              </w:tc>
              <w:tc>
                <w:tcPr>
                  <w:tcW w:w="5362" w:type="dxa"/>
                  <w:shd w:val="clear" w:color="auto" w:fill="auto"/>
                  <w:vAlign w:val="center"/>
                </w:tcPr>
                <w:p w14:paraId="6753E622">
                  <w:pPr>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建设</w:t>
                  </w:r>
                  <w:r>
                    <w:rPr>
                      <w:rFonts w:hint="default" w:ascii="Times New Roman" w:hAnsi="Times New Roman" w:cs="Times New Roman"/>
                      <w:color w:val="auto"/>
                      <w:szCs w:val="21"/>
                      <w:highlight w:val="none"/>
                    </w:rPr>
                    <w:t>1</w:t>
                  </w:r>
                  <w:r>
                    <w:rPr>
                      <w:rFonts w:hint="default" w:ascii="Times New Roman" w:hAnsi="Times New Roman" w:cs="Times New Roman"/>
                      <w:color w:val="auto"/>
                      <w:highlight w:val="none"/>
                    </w:rPr>
                    <w:t>座实验室</w:t>
                  </w:r>
                  <w:r>
                    <w:rPr>
                      <w:rFonts w:hint="default" w:ascii="Times New Roman" w:hAnsi="Times New Roman" w:cs="Times New Roman"/>
                      <w:color w:val="auto"/>
                      <w:szCs w:val="21"/>
                      <w:highlight w:val="none"/>
                    </w:rPr>
                    <w:t>，</w:t>
                  </w:r>
                  <w:r>
                    <w:rPr>
                      <w:rStyle w:val="108"/>
                      <w:rFonts w:hint="default" w:ascii="Times New Roman" w:hAnsi="Times New Roman" w:cs="Times New Roman"/>
                      <w:color w:val="auto"/>
                      <w:sz w:val="21"/>
                      <w:szCs w:val="21"/>
                      <w:highlight w:val="none"/>
                    </w:rPr>
                    <w:t>建筑面积</w:t>
                  </w:r>
                  <w:r>
                    <w:rPr>
                      <w:rStyle w:val="108"/>
                      <w:rFonts w:hint="default" w:ascii="Times New Roman" w:hAnsi="Times New Roman" w:cs="Times New Roman"/>
                      <w:color w:val="auto"/>
                      <w:sz w:val="21"/>
                      <w:szCs w:val="21"/>
                      <w:highlight w:val="none"/>
                      <w:lang w:val="en-US"/>
                    </w:rPr>
                    <w:t>40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2</w:t>
                  </w:r>
                  <w:r>
                    <w:rPr>
                      <w:rStyle w:val="108"/>
                      <w:rFonts w:hint="default" w:ascii="Times New Roman" w:hAnsi="Times New Roman" w:cs="Times New Roman"/>
                      <w:color w:val="auto"/>
                      <w:sz w:val="21"/>
                      <w:szCs w:val="21"/>
                      <w:highlight w:val="none"/>
                    </w:rPr>
                    <w:t>，1层建筑，高</w:t>
                  </w:r>
                  <w:r>
                    <w:rPr>
                      <w:rFonts w:hint="default" w:ascii="Times New Roman" w:hAnsi="Times New Roman" w:cs="Times New Roman"/>
                      <w:color w:val="auto"/>
                      <w:highlight w:val="none"/>
                    </w:rPr>
                    <w:t>3</w:t>
                  </w:r>
                  <w:r>
                    <w:rPr>
                      <w:rFonts w:hint="default" w:ascii="Times New Roman" w:hAnsi="Times New Roman" w:cs="Times New Roman"/>
                      <w:color w:val="auto"/>
                      <w:szCs w:val="21"/>
                      <w:highlight w:val="none"/>
                    </w:rPr>
                    <w:t>m</w:t>
                  </w:r>
                  <w:r>
                    <w:rPr>
                      <w:rStyle w:val="108"/>
                      <w:rFonts w:hint="default" w:ascii="Times New Roman" w:hAnsi="Times New Roman" w:cs="Times New Roman"/>
                      <w:color w:val="auto"/>
                      <w:sz w:val="21"/>
                      <w:szCs w:val="21"/>
                      <w:highlight w:val="none"/>
                    </w:rPr>
                    <w:t>，全封闭钢结构，其中主要是对本项目产品进行测定强度、硬度等物理实验，不使用药品、化学品。</w:t>
                  </w:r>
                </w:p>
              </w:tc>
              <w:tc>
                <w:tcPr>
                  <w:tcW w:w="689" w:type="dxa"/>
                  <w:shd w:val="clear" w:color="auto" w:fill="auto"/>
                  <w:vAlign w:val="center"/>
                </w:tcPr>
                <w:p w14:paraId="2981E4CC">
                  <w:pPr>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利用原有建筑</w:t>
                  </w:r>
                </w:p>
              </w:tc>
            </w:tr>
            <w:tr w14:paraId="6C2C4D6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5FF41E8A">
                  <w:pPr>
                    <w:pStyle w:val="65"/>
                    <w:rPr>
                      <w:rFonts w:hint="default" w:ascii="Times New Roman" w:hAnsi="Times New Roman" w:cs="Times New Roman"/>
                      <w:color w:val="auto"/>
                      <w:sz w:val="21"/>
                      <w:szCs w:val="21"/>
                      <w:highlight w:val="none"/>
                    </w:rPr>
                  </w:pPr>
                </w:p>
              </w:tc>
              <w:tc>
                <w:tcPr>
                  <w:tcW w:w="1203" w:type="dxa"/>
                  <w:vAlign w:val="center"/>
                </w:tcPr>
                <w:p w14:paraId="7D1BC3A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称房</w:t>
                  </w:r>
                </w:p>
              </w:tc>
              <w:tc>
                <w:tcPr>
                  <w:tcW w:w="5362" w:type="dxa"/>
                  <w:vAlign w:val="center"/>
                </w:tcPr>
                <w:p w14:paraId="14EEB63B">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对运输车辆进行称重，建筑面积</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00m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，1层建筑，高</w:t>
                  </w:r>
                  <w:r>
                    <w:rPr>
                      <w:rFonts w:hint="default" w:ascii="Times New Roman" w:hAnsi="Times New Roman" w:cs="Times New Roman"/>
                      <w:color w:val="auto"/>
                      <w:szCs w:val="21"/>
                      <w:highlight w:val="none"/>
                      <w:lang w:val="en-US" w:eastAsia="zh-CN"/>
                    </w:rPr>
                    <w:t>2.8</w:t>
                  </w:r>
                  <w:r>
                    <w:rPr>
                      <w:rFonts w:hint="default" w:ascii="Times New Roman" w:hAnsi="Times New Roman" w:cs="Times New Roman"/>
                      <w:color w:val="auto"/>
                      <w:szCs w:val="21"/>
                      <w:highlight w:val="none"/>
                    </w:rPr>
                    <w:t>m，全封闭钢结构。</w:t>
                  </w:r>
                </w:p>
              </w:tc>
              <w:tc>
                <w:tcPr>
                  <w:tcW w:w="689" w:type="dxa"/>
                  <w:vAlign w:val="center"/>
                </w:tcPr>
                <w:p w14:paraId="33848567">
                  <w:pPr>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新建</w:t>
                  </w:r>
                </w:p>
              </w:tc>
            </w:tr>
            <w:tr w14:paraId="7455A85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4BFD81AC">
                  <w:pPr>
                    <w:pStyle w:val="65"/>
                    <w:rPr>
                      <w:rFonts w:hint="default" w:ascii="Times New Roman" w:hAnsi="Times New Roman" w:cs="Times New Roman"/>
                      <w:color w:val="auto"/>
                      <w:sz w:val="21"/>
                      <w:szCs w:val="21"/>
                      <w:highlight w:val="none"/>
                    </w:rPr>
                  </w:pPr>
                </w:p>
              </w:tc>
              <w:tc>
                <w:tcPr>
                  <w:tcW w:w="1203" w:type="dxa"/>
                  <w:vAlign w:val="center"/>
                </w:tcPr>
                <w:p w14:paraId="028E077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宿舍</w:t>
                  </w:r>
                </w:p>
              </w:tc>
              <w:tc>
                <w:tcPr>
                  <w:tcW w:w="5362" w:type="dxa"/>
                  <w:vAlign w:val="center"/>
                </w:tcPr>
                <w:p w14:paraId="04A3B61A">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建设</w:t>
                  </w:r>
                  <w:r>
                    <w:rPr>
                      <w:rFonts w:hint="default" w:ascii="Times New Roman" w:hAnsi="Times New Roman" w:cs="Times New Roman"/>
                      <w:color w:val="auto"/>
                      <w:szCs w:val="21"/>
                      <w:highlight w:val="none"/>
                    </w:rPr>
                    <w:t>1座宿舍，建筑面积</w:t>
                  </w:r>
                  <w:r>
                    <w:rPr>
                      <w:rFonts w:hint="default" w:ascii="Times New Roman" w:hAnsi="Times New Roman" w:cs="Times New Roman"/>
                      <w:color w:val="auto"/>
                      <w:szCs w:val="21"/>
                      <w:highlight w:val="none"/>
                      <w:lang w:val="en-US" w:eastAsia="zh-CN"/>
                    </w:rPr>
                    <w:t>13</w:t>
                  </w:r>
                  <w:r>
                    <w:rPr>
                      <w:rFonts w:hint="default" w:ascii="Times New Roman" w:hAnsi="Times New Roman" w:cs="Times New Roman"/>
                      <w:color w:val="auto"/>
                      <w:szCs w:val="21"/>
                      <w:highlight w:val="none"/>
                    </w:rPr>
                    <w:t>0m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，1层建筑，高3m，全封闭钢结构，</w:t>
                  </w:r>
                  <w:r>
                    <w:rPr>
                      <w:rFonts w:hint="default" w:ascii="Times New Roman" w:hAnsi="Times New Roman" w:cs="Times New Roman"/>
                      <w:color w:val="auto"/>
                      <w:szCs w:val="21"/>
                      <w:highlight w:val="none"/>
                      <w:lang w:val="en-US" w:eastAsia="zh-CN"/>
                    </w:rPr>
                    <w:t>用于员工休息，</w:t>
                  </w:r>
                  <w:r>
                    <w:rPr>
                      <w:rFonts w:hint="default" w:ascii="Times New Roman" w:hAnsi="Times New Roman" w:cs="Times New Roman"/>
                      <w:color w:val="auto"/>
                      <w:szCs w:val="21"/>
                      <w:highlight w:val="none"/>
                    </w:rPr>
                    <w:t>本项目不设置食堂。</w:t>
                  </w:r>
                </w:p>
              </w:tc>
              <w:tc>
                <w:tcPr>
                  <w:tcW w:w="689" w:type="dxa"/>
                  <w:vAlign w:val="center"/>
                </w:tcPr>
                <w:p w14:paraId="1741C822">
                  <w:pPr>
                    <w:pStyle w:val="65"/>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bidi="ar-SA"/>
                    </w:rPr>
                    <w:t>利用原有建筑</w:t>
                  </w:r>
                </w:p>
              </w:tc>
            </w:tr>
            <w:tr w14:paraId="062CC04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restart"/>
                  <w:vAlign w:val="center"/>
                </w:tcPr>
                <w:p w14:paraId="0AF8F7BA">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储运工程</w:t>
                  </w:r>
                </w:p>
              </w:tc>
              <w:tc>
                <w:tcPr>
                  <w:tcW w:w="1203" w:type="dxa"/>
                  <w:vAlign w:val="center"/>
                </w:tcPr>
                <w:p w14:paraId="327C69E6">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原料堆场</w:t>
                  </w:r>
                </w:p>
              </w:tc>
              <w:tc>
                <w:tcPr>
                  <w:tcW w:w="5362" w:type="dxa"/>
                  <w:vAlign w:val="center"/>
                </w:tcPr>
                <w:p w14:paraId="132702A8">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新建1个</w:t>
                  </w:r>
                  <w:r>
                    <w:rPr>
                      <w:rFonts w:hint="default" w:ascii="Times New Roman" w:hAnsi="Times New Roman" w:cs="Times New Roman"/>
                      <w:color w:val="auto"/>
                      <w:sz w:val="21"/>
                      <w:szCs w:val="21"/>
                      <w:highlight w:val="none"/>
                      <w:lang w:val="en-US" w:eastAsia="zh-CN"/>
                    </w:rPr>
                    <w:t>2000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的原料堆场，用于储存碎石。最大堆存高度为</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m，最大储量为</w:t>
                  </w:r>
                  <w:r>
                    <w:rPr>
                      <w:rFonts w:hint="default" w:ascii="Times New Roman" w:hAnsi="Times New Roman" w:cs="Times New Roman"/>
                      <w:color w:val="auto"/>
                      <w:sz w:val="21"/>
                      <w:szCs w:val="21"/>
                      <w:highlight w:val="none"/>
                      <w:lang w:val="en-US" w:eastAsia="zh-CN"/>
                    </w:rPr>
                    <w:t>20000t</w:t>
                  </w:r>
                  <w:r>
                    <w:rPr>
                      <w:rFonts w:hint="default" w:ascii="Times New Roman" w:hAnsi="Times New Roman" w:cs="Times New Roman"/>
                      <w:color w:val="auto"/>
                      <w:sz w:val="21"/>
                      <w:szCs w:val="21"/>
                      <w:highlight w:val="none"/>
                    </w:rPr>
                    <w:t>，转运周期为</w:t>
                  </w:r>
                  <w:r>
                    <w:rPr>
                      <w:rFonts w:hint="default" w:ascii="Times New Roman" w:hAnsi="Times New Roman"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天。原料堆场表面铺盖苫布，四周设置防风抑尘网，防风抑尘网高4.5m，总长度约</w:t>
                  </w:r>
                  <w:r>
                    <w:rPr>
                      <w:rFonts w:hint="default" w:ascii="Times New Roman" w:hAnsi="Times New Roman" w:cs="Times New Roman"/>
                      <w:color w:val="auto"/>
                      <w:sz w:val="21"/>
                      <w:szCs w:val="21"/>
                      <w:highlight w:val="none"/>
                      <w:lang w:val="en-US" w:eastAsia="zh-CN"/>
                    </w:rPr>
                    <w:t>200</w:t>
                  </w:r>
                  <w:r>
                    <w:rPr>
                      <w:rFonts w:hint="default" w:ascii="Times New Roman" w:hAnsi="Times New Roman" w:cs="Times New Roman"/>
                      <w:color w:val="auto"/>
                      <w:sz w:val="21"/>
                      <w:szCs w:val="21"/>
                      <w:highlight w:val="none"/>
                    </w:rPr>
                    <w:t>m，堆场配套安装喷淋装置进行定期</w:t>
                  </w:r>
                  <w:r>
                    <w:rPr>
                      <w:rFonts w:hint="default" w:ascii="Times New Roman" w:hAnsi="Times New Roman" w:cs="Times New Roman"/>
                      <w:color w:val="auto"/>
                      <w:sz w:val="21"/>
                      <w:szCs w:val="21"/>
                      <w:highlight w:val="none"/>
                      <w:lang w:eastAsia="zh-CN"/>
                    </w:rPr>
                    <w:t>喷淋降尘</w:t>
                  </w:r>
                  <w:r>
                    <w:rPr>
                      <w:rFonts w:hint="default" w:ascii="Times New Roman" w:hAnsi="Times New Roman" w:cs="Times New Roman"/>
                      <w:color w:val="auto"/>
                      <w:sz w:val="21"/>
                      <w:szCs w:val="21"/>
                      <w:highlight w:val="none"/>
                    </w:rPr>
                    <w:t>。</w:t>
                  </w:r>
                </w:p>
              </w:tc>
              <w:tc>
                <w:tcPr>
                  <w:tcW w:w="689" w:type="dxa"/>
                  <w:vAlign w:val="center"/>
                </w:tcPr>
                <w:p w14:paraId="7571654F">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4D269D6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2D700795">
                  <w:pPr>
                    <w:pStyle w:val="65"/>
                    <w:rPr>
                      <w:rFonts w:hint="default" w:ascii="Times New Roman" w:hAnsi="Times New Roman" w:cs="Times New Roman"/>
                      <w:color w:val="auto"/>
                      <w:sz w:val="21"/>
                      <w:szCs w:val="21"/>
                      <w:highlight w:val="none"/>
                    </w:rPr>
                  </w:pPr>
                </w:p>
              </w:tc>
              <w:tc>
                <w:tcPr>
                  <w:tcW w:w="1203" w:type="dxa"/>
                  <w:vAlign w:val="center"/>
                </w:tcPr>
                <w:p w14:paraId="2EB2175C">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库房</w:t>
                  </w:r>
                </w:p>
              </w:tc>
              <w:tc>
                <w:tcPr>
                  <w:tcW w:w="5362" w:type="dxa"/>
                  <w:vAlign w:val="center"/>
                </w:tcPr>
                <w:p w14:paraId="471042C1">
                  <w:pPr>
                    <w:pStyle w:val="6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1座，总建筑面积6</w:t>
                  </w:r>
                  <w:r>
                    <w:rPr>
                      <w:rFonts w:hint="default" w:ascii="Times New Roman" w:hAnsi="Times New Roman" w:cs="Times New Roman"/>
                      <w:color w:val="auto"/>
                      <w:sz w:val="21"/>
                      <w:szCs w:val="21"/>
                      <w:highlight w:val="none"/>
                    </w:rPr>
                    <w:t>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用于存放乳化剂、工具等。</w:t>
                  </w:r>
                </w:p>
              </w:tc>
              <w:tc>
                <w:tcPr>
                  <w:tcW w:w="689" w:type="dxa"/>
                  <w:vAlign w:val="center"/>
                </w:tcPr>
                <w:p w14:paraId="3FBCD90D">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bidi="ar-SA"/>
                    </w:rPr>
                    <w:t>利用原有建筑</w:t>
                  </w:r>
                </w:p>
              </w:tc>
            </w:tr>
            <w:tr w14:paraId="14DF0ED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24CDB8EF">
                  <w:pPr>
                    <w:pStyle w:val="65"/>
                    <w:rPr>
                      <w:rFonts w:hint="default" w:ascii="Times New Roman" w:hAnsi="Times New Roman" w:cs="Times New Roman"/>
                      <w:color w:val="auto"/>
                      <w:sz w:val="21"/>
                      <w:szCs w:val="21"/>
                      <w:highlight w:val="none"/>
                    </w:rPr>
                  </w:pPr>
                </w:p>
              </w:tc>
              <w:tc>
                <w:tcPr>
                  <w:tcW w:w="1203" w:type="dxa"/>
                  <w:vAlign w:val="center"/>
                </w:tcPr>
                <w:p w14:paraId="7BF37D74">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矿粉仓</w:t>
                  </w:r>
                </w:p>
              </w:tc>
              <w:tc>
                <w:tcPr>
                  <w:tcW w:w="5362" w:type="dxa"/>
                  <w:vAlign w:val="center"/>
                </w:tcPr>
                <w:p w14:paraId="7866131A">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位于厂区西北侧，</w:t>
                  </w:r>
                  <w:r>
                    <w:rPr>
                      <w:rFonts w:hint="default" w:ascii="Times New Roman" w:hAnsi="Times New Roman" w:cs="Times New Roman"/>
                      <w:color w:val="auto"/>
                      <w:sz w:val="21"/>
                      <w:szCs w:val="21"/>
                      <w:highlight w:val="none"/>
                      <w:lang w:val="en-US" w:eastAsia="zh-CN"/>
                    </w:rPr>
                    <w:t>矿粉仓1个（75m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），罐顶离地高度20m。</w:t>
                  </w:r>
                </w:p>
              </w:tc>
              <w:tc>
                <w:tcPr>
                  <w:tcW w:w="689" w:type="dxa"/>
                  <w:vAlign w:val="center"/>
                </w:tcPr>
                <w:p w14:paraId="4FA7884B">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03980C0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13647505">
                  <w:pPr>
                    <w:pStyle w:val="65"/>
                    <w:rPr>
                      <w:rFonts w:hint="default" w:ascii="Times New Roman" w:hAnsi="Times New Roman" w:cs="Times New Roman"/>
                      <w:color w:val="auto"/>
                      <w:sz w:val="21"/>
                      <w:szCs w:val="21"/>
                      <w:highlight w:val="none"/>
                    </w:rPr>
                  </w:pPr>
                </w:p>
              </w:tc>
              <w:tc>
                <w:tcPr>
                  <w:tcW w:w="1203" w:type="dxa"/>
                  <w:vAlign w:val="center"/>
                </w:tcPr>
                <w:p w14:paraId="3ADDC4A2">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沥青罐</w:t>
                  </w:r>
                </w:p>
              </w:tc>
              <w:tc>
                <w:tcPr>
                  <w:tcW w:w="5362" w:type="dxa"/>
                  <w:vAlign w:val="center"/>
                </w:tcPr>
                <w:p w14:paraId="7941F1C3">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设置</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个封闭式沥青罐，单个储罐储存量为50m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。沥青储罐区地面参照重点防渗要求进行防渗，设置非燃烧材料的防火堤围堰，有效容积不小于最大贮罐的容积，发生泄漏时可及时收集全部泄漏物，并转移到空置的容器内，不会引起大气及水环境污染。</w:t>
                  </w:r>
                </w:p>
              </w:tc>
              <w:tc>
                <w:tcPr>
                  <w:tcW w:w="689" w:type="dxa"/>
                  <w:vAlign w:val="center"/>
                </w:tcPr>
                <w:p w14:paraId="5229CE97">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5DDC42F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5D588290">
                  <w:pPr>
                    <w:pStyle w:val="65"/>
                    <w:rPr>
                      <w:rFonts w:hint="default" w:ascii="Times New Roman" w:hAnsi="Times New Roman" w:cs="Times New Roman"/>
                      <w:color w:val="auto"/>
                      <w:sz w:val="21"/>
                      <w:szCs w:val="21"/>
                      <w:highlight w:val="none"/>
                    </w:rPr>
                  </w:pPr>
                </w:p>
              </w:tc>
              <w:tc>
                <w:tcPr>
                  <w:tcW w:w="1203" w:type="dxa"/>
                  <w:vAlign w:val="center"/>
                </w:tcPr>
                <w:p w14:paraId="1956B728">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柴油储罐</w:t>
                  </w:r>
                </w:p>
              </w:tc>
              <w:tc>
                <w:tcPr>
                  <w:tcW w:w="5362" w:type="dxa"/>
                  <w:vAlign w:val="center"/>
                </w:tcPr>
                <w:p w14:paraId="03600715">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设置</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个柴油储罐，（容积</w:t>
                  </w:r>
                  <w:r>
                    <w:rPr>
                      <w:rFonts w:hint="default" w:ascii="Times New Roman" w:hAnsi="Times New Roman" w:cs="Times New Roman"/>
                      <w:color w:val="auto"/>
                      <w:szCs w:val="21"/>
                      <w:highlight w:val="none"/>
                      <w:lang w:val="en-US" w:eastAsia="zh-CN"/>
                    </w:rPr>
                    <w:t>分别</w:t>
                  </w:r>
                  <w:r>
                    <w:rPr>
                      <w:rFonts w:hint="default" w:ascii="Times New Roman" w:hAnsi="Times New Roman" w:cs="Times New Roman"/>
                      <w:color w:val="auto"/>
                      <w:szCs w:val="21"/>
                      <w:highlight w:val="none"/>
                    </w:rPr>
                    <w:t>为</w:t>
                  </w:r>
                  <w:r>
                    <w:rPr>
                      <w:rFonts w:hint="default" w:ascii="Times New Roman" w:hAnsi="Times New Roman" w:cs="Times New Roman"/>
                      <w:color w:val="auto"/>
                      <w:szCs w:val="21"/>
                      <w:highlight w:val="none"/>
                      <w:lang w:val="en-US" w:eastAsia="zh-CN"/>
                    </w:rPr>
                    <w:t>50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lang w:val="en-US" w:eastAsia="zh-CN"/>
                    </w:rPr>
                    <w:t>、10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），柴油罐区地面参照重点防渗要求进行防渗，设置非燃烧材料的防火堤围堰，有效容积不小于最大贮罐的容积，发生泄漏时可及时收集全部泄漏物，并转移到空置的容器内，不会引起大气及水环境污染。</w:t>
                  </w:r>
                </w:p>
              </w:tc>
              <w:tc>
                <w:tcPr>
                  <w:tcW w:w="689" w:type="dxa"/>
                  <w:vAlign w:val="center"/>
                </w:tcPr>
                <w:p w14:paraId="0E70353F">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1D19625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5DAC84CB">
                  <w:pPr>
                    <w:pStyle w:val="65"/>
                    <w:rPr>
                      <w:rFonts w:hint="default" w:ascii="Times New Roman" w:hAnsi="Times New Roman" w:cs="Times New Roman"/>
                      <w:color w:val="auto"/>
                      <w:sz w:val="21"/>
                      <w:szCs w:val="21"/>
                      <w:highlight w:val="none"/>
                    </w:rPr>
                  </w:pPr>
                </w:p>
              </w:tc>
              <w:tc>
                <w:tcPr>
                  <w:tcW w:w="1203" w:type="dxa"/>
                  <w:vAlign w:val="center"/>
                </w:tcPr>
                <w:p w14:paraId="37E7883F">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危险废物</w:t>
                  </w:r>
                  <w:r>
                    <w:rPr>
                      <w:rFonts w:hint="default" w:ascii="Times New Roman" w:hAnsi="Times New Roman" w:cs="Times New Roman"/>
                      <w:color w:val="auto"/>
                      <w:szCs w:val="21"/>
                      <w:highlight w:val="none"/>
                      <w:lang w:eastAsia="zh-CN"/>
                    </w:rPr>
                    <w:t>贮存点</w:t>
                  </w:r>
                </w:p>
              </w:tc>
              <w:tc>
                <w:tcPr>
                  <w:tcW w:w="5362" w:type="dxa"/>
                  <w:vAlign w:val="center"/>
                </w:tcPr>
                <w:p w14:paraId="7357B8B5">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本项目建设危险废物</w:t>
                  </w:r>
                  <w:r>
                    <w:rPr>
                      <w:rFonts w:hint="default" w:ascii="Times New Roman" w:hAnsi="Times New Roman" w:cs="Times New Roman"/>
                      <w:color w:val="auto"/>
                      <w:highlight w:val="none"/>
                      <w:lang w:eastAsia="zh-CN"/>
                    </w:rPr>
                    <w:t>贮存点</w:t>
                  </w:r>
                  <w:r>
                    <w:rPr>
                      <w:rFonts w:hint="default" w:ascii="Times New Roman" w:hAnsi="Times New Roman" w:cs="Times New Roman"/>
                      <w:color w:val="auto"/>
                      <w:highlight w:val="none"/>
                    </w:rPr>
                    <w:t>1座，占地面积10m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。危险废物</w:t>
                  </w:r>
                  <w:r>
                    <w:rPr>
                      <w:rFonts w:hint="default" w:ascii="Times New Roman" w:hAnsi="Times New Roman" w:cs="Times New Roman"/>
                      <w:color w:val="auto"/>
                      <w:highlight w:val="none"/>
                      <w:lang w:eastAsia="zh-CN"/>
                    </w:rPr>
                    <w:t>贮存点</w:t>
                  </w:r>
                  <w:r>
                    <w:rPr>
                      <w:rFonts w:hint="default" w:ascii="Times New Roman" w:hAnsi="Times New Roman" w:cs="Times New Roman"/>
                      <w:color w:val="auto"/>
                      <w:highlight w:val="none"/>
                    </w:rPr>
                    <w:t>按照《危险废物贮存污染控制标准》（GB18597-2023）的相关要求，</w:t>
                  </w:r>
                  <w:r>
                    <w:rPr>
                      <w:rFonts w:hint="default" w:ascii="Times New Roman" w:hAnsi="Times New Roman" w:cs="Times New Roman"/>
                      <w:color w:val="auto"/>
                      <w:highlight w:val="none"/>
                      <w:lang w:val="en-US" w:eastAsia="zh-CN"/>
                    </w:rPr>
                    <w:t>采用重点防渗，表面防渗材料应与所接触的物料或污染物相容，可采用抗渗混凝土、高密度聚乙烯膜、钠基膨润土防水毯或其他防渗性能等效的材料。贮存的危险废物直接接触地面的，还应进行基础防渗，防渗层为至少 1 m 厚黏土层（渗透系数不大于 10</w:t>
                  </w:r>
                  <w:r>
                    <w:rPr>
                      <w:rFonts w:hint="default" w:ascii="Times New Roman" w:hAnsi="Times New Roman" w:cs="Times New Roman"/>
                      <w:color w:val="auto"/>
                      <w:highlight w:val="none"/>
                      <w:vertAlign w:val="superscript"/>
                      <w:lang w:val="en-US" w:eastAsia="zh-CN"/>
                    </w:rPr>
                    <w:t>-7</w:t>
                  </w:r>
                  <w:r>
                    <w:rPr>
                      <w:rFonts w:hint="default" w:ascii="Times New Roman" w:hAnsi="Times New Roman" w:cs="Times New Roman"/>
                      <w:color w:val="auto"/>
                      <w:highlight w:val="none"/>
                      <w:lang w:val="en-US" w:eastAsia="zh-CN"/>
                    </w:rPr>
                    <w:t xml:space="preserve"> cm/s），或至少2 mm 厚高密度聚乙烯膜等人工防渗材料（渗透系数不大于 10</w:t>
                  </w:r>
                  <w:r>
                    <w:rPr>
                      <w:rFonts w:hint="default" w:ascii="Times New Roman" w:hAnsi="Times New Roman" w:cs="Times New Roman"/>
                      <w:color w:val="auto"/>
                      <w:highlight w:val="none"/>
                      <w:vertAlign w:val="superscript"/>
                      <w:lang w:val="en-US" w:eastAsia="zh-CN"/>
                    </w:rPr>
                    <w:t>-10</w:t>
                  </w:r>
                  <w:r>
                    <w:rPr>
                      <w:rFonts w:hint="default" w:ascii="Times New Roman" w:hAnsi="Times New Roman" w:cs="Times New Roman"/>
                      <w:color w:val="auto"/>
                      <w:highlight w:val="none"/>
                      <w:lang w:val="en-US" w:eastAsia="zh-CN"/>
                    </w:rPr>
                    <w:t xml:space="preserve"> cm/s），或其他防渗性能等效的材料</w:t>
                  </w:r>
                  <w:r>
                    <w:rPr>
                      <w:rFonts w:hint="default" w:ascii="Times New Roman" w:hAnsi="Times New Roman" w:cs="Times New Roman"/>
                      <w:color w:val="auto"/>
                      <w:szCs w:val="21"/>
                      <w:highlight w:val="none"/>
                    </w:rPr>
                    <w:t>。</w:t>
                  </w:r>
                </w:p>
              </w:tc>
              <w:tc>
                <w:tcPr>
                  <w:tcW w:w="689" w:type="dxa"/>
                  <w:vAlign w:val="center"/>
                </w:tcPr>
                <w:p w14:paraId="731FC4AF">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6B1AAB7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55" w:type="dxa"/>
                  <w:vMerge w:val="continue"/>
                  <w:vAlign w:val="center"/>
                </w:tcPr>
                <w:p w14:paraId="13E659E2">
                  <w:pPr>
                    <w:pStyle w:val="65"/>
                    <w:rPr>
                      <w:rFonts w:hint="default" w:ascii="Times New Roman" w:hAnsi="Times New Roman" w:cs="Times New Roman"/>
                      <w:color w:val="auto"/>
                      <w:sz w:val="21"/>
                      <w:szCs w:val="21"/>
                      <w:highlight w:val="none"/>
                    </w:rPr>
                  </w:pPr>
                </w:p>
              </w:tc>
              <w:tc>
                <w:tcPr>
                  <w:tcW w:w="1203" w:type="dxa"/>
                  <w:vAlign w:val="center"/>
                </w:tcPr>
                <w:p w14:paraId="3E041C3A">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沉淀池</w:t>
                  </w:r>
                </w:p>
              </w:tc>
              <w:tc>
                <w:tcPr>
                  <w:tcW w:w="5362" w:type="dxa"/>
                  <w:vAlign w:val="center"/>
                </w:tcPr>
                <w:p w14:paraId="3D56F984">
                  <w:pPr>
                    <w:adjustRightInd w:val="0"/>
                    <w:snapToGrid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本项目设置5m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sz w:val="21"/>
                      <w:szCs w:val="21"/>
                      <w:highlight w:val="none"/>
                      <w:lang w:val="en-US" w:eastAsia="zh-CN"/>
                    </w:rPr>
                    <w:t>沉淀池，沉淀池采取重点防渗，沉淀池用于冲洗废水的隔油沉淀处理。</w:t>
                  </w:r>
                </w:p>
              </w:tc>
              <w:tc>
                <w:tcPr>
                  <w:tcW w:w="689" w:type="dxa"/>
                  <w:vAlign w:val="center"/>
                </w:tcPr>
                <w:p w14:paraId="143F52A1">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4BDB0E9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1BD1A2F2">
                  <w:pPr>
                    <w:pStyle w:val="65"/>
                    <w:rPr>
                      <w:rFonts w:hint="default" w:ascii="Times New Roman" w:hAnsi="Times New Roman" w:cs="Times New Roman"/>
                      <w:color w:val="auto"/>
                      <w:sz w:val="21"/>
                      <w:szCs w:val="21"/>
                      <w:highlight w:val="none"/>
                    </w:rPr>
                  </w:pPr>
                </w:p>
              </w:tc>
              <w:tc>
                <w:tcPr>
                  <w:tcW w:w="1203" w:type="dxa"/>
                  <w:shd w:val="clear" w:color="auto" w:fill="auto"/>
                  <w:vAlign w:val="center"/>
                </w:tcPr>
                <w:p w14:paraId="0F3FDB0D">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事故池</w:t>
                  </w:r>
                </w:p>
              </w:tc>
              <w:tc>
                <w:tcPr>
                  <w:tcW w:w="5362" w:type="dxa"/>
                  <w:shd w:val="clear" w:color="auto" w:fill="auto"/>
                  <w:vAlign w:val="center"/>
                </w:tcPr>
                <w:p w14:paraId="2AE69E2B">
                  <w:pPr>
                    <w:adjustRightInd w:val="0"/>
                    <w:snapToGrid w:val="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sz w:val="21"/>
                      <w:szCs w:val="21"/>
                      <w:highlight w:val="none"/>
                      <w:lang w:val="en-US" w:eastAsia="zh-CN"/>
                    </w:rPr>
                    <w:t>罐区设置50m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事故池，事故池采取重点防渗。</w:t>
                  </w:r>
                </w:p>
              </w:tc>
              <w:tc>
                <w:tcPr>
                  <w:tcW w:w="689" w:type="dxa"/>
                  <w:shd w:val="clear" w:color="auto" w:fill="auto"/>
                  <w:vAlign w:val="center"/>
                </w:tcPr>
                <w:p w14:paraId="1F6C458E">
                  <w:pPr>
                    <w:pStyle w:val="65"/>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新建</w:t>
                  </w:r>
                </w:p>
              </w:tc>
            </w:tr>
            <w:tr w14:paraId="198EB06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43B8877C">
                  <w:pPr>
                    <w:pStyle w:val="65"/>
                    <w:rPr>
                      <w:rFonts w:hint="default" w:ascii="Times New Roman" w:hAnsi="Times New Roman" w:cs="Times New Roman"/>
                      <w:color w:val="auto"/>
                      <w:sz w:val="21"/>
                      <w:szCs w:val="21"/>
                      <w:highlight w:val="none"/>
                    </w:rPr>
                  </w:pPr>
                </w:p>
              </w:tc>
              <w:tc>
                <w:tcPr>
                  <w:tcW w:w="1203" w:type="dxa"/>
                  <w:vAlign w:val="center"/>
                </w:tcPr>
                <w:p w14:paraId="7C2FF03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初期雨水收集池</w:t>
                  </w:r>
                </w:p>
              </w:tc>
              <w:tc>
                <w:tcPr>
                  <w:tcW w:w="5362" w:type="dxa"/>
                  <w:vAlign w:val="center"/>
                </w:tcPr>
                <w:p w14:paraId="3A8C9667">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初期雨水经四周排水沟收集汇入厂区一座</w:t>
                  </w:r>
                  <w:r>
                    <w:rPr>
                      <w:rFonts w:hint="default" w:ascii="Times New Roman" w:hAnsi="Times New Roman" w:cs="Times New Roman"/>
                      <w:color w:val="auto"/>
                      <w:szCs w:val="21"/>
                      <w:highlight w:val="none"/>
                      <w:lang w:eastAsia="zh-CN"/>
                    </w:rPr>
                    <w:t>160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初期雨水</w:t>
                  </w:r>
                  <w:r>
                    <w:rPr>
                      <w:rFonts w:hint="default" w:ascii="Times New Roman" w:hAnsi="Times New Roman" w:cs="Times New Roman"/>
                      <w:color w:val="auto"/>
                      <w:szCs w:val="21"/>
                      <w:highlight w:val="none"/>
                      <w:lang w:val="en-US" w:eastAsia="zh-CN"/>
                    </w:rPr>
                    <w:t>收集池</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收集</w:t>
                  </w:r>
                  <w:r>
                    <w:rPr>
                      <w:rFonts w:hint="default" w:ascii="Times New Roman" w:hAnsi="Times New Roman" w:cs="Times New Roman"/>
                      <w:color w:val="auto"/>
                      <w:szCs w:val="21"/>
                      <w:highlight w:val="none"/>
                    </w:rPr>
                    <w:t>后回用于厂区</w:t>
                  </w:r>
                  <w:r>
                    <w:rPr>
                      <w:rFonts w:hint="default" w:ascii="Times New Roman" w:hAnsi="Times New Roman" w:cs="Times New Roman"/>
                      <w:color w:val="auto"/>
                      <w:szCs w:val="21"/>
                      <w:highlight w:val="none"/>
                      <w:lang w:eastAsia="zh-CN"/>
                    </w:rPr>
                    <w:t>喷淋降尘</w:t>
                  </w:r>
                  <w:r>
                    <w:rPr>
                      <w:rFonts w:hint="default" w:ascii="Times New Roman" w:hAnsi="Times New Roman" w:cs="Times New Roman"/>
                      <w:color w:val="auto"/>
                      <w:szCs w:val="21"/>
                      <w:highlight w:val="none"/>
                    </w:rPr>
                    <w:t>，不外排。</w:t>
                  </w:r>
                </w:p>
              </w:tc>
              <w:tc>
                <w:tcPr>
                  <w:tcW w:w="689" w:type="dxa"/>
                  <w:vAlign w:val="center"/>
                </w:tcPr>
                <w:p w14:paraId="2044C7C0">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7C6601B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restart"/>
                  <w:vAlign w:val="center"/>
                </w:tcPr>
                <w:p w14:paraId="3865F6A0">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1203" w:type="dxa"/>
                  <w:vAlign w:val="center"/>
                </w:tcPr>
                <w:p w14:paraId="58BE7C5C">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给水</w:t>
                  </w:r>
                </w:p>
              </w:tc>
              <w:tc>
                <w:tcPr>
                  <w:tcW w:w="5362" w:type="dxa"/>
                  <w:vAlign w:val="center"/>
                </w:tcPr>
                <w:p w14:paraId="7FD78E85">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w:t>
                  </w:r>
                  <w:r>
                    <w:rPr>
                      <w:rFonts w:hint="default" w:ascii="Times New Roman" w:hAnsi="Times New Roman" w:cs="Times New Roman"/>
                      <w:color w:val="auto"/>
                      <w:sz w:val="21"/>
                      <w:szCs w:val="21"/>
                      <w:highlight w:val="none"/>
                      <w:lang w:val="en-US" w:eastAsia="zh-CN"/>
                    </w:rPr>
                    <w:t>厂区原有地下水井</w:t>
                  </w:r>
                  <w:r>
                    <w:rPr>
                      <w:rFonts w:hint="default" w:ascii="Times New Roman" w:hAnsi="Times New Roman" w:cs="Times New Roman"/>
                      <w:color w:val="auto"/>
                      <w:sz w:val="21"/>
                      <w:szCs w:val="21"/>
                      <w:highlight w:val="none"/>
                    </w:rPr>
                    <w:t>提供。</w:t>
                  </w:r>
                </w:p>
              </w:tc>
              <w:tc>
                <w:tcPr>
                  <w:tcW w:w="689" w:type="dxa"/>
                  <w:vAlign w:val="center"/>
                </w:tcPr>
                <w:p w14:paraId="51DCE10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依托</w:t>
                  </w:r>
                </w:p>
              </w:tc>
            </w:tr>
            <w:tr w14:paraId="646545A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08CC11B7">
                  <w:pPr>
                    <w:pStyle w:val="65"/>
                    <w:rPr>
                      <w:rFonts w:hint="default" w:ascii="Times New Roman" w:hAnsi="Times New Roman" w:cs="Times New Roman"/>
                      <w:color w:val="auto"/>
                      <w:sz w:val="21"/>
                      <w:szCs w:val="21"/>
                      <w:highlight w:val="none"/>
                    </w:rPr>
                  </w:pPr>
                </w:p>
              </w:tc>
              <w:tc>
                <w:tcPr>
                  <w:tcW w:w="1203" w:type="dxa"/>
                  <w:vAlign w:val="center"/>
                </w:tcPr>
                <w:p w14:paraId="17D282DA">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排水</w:t>
                  </w:r>
                </w:p>
              </w:tc>
              <w:tc>
                <w:tcPr>
                  <w:tcW w:w="5362" w:type="dxa"/>
                  <w:vAlign w:val="center"/>
                </w:tcPr>
                <w:p w14:paraId="3C9F2FA4">
                  <w:pPr>
                    <w:pStyle w:val="6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项目采取雨污分流，生活污水</w:t>
                  </w:r>
                  <w:r>
                    <w:rPr>
                      <w:rFonts w:hint="default" w:ascii="Times New Roman" w:hAnsi="Times New Roman" w:cs="Times New Roman"/>
                      <w:color w:val="auto"/>
                      <w:sz w:val="21"/>
                      <w:szCs w:val="21"/>
                      <w:highlight w:val="none"/>
                      <w:lang w:val="en-US" w:eastAsia="zh-CN"/>
                    </w:rPr>
                    <w:t>排入防渗旱厕，定期清掏，外运堆肥</w:t>
                  </w:r>
                  <w:r>
                    <w:rPr>
                      <w:rFonts w:hint="default" w:ascii="Times New Roman" w:hAnsi="Times New Roman" w:cs="Times New Roman"/>
                      <w:color w:val="auto"/>
                      <w:sz w:val="21"/>
                      <w:szCs w:val="21"/>
                      <w:highlight w:val="none"/>
                    </w:rPr>
                    <w:t>。初期雨水经四周排水沟收集汇入厂区一座</w:t>
                  </w:r>
                  <w:r>
                    <w:rPr>
                      <w:rFonts w:hint="default" w:ascii="Times New Roman" w:hAnsi="Times New Roman" w:cs="Times New Roman"/>
                      <w:color w:val="auto"/>
                      <w:sz w:val="21"/>
                      <w:szCs w:val="21"/>
                      <w:highlight w:val="none"/>
                      <w:lang w:eastAsia="zh-CN"/>
                    </w:rPr>
                    <w:t>160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初期雨水收集池，收集后回用于厂区喷淋降尘，不外排。</w:t>
                  </w:r>
                  <w:r>
                    <w:rPr>
                      <w:rFonts w:hint="default" w:ascii="Times New Roman" w:hAnsi="Times New Roman" w:cs="Times New Roman"/>
                      <w:color w:val="auto"/>
                      <w:sz w:val="21"/>
                      <w:szCs w:val="21"/>
                      <w:highlight w:val="none"/>
                      <w:lang w:val="en-US" w:eastAsia="zh-CN"/>
                    </w:rPr>
                    <w:t>冲洗废水经隔油沉淀处理后回用，不外排。</w:t>
                  </w:r>
                </w:p>
              </w:tc>
              <w:tc>
                <w:tcPr>
                  <w:tcW w:w="689" w:type="dxa"/>
                  <w:vAlign w:val="center"/>
                </w:tcPr>
                <w:p w14:paraId="569423D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新建</w:t>
                  </w:r>
                </w:p>
              </w:tc>
            </w:tr>
            <w:tr w14:paraId="6115FC8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55" w:type="dxa"/>
                  <w:vMerge w:val="continue"/>
                  <w:vAlign w:val="center"/>
                </w:tcPr>
                <w:p w14:paraId="355FA20D">
                  <w:pPr>
                    <w:pStyle w:val="65"/>
                    <w:rPr>
                      <w:rFonts w:hint="default" w:ascii="Times New Roman" w:hAnsi="Times New Roman" w:cs="Times New Roman"/>
                      <w:color w:val="auto"/>
                      <w:sz w:val="21"/>
                      <w:szCs w:val="21"/>
                      <w:highlight w:val="none"/>
                    </w:rPr>
                  </w:pPr>
                </w:p>
              </w:tc>
              <w:tc>
                <w:tcPr>
                  <w:tcW w:w="1203" w:type="dxa"/>
                  <w:vAlign w:val="center"/>
                </w:tcPr>
                <w:p w14:paraId="58F9CEBF">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w:t>
                  </w:r>
                </w:p>
              </w:tc>
              <w:tc>
                <w:tcPr>
                  <w:tcW w:w="5362" w:type="dxa"/>
                  <w:vAlign w:val="center"/>
                </w:tcPr>
                <w:p w14:paraId="22041C66">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由当地电网供给。</w:t>
                  </w:r>
                </w:p>
              </w:tc>
              <w:tc>
                <w:tcPr>
                  <w:tcW w:w="689" w:type="dxa"/>
                  <w:vAlign w:val="center"/>
                </w:tcPr>
                <w:p w14:paraId="36B69EE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依托</w:t>
                  </w:r>
                </w:p>
              </w:tc>
            </w:tr>
            <w:tr w14:paraId="449ADE3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55" w:type="dxa"/>
                  <w:vMerge w:val="continue"/>
                  <w:vAlign w:val="center"/>
                </w:tcPr>
                <w:p w14:paraId="1533EA09">
                  <w:pPr>
                    <w:pStyle w:val="65"/>
                    <w:rPr>
                      <w:rFonts w:hint="default" w:ascii="Times New Roman" w:hAnsi="Times New Roman" w:cs="Times New Roman"/>
                      <w:color w:val="auto"/>
                      <w:sz w:val="21"/>
                      <w:szCs w:val="21"/>
                      <w:highlight w:val="none"/>
                    </w:rPr>
                  </w:pPr>
                </w:p>
              </w:tc>
              <w:tc>
                <w:tcPr>
                  <w:tcW w:w="1203" w:type="dxa"/>
                  <w:vAlign w:val="center"/>
                </w:tcPr>
                <w:p w14:paraId="35C6A5C3">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供热</w:t>
                  </w:r>
                </w:p>
              </w:tc>
              <w:tc>
                <w:tcPr>
                  <w:tcW w:w="5362" w:type="dxa"/>
                  <w:vAlign w:val="center"/>
                </w:tcPr>
                <w:p w14:paraId="2A1E51AE">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项目冬季不生产，办公室无需取暖。用热主要为生产用热，分别为沥青储罐加热保温及骨料烘干，沥青罐加热使用1台</w:t>
                  </w:r>
                  <w:r>
                    <w:rPr>
                      <w:rFonts w:hint="default" w:ascii="Times New Roman" w:hAnsi="Times New Roman" w:cs="Times New Roman"/>
                      <w:color w:val="auto"/>
                      <w:sz w:val="21"/>
                      <w:szCs w:val="21"/>
                      <w:highlight w:val="none"/>
                      <w:lang w:eastAsia="zh-CN"/>
                    </w:rPr>
                    <w:t>100万Kcal</w:t>
                  </w:r>
                  <w:r>
                    <w:rPr>
                      <w:rFonts w:hint="default" w:ascii="Times New Roman" w:hAnsi="Times New Roman" w:cs="Times New Roman"/>
                      <w:color w:val="auto"/>
                      <w:sz w:val="21"/>
                      <w:szCs w:val="21"/>
                      <w:highlight w:val="none"/>
                    </w:rPr>
                    <w:t>导热油炉加热，燃料为轻质柴油；骨料烘干使用1台21</w:t>
                  </w:r>
                  <w:r>
                    <w:rPr>
                      <w:rFonts w:hint="default" w:ascii="Times New Roman" w:hAnsi="Times New Roman"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MW燃烧器对骨料进行烘干，燃料为轻质柴油。</w:t>
                  </w:r>
                </w:p>
              </w:tc>
              <w:tc>
                <w:tcPr>
                  <w:tcW w:w="689" w:type="dxa"/>
                  <w:vAlign w:val="center"/>
                </w:tcPr>
                <w:p w14:paraId="701380DD">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1E7ECC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57" w:hRule="atLeast"/>
                <w:jc w:val="center"/>
              </w:trPr>
              <w:tc>
                <w:tcPr>
                  <w:tcW w:w="655" w:type="dxa"/>
                  <w:vMerge w:val="restart"/>
                  <w:vAlign w:val="center"/>
                </w:tcPr>
                <w:p w14:paraId="22A72651">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1203" w:type="dxa"/>
                  <w:vAlign w:val="center"/>
                </w:tcPr>
                <w:p w14:paraId="32140CE8">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5362" w:type="dxa"/>
                  <w:vAlign w:val="center"/>
                </w:tcPr>
                <w:p w14:paraId="7F68797B">
                  <w:pPr>
                    <w:pStyle w:val="6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项目采取雨污分流，</w:t>
                  </w:r>
                  <w:bookmarkStart w:id="13" w:name="_Hlk186814496"/>
                  <w:r>
                    <w:rPr>
                      <w:rFonts w:hint="default" w:ascii="Times New Roman" w:hAnsi="Times New Roman" w:cs="Times New Roman"/>
                      <w:color w:val="auto"/>
                      <w:sz w:val="21"/>
                      <w:szCs w:val="21"/>
                      <w:highlight w:val="none"/>
                    </w:rPr>
                    <w:t>生活污水</w:t>
                  </w:r>
                  <w:r>
                    <w:rPr>
                      <w:rFonts w:hint="default" w:ascii="Times New Roman" w:hAnsi="Times New Roman" w:cs="Times New Roman"/>
                      <w:color w:val="auto"/>
                      <w:sz w:val="21"/>
                      <w:szCs w:val="21"/>
                      <w:highlight w:val="none"/>
                      <w:lang w:val="en-US" w:eastAsia="zh-CN"/>
                    </w:rPr>
                    <w:t>排入防渗旱厕，定期清掏外运堆肥</w:t>
                  </w:r>
                  <w:r>
                    <w:rPr>
                      <w:rFonts w:hint="default" w:ascii="Times New Roman" w:hAnsi="Times New Roman" w:cs="Times New Roman"/>
                      <w:color w:val="auto"/>
                      <w:sz w:val="21"/>
                      <w:szCs w:val="21"/>
                      <w:highlight w:val="none"/>
                    </w:rPr>
                    <w:t>。</w:t>
                  </w:r>
                  <w:bookmarkEnd w:id="13"/>
                  <w:r>
                    <w:rPr>
                      <w:rFonts w:hint="default" w:ascii="Times New Roman" w:hAnsi="Times New Roman" w:cs="Times New Roman"/>
                      <w:color w:val="auto"/>
                      <w:sz w:val="21"/>
                      <w:szCs w:val="21"/>
                      <w:highlight w:val="none"/>
                      <w:lang w:val="en-US" w:eastAsia="zh-CN"/>
                    </w:rPr>
                    <w:t>冲洗废水经沉淀隔油处理后回用，不外排。</w:t>
                  </w:r>
                  <w:r>
                    <w:rPr>
                      <w:rFonts w:hint="default" w:ascii="Times New Roman" w:hAnsi="Times New Roman" w:cs="Times New Roman"/>
                      <w:color w:val="auto"/>
                      <w:sz w:val="21"/>
                      <w:szCs w:val="21"/>
                      <w:highlight w:val="none"/>
                    </w:rPr>
                    <w:t>初期雨水经四周排水沟收集汇入厂区一座</w:t>
                  </w:r>
                  <w:r>
                    <w:rPr>
                      <w:rFonts w:hint="default" w:ascii="Times New Roman" w:hAnsi="Times New Roman" w:cs="Times New Roman"/>
                      <w:color w:val="auto"/>
                      <w:sz w:val="21"/>
                      <w:szCs w:val="21"/>
                      <w:highlight w:val="none"/>
                      <w:lang w:eastAsia="zh-CN"/>
                    </w:rPr>
                    <w:t>160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初期雨水收集池，收集后回用于厂区喷淋降尘，不外排</w:t>
                  </w:r>
                  <w:r>
                    <w:rPr>
                      <w:rFonts w:hint="default" w:ascii="Times New Roman" w:hAnsi="Times New Roman" w:cs="Times New Roman"/>
                      <w:color w:val="auto"/>
                      <w:sz w:val="21"/>
                      <w:szCs w:val="21"/>
                      <w:highlight w:val="none"/>
                      <w:lang w:eastAsia="zh-CN"/>
                    </w:rPr>
                    <w:t>。</w:t>
                  </w:r>
                </w:p>
              </w:tc>
              <w:tc>
                <w:tcPr>
                  <w:tcW w:w="689" w:type="dxa"/>
                  <w:vAlign w:val="center"/>
                </w:tcPr>
                <w:p w14:paraId="34027938">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4CEFD32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7" w:hRule="atLeast"/>
                <w:jc w:val="center"/>
              </w:trPr>
              <w:tc>
                <w:tcPr>
                  <w:tcW w:w="655" w:type="dxa"/>
                  <w:vMerge w:val="continue"/>
                  <w:vAlign w:val="center"/>
                </w:tcPr>
                <w:p w14:paraId="0A053A90">
                  <w:pPr>
                    <w:pStyle w:val="65"/>
                    <w:rPr>
                      <w:rFonts w:hint="default" w:ascii="Times New Roman" w:hAnsi="Times New Roman" w:cs="Times New Roman"/>
                      <w:color w:val="auto"/>
                      <w:sz w:val="21"/>
                      <w:szCs w:val="21"/>
                      <w:highlight w:val="none"/>
                    </w:rPr>
                  </w:pPr>
                </w:p>
              </w:tc>
              <w:tc>
                <w:tcPr>
                  <w:tcW w:w="1203" w:type="dxa"/>
                  <w:vAlign w:val="center"/>
                </w:tcPr>
                <w:p w14:paraId="4FB42AB0">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5362" w:type="dxa"/>
                  <w:vAlign w:val="center"/>
                </w:tcPr>
                <w:p w14:paraId="5BFBAB98">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bookmarkStart w:id="14" w:name="_Hlk186814735"/>
                  <w:bookmarkStart w:id="15" w:name="_Hlk186814586"/>
                  <w:r>
                    <w:rPr>
                      <w:rFonts w:hint="default" w:ascii="Times New Roman" w:hAnsi="Times New Roman" w:cs="Times New Roman"/>
                      <w:color w:val="auto"/>
                      <w:szCs w:val="21"/>
                      <w:highlight w:val="none"/>
                    </w:rPr>
                    <w:t>原料运输及原料堆场装卸粉尘</w:t>
                  </w:r>
                  <w:bookmarkEnd w:id="14"/>
                  <w:r>
                    <w:rPr>
                      <w:rFonts w:hint="default" w:ascii="Times New Roman" w:hAnsi="Times New Roman" w:cs="Times New Roman"/>
                      <w:color w:val="auto"/>
                      <w:szCs w:val="21"/>
                      <w:highlight w:val="none"/>
                    </w:rPr>
                    <w:t>：原料采用封闭式罐车运入厂区，砂石料运输车辆全部采用苫布覆盖。</w:t>
                  </w:r>
                  <w:r>
                    <w:rPr>
                      <w:rFonts w:hint="default" w:ascii="Times New Roman" w:hAnsi="Times New Roman" w:cs="Times New Roman"/>
                      <w:color w:val="auto"/>
                      <w:szCs w:val="21"/>
                      <w:highlight w:val="none"/>
                      <w:lang w:val="en-US" w:eastAsia="zh-CN"/>
                    </w:rPr>
                    <w:t>车辆减速慢行，定期洒水抑尘。</w:t>
                  </w:r>
                  <w:r>
                    <w:rPr>
                      <w:rFonts w:hint="default" w:ascii="Times New Roman" w:hAnsi="Times New Roman" w:cs="Times New Roman"/>
                      <w:color w:val="auto"/>
                      <w:szCs w:val="21"/>
                      <w:highlight w:val="none"/>
                    </w:rPr>
                    <w:t>原料碎石堆存于原料堆场内，</w:t>
                  </w:r>
                  <w:bookmarkStart w:id="16" w:name="_Hlk193468470"/>
                  <w:r>
                    <w:rPr>
                      <w:rFonts w:hint="default" w:ascii="Times New Roman" w:hAnsi="Times New Roman" w:cs="Times New Roman"/>
                      <w:color w:val="auto"/>
                      <w:szCs w:val="21"/>
                      <w:highlight w:val="none"/>
                    </w:rPr>
                    <w:t>本项目原料堆场表面铺盖苫布，四周设置防风抑尘网，进行定期</w:t>
                  </w:r>
                  <w:r>
                    <w:rPr>
                      <w:rFonts w:hint="default" w:ascii="Times New Roman" w:hAnsi="Times New Roman" w:cs="Times New Roman"/>
                      <w:color w:val="auto"/>
                      <w:szCs w:val="21"/>
                      <w:highlight w:val="none"/>
                      <w:lang w:eastAsia="zh-CN"/>
                    </w:rPr>
                    <w:t>喷淋降尘</w:t>
                  </w:r>
                  <w:r>
                    <w:rPr>
                      <w:rFonts w:hint="default" w:ascii="Times New Roman" w:hAnsi="Times New Roman" w:cs="Times New Roman"/>
                      <w:color w:val="auto"/>
                      <w:szCs w:val="21"/>
                      <w:highlight w:val="none"/>
                    </w:rPr>
                    <w:t>，堆场地面全部硬化，原料运输无组织粉尘及原料存放无组织粉尘排放浓度满足《大气污染物综合排放标准》（GB16297-1996）表2中无组织排放监控浓度限值</w:t>
                  </w:r>
                  <w:bookmarkEnd w:id="16"/>
                  <w:r>
                    <w:rPr>
                      <w:rFonts w:hint="default" w:ascii="Times New Roman" w:hAnsi="Times New Roman" w:cs="Times New Roman"/>
                      <w:color w:val="auto"/>
                      <w:szCs w:val="21"/>
                      <w:highlight w:val="none"/>
                    </w:rPr>
                    <w:t>。</w:t>
                  </w:r>
                  <w:bookmarkEnd w:id="15"/>
                </w:p>
                <w:p w14:paraId="6679EB87">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（2）原料堆场粉尘：</w:t>
                  </w:r>
                  <w:bookmarkStart w:id="17" w:name="_Hlk193468665"/>
                  <w:r>
                    <w:rPr>
                      <w:rFonts w:hint="default" w:ascii="Times New Roman" w:hAnsi="Times New Roman" w:cs="Times New Roman"/>
                      <w:color w:val="auto"/>
                      <w:szCs w:val="21"/>
                      <w:highlight w:val="none"/>
                    </w:rPr>
                    <w:t>本项目原料外购进场卸料到原料堆场会产生无组织粉尘，本项目堆场四周设置防风抑尘网，设置</w:t>
                  </w:r>
                  <w:r>
                    <w:rPr>
                      <w:rFonts w:hint="default" w:ascii="Times New Roman" w:hAnsi="Times New Roman" w:cs="Times New Roman"/>
                      <w:color w:val="auto"/>
                      <w:szCs w:val="21"/>
                      <w:highlight w:val="none"/>
                      <w:lang w:eastAsia="zh-CN"/>
                    </w:rPr>
                    <w:t>喷淋</w:t>
                  </w:r>
                  <w:r>
                    <w:rPr>
                      <w:rFonts w:hint="default" w:ascii="Times New Roman" w:hAnsi="Times New Roman" w:cs="Times New Roman"/>
                      <w:color w:val="auto"/>
                      <w:szCs w:val="21"/>
                      <w:highlight w:val="none"/>
                    </w:rPr>
                    <w:t>系统进行</w:t>
                  </w:r>
                  <w:r>
                    <w:rPr>
                      <w:rFonts w:hint="default" w:ascii="Times New Roman" w:hAnsi="Times New Roman" w:cs="Times New Roman"/>
                      <w:color w:val="auto"/>
                      <w:szCs w:val="21"/>
                      <w:highlight w:val="none"/>
                      <w:lang w:eastAsia="zh-CN"/>
                    </w:rPr>
                    <w:t>喷淋降尘</w:t>
                  </w:r>
                  <w:r>
                    <w:rPr>
                      <w:rFonts w:hint="default" w:ascii="Times New Roman" w:hAnsi="Times New Roman" w:cs="Times New Roman"/>
                      <w:color w:val="auto"/>
                      <w:szCs w:val="21"/>
                      <w:highlight w:val="none"/>
                    </w:rPr>
                    <w:t>，堆场地面全部硬化，采取上述措施后无组织粉尘排放浓度能够满足《大气污染物综合排放标准》（GB16297-1996）表2中无组织排放监控浓度限值要求。</w:t>
                  </w:r>
                  <w:bookmarkEnd w:id="17"/>
                </w:p>
                <w:p w14:paraId="0E3C04A9">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bookmarkStart w:id="18" w:name="_Hlk186814741"/>
                  <w:bookmarkStart w:id="19" w:name="_Hlk186814666"/>
                  <w:bookmarkStart w:id="20" w:name="_Hlk186814594"/>
                  <w:r>
                    <w:rPr>
                      <w:rFonts w:hint="default" w:ascii="Times New Roman" w:hAnsi="Times New Roman" w:cs="Times New Roman"/>
                      <w:color w:val="auto"/>
                      <w:szCs w:val="21"/>
                      <w:highlight w:val="none"/>
                    </w:rPr>
                    <w:t>冷料上料、输送废气</w:t>
                  </w:r>
                  <w:bookmarkEnd w:id="18"/>
                  <w:r>
                    <w:rPr>
                      <w:rFonts w:hint="default" w:ascii="Times New Roman" w:hAnsi="Times New Roman" w:cs="Times New Roman"/>
                      <w:color w:val="auto"/>
                      <w:szCs w:val="21"/>
                      <w:highlight w:val="none"/>
                    </w:rPr>
                    <w:t>：</w:t>
                  </w:r>
                  <w:bookmarkEnd w:id="19"/>
                  <w:bookmarkStart w:id="21" w:name="_Hlk193468687"/>
                  <w:r>
                    <w:rPr>
                      <w:rFonts w:hint="default" w:ascii="Times New Roman" w:hAnsi="Times New Roman" w:cs="Times New Roman"/>
                      <w:color w:val="auto"/>
                      <w:szCs w:val="21"/>
                      <w:highlight w:val="none"/>
                    </w:rPr>
                    <w:t>冷料通过铲车、封闭皮带输送至烘干筒，过程中会产生一定量的粉尘，冷料上料于封闭式骨料仓</w:t>
                  </w:r>
                  <w:r>
                    <w:rPr>
                      <w:rFonts w:hint="default" w:ascii="Times New Roman" w:hAnsi="Times New Roman" w:cs="Times New Roman"/>
                      <w:color w:val="auto"/>
                      <w:szCs w:val="21"/>
                      <w:highlight w:val="none"/>
                      <w:lang w:val="en-US" w:eastAsia="zh-CN"/>
                    </w:rPr>
                    <w:t>中</w:t>
                  </w:r>
                  <w:r>
                    <w:rPr>
                      <w:rFonts w:hint="default" w:ascii="Times New Roman" w:hAnsi="Times New Roman" w:cs="Times New Roman"/>
                      <w:color w:val="auto"/>
                      <w:szCs w:val="21"/>
                      <w:highlight w:val="none"/>
                    </w:rPr>
                    <w:t>进行，排放浓度满足《大气污染物综合排放标准》（GB16297-1996）表2中无组织排放监控浓度限值。</w:t>
                  </w:r>
                  <w:bookmarkEnd w:id="21"/>
                </w:p>
                <w:p w14:paraId="4E44BDA7">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bookmarkEnd w:id="20"/>
                  <w:bookmarkStart w:id="22" w:name="_Hlk186814619"/>
                  <w:bookmarkStart w:id="23" w:name="_Hlk186814669"/>
                  <w:r>
                    <w:rPr>
                      <w:rFonts w:hint="default" w:ascii="Times New Roman" w:hAnsi="Times New Roman" w:cs="Times New Roman"/>
                      <w:color w:val="auto"/>
                      <w:szCs w:val="21"/>
                      <w:highlight w:val="none"/>
                      <w:lang w:val="en-US" w:eastAsia="zh-CN"/>
                    </w:rPr>
                    <w:t>矿粉</w:t>
                  </w:r>
                  <w:r>
                    <w:rPr>
                      <w:rFonts w:hint="default" w:ascii="Times New Roman" w:hAnsi="Times New Roman" w:cs="Times New Roman"/>
                      <w:color w:val="auto"/>
                      <w:sz w:val="21"/>
                      <w:szCs w:val="21"/>
                      <w:highlight w:val="none"/>
                      <w:lang w:val="en-US" w:eastAsia="zh-CN"/>
                    </w:rPr>
                    <w:t>筒仓废气经自带的布袋除尘器处理后通过仓顶排放，污染物排放执行《大气污染物综合排放标准》（GB16297-1996）无组织排放监控浓度限值，收灰回用于生产，不外排。</w:t>
                  </w:r>
                </w:p>
                <w:p w14:paraId="6F462233">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骨料加热烘干废气</w:t>
                  </w:r>
                </w:p>
                <w:p w14:paraId="4B34057C">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w:t>
                  </w:r>
                  <w:bookmarkStart w:id="24" w:name="_Hlk186814757"/>
                  <w:bookmarkStart w:id="25" w:name="_Hlk186814656"/>
                  <w:r>
                    <w:rPr>
                      <w:rFonts w:hint="default" w:ascii="Times New Roman" w:hAnsi="Times New Roman" w:cs="Times New Roman"/>
                      <w:color w:val="auto"/>
                      <w:szCs w:val="21"/>
                      <w:highlight w:val="none"/>
                    </w:rPr>
                    <w:t>烘干、筛分粉尘</w:t>
                  </w:r>
                  <w:bookmarkEnd w:id="24"/>
                  <w:r>
                    <w:rPr>
                      <w:rFonts w:hint="default" w:ascii="Times New Roman" w:hAnsi="Times New Roman" w:cs="Times New Roman"/>
                      <w:color w:val="auto"/>
                      <w:szCs w:val="21"/>
                      <w:highlight w:val="none"/>
                    </w:rPr>
                    <w:t>：</w:t>
                  </w:r>
                  <w:bookmarkStart w:id="26" w:name="_Hlk186814612"/>
                  <w:r>
                    <w:rPr>
                      <w:rFonts w:hint="default" w:ascii="Times New Roman" w:hAnsi="Times New Roman" w:cs="Times New Roman"/>
                      <w:color w:val="auto"/>
                      <w:szCs w:val="21"/>
                      <w:highlight w:val="none"/>
                    </w:rPr>
                    <w:t>石料在烘干滚筒内翻滚以及筛分过程中会产生粉尘。本项目烘干滚筒及筛分设备为密闭形式，烘干、筛分粉尘经旋风除尘器（除尘效率40%）+布袋除尘器（除尘效率99%）处理后通过</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m高烟囱DA00</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排放，有组织排放浓度及排放速率满足《大气污染物综合排放标准》（GB16297-1996）表2中二级标准要求。</w:t>
                  </w:r>
                  <w:bookmarkEnd w:id="25"/>
                </w:p>
                <w:bookmarkEnd w:id="26"/>
                <w:p w14:paraId="594BA9F2">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②</w:t>
                  </w:r>
                  <w:bookmarkStart w:id="27" w:name="_Hlk186814760"/>
                  <w:bookmarkStart w:id="28" w:name="_Hlk186814642"/>
                  <w:r>
                    <w:rPr>
                      <w:rFonts w:hint="default" w:ascii="Times New Roman" w:hAnsi="Times New Roman" w:cs="Times New Roman"/>
                      <w:color w:val="auto"/>
                      <w:szCs w:val="21"/>
                      <w:highlight w:val="none"/>
                    </w:rPr>
                    <w:t>燃油废气</w:t>
                  </w:r>
                  <w:bookmarkEnd w:id="27"/>
                  <w:r>
                    <w:rPr>
                      <w:rFonts w:hint="default" w:ascii="Times New Roman" w:hAnsi="Times New Roman" w:cs="Times New Roman"/>
                      <w:color w:val="auto"/>
                      <w:szCs w:val="21"/>
                      <w:highlight w:val="none"/>
                    </w:rPr>
                    <w:t>：</w:t>
                  </w:r>
                  <w:bookmarkEnd w:id="28"/>
                  <w:bookmarkStart w:id="29" w:name="_Hlk193468898"/>
                  <w:r>
                    <w:rPr>
                      <w:rFonts w:hint="default" w:ascii="Times New Roman" w:hAnsi="Times New Roman" w:cs="Times New Roman"/>
                      <w:color w:val="auto"/>
                      <w:szCs w:val="21"/>
                      <w:highlight w:val="none"/>
                    </w:rPr>
                    <w:t>本项目采用燃烧器向烘干滚筒喷入火焰的方式对骨料进行加热，燃烧器以轻质柴油为燃料</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燃烧采用低氮燃烧技术</w:t>
                  </w:r>
                  <w:r>
                    <w:rPr>
                      <w:rFonts w:hint="default" w:ascii="Times New Roman" w:hAnsi="Times New Roman" w:cs="Times New Roman"/>
                      <w:color w:val="auto"/>
                      <w:szCs w:val="21"/>
                      <w:highlight w:val="none"/>
                    </w:rPr>
                    <w:t>。燃油废气与烘干、筛分粉尘形成混合气体，混合气体通过引风机引入旋风除尘器（除尘效率40%）+布袋除尘器（除尘效率99%）处理后通过</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m高烟囱DA00</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排放，本项目骨料加热烘干废气中SO</w:t>
                  </w:r>
                  <w:r>
                    <w:rPr>
                      <w:rFonts w:hint="default" w:ascii="Times New Roman" w:hAnsi="Times New Roman" w:cs="Times New Roman"/>
                      <w:color w:val="auto"/>
                      <w:szCs w:val="21"/>
                      <w:highlight w:val="none"/>
                      <w:vertAlign w:val="subscript"/>
                    </w:rPr>
                    <w:t>2</w:t>
                  </w:r>
                  <w:r>
                    <w:rPr>
                      <w:rFonts w:hint="default" w:ascii="Times New Roman" w:hAnsi="Times New Roman" w:cs="Times New Roman"/>
                      <w:color w:val="auto"/>
                      <w:szCs w:val="21"/>
                      <w:highlight w:val="none"/>
                    </w:rPr>
                    <w:t>、颗粒物、NO</w:t>
                  </w:r>
                  <w:r>
                    <w:rPr>
                      <w:rFonts w:hint="default" w:ascii="Times New Roman" w:hAnsi="Times New Roman" w:cs="Times New Roman"/>
                      <w:color w:val="auto"/>
                      <w:szCs w:val="21"/>
                      <w:highlight w:val="none"/>
                      <w:vertAlign w:val="subscript"/>
                    </w:rPr>
                    <w:t>X</w:t>
                  </w:r>
                  <w:r>
                    <w:rPr>
                      <w:rFonts w:hint="default" w:ascii="Times New Roman" w:hAnsi="Times New Roman" w:cs="Times New Roman"/>
                      <w:color w:val="auto"/>
                      <w:szCs w:val="21"/>
                      <w:highlight w:val="none"/>
                    </w:rPr>
                    <w:t>排放浓度及排放速率满足《大气污染物综合排放标准》（GB16297-1996）表2中二级标准要求</w:t>
                  </w:r>
                  <w:bookmarkEnd w:id="29"/>
                  <w:r>
                    <w:rPr>
                      <w:rFonts w:hint="default" w:ascii="Times New Roman" w:hAnsi="Times New Roman" w:cs="Times New Roman"/>
                      <w:color w:val="auto"/>
                      <w:szCs w:val="21"/>
                      <w:highlight w:val="none"/>
                    </w:rPr>
                    <w:t>。</w:t>
                  </w:r>
                  <w:bookmarkEnd w:id="22"/>
                  <w:bookmarkEnd w:id="23"/>
                </w:p>
                <w:p w14:paraId="0EBAAEB3">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bookmarkStart w:id="30" w:name="_Hlk186814764"/>
                  <w:bookmarkStart w:id="31" w:name="_Hlk186814626"/>
                  <w:bookmarkStart w:id="32" w:name="_Hlk186814672"/>
                  <w:r>
                    <w:rPr>
                      <w:rFonts w:hint="default" w:ascii="Times New Roman" w:hAnsi="Times New Roman" w:cs="Times New Roman"/>
                      <w:color w:val="auto"/>
                      <w:szCs w:val="21"/>
                      <w:highlight w:val="none"/>
                    </w:rPr>
                    <w:t>导热油炉烟气</w:t>
                  </w:r>
                  <w:bookmarkEnd w:id="30"/>
                  <w:r>
                    <w:rPr>
                      <w:rFonts w:hint="default" w:ascii="Times New Roman" w:hAnsi="Times New Roman" w:cs="Times New Roman"/>
                      <w:color w:val="auto"/>
                      <w:szCs w:val="21"/>
                      <w:highlight w:val="none"/>
                    </w:rPr>
                    <w:t>：</w:t>
                  </w:r>
                  <w:bookmarkStart w:id="33" w:name="_Hlk193468930"/>
                  <w:r>
                    <w:rPr>
                      <w:rFonts w:hint="default" w:ascii="Times New Roman" w:hAnsi="Times New Roman" w:cs="Times New Roman"/>
                      <w:color w:val="auto"/>
                      <w:szCs w:val="21"/>
                      <w:highlight w:val="none"/>
                    </w:rPr>
                    <w:t>本项目采用</w:t>
                  </w:r>
                  <w:r>
                    <w:rPr>
                      <w:rFonts w:hint="default" w:ascii="Times New Roman" w:hAnsi="Times New Roman" w:cs="Times New Roman"/>
                      <w:color w:val="auto"/>
                      <w:szCs w:val="21"/>
                      <w:highlight w:val="none"/>
                      <w:lang w:val="en-US" w:eastAsia="zh-CN"/>
                    </w:rPr>
                    <w:t>10</w:t>
                  </w:r>
                  <w:r>
                    <w:rPr>
                      <w:rFonts w:hint="default" w:ascii="Times New Roman" w:hAnsi="Times New Roman" w:cs="Times New Roman"/>
                      <w:color w:val="auto"/>
                      <w:szCs w:val="21"/>
                      <w:highlight w:val="none"/>
                    </w:rPr>
                    <w:t>0万Kcal导热油炉加热沥青储罐，产生的导热油炉燃油烟气经</w:t>
                  </w:r>
                  <w:r>
                    <w:rPr>
                      <w:rFonts w:hint="default" w:ascii="Times New Roman" w:hAnsi="Times New Roman" w:cs="Times New Roman"/>
                      <w:color w:val="auto"/>
                      <w:szCs w:val="21"/>
                      <w:highlight w:val="none"/>
                      <w:lang w:val="en-US" w:eastAsia="zh-CN"/>
                    </w:rPr>
                    <w:t>低氮燃烧后通过10</w:t>
                  </w:r>
                  <w:r>
                    <w:rPr>
                      <w:rFonts w:hint="default" w:ascii="Times New Roman" w:hAnsi="Times New Roman" w:cs="Times New Roman"/>
                      <w:color w:val="auto"/>
                      <w:szCs w:val="21"/>
                      <w:highlight w:val="none"/>
                    </w:rPr>
                    <w:t>m高烟囱DA00</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排放，污染物排放浓度符合《锅炉大气污染物排放标准》（GB13271-2014）表2新建锅炉大气污染物排放浓度限值中燃油锅炉排放限值</w:t>
                  </w:r>
                  <w:bookmarkEnd w:id="33"/>
                  <w:r>
                    <w:rPr>
                      <w:rFonts w:hint="default" w:ascii="Times New Roman" w:hAnsi="Times New Roman" w:cs="Times New Roman"/>
                      <w:color w:val="auto"/>
                      <w:szCs w:val="21"/>
                      <w:highlight w:val="none"/>
                    </w:rPr>
                    <w:t>。</w:t>
                  </w:r>
                  <w:bookmarkEnd w:id="31"/>
                </w:p>
                <w:bookmarkEnd w:id="32"/>
                <w:p w14:paraId="63CFB784">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bookmarkStart w:id="34" w:name="_Hlk186814783"/>
                  <w:bookmarkStart w:id="35" w:name="_Hlk186814680"/>
                  <w:r>
                    <w:rPr>
                      <w:rFonts w:hint="default" w:ascii="Times New Roman" w:hAnsi="Times New Roman" w:cs="Times New Roman"/>
                      <w:color w:val="auto"/>
                      <w:szCs w:val="21"/>
                      <w:highlight w:val="none"/>
                    </w:rPr>
                    <w:t>沥青烟气</w:t>
                  </w:r>
                  <w:bookmarkEnd w:id="34"/>
                  <w:r>
                    <w:rPr>
                      <w:rFonts w:hint="default" w:ascii="Times New Roman" w:hAnsi="Times New Roman" w:cs="Times New Roman"/>
                      <w:color w:val="auto"/>
                      <w:szCs w:val="21"/>
                      <w:highlight w:val="none"/>
                    </w:rPr>
                    <w:t>：沥青烟气经负压抽风废气整体收集系统，沥青储罐</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搅拌废气</w:t>
                  </w:r>
                  <w:r>
                    <w:rPr>
                      <w:rFonts w:hint="default" w:ascii="Times New Roman" w:hAnsi="Times New Roman" w:cs="Times New Roman"/>
                      <w:color w:val="auto"/>
                      <w:szCs w:val="21"/>
                      <w:highlight w:val="none"/>
                    </w:rPr>
                    <w:t>通过集气管收集沥青烟气、出料区设置自动升降门及集气管，密闭收集沥青烟气，沥青烟</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苯并[a]芘、非甲烷总烃</w:t>
                  </w:r>
                  <w:r>
                    <w:rPr>
                      <w:rFonts w:hint="default" w:ascii="Times New Roman" w:hAnsi="Times New Roman" w:cs="Times New Roman"/>
                      <w:color w:val="auto"/>
                      <w:szCs w:val="21"/>
                      <w:highlight w:val="none"/>
                    </w:rPr>
                    <w:t>经负压收集</w:t>
                  </w:r>
                  <w:r>
                    <w:rPr>
                      <w:rFonts w:hint="default" w:ascii="Times New Roman" w:hAnsi="Times New Roman" w:cs="Times New Roman"/>
                      <w:color w:val="auto"/>
                      <w:szCs w:val="21"/>
                      <w:highlight w:val="none"/>
                      <w:lang w:val="en-US" w:eastAsia="zh-CN"/>
                    </w:rPr>
                    <w:t>+电捕焦油器</w:t>
                  </w:r>
                  <w:r>
                    <w:rPr>
                      <w:rFonts w:hint="default" w:ascii="Times New Roman" w:hAnsi="Times New Roman" w:cs="Times New Roman"/>
                      <w:color w:val="auto"/>
                      <w:szCs w:val="21"/>
                      <w:highlight w:val="none"/>
                    </w:rPr>
                    <w:t>+活性炭吸附装置处理后通过</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m高排气筒DA00</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排放。有组织排放浓度及排放速率满足《大气污染物综合排放标准》（GB16297-1996）表2中二级标准限值。</w:t>
                  </w:r>
                  <w:bookmarkEnd w:id="35"/>
                </w:p>
                <w:p w14:paraId="32DFDF93">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（8）柴油储罐呼吸废气：柴油储罐采用碳钢材质封闭式柴油储罐，柴油储罐</w:t>
                  </w:r>
                  <w:r>
                    <w:rPr>
                      <w:rFonts w:hint="default" w:ascii="Times New Roman" w:hAnsi="Times New Roman" w:cs="Times New Roman"/>
                      <w:color w:val="auto"/>
                      <w:szCs w:val="21"/>
                      <w:highlight w:val="none"/>
                      <w:lang w:val="en-US" w:eastAsia="zh-CN"/>
                    </w:rPr>
                    <w:t>废气</w:t>
                  </w:r>
                  <w:r>
                    <w:rPr>
                      <w:rFonts w:hint="default" w:ascii="Times New Roman" w:hAnsi="Times New Roman" w:cs="Times New Roman"/>
                      <w:color w:val="auto"/>
                      <w:szCs w:val="21"/>
                      <w:highlight w:val="none"/>
                    </w:rPr>
                    <w:t>经露天扩散和周边绿化净化，呈无组织排放，非甲烷总烃无组织排放浓度满足《大气污染物综合排放标准》（GB16297-1996）表2中无组织排放监控浓度限值</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非甲烷总烃厂房外厂区内监控点处1h平均浓度值和厂房外厂区内监控点处任意一次浓度值执行《挥发性有机物无组织排放控制标准》（GB37822-2019)表A.1厂区内VOCs无组织排放限值要求。</w:t>
                  </w:r>
                </w:p>
              </w:tc>
              <w:tc>
                <w:tcPr>
                  <w:tcW w:w="689" w:type="dxa"/>
                  <w:vAlign w:val="center"/>
                </w:tcPr>
                <w:p w14:paraId="22B4BD37">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4880D68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239" w:hRule="atLeast"/>
                <w:jc w:val="center"/>
              </w:trPr>
              <w:tc>
                <w:tcPr>
                  <w:tcW w:w="655" w:type="dxa"/>
                  <w:vMerge w:val="continue"/>
                  <w:vAlign w:val="center"/>
                </w:tcPr>
                <w:p w14:paraId="0F7D8693">
                  <w:pPr>
                    <w:pStyle w:val="65"/>
                    <w:rPr>
                      <w:rFonts w:hint="default" w:ascii="Times New Roman" w:hAnsi="Times New Roman" w:cs="Times New Roman"/>
                      <w:color w:val="auto"/>
                      <w:sz w:val="21"/>
                      <w:szCs w:val="21"/>
                      <w:highlight w:val="none"/>
                    </w:rPr>
                  </w:pPr>
                </w:p>
              </w:tc>
              <w:tc>
                <w:tcPr>
                  <w:tcW w:w="1203" w:type="dxa"/>
                  <w:vAlign w:val="center"/>
                </w:tcPr>
                <w:p w14:paraId="675060DD">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5362" w:type="dxa"/>
                  <w:vAlign w:val="center"/>
                </w:tcPr>
                <w:p w14:paraId="60A60D0C">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本项目运行期间产生的噪声主要是生产设备发出的机械噪声。采用低噪环保设备，采取减振、降噪、隔声等措施后，厂界噪声可满足《工业企业厂界环境噪声排放标准》（GB12348-2008）2类标准要求。</w:t>
                  </w:r>
                </w:p>
              </w:tc>
              <w:tc>
                <w:tcPr>
                  <w:tcW w:w="689" w:type="dxa"/>
                  <w:vAlign w:val="center"/>
                </w:tcPr>
                <w:p w14:paraId="5FB0FB4A">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79155E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859" w:hRule="atLeast"/>
                <w:jc w:val="center"/>
              </w:trPr>
              <w:tc>
                <w:tcPr>
                  <w:tcW w:w="655" w:type="dxa"/>
                  <w:vMerge w:val="continue"/>
                  <w:vAlign w:val="center"/>
                </w:tcPr>
                <w:p w14:paraId="7713E4D6">
                  <w:pPr>
                    <w:pStyle w:val="65"/>
                    <w:rPr>
                      <w:rFonts w:hint="default" w:ascii="Times New Roman" w:hAnsi="Times New Roman" w:cs="Times New Roman"/>
                      <w:color w:val="auto"/>
                      <w:sz w:val="21"/>
                      <w:szCs w:val="21"/>
                      <w:highlight w:val="none"/>
                    </w:rPr>
                  </w:pPr>
                </w:p>
              </w:tc>
              <w:tc>
                <w:tcPr>
                  <w:tcW w:w="1203" w:type="dxa"/>
                  <w:vAlign w:val="center"/>
                </w:tcPr>
                <w:p w14:paraId="42C831F6">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5362" w:type="dxa"/>
                  <w:vAlign w:val="center"/>
                </w:tcPr>
                <w:p w14:paraId="00CA3B6F">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w:t>
                  </w:r>
                  <w:bookmarkStart w:id="36" w:name="_Hlk186814866"/>
                  <w:bookmarkStart w:id="37" w:name="_Hlk186814893"/>
                  <w:r>
                    <w:rPr>
                      <w:rFonts w:hint="default" w:ascii="Times New Roman" w:hAnsi="Times New Roman" w:cs="Times New Roman"/>
                      <w:color w:val="auto"/>
                      <w:szCs w:val="21"/>
                      <w:highlight w:val="none"/>
                    </w:rPr>
                    <w:t>生活垃圾</w:t>
                  </w:r>
                  <w:bookmarkEnd w:id="36"/>
                  <w:r>
                    <w:rPr>
                      <w:rFonts w:hint="default" w:ascii="Times New Roman" w:hAnsi="Times New Roman" w:cs="Times New Roman"/>
                      <w:color w:val="auto"/>
                      <w:szCs w:val="21"/>
                      <w:highlight w:val="none"/>
                    </w:rPr>
                    <w:t>：集中收集，由市政环卫部门统一清运处理。</w:t>
                  </w:r>
                  <w:bookmarkEnd w:id="37"/>
                </w:p>
                <w:p w14:paraId="32099929">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②</w:t>
                  </w:r>
                  <w:bookmarkStart w:id="38" w:name="_Hlk186814869"/>
                  <w:bookmarkStart w:id="39" w:name="_Hlk186814904"/>
                  <w:r>
                    <w:rPr>
                      <w:rFonts w:hint="default" w:ascii="Times New Roman" w:hAnsi="Times New Roman" w:cs="Times New Roman"/>
                      <w:color w:val="auto"/>
                      <w:szCs w:val="21"/>
                      <w:highlight w:val="none"/>
                    </w:rPr>
                    <w:t>除尘器收尘</w:t>
                  </w:r>
                  <w:bookmarkEnd w:id="38"/>
                  <w:r>
                    <w:rPr>
                      <w:rFonts w:hint="default" w:ascii="Times New Roman" w:hAnsi="Times New Roman" w:cs="Times New Roman"/>
                      <w:color w:val="auto"/>
                      <w:szCs w:val="21"/>
                      <w:highlight w:val="none"/>
                    </w:rPr>
                    <w:t>：集中收集，袋装，回用于生产</w:t>
                  </w:r>
                  <w:bookmarkEnd w:id="39"/>
                  <w:r>
                    <w:rPr>
                      <w:rFonts w:hint="default" w:ascii="Times New Roman" w:hAnsi="Times New Roman" w:cs="Times New Roman"/>
                      <w:color w:val="auto"/>
                      <w:szCs w:val="21"/>
                      <w:highlight w:val="none"/>
                    </w:rPr>
                    <w:t>。</w:t>
                  </w:r>
                </w:p>
                <w:p w14:paraId="4319A360">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③</w:t>
                  </w:r>
                  <w:bookmarkStart w:id="40" w:name="_Hlk186814872"/>
                  <w:bookmarkStart w:id="41" w:name="_Hlk186814914"/>
                  <w:r>
                    <w:rPr>
                      <w:rFonts w:hint="default" w:ascii="Times New Roman" w:hAnsi="Times New Roman" w:cs="Times New Roman"/>
                      <w:color w:val="auto"/>
                      <w:szCs w:val="21"/>
                      <w:highlight w:val="none"/>
                    </w:rPr>
                    <w:t>不合格石料</w:t>
                  </w:r>
                  <w:bookmarkEnd w:id="40"/>
                  <w:r>
                    <w:rPr>
                      <w:rFonts w:hint="default" w:ascii="Times New Roman" w:hAnsi="Times New Roman" w:cs="Times New Roman"/>
                      <w:color w:val="auto"/>
                      <w:szCs w:val="21"/>
                      <w:highlight w:val="none"/>
                    </w:rPr>
                    <w:t>：交由石料供应商回收</w:t>
                  </w:r>
                  <w:bookmarkEnd w:id="41"/>
                  <w:r>
                    <w:rPr>
                      <w:rFonts w:hint="default" w:ascii="Times New Roman" w:hAnsi="Times New Roman" w:cs="Times New Roman"/>
                      <w:color w:val="auto"/>
                      <w:szCs w:val="21"/>
                      <w:highlight w:val="none"/>
                    </w:rPr>
                    <w:t>处置。</w:t>
                  </w:r>
                </w:p>
                <w:p w14:paraId="513E6B67">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④</w:t>
                  </w:r>
                  <w:bookmarkStart w:id="42" w:name="_Hlk186814875"/>
                  <w:bookmarkStart w:id="43" w:name="_Hlk186814921"/>
                  <w:r>
                    <w:rPr>
                      <w:rFonts w:hint="default" w:ascii="Times New Roman" w:hAnsi="Times New Roman" w:cs="Times New Roman"/>
                      <w:color w:val="auto"/>
                      <w:szCs w:val="21"/>
                      <w:highlight w:val="none"/>
                    </w:rPr>
                    <w:t>废活性炭</w:t>
                  </w:r>
                  <w:bookmarkEnd w:id="42"/>
                  <w:r>
                    <w:rPr>
                      <w:rFonts w:hint="default" w:ascii="Times New Roman" w:hAnsi="Times New Roman" w:cs="Times New Roman"/>
                      <w:color w:val="auto"/>
                      <w:szCs w:val="21"/>
                      <w:highlight w:val="none"/>
                    </w:rPr>
                    <w:t>：暂存在危险废物</w:t>
                  </w:r>
                  <w:r>
                    <w:rPr>
                      <w:rFonts w:hint="default" w:ascii="Times New Roman" w:hAnsi="Times New Roman" w:cs="Times New Roman"/>
                      <w:color w:val="auto"/>
                      <w:szCs w:val="21"/>
                      <w:highlight w:val="none"/>
                      <w:lang w:eastAsia="zh-CN"/>
                    </w:rPr>
                    <w:t>贮存点</w:t>
                  </w:r>
                  <w:r>
                    <w:rPr>
                      <w:rFonts w:hint="default" w:ascii="Times New Roman" w:hAnsi="Times New Roman" w:cs="Times New Roman"/>
                      <w:color w:val="auto"/>
                      <w:szCs w:val="21"/>
                      <w:highlight w:val="none"/>
                    </w:rPr>
                    <w:t>，定期交由有资质单位处理</w:t>
                  </w:r>
                  <w:bookmarkEnd w:id="43"/>
                  <w:r>
                    <w:rPr>
                      <w:rFonts w:hint="default" w:ascii="Times New Roman" w:hAnsi="Times New Roman" w:cs="Times New Roman"/>
                      <w:color w:val="auto"/>
                      <w:szCs w:val="21"/>
                      <w:highlight w:val="none"/>
                    </w:rPr>
                    <w:t>。</w:t>
                  </w:r>
                </w:p>
                <w:p w14:paraId="768F1B21">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⑤</w:t>
                  </w:r>
                  <w:bookmarkStart w:id="44" w:name="_Hlk186814878"/>
                  <w:bookmarkStart w:id="45" w:name="_Hlk186814927"/>
                  <w:r>
                    <w:rPr>
                      <w:rFonts w:hint="default" w:ascii="Times New Roman" w:hAnsi="Times New Roman" w:cs="Times New Roman"/>
                      <w:color w:val="auto"/>
                      <w:szCs w:val="21"/>
                      <w:highlight w:val="none"/>
                    </w:rPr>
                    <w:t>废导热油</w:t>
                  </w:r>
                  <w:bookmarkEnd w:id="44"/>
                  <w:r>
                    <w:rPr>
                      <w:rFonts w:hint="default" w:ascii="Times New Roman" w:hAnsi="Times New Roman" w:cs="Times New Roman"/>
                      <w:color w:val="auto"/>
                      <w:szCs w:val="21"/>
                      <w:highlight w:val="none"/>
                    </w:rPr>
                    <w:t>：暂存在危险废物</w:t>
                  </w:r>
                  <w:r>
                    <w:rPr>
                      <w:rFonts w:hint="default" w:ascii="Times New Roman" w:hAnsi="Times New Roman" w:cs="Times New Roman"/>
                      <w:color w:val="auto"/>
                      <w:szCs w:val="21"/>
                      <w:highlight w:val="none"/>
                      <w:lang w:eastAsia="zh-CN"/>
                    </w:rPr>
                    <w:t>贮存点</w:t>
                  </w:r>
                  <w:r>
                    <w:rPr>
                      <w:rFonts w:hint="default" w:ascii="Times New Roman" w:hAnsi="Times New Roman" w:cs="Times New Roman"/>
                      <w:color w:val="auto"/>
                      <w:szCs w:val="21"/>
                      <w:highlight w:val="none"/>
                    </w:rPr>
                    <w:t>，定期交由有资质单位处理</w:t>
                  </w:r>
                  <w:bookmarkEnd w:id="45"/>
                  <w:r>
                    <w:rPr>
                      <w:rFonts w:hint="default" w:ascii="Times New Roman" w:hAnsi="Times New Roman" w:cs="Times New Roman"/>
                      <w:color w:val="auto"/>
                      <w:szCs w:val="21"/>
                      <w:highlight w:val="none"/>
                    </w:rPr>
                    <w:t>。</w:t>
                  </w:r>
                </w:p>
                <w:p w14:paraId="44AEB32D">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⑥</w:t>
                  </w:r>
                  <w:bookmarkStart w:id="46" w:name="_Hlk186814882"/>
                  <w:bookmarkStart w:id="47" w:name="_Hlk186814932"/>
                  <w:r>
                    <w:rPr>
                      <w:rFonts w:hint="default" w:ascii="Times New Roman" w:hAnsi="Times New Roman" w:cs="Times New Roman"/>
                      <w:color w:val="auto"/>
                      <w:szCs w:val="21"/>
                      <w:highlight w:val="none"/>
                    </w:rPr>
                    <w:t>布袋除尘器废布袋</w:t>
                  </w:r>
                  <w:bookmarkEnd w:id="46"/>
                  <w:r>
                    <w:rPr>
                      <w:rFonts w:hint="default" w:ascii="Times New Roman" w:hAnsi="Times New Roman" w:cs="Times New Roman"/>
                      <w:color w:val="auto"/>
                      <w:szCs w:val="21"/>
                      <w:highlight w:val="none"/>
                    </w:rPr>
                    <w:t>：集中收集，由市政环卫部门统一清运处理</w:t>
                  </w:r>
                  <w:bookmarkEnd w:id="47"/>
                  <w:r>
                    <w:rPr>
                      <w:rFonts w:hint="default" w:ascii="Times New Roman" w:hAnsi="Times New Roman" w:cs="Times New Roman"/>
                      <w:color w:val="auto"/>
                      <w:szCs w:val="21"/>
                      <w:highlight w:val="none"/>
                    </w:rPr>
                    <w:t>。</w:t>
                  </w:r>
                </w:p>
                <w:p w14:paraId="6EFEA202">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⑦</w:t>
                  </w:r>
                  <w:bookmarkStart w:id="48" w:name="_Hlk186814885"/>
                  <w:bookmarkStart w:id="49" w:name="_Hlk186814938"/>
                  <w:r>
                    <w:rPr>
                      <w:rFonts w:hint="default" w:ascii="Times New Roman" w:hAnsi="Times New Roman" w:cs="Times New Roman"/>
                      <w:color w:val="auto"/>
                      <w:sz w:val="21"/>
                      <w:szCs w:val="21"/>
                      <w:highlight w:val="none"/>
                    </w:rPr>
                    <w:t>滴漏沥青及</w:t>
                  </w:r>
                  <w:r>
                    <w:rPr>
                      <w:rFonts w:hint="default" w:ascii="Times New Roman" w:hAnsi="Times New Roman" w:cs="Times New Roman"/>
                      <w:color w:val="auto"/>
                      <w:sz w:val="21"/>
                      <w:szCs w:val="21"/>
                      <w:highlight w:val="none"/>
                      <w:lang w:eastAsia="zh-CN"/>
                    </w:rPr>
                    <w:t>拌合</w:t>
                  </w:r>
                  <w:r>
                    <w:rPr>
                      <w:rFonts w:hint="default" w:ascii="Times New Roman" w:hAnsi="Times New Roman" w:cs="Times New Roman"/>
                      <w:color w:val="auto"/>
                      <w:sz w:val="21"/>
                      <w:szCs w:val="21"/>
                      <w:highlight w:val="none"/>
                    </w:rPr>
                    <w:t>残渣</w:t>
                  </w:r>
                  <w:bookmarkEnd w:id="48"/>
                  <w:r>
                    <w:rPr>
                      <w:rFonts w:hint="default" w:ascii="Times New Roman" w:hAnsi="Times New Roman" w:cs="Times New Roman"/>
                      <w:color w:val="auto"/>
                      <w:sz w:val="21"/>
                      <w:szCs w:val="21"/>
                      <w:highlight w:val="none"/>
                    </w:rPr>
                    <w:t>：作为原料回用于生产</w:t>
                  </w:r>
                  <w:bookmarkEnd w:id="49"/>
                  <w:r>
                    <w:rPr>
                      <w:rFonts w:hint="default" w:ascii="Times New Roman" w:hAnsi="Times New Roman" w:cs="Times New Roman"/>
                      <w:color w:val="auto"/>
                      <w:sz w:val="21"/>
                      <w:szCs w:val="21"/>
                      <w:highlight w:val="none"/>
                    </w:rPr>
                    <w:t>。</w:t>
                  </w:r>
                </w:p>
                <w:p w14:paraId="3F35C41E">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⑧废焦油：暂存在危险废物</w:t>
                  </w:r>
                  <w:r>
                    <w:rPr>
                      <w:rFonts w:hint="default" w:ascii="Times New Roman" w:hAnsi="Times New Roman" w:cs="Times New Roman"/>
                      <w:color w:val="auto"/>
                      <w:sz w:val="21"/>
                      <w:szCs w:val="21"/>
                      <w:highlight w:val="none"/>
                      <w:lang w:eastAsia="zh-CN"/>
                    </w:rPr>
                    <w:t>贮存点</w:t>
                  </w:r>
                  <w:r>
                    <w:rPr>
                      <w:rFonts w:hint="default" w:ascii="Times New Roman" w:hAnsi="Times New Roman" w:cs="Times New Roman"/>
                      <w:color w:val="auto"/>
                      <w:sz w:val="21"/>
                      <w:szCs w:val="21"/>
                      <w:highlight w:val="none"/>
                    </w:rPr>
                    <w:t>，定期交由有资质单位处理。</w:t>
                  </w:r>
                </w:p>
                <w:p w14:paraId="45D3E09D">
                  <w:pPr>
                    <w:pStyle w:val="65"/>
                    <w:jc w:val="both"/>
                    <w:rPr>
                      <w:rFonts w:hint="default" w:ascii="Times New Roman" w:hAnsi="Times New Roman"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rPr>
                    <w:t>⑨废机油：维修工序就近委托附近机械维修站，车辆、机械设备每半年更换一次机油，外委附近机械维修站进行更换，厂区内不进行储存</w:t>
                  </w:r>
                  <w:r>
                    <w:rPr>
                      <w:rFonts w:hint="default" w:ascii="Times New Roman" w:hAnsi="Times New Roman" w:cs="Times New Roman"/>
                      <w:color w:val="auto"/>
                      <w:kern w:val="2"/>
                      <w:sz w:val="21"/>
                      <w:szCs w:val="21"/>
                      <w:highlight w:val="none"/>
                      <w:lang w:eastAsia="zh-CN"/>
                    </w:rPr>
                    <w:t>。</w:t>
                  </w:r>
                </w:p>
                <w:p w14:paraId="60D1AA9E">
                  <w:pPr>
                    <w:pStyle w:val="65"/>
                    <w:jc w:val="both"/>
                    <w:rPr>
                      <w:rFonts w:hint="default" w:ascii="Times New Roman" w:hAnsi="Times New Roman" w:cs="Times New Roman"/>
                      <w:color w:val="auto"/>
                      <w:szCs w:val="21"/>
                      <w:highlight w:val="none"/>
                    </w:rPr>
                  </w:pPr>
                  <w:r>
                    <w:rPr>
                      <w:rFonts w:hint="default" w:ascii="Times New Roman" w:hAnsi="Times New Roman" w:eastAsia="宋体" w:cs="Times New Roman"/>
                      <w:color w:val="auto"/>
                      <w:kern w:val="2"/>
                      <w:sz w:val="21"/>
                      <w:szCs w:val="21"/>
                      <w:highlight w:val="none"/>
                    </w:rPr>
                    <w:t>⑩</w:t>
                  </w:r>
                  <w:r>
                    <w:rPr>
                      <w:rFonts w:hint="default" w:ascii="Times New Roman" w:hAnsi="Times New Roman" w:cs="Times New Roman"/>
                      <w:color w:val="auto"/>
                      <w:kern w:val="2"/>
                      <w:sz w:val="21"/>
                      <w:szCs w:val="21"/>
                      <w:highlight w:val="none"/>
                      <w:lang w:eastAsia="zh-CN"/>
                    </w:rPr>
                    <w:t>油泥</w:t>
                  </w:r>
                  <w:r>
                    <w:rPr>
                      <w:rFonts w:hint="default" w:ascii="Times New Roman" w:hAnsi="Times New Roman" w:eastAsia="宋体" w:cs="Times New Roman"/>
                      <w:color w:val="auto"/>
                      <w:kern w:val="2"/>
                      <w:sz w:val="21"/>
                      <w:szCs w:val="21"/>
                      <w:highlight w:val="none"/>
                      <w:lang w:eastAsia="zh-CN"/>
                    </w:rPr>
                    <w:t>：柴油罐频率为5年一次，隔油沉淀池清理频次为2年一次，更换后直接交有危险废物处置资质单位处理，不在厂区内储存</w:t>
                  </w:r>
                  <w:r>
                    <w:rPr>
                      <w:rFonts w:hint="default" w:ascii="Times New Roman" w:hAnsi="Times New Roman" w:cs="Times New Roman"/>
                      <w:color w:val="auto"/>
                      <w:kern w:val="2"/>
                      <w:sz w:val="21"/>
                      <w:szCs w:val="21"/>
                      <w:highlight w:val="none"/>
                    </w:rPr>
                    <w:t>。</w:t>
                  </w:r>
                </w:p>
              </w:tc>
              <w:tc>
                <w:tcPr>
                  <w:tcW w:w="689" w:type="dxa"/>
                  <w:vAlign w:val="center"/>
                </w:tcPr>
                <w:p w14:paraId="36572769">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0408A6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320" w:hRule="atLeast"/>
                <w:jc w:val="center"/>
              </w:trPr>
              <w:tc>
                <w:tcPr>
                  <w:tcW w:w="655" w:type="dxa"/>
                  <w:vAlign w:val="center"/>
                </w:tcPr>
                <w:p w14:paraId="6D7DCF2A">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防渗工程</w:t>
                  </w:r>
                </w:p>
              </w:tc>
              <w:tc>
                <w:tcPr>
                  <w:tcW w:w="1203" w:type="dxa"/>
                  <w:vAlign w:val="center"/>
                </w:tcPr>
                <w:p w14:paraId="4F2C680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防渗措施</w:t>
                  </w:r>
                </w:p>
              </w:tc>
              <w:tc>
                <w:tcPr>
                  <w:tcW w:w="5362" w:type="dxa"/>
                  <w:vAlign w:val="center"/>
                </w:tcPr>
                <w:p w14:paraId="66052E49">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①厂区</w:t>
                  </w:r>
                  <w:r>
                    <w:rPr>
                      <w:rFonts w:hint="default" w:ascii="Times New Roman" w:hAnsi="Times New Roman" w:cs="Times New Roman"/>
                      <w:color w:val="auto"/>
                      <w:sz w:val="21"/>
                      <w:szCs w:val="21"/>
                      <w:highlight w:val="none"/>
                      <w:lang w:val="en-US" w:eastAsia="zh-CN"/>
                    </w:rPr>
                    <w:t>雨水收集</w:t>
                  </w:r>
                  <w:r>
                    <w:rPr>
                      <w:rFonts w:hint="default" w:ascii="Times New Roman" w:hAnsi="Times New Roman" w:cs="Times New Roman"/>
                      <w:color w:val="auto"/>
                      <w:sz w:val="21"/>
                      <w:szCs w:val="21"/>
                      <w:highlight w:val="none"/>
                    </w:rPr>
                    <w:t>池采取防渗措施，参考《</w:t>
                  </w:r>
                  <w:r>
                    <w:rPr>
                      <w:rFonts w:hint="default" w:ascii="Times New Roman" w:hAnsi="Times New Roman" w:cs="Times New Roman"/>
                      <w:color w:val="auto"/>
                      <w:sz w:val="21"/>
                      <w:szCs w:val="21"/>
                      <w:highlight w:val="none"/>
                      <w:lang w:eastAsia="zh-CN"/>
                    </w:rPr>
                    <w:t>环境影响评价技术导则 地下水环境</w:t>
                  </w:r>
                  <w:r>
                    <w:rPr>
                      <w:rFonts w:hint="default" w:ascii="Times New Roman" w:hAnsi="Times New Roman" w:cs="Times New Roman"/>
                      <w:color w:val="auto"/>
                      <w:sz w:val="21"/>
                      <w:szCs w:val="21"/>
                      <w:highlight w:val="none"/>
                    </w:rPr>
                    <w:t>》（HJ610-2016）中一般防渗区防渗技术要求，满足等效黏土防渗层Mb≥1.5m，K≤1×10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cm/s的要求。</w:t>
                  </w:r>
                </w:p>
                <w:p w14:paraId="2F1297E0">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②沥青储罐、柴油储罐区</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事故池、沉淀池、危险废物贮存点</w:t>
                  </w:r>
                  <w:r>
                    <w:rPr>
                      <w:rFonts w:hint="default" w:ascii="Times New Roman" w:hAnsi="Times New Roman" w:cs="Times New Roman"/>
                      <w:color w:val="auto"/>
                      <w:sz w:val="21"/>
                      <w:szCs w:val="21"/>
                      <w:highlight w:val="none"/>
                    </w:rPr>
                    <w:t>采取防渗措施，参考《</w:t>
                  </w:r>
                  <w:r>
                    <w:rPr>
                      <w:rFonts w:hint="default" w:ascii="Times New Roman" w:hAnsi="Times New Roman" w:cs="Times New Roman"/>
                      <w:color w:val="auto"/>
                      <w:sz w:val="21"/>
                      <w:szCs w:val="21"/>
                      <w:highlight w:val="none"/>
                      <w:lang w:eastAsia="zh-CN"/>
                    </w:rPr>
                    <w:t>环境影响评价技术导则 地下水环境</w:t>
                  </w:r>
                  <w:r>
                    <w:rPr>
                      <w:rFonts w:hint="default" w:ascii="Times New Roman" w:hAnsi="Times New Roman" w:cs="Times New Roman"/>
                      <w:color w:val="auto"/>
                      <w:sz w:val="21"/>
                      <w:szCs w:val="21"/>
                      <w:highlight w:val="none"/>
                    </w:rPr>
                    <w:t>》（HJ610-2016）中重点防渗区防渗技术要求，满足等效黏土防渗层Mb≥6m，K≤1×10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cm/s的要求，并设置非燃烧材料的防火堤围堰，防火堤内的有效容积不小于最大贮罐的容积，切断影响途径。</w:t>
                  </w:r>
                </w:p>
                <w:p w14:paraId="58750999">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③</w:t>
                  </w:r>
                  <w:r>
                    <w:rPr>
                      <w:rFonts w:hint="default" w:ascii="Times New Roman" w:hAnsi="Times New Roman" w:cs="Times New Roman"/>
                      <w:color w:val="auto"/>
                      <w:sz w:val="21"/>
                      <w:szCs w:val="21"/>
                      <w:highlight w:val="none"/>
                      <w:lang w:val="en-US" w:eastAsia="zh-CN"/>
                    </w:rPr>
                    <w:t>危险废物贮存点</w:t>
                  </w:r>
                  <w:r>
                    <w:rPr>
                      <w:rFonts w:hint="default" w:ascii="Times New Roman" w:hAnsi="Times New Roman" w:cs="Times New Roman"/>
                      <w:color w:val="auto"/>
                      <w:sz w:val="21"/>
                      <w:szCs w:val="21"/>
                      <w:highlight w:val="none"/>
                    </w:rPr>
                    <w:t>按照《危险废物贮存污染控制标准》（GB18597-2023）要求进行</w:t>
                  </w:r>
                  <w:r>
                    <w:rPr>
                      <w:rFonts w:hint="default" w:ascii="Times New Roman" w:hAnsi="Times New Roman" w:cs="Times New Roman"/>
                      <w:color w:val="auto"/>
                      <w:sz w:val="21"/>
                      <w:szCs w:val="21"/>
                      <w:highlight w:val="none"/>
                      <w:lang w:val="en-US" w:eastAsia="zh-CN"/>
                    </w:rPr>
                    <w:t>重点</w:t>
                  </w:r>
                  <w:r>
                    <w:rPr>
                      <w:rFonts w:hint="default" w:ascii="Times New Roman" w:hAnsi="Times New Roman" w:cs="Times New Roman"/>
                      <w:color w:val="auto"/>
                      <w:sz w:val="21"/>
                      <w:szCs w:val="21"/>
                      <w:highlight w:val="none"/>
                    </w:rPr>
                    <w:t>防渗处理，</w:t>
                  </w:r>
                  <w:r>
                    <w:rPr>
                      <w:rFonts w:hint="default" w:ascii="Times New Roman" w:hAnsi="Times New Roman" w:cs="Times New Roman"/>
                      <w:color w:val="auto"/>
                      <w:sz w:val="21"/>
                      <w:szCs w:val="21"/>
                      <w:highlight w:val="none"/>
                      <w:lang w:val="en-US" w:eastAsia="zh-CN"/>
                    </w:rPr>
                    <w:t>表面防渗材料应与所接触的物料或污染物相容，可采用抗渗混凝土、高密度聚乙烯膜、钠基膨润土防水毯或其他防渗性能等效的材料。贮存的危险废物直接接触地面的，还应进行基础防渗，防渗层为至少 1 m 厚黏土层（渗透系数不大于 10</w:t>
                  </w:r>
                  <w:r>
                    <w:rPr>
                      <w:rFonts w:hint="default" w:ascii="Times New Roman" w:hAnsi="Times New Roman" w:cs="Times New Roman"/>
                      <w:color w:val="auto"/>
                      <w:sz w:val="21"/>
                      <w:szCs w:val="21"/>
                      <w:highlight w:val="none"/>
                      <w:vertAlign w:val="superscript"/>
                      <w:lang w:val="en-US" w:eastAsia="zh-CN"/>
                    </w:rPr>
                    <w:t>-7</w:t>
                  </w:r>
                  <w:r>
                    <w:rPr>
                      <w:rFonts w:hint="default" w:ascii="Times New Roman" w:hAnsi="Times New Roman" w:cs="Times New Roman"/>
                      <w:color w:val="auto"/>
                      <w:sz w:val="21"/>
                      <w:szCs w:val="21"/>
                      <w:highlight w:val="none"/>
                      <w:lang w:val="en-US" w:eastAsia="zh-CN"/>
                    </w:rPr>
                    <w:t xml:space="preserve"> cm/s），或至少2 mm 厚高密度聚乙烯膜等人工防渗材料（渗透系数不大于 10</w:t>
                  </w:r>
                  <w:r>
                    <w:rPr>
                      <w:rFonts w:hint="default" w:ascii="Times New Roman" w:hAnsi="Times New Roman" w:cs="Times New Roman"/>
                      <w:color w:val="auto"/>
                      <w:sz w:val="21"/>
                      <w:szCs w:val="21"/>
                      <w:highlight w:val="none"/>
                      <w:vertAlign w:val="superscript"/>
                      <w:lang w:val="en-US" w:eastAsia="zh-CN"/>
                    </w:rPr>
                    <w:t>-10</w:t>
                  </w:r>
                  <w:r>
                    <w:rPr>
                      <w:rFonts w:hint="default" w:ascii="Times New Roman" w:hAnsi="Times New Roman" w:cs="Times New Roman"/>
                      <w:color w:val="auto"/>
                      <w:sz w:val="21"/>
                      <w:szCs w:val="21"/>
                      <w:highlight w:val="none"/>
                      <w:lang w:val="en-US" w:eastAsia="zh-CN"/>
                    </w:rPr>
                    <w:t xml:space="preserve"> cm/s），或其他防渗性能等效的材料</w:t>
                  </w:r>
                  <w:r>
                    <w:rPr>
                      <w:rFonts w:hint="default" w:ascii="Times New Roman" w:hAnsi="Times New Roman" w:cs="Times New Roman"/>
                      <w:color w:val="auto"/>
                      <w:sz w:val="21"/>
                      <w:szCs w:val="21"/>
                      <w:highlight w:val="none"/>
                    </w:rPr>
                    <w:t>。</w:t>
                  </w:r>
                </w:p>
                <w:p w14:paraId="5A4F508A">
                  <w:pPr>
                    <w:pStyle w:val="90"/>
                    <w:jc w:val="both"/>
                    <w:rPr>
                      <w:rFonts w:hint="default" w:ascii="Times New Roman" w:hAnsi="Times New Roman" w:eastAsia="宋体" w:cs="Times New Roman"/>
                      <w:bCs/>
                      <w:color w:val="auto"/>
                      <w:spacing w:val="-10"/>
                      <w:sz w:val="21"/>
                      <w:szCs w:val="21"/>
                      <w:highlight w:val="none"/>
                      <w:lang w:eastAsia="zh-CN"/>
                    </w:rPr>
                  </w:pPr>
                  <w:r>
                    <w:rPr>
                      <w:rFonts w:hint="default" w:ascii="Times New Roman" w:hAnsi="Times New Roman" w:cs="Times New Roman"/>
                      <w:color w:val="auto"/>
                      <w:sz w:val="21"/>
                      <w:szCs w:val="21"/>
                      <w:highlight w:val="none"/>
                    </w:rPr>
                    <w:t>④厂区地面进行水泥硬化</w:t>
                  </w:r>
                  <w:r>
                    <w:rPr>
                      <w:rFonts w:hint="default" w:ascii="Times New Roman" w:hAnsi="Times New Roman" w:cs="Times New Roman"/>
                      <w:color w:val="auto"/>
                      <w:sz w:val="21"/>
                      <w:szCs w:val="21"/>
                      <w:highlight w:val="none"/>
                      <w:lang w:eastAsia="zh-CN"/>
                    </w:rPr>
                    <w:t>。</w:t>
                  </w:r>
                </w:p>
              </w:tc>
              <w:tc>
                <w:tcPr>
                  <w:tcW w:w="689" w:type="dxa"/>
                  <w:vAlign w:val="center"/>
                </w:tcPr>
                <w:p w14:paraId="0D99FE60">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5DCF3A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655" w:type="dxa"/>
                  <w:vMerge w:val="restart"/>
                  <w:vAlign w:val="center"/>
                </w:tcPr>
                <w:p w14:paraId="43383C13">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w:t>
                  </w:r>
                </w:p>
              </w:tc>
              <w:tc>
                <w:tcPr>
                  <w:tcW w:w="1203" w:type="dxa"/>
                  <w:vAlign w:val="center"/>
                </w:tcPr>
                <w:p w14:paraId="70CAC3FB">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罐区</w:t>
                  </w:r>
                </w:p>
              </w:tc>
              <w:tc>
                <w:tcPr>
                  <w:tcW w:w="5362" w:type="dxa"/>
                  <w:vAlign w:val="center"/>
                </w:tcPr>
                <w:p w14:paraId="66EFE035">
                  <w:pPr>
                    <w:pStyle w:val="9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沥青储罐、柴油储罐区设置非燃烧材料的防火堤围堰</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罐区围堰高度0.4m</w:t>
                  </w:r>
                  <w:r>
                    <w:rPr>
                      <w:rFonts w:hint="default" w:ascii="Times New Roman" w:hAnsi="Times New Roman" w:cs="Times New Roman"/>
                      <w:color w:val="auto"/>
                      <w:sz w:val="21"/>
                      <w:szCs w:val="21"/>
                      <w:highlight w:val="none"/>
                    </w:rPr>
                    <w:t>，有效容积不小于最大贮罐的容积，发生泄漏时可及时收集全部泄漏物，并转移到空置的容器内，不会引起大气及水环境污染。</w:t>
                  </w:r>
                  <w:r>
                    <w:rPr>
                      <w:rFonts w:hint="default" w:ascii="Times New Roman" w:hAnsi="Times New Roman" w:cs="Times New Roman"/>
                      <w:color w:val="auto"/>
                      <w:sz w:val="21"/>
                      <w:szCs w:val="21"/>
                      <w:highlight w:val="none"/>
                      <w:lang w:val="en-US" w:eastAsia="zh-CN"/>
                    </w:rPr>
                    <w:t>厂区内应设置50m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事故池。</w:t>
                  </w:r>
                </w:p>
              </w:tc>
              <w:tc>
                <w:tcPr>
                  <w:tcW w:w="689" w:type="dxa"/>
                  <w:vAlign w:val="center"/>
                </w:tcPr>
                <w:p w14:paraId="2BDB854E">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325468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1191" w:hRule="atLeast"/>
                <w:jc w:val="center"/>
              </w:trPr>
              <w:tc>
                <w:tcPr>
                  <w:tcW w:w="655" w:type="dxa"/>
                  <w:vMerge w:val="continue"/>
                  <w:vAlign w:val="center"/>
                </w:tcPr>
                <w:p w14:paraId="146A733B">
                  <w:pPr>
                    <w:pStyle w:val="65"/>
                    <w:rPr>
                      <w:rFonts w:hint="default" w:ascii="Times New Roman" w:hAnsi="Times New Roman" w:cs="Times New Roman"/>
                      <w:color w:val="auto"/>
                      <w:sz w:val="21"/>
                      <w:szCs w:val="21"/>
                      <w:highlight w:val="none"/>
                    </w:rPr>
                  </w:pPr>
                </w:p>
              </w:tc>
              <w:tc>
                <w:tcPr>
                  <w:tcW w:w="1203" w:type="dxa"/>
                  <w:vAlign w:val="center"/>
                </w:tcPr>
                <w:p w14:paraId="4CA9A386">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危险废物贮存</w:t>
                  </w:r>
                </w:p>
              </w:tc>
              <w:tc>
                <w:tcPr>
                  <w:tcW w:w="5362" w:type="dxa"/>
                  <w:vAlign w:val="center"/>
                </w:tcPr>
                <w:p w14:paraId="1277ACA4">
                  <w:pPr>
                    <w:pStyle w:val="9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危险废物贮存点应设置事故围堰、导流槽及事故池，危险废物贮存点围堰设计高度为0.15m，安全围堰有效容积不得小于1m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，事故池容积为1m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w:t>
                  </w:r>
                </w:p>
              </w:tc>
              <w:tc>
                <w:tcPr>
                  <w:tcW w:w="689" w:type="dxa"/>
                  <w:vAlign w:val="center"/>
                </w:tcPr>
                <w:p w14:paraId="04CCB0E7">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新建</w:t>
                  </w:r>
                </w:p>
              </w:tc>
            </w:tr>
          </w:tbl>
          <w:p w14:paraId="5629F4A7">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3、主要设备及原辅材料</w:t>
            </w:r>
          </w:p>
          <w:p w14:paraId="576BE349">
            <w:pPr>
              <w:pStyle w:val="68"/>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本项目主要原辅材料见下表。</w:t>
            </w:r>
          </w:p>
          <w:p w14:paraId="1AA62D38">
            <w:pPr>
              <w:pStyle w:val="61"/>
              <w:adjustRightInd/>
              <w:snapToGrid/>
              <w:spacing w:line="400" w:lineRule="exact"/>
              <w:ind w:firstLine="48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表2-2 项目主要原辅材料一览表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8"/>
              <w:gridCol w:w="1264"/>
              <w:gridCol w:w="1723"/>
              <w:gridCol w:w="3764"/>
            </w:tblGrid>
            <w:tr w14:paraId="7193DC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732" w:type="pct"/>
                  <w:vAlign w:val="center"/>
                </w:tcPr>
                <w:p w14:paraId="446D85F2">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799" w:type="pct"/>
                  <w:vAlign w:val="center"/>
                </w:tcPr>
                <w:p w14:paraId="2EE659F6">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1089" w:type="pct"/>
                  <w:vAlign w:val="center"/>
                </w:tcPr>
                <w:p w14:paraId="47287CE7">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用量</w:t>
                  </w:r>
                </w:p>
              </w:tc>
              <w:tc>
                <w:tcPr>
                  <w:tcW w:w="2379" w:type="pct"/>
                  <w:vAlign w:val="center"/>
                </w:tcPr>
                <w:p w14:paraId="687C54C6">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r>
            <w:tr w14:paraId="3D821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732" w:type="pct"/>
                  <w:vAlign w:val="center"/>
                </w:tcPr>
                <w:p w14:paraId="1E1F8B7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799" w:type="pct"/>
                </w:tcPr>
                <w:p w14:paraId="5045D7B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w:t>
                  </w:r>
                </w:p>
              </w:tc>
              <w:tc>
                <w:tcPr>
                  <w:tcW w:w="1089" w:type="pct"/>
                </w:tcPr>
                <w:p w14:paraId="4DA6112E">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4020</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/a</w:t>
                  </w:r>
                </w:p>
              </w:tc>
              <w:tc>
                <w:tcPr>
                  <w:tcW w:w="2379" w:type="pct"/>
                  <w:vAlign w:val="center"/>
                </w:tcPr>
                <w:p w14:paraId="28340938">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外购，进厂暂存于沥青储罐</w:t>
                  </w:r>
                </w:p>
              </w:tc>
            </w:tr>
            <w:tr w14:paraId="730738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732" w:type="pct"/>
                  <w:vAlign w:val="center"/>
                </w:tcPr>
                <w:p w14:paraId="58EE78D1">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799" w:type="pct"/>
                  <w:vAlign w:val="center"/>
                </w:tcPr>
                <w:p w14:paraId="381A04FC">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石料</w:t>
                  </w:r>
                </w:p>
              </w:tc>
              <w:tc>
                <w:tcPr>
                  <w:tcW w:w="1089" w:type="pct"/>
                  <w:vAlign w:val="center"/>
                </w:tcPr>
                <w:p w14:paraId="5F032823">
                  <w:pPr>
                    <w:pStyle w:val="9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95600t/a</w:t>
                  </w:r>
                </w:p>
              </w:tc>
              <w:tc>
                <w:tcPr>
                  <w:tcW w:w="2379" w:type="pct"/>
                  <w:vAlign w:val="center"/>
                </w:tcPr>
                <w:p w14:paraId="5B48788A">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外购，进厂暂存于原料堆场</w:t>
                  </w:r>
                </w:p>
              </w:tc>
            </w:tr>
            <w:tr w14:paraId="2B4305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32" w:type="pct"/>
                  <w:vAlign w:val="center"/>
                </w:tcPr>
                <w:p w14:paraId="48AB0C5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799" w:type="pct"/>
                  <w:shd w:val="clear" w:color="auto" w:fill="auto"/>
                  <w:vAlign w:val="top"/>
                </w:tcPr>
                <w:p w14:paraId="7817CF94">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矿粉</w:t>
                  </w:r>
                </w:p>
              </w:tc>
              <w:tc>
                <w:tcPr>
                  <w:tcW w:w="1089" w:type="pct"/>
                  <w:shd w:val="clear" w:color="auto" w:fill="auto"/>
                  <w:vAlign w:val="top"/>
                </w:tcPr>
                <w:p w14:paraId="7B893DB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500</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/a</w:t>
                  </w:r>
                </w:p>
              </w:tc>
              <w:tc>
                <w:tcPr>
                  <w:tcW w:w="2379" w:type="pct"/>
                  <w:shd w:val="clear" w:color="auto" w:fill="auto"/>
                  <w:vAlign w:val="center"/>
                </w:tcPr>
                <w:p w14:paraId="3C8652BE">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外购，进厂暂存于</w:t>
                  </w:r>
                  <w:r>
                    <w:rPr>
                      <w:rFonts w:hint="default" w:ascii="Times New Roman" w:hAnsi="Times New Roman" w:cs="Times New Roman"/>
                      <w:color w:val="auto"/>
                      <w:sz w:val="21"/>
                      <w:szCs w:val="21"/>
                      <w:highlight w:val="none"/>
                      <w:lang w:val="en-US" w:eastAsia="zh-CN"/>
                    </w:rPr>
                    <w:t>矿粉仓</w:t>
                  </w:r>
                </w:p>
              </w:tc>
            </w:tr>
            <w:tr w14:paraId="4ACA43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732" w:type="pct"/>
                  <w:vAlign w:val="center"/>
                </w:tcPr>
                <w:p w14:paraId="1BA04090">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799" w:type="pct"/>
                  <w:shd w:val="clear" w:color="auto" w:fill="auto"/>
                  <w:vAlign w:val="top"/>
                </w:tcPr>
                <w:p w14:paraId="7A370465">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柴油</w:t>
                  </w:r>
                </w:p>
              </w:tc>
              <w:tc>
                <w:tcPr>
                  <w:tcW w:w="1089" w:type="pct"/>
                  <w:shd w:val="clear" w:color="auto" w:fill="auto"/>
                  <w:vAlign w:val="top"/>
                </w:tcPr>
                <w:p w14:paraId="21AFF947">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370.87</w:t>
                  </w:r>
                  <w:r>
                    <w:rPr>
                      <w:rFonts w:hint="default" w:ascii="Times New Roman" w:hAnsi="Times New Roman" w:cs="Times New Roman"/>
                      <w:color w:val="auto"/>
                      <w:sz w:val="21"/>
                      <w:szCs w:val="21"/>
                      <w:highlight w:val="none"/>
                    </w:rPr>
                    <w:t>t/a</w:t>
                  </w:r>
                </w:p>
              </w:tc>
              <w:tc>
                <w:tcPr>
                  <w:tcW w:w="2379" w:type="pct"/>
                  <w:shd w:val="clear" w:color="auto" w:fill="auto"/>
                  <w:vAlign w:val="center"/>
                </w:tcPr>
                <w:p w14:paraId="17127CE4">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外购，进厂暂存于柴油储罐</w:t>
                  </w:r>
                </w:p>
              </w:tc>
            </w:tr>
            <w:tr w14:paraId="7E613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732" w:type="pct"/>
                  <w:vAlign w:val="center"/>
                </w:tcPr>
                <w:p w14:paraId="2427C732">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799" w:type="pct"/>
                  <w:shd w:val="clear" w:color="auto" w:fill="auto"/>
                  <w:vAlign w:val="top"/>
                </w:tcPr>
                <w:p w14:paraId="7CBF71C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导热油</w:t>
                  </w:r>
                </w:p>
              </w:tc>
              <w:tc>
                <w:tcPr>
                  <w:tcW w:w="1089" w:type="pct"/>
                  <w:shd w:val="clear" w:color="auto" w:fill="auto"/>
                  <w:vAlign w:val="top"/>
                </w:tcPr>
                <w:p w14:paraId="6B821E8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0.</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/a</w:t>
                  </w:r>
                </w:p>
              </w:tc>
              <w:tc>
                <w:tcPr>
                  <w:tcW w:w="2379" w:type="pct"/>
                  <w:shd w:val="clear" w:color="auto" w:fill="auto"/>
                  <w:vAlign w:val="center"/>
                </w:tcPr>
                <w:p w14:paraId="56514D32">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委托锅炉厂家定期更换</w:t>
                  </w:r>
                </w:p>
              </w:tc>
            </w:tr>
            <w:tr w14:paraId="7F8449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732" w:type="pct"/>
                  <w:vAlign w:val="center"/>
                </w:tcPr>
                <w:p w14:paraId="4B2D61FD">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6</w:t>
                  </w:r>
                </w:p>
              </w:tc>
              <w:tc>
                <w:tcPr>
                  <w:tcW w:w="799" w:type="pct"/>
                  <w:shd w:val="clear" w:color="auto" w:fill="auto"/>
                  <w:vAlign w:val="top"/>
                </w:tcPr>
                <w:p w14:paraId="0D1627DD">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乳化剂</w:t>
                  </w:r>
                </w:p>
              </w:tc>
              <w:tc>
                <w:tcPr>
                  <w:tcW w:w="1089" w:type="pct"/>
                  <w:shd w:val="clear" w:color="auto" w:fill="auto"/>
                  <w:vAlign w:val="top"/>
                </w:tcPr>
                <w:p w14:paraId="48556FB1">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2t/a</w:t>
                  </w:r>
                </w:p>
              </w:tc>
              <w:tc>
                <w:tcPr>
                  <w:tcW w:w="2379" w:type="pct"/>
                  <w:shd w:val="clear" w:color="auto" w:fill="auto"/>
                  <w:vAlign w:val="center"/>
                </w:tcPr>
                <w:p w14:paraId="46436094">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外购</w:t>
                  </w:r>
                </w:p>
              </w:tc>
            </w:tr>
            <w:tr w14:paraId="2785C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732" w:type="pct"/>
                  <w:vAlign w:val="center"/>
                </w:tcPr>
                <w:p w14:paraId="316A0416">
                  <w:pPr>
                    <w:pStyle w:val="9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w:t>
                  </w:r>
                </w:p>
              </w:tc>
              <w:tc>
                <w:tcPr>
                  <w:tcW w:w="799" w:type="pct"/>
                  <w:shd w:val="clear" w:color="auto" w:fill="auto"/>
                  <w:vAlign w:val="top"/>
                </w:tcPr>
                <w:p w14:paraId="66DDDA58">
                  <w:pPr>
                    <w:pStyle w:val="9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活性炭</w:t>
                  </w:r>
                </w:p>
              </w:tc>
              <w:tc>
                <w:tcPr>
                  <w:tcW w:w="1089" w:type="pct"/>
                  <w:shd w:val="clear" w:color="auto" w:fill="auto"/>
                  <w:vAlign w:val="top"/>
                </w:tcPr>
                <w:p w14:paraId="1511BAC6">
                  <w:pPr>
                    <w:pStyle w:val="9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7.6092t/a</w:t>
                  </w:r>
                </w:p>
              </w:tc>
              <w:tc>
                <w:tcPr>
                  <w:tcW w:w="2379" w:type="pct"/>
                  <w:shd w:val="clear" w:color="auto" w:fill="auto"/>
                  <w:vAlign w:val="center"/>
                </w:tcPr>
                <w:p w14:paraId="16259894">
                  <w:pPr>
                    <w:pStyle w:val="9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外购</w:t>
                  </w:r>
                </w:p>
              </w:tc>
            </w:tr>
            <w:tr w14:paraId="214FD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732" w:type="pct"/>
                  <w:vAlign w:val="center"/>
                </w:tcPr>
                <w:p w14:paraId="4CE4D6E7">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799" w:type="pct"/>
                  <w:shd w:val="clear" w:color="auto" w:fill="auto"/>
                  <w:vAlign w:val="top"/>
                </w:tcPr>
                <w:p w14:paraId="336AF505">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w:t>
                  </w:r>
                </w:p>
              </w:tc>
              <w:tc>
                <w:tcPr>
                  <w:tcW w:w="1089" w:type="pct"/>
                  <w:shd w:val="clear" w:color="auto" w:fill="auto"/>
                  <w:vAlign w:val="top"/>
                </w:tcPr>
                <w:p w14:paraId="08346466">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1058t/a</w:t>
                  </w:r>
                </w:p>
              </w:tc>
              <w:tc>
                <w:tcPr>
                  <w:tcW w:w="2379" w:type="pct"/>
                  <w:shd w:val="clear" w:color="auto" w:fill="auto"/>
                  <w:vAlign w:val="center"/>
                </w:tcPr>
                <w:p w14:paraId="156A078B">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井水</w:t>
                  </w:r>
                </w:p>
              </w:tc>
            </w:tr>
          </w:tbl>
          <w:p w14:paraId="1111C859">
            <w:pPr>
              <w:pStyle w:val="68"/>
              <w:spacing w:line="500" w:lineRule="exact"/>
              <w:ind w:firstLine="482"/>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部分原辅料理化性质</w:t>
            </w:r>
          </w:p>
          <w:p w14:paraId="6965645B">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沥青：普通沥青（含油量一般在3.8%~4.2%和5.8%~6.2%），密度一般在1.15~1.25左右，作为原料运输采用密封罐车运输，处于半固态状态，同时在厂区内采用沥青罐储存。主要成分是沥青质和树脂。沥青质不溶于低沸点的烷烃，颜色为棕至黑色；树脂溶于低沸点的烷烃，颜色为深色半固体或固体物质。沥青有光泽，粘结性、抗水性和防腐性良好。根据《沥青挥发性有机化合物的释放及其对沥青性能的影响》（武汉理工大学硕士学位论文，余嫚），沥青在常温常压服役过程中会产生挥发性有机化合物，高温加热作用会促进VOCs的释放。</w:t>
            </w:r>
          </w:p>
          <w:p w14:paraId="4F6B3B07">
            <w:pPr>
              <w:pStyle w:val="68"/>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乳化剂：乳化剂是能使两种或两种以上互不相溶的组分的混合液体形成稳定的乳状液的一类物质。其作用原理是在乳化过程中，分散相以微滴（微米级）的形式分散在连续相中，乳化剂降低了混合体系中各组分的界面张力，并在微滴表面形成较坚固的薄膜或由于乳化剂给出的电荷而在微滴表面形成双电层，阻止微滴彼此聚集，而保持均匀的乳状液。从相的观点来说，乳状液仍是非均相体系。乳状液中的分散相可以是水相，也可以是油相，大多数为油相；连续相可以是油相，也可以是水相，大多数为水相。乳化剂是一种表面活性剂，分子中有亲水基和亲油基。为了表示乳化剂的亲水性或亲油性，通常采用“亲水亲油平衡值（HLB 值）”，HLB 值愈低，其亲油性愈强；反之，HLB 值愈高，其亲水性愈强。各种乳化剂的 HLB 值不同，为了获得稳定的乳状液，必须选择合适的乳化剂。</w:t>
            </w:r>
          </w:p>
          <w:p w14:paraId="3C1B94A2">
            <w:pPr>
              <w:pStyle w:val="68"/>
              <w:spacing w:line="500" w:lineRule="exact"/>
              <w:ind w:firstLine="48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导热油：是用于间接传递热量的一类</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"https://baike.baidu.com/item/%E7%83%AD%E7%A8%B3%E5%AE%9A%E6%80%A7/4668722?fromModule=lemma_inlink"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highlight w:val="none"/>
              </w:rPr>
              <w:t>热稳定性</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较好的专用油品。导热油具有抗热裂化和</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"https://baike.baidu.com/item/%E5%8C%96%E5%AD%A6%E6%B0%A7%E5%8C%96/7583543?fromModule=lemma_inlink"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highlight w:val="none"/>
              </w:rPr>
              <w:t>化学氧化</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的性能，</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"https://baike.baidu.com/item/%E4%BC%A0%E7%83%AD%E6%95%88%E7%8E%87/273830?fromModule=lemma_inlink"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highlight w:val="none"/>
              </w:rPr>
              <w:t>传热效率</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好，散热快，</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"https://baike.baidu.com/item/%E7%83%AD%E7%A8%B3%E5%AE%9A%E6%80%A7/4668722?fromModule=lemma_inlink"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highlight w:val="none"/>
              </w:rPr>
              <w:t>热稳定性</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很好。导热油作为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"https://baike.baidu.com/item/%E5%B7%A5%E4%B8%9A%E6%B2%B9/5401667?fromModule=lemma_inlink"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highlight w:val="none"/>
              </w:rPr>
              <w:t>工业油</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"https://baike.baidu.com/item/%E4%BC%A0%E7%83%AD%E4%BB%8B%E8%B4%A8/5193539?fromModule=lemma_inlink"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highlight w:val="none"/>
              </w:rPr>
              <w:t>传热介质</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具有以下特点：在几乎常压的条件下，可以获得很高的</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"https://baike.baidu.com/item/%E6%93%8D%E4%BD%9C%E6%B8%A9%E5%BA%A6/18831690?fromModule=lemma_inlink"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highlight w:val="none"/>
              </w:rPr>
              <w:t>操作温度</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。即可以大大降低高温</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"https://baike.baidu.com/item/%E5%8A%A0%E7%83%AD%E7%B3%BB%E7%BB%9F/53340333?fromModule=lemma_inlink"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highlight w:val="none"/>
              </w:rPr>
              <w:t>加热系统</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的操作压力和安全要求，提高了系统和设备的可靠性；可以在更宽的温度范围内满足不同温度加热、冷却的工艺需求，或在同一个系统中用同一种导热油同时实现高温加热和低温冷却的</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"https://baike.baidu.com/item/%E5%B7%A5%E8%89%BA%E8%A6%81%E6%B1%82/12721830?fromModule=lemma_inlink"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highlight w:val="none"/>
              </w:rPr>
              <w:t>工艺要求</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w:t>
            </w:r>
          </w:p>
          <w:p w14:paraId="5A8E84CA">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柴油：轻质柴油为轻质石油产品，复杂烃类（碳原子数约10~22）混合物，含硫约为0.001%。为柴油机燃料。主要由原油蒸馏、催化裂化、热裂化、加氢裂化、石油焦化等过程生产的柴油馏分调配而成；也可由页岩油加工和煤液化制取。分为轻质柴油（沸点范围约180~370℃）和重柴油（沸点范围约350~410℃）两大类。广泛用于大型车辆、铁路机车、船舰。沸点范围和黏度介于煤油与润滑油之间的液态石油馏分。易燃易挥发，不溶于水，易溶于醇和其他有机溶剂。是组分复杂的混合物，沸点范围在180℃~370℃和350℃~410℃两类。由原油、页岩油等经直馏或裂化等过程制得。根据原油性质的不同，有石蜡基柴油、环烷基柴油、环烷芳烃基柴油等。根据密度的不同，对石油及其加工产品，习惯上对沸点或沸点范围低的称为轻，相反</w:t>
            </w:r>
            <w:r>
              <w:rPr>
                <w:rFonts w:hint="default" w:ascii="Times New Roman" w:hAnsi="Times New Roman" w:cs="Times New Roman"/>
                <w:color w:val="auto"/>
                <w:sz w:val="24"/>
                <w:highlight w:val="none"/>
                <w:lang w:eastAsia="zh-CN"/>
              </w:rPr>
              <w:t>称为</w:t>
            </w:r>
            <w:r>
              <w:rPr>
                <w:rFonts w:hint="default" w:ascii="Times New Roman" w:hAnsi="Times New Roman" w:cs="Times New Roman"/>
                <w:color w:val="auto"/>
                <w:sz w:val="24"/>
                <w:highlight w:val="none"/>
              </w:rPr>
              <w:t>重。一般分为轻质柴油和重柴油。石蜡基柴油也用作裂解制乙烯、丙烯的原料，还可作吸收油等。</w:t>
            </w:r>
          </w:p>
          <w:p w14:paraId="01355C65">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本项目购买检验合格的成品轻质柴油，</w:t>
            </w:r>
            <w:r>
              <w:rPr>
                <w:rFonts w:hint="default" w:ascii="Times New Roman" w:hAnsi="Times New Roman" w:cs="Times New Roman"/>
                <w:color w:val="auto"/>
                <w:sz w:val="24"/>
                <w:highlight w:val="none"/>
                <w:lang w:val="en-US" w:eastAsia="zh-CN"/>
              </w:rPr>
              <w:t>柴油标准参考</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车用柴油</w:t>
            </w:r>
            <w:r>
              <w:rPr>
                <w:rFonts w:hint="default" w:ascii="Times New Roman" w:hAnsi="Times New Roman" w:cs="Times New Roman"/>
                <w:color w:val="auto"/>
                <w:sz w:val="24"/>
                <w:highlight w:val="none"/>
              </w:rPr>
              <w:t>》（GB</w:t>
            </w:r>
            <w:r>
              <w:rPr>
                <w:rFonts w:hint="default" w:ascii="Times New Roman" w:hAnsi="Times New Roman" w:cs="Times New Roman"/>
                <w:color w:val="auto"/>
                <w:sz w:val="24"/>
                <w:highlight w:val="none"/>
                <w:lang w:val="en-US" w:eastAsia="zh-CN"/>
              </w:rPr>
              <w:t>19147</w:t>
            </w:r>
            <w:r>
              <w:rPr>
                <w:rFonts w:hint="default" w:ascii="Times New Roman" w:hAnsi="Times New Roman" w:cs="Times New Roman"/>
                <w:color w:val="auto"/>
                <w:sz w:val="24"/>
                <w:highlight w:val="none"/>
              </w:rPr>
              <w:t>-201</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中硫含量</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即</w:t>
            </w:r>
            <w:r>
              <w:rPr>
                <w:rFonts w:hint="default" w:ascii="Times New Roman" w:hAnsi="Times New Roman" w:cs="Times New Roman"/>
                <w:color w:val="auto"/>
                <w:sz w:val="24"/>
                <w:highlight w:val="none"/>
              </w:rPr>
              <w:t>柴油</w:t>
            </w:r>
            <w:r>
              <w:rPr>
                <w:rFonts w:hint="default" w:ascii="Times New Roman" w:hAnsi="Times New Roman" w:cs="Times New Roman"/>
                <w:color w:val="auto"/>
                <w:sz w:val="24"/>
                <w:highlight w:val="none"/>
                <w:lang w:val="en-US" w:eastAsia="zh-CN"/>
              </w:rPr>
              <w:t>硫含量</w:t>
            </w:r>
            <w:r>
              <w:rPr>
                <w:rFonts w:hint="default" w:ascii="Times New Roman" w:hAnsi="Times New Roman" w:cs="Times New Roman"/>
                <w:color w:val="auto"/>
                <w:sz w:val="21"/>
                <w:szCs w:val="21"/>
                <w:highlight w:val="none"/>
              </w:rPr>
              <w:t>≤10</w:t>
            </w:r>
            <w:r>
              <w:rPr>
                <w:rFonts w:hint="default" w:ascii="Times New Roman" w:hAnsi="Times New Roman" w:cs="Times New Roman"/>
                <w:color w:val="auto"/>
                <w:sz w:val="21"/>
                <w:szCs w:val="21"/>
                <w:highlight w:val="none"/>
                <w:lang w:val="en-US" w:eastAsia="zh-CN"/>
              </w:rPr>
              <w:t>mg/kg。</w:t>
            </w:r>
          </w:p>
          <w:p w14:paraId="14895564">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本项目主要生产设备见下表。</w:t>
            </w:r>
          </w:p>
          <w:p w14:paraId="35C2BA7E">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表2-</w:t>
            </w:r>
            <w:r>
              <w:rPr>
                <w:rFonts w:hint="default" w:ascii="Times New Roman" w:hAnsi="Times New Roman" w:eastAsia="黑体" w:cs="Times New Roman"/>
                <w:bCs/>
                <w:color w:val="auto"/>
                <w:kern w:val="0"/>
                <w:sz w:val="24"/>
                <w:highlight w:val="none"/>
                <w:lang w:val="en-US" w:eastAsia="zh-CN"/>
              </w:rPr>
              <w:t>3</w:t>
            </w:r>
            <w:r>
              <w:rPr>
                <w:rFonts w:hint="default" w:ascii="Times New Roman" w:hAnsi="Times New Roman" w:eastAsia="黑体" w:cs="Times New Roman"/>
                <w:bCs/>
                <w:color w:val="auto"/>
                <w:kern w:val="0"/>
                <w:sz w:val="24"/>
                <w:highlight w:val="none"/>
              </w:rPr>
              <w:t xml:space="preserve"> 主要生产设备一览表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2460"/>
              <w:gridCol w:w="2116"/>
              <w:gridCol w:w="1150"/>
              <w:gridCol w:w="1343"/>
            </w:tblGrid>
            <w:tr w14:paraId="54BE99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7B5D2354">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1555" w:type="pct"/>
                  <w:vAlign w:val="center"/>
                </w:tcPr>
                <w:p w14:paraId="09F57312">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1338" w:type="pct"/>
                  <w:vAlign w:val="center"/>
                </w:tcPr>
                <w:p w14:paraId="21CB1EF1">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规格</w:t>
                  </w:r>
                </w:p>
              </w:tc>
              <w:tc>
                <w:tcPr>
                  <w:tcW w:w="727" w:type="pct"/>
                  <w:vAlign w:val="center"/>
                </w:tcPr>
                <w:p w14:paraId="339686C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单位</w:t>
                  </w:r>
                </w:p>
              </w:tc>
              <w:tc>
                <w:tcPr>
                  <w:tcW w:w="849" w:type="pct"/>
                  <w:vAlign w:val="center"/>
                </w:tcPr>
                <w:p w14:paraId="47D9BA52">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数量</w:t>
                  </w:r>
                </w:p>
              </w:tc>
            </w:tr>
            <w:tr w14:paraId="7542B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0EE83D91">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555" w:type="pct"/>
                  <w:shd w:val="clear" w:color="auto" w:fill="auto"/>
                  <w:vAlign w:val="center"/>
                </w:tcPr>
                <w:p w14:paraId="136E1A6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装载机</w:t>
                  </w:r>
                </w:p>
              </w:tc>
              <w:tc>
                <w:tcPr>
                  <w:tcW w:w="1338" w:type="pct"/>
                  <w:shd w:val="clear" w:color="auto" w:fill="auto"/>
                  <w:vAlign w:val="center"/>
                </w:tcPr>
                <w:p w14:paraId="3A1775E1">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50型</w:t>
                  </w:r>
                </w:p>
              </w:tc>
              <w:tc>
                <w:tcPr>
                  <w:tcW w:w="727" w:type="pct"/>
                  <w:shd w:val="clear" w:color="auto" w:fill="auto"/>
                  <w:vAlign w:val="center"/>
                </w:tcPr>
                <w:p w14:paraId="329AE28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198E975D">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w:t>
                  </w:r>
                </w:p>
              </w:tc>
            </w:tr>
            <w:tr w14:paraId="4F80F4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455FEDE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555" w:type="pct"/>
                  <w:shd w:val="clear" w:color="auto" w:fill="auto"/>
                  <w:vAlign w:val="center"/>
                </w:tcPr>
                <w:p w14:paraId="7B890A8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集料皮带输送机</w:t>
                  </w:r>
                </w:p>
              </w:tc>
              <w:tc>
                <w:tcPr>
                  <w:tcW w:w="1338" w:type="pct"/>
                  <w:shd w:val="clear" w:color="auto" w:fill="auto"/>
                  <w:vAlign w:val="center"/>
                </w:tcPr>
                <w:p w14:paraId="77191CDD">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5.5kW</w:t>
                  </w:r>
                </w:p>
              </w:tc>
              <w:tc>
                <w:tcPr>
                  <w:tcW w:w="727" w:type="pct"/>
                  <w:shd w:val="clear" w:color="auto" w:fill="auto"/>
                  <w:vAlign w:val="top"/>
                </w:tcPr>
                <w:p w14:paraId="1EC52CD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top"/>
                </w:tcPr>
                <w:p w14:paraId="36A2C68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w:t>
                  </w:r>
                </w:p>
              </w:tc>
            </w:tr>
            <w:tr w14:paraId="52114B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568E722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555" w:type="pct"/>
                  <w:shd w:val="clear" w:color="auto" w:fill="auto"/>
                  <w:vAlign w:val="center"/>
                </w:tcPr>
                <w:p w14:paraId="664DA012">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上料皮带输送机</w:t>
                  </w:r>
                </w:p>
              </w:tc>
              <w:tc>
                <w:tcPr>
                  <w:tcW w:w="1338" w:type="pct"/>
                  <w:shd w:val="clear" w:color="auto" w:fill="auto"/>
                  <w:vAlign w:val="center"/>
                </w:tcPr>
                <w:p w14:paraId="284C4E84">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5.5kW</w:t>
                  </w:r>
                </w:p>
              </w:tc>
              <w:tc>
                <w:tcPr>
                  <w:tcW w:w="727" w:type="pct"/>
                  <w:shd w:val="clear" w:color="auto" w:fill="auto"/>
                  <w:vAlign w:val="top"/>
                </w:tcPr>
                <w:p w14:paraId="2F158BA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41547E6D">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233D6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23AE998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1555" w:type="pct"/>
                  <w:shd w:val="clear" w:color="auto" w:fill="auto"/>
                  <w:vAlign w:val="center"/>
                </w:tcPr>
                <w:p w14:paraId="2F7B426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石料烘干滚筒</w:t>
                  </w:r>
                </w:p>
              </w:tc>
              <w:tc>
                <w:tcPr>
                  <w:tcW w:w="1338" w:type="pct"/>
                  <w:shd w:val="clear" w:color="auto" w:fill="auto"/>
                  <w:vAlign w:val="center"/>
                </w:tcPr>
                <w:p w14:paraId="370BF7D3">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φ2.5m×10m</w:t>
                  </w:r>
                </w:p>
              </w:tc>
              <w:tc>
                <w:tcPr>
                  <w:tcW w:w="727" w:type="pct"/>
                  <w:shd w:val="clear" w:color="auto" w:fill="auto"/>
                  <w:vAlign w:val="center"/>
                </w:tcPr>
                <w:p w14:paraId="747A234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069E1947">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795E9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30780DE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1555" w:type="pct"/>
                  <w:shd w:val="clear" w:color="auto" w:fill="auto"/>
                  <w:vAlign w:val="center"/>
                </w:tcPr>
                <w:p w14:paraId="5A726D1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烘干燃烧器</w:t>
                  </w:r>
                </w:p>
              </w:tc>
              <w:tc>
                <w:tcPr>
                  <w:tcW w:w="1338" w:type="pct"/>
                  <w:shd w:val="clear" w:color="auto" w:fill="auto"/>
                  <w:vAlign w:val="center"/>
                </w:tcPr>
                <w:p w14:paraId="6EB75FB4">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21.7MW</w:t>
                  </w:r>
                </w:p>
              </w:tc>
              <w:tc>
                <w:tcPr>
                  <w:tcW w:w="727" w:type="pct"/>
                  <w:shd w:val="clear" w:color="auto" w:fill="auto"/>
                  <w:vAlign w:val="top"/>
                </w:tcPr>
                <w:p w14:paraId="56015BC2">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1FC2077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0FBAAA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7422AAAC">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1555" w:type="pct"/>
                  <w:shd w:val="clear" w:color="auto" w:fill="auto"/>
                  <w:vAlign w:val="center"/>
                </w:tcPr>
                <w:p w14:paraId="08E9CBD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矿粉提升机</w:t>
                  </w:r>
                </w:p>
              </w:tc>
              <w:tc>
                <w:tcPr>
                  <w:tcW w:w="1338" w:type="pct"/>
                  <w:shd w:val="clear" w:color="auto" w:fill="auto"/>
                  <w:vAlign w:val="center"/>
                </w:tcPr>
                <w:p w14:paraId="15387B01">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5.5kW</w:t>
                  </w:r>
                </w:p>
              </w:tc>
              <w:tc>
                <w:tcPr>
                  <w:tcW w:w="727" w:type="pct"/>
                  <w:shd w:val="clear" w:color="auto" w:fill="auto"/>
                  <w:vAlign w:val="center"/>
                </w:tcPr>
                <w:p w14:paraId="392A839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179E486E">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6A6AB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35386870">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1555" w:type="pct"/>
                  <w:shd w:val="clear" w:color="auto" w:fill="auto"/>
                  <w:vAlign w:val="center"/>
                </w:tcPr>
                <w:p w14:paraId="40E9CA3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热石料提升机</w:t>
                  </w:r>
                </w:p>
              </w:tc>
              <w:tc>
                <w:tcPr>
                  <w:tcW w:w="1338" w:type="pct"/>
                  <w:shd w:val="clear" w:color="auto" w:fill="auto"/>
                  <w:vAlign w:val="center"/>
                </w:tcPr>
                <w:p w14:paraId="7D941568">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双排耐磨板链料斗型</w:t>
                  </w:r>
                </w:p>
              </w:tc>
              <w:tc>
                <w:tcPr>
                  <w:tcW w:w="727" w:type="pct"/>
                  <w:shd w:val="clear" w:color="auto" w:fill="auto"/>
                  <w:vAlign w:val="center"/>
                </w:tcPr>
                <w:p w14:paraId="1FFBCB1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01CCEBD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4C493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0A64751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1555" w:type="pct"/>
                  <w:shd w:val="clear" w:color="auto" w:fill="auto"/>
                  <w:vAlign w:val="center"/>
                </w:tcPr>
                <w:p w14:paraId="0324DA61">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振动式封闭筛选机</w:t>
                  </w:r>
                </w:p>
              </w:tc>
              <w:tc>
                <w:tcPr>
                  <w:tcW w:w="1338" w:type="pct"/>
                  <w:shd w:val="clear" w:color="auto" w:fill="auto"/>
                  <w:vAlign w:val="center"/>
                </w:tcPr>
                <w:p w14:paraId="449C0D89">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双振动电机驱动式</w:t>
                  </w:r>
                </w:p>
              </w:tc>
              <w:tc>
                <w:tcPr>
                  <w:tcW w:w="727" w:type="pct"/>
                  <w:shd w:val="clear" w:color="auto" w:fill="auto"/>
                  <w:vAlign w:val="center"/>
                </w:tcPr>
                <w:p w14:paraId="0775D34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5A115BD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151B3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0FE442DD">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w:t>
                  </w:r>
                </w:p>
              </w:tc>
              <w:tc>
                <w:tcPr>
                  <w:tcW w:w="1555" w:type="pct"/>
                  <w:shd w:val="clear" w:color="auto" w:fill="auto"/>
                  <w:vAlign w:val="center"/>
                </w:tcPr>
                <w:p w14:paraId="324BDFBE">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石料计量系统</w:t>
                  </w:r>
                </w:p>
              </w:tc>
              <w:tc>
                <w:tcPr>
                  <w:tcW w:w="1338" w:type="pct"/>
                  <w:shd w:val="clear" w:color="auto" w:fill="auto"/>
                  <w:vAlign w:val="center"/>
                </w:tcPr>
                <w:p w14:paraId="1155DA83">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压式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4000kg</w:t>
                  </w:r>
                </w:p>
              </w:tc>
              <w:tc>
                <w:tcPr>
                  <w:tcW w:w="727" w:type="pct"/>
                  <w:shd w:val="clear" w:color="auto" w:fill="auto"/>
                  <w:vAlign w:val="center"/>
                </w:tcPr>
                <w:p w14:paraId="24CAD3E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4F7E0F4C">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5E5DD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66C3CB07">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1555" w:type="pct"/>
                  <w:shd w:val="clear" w:color="auto" w:fill="auto"/>
                  <w:vAlign w:val="center"/>
                </w:tcPr>
                <w:p w14:paraId="5D32152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矿粉计量系统</w:t>
                  </w:r>
                </w:p>
              </w:tc>
              <w:tc>
                <w:tcPr>
                  <w:tcW w:w="1338" w:type="pct"/>
                  <w:shd w:val="clear" w:color="auto" w:fill="auto"/>
                  <w:vAlign w:val="center"/>
                </w:tcPr>
                <w:p w14:paraId="4D64163C">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压式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500kg</w:t>
                  </w:r>
                </w:p>
              </w:tc>
              <w:tc>
                <w:tcPr>
                  <w:tcW w:w="727" w:type="pct"/>
                  <w:shd w:val="clear" w:color="auto" w:fill="auto"/>
                  <w:vAlign w:val="center"/>
                </w:tcPr>
                <w:p w14:paraId="4EF78ACD">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top"/>
                </w:tcPr>
                <w:p w14:paraId="4C8EEF6C">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3DBFC2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19AAA3CD">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w:t>
                  </w:r>
                </w:p>
              </w:tc>
              <w:tc>
                <w:tcPr>
                  <w:tcW w:w="1555" w:type="pct"/>
                  <w:shd w:val="clear" w:color="auto" w:fill="auto"/>
                  <w:vAlign w:val="center"/>
                </w:tcPr>
                <w:p w14:paraId="0CFE7EF4">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沥青计量系统</w:t>
                  </w:r>
                </w:p>
              </w:tc>
              <w:tc>
                <w:tcPr>
                  <w:tcW w:w="1338" w:type="pct"/>
                  <w:shd w:val="clear" w:color="auto" w:fill="auto"/>
                  <w:vAlign w:val="center"/>
                </w:tcPr>
                <w:p w14:paraId="6383D155">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压式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500kg</w:t>
                  </w:r>
                </w:p>
              </w:tc>
              <w:tc>
                <w:tcPr>
                  <w:tcW w:w="727" w:type="pct"/>
                  <w:shd w:val="clear" w:color="auto" w:fill="auto"/>
                  <w:vAlign w:val="center"/>
                </w:tcPr>
                <w:p w14:paraId="01C90ED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top"/>
                </w:tcPr>
                <w:p w14:paraId="2858568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7F542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3E244D1F">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w:t>
                  </w:r>
                </w:p>
              </w:tc>
              <w:tc>
                <w:tcPr>
                  <w:tcW w:w="1555" w:type="pct"/>
                  <w:shd w:val="clear" w:color="auto" w:fill="auto"/>
                  <w:vAlign w:val="center"/>
                </w:tcPr>
                <w:p w14:paraId="06DB50C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沥青输送系统</w:t>
                  </w:r>
                </w:p>
              </w:tc>
              <w:tc>
                <w:tcPr>
                  <w:tcW w:w="1338" w:type="pct"/>
                  <w:shd w:val="clear" w:color="auto" w:fill="auto"/>
                  <w:vAlign w:val="center"/>
                </w:tcPr>
                <w:p w14:paraId="3AAB21ED">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≥29.1m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p>
              </w:tc>
              <w:tc>
                <w:tcPr>
                  <w:tcW w:w="727" w:type="pct"/>
                  <w:shd w:val="clear" w:color="auto" w:fill="auto"/>
                  <w:vAlign w:val="center"/>
                </w:tcPr>
                <w:p w14:paraId="641FA81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top"/>
                </w:tcPr>
                <w:p w14:paraId="3A76C8A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2C997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0E8C486E">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w:t>
                  </w:r>
                </w:p>
              </w:tc>
              <w:tc>
                <w:tcPr>
                  <w:tcW w:w="1555" w:type="pct"/>
                  <w:shd w:val="clear" w:color="auto" w:fill="auto"/>
                  <w:vAlign w:val="center"/>
                </w:tcPr>
                <w:p w14:paraId="290D4A62">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搅拌主机</w:t>
                  </w:r>
                </w:p>
              </w:tc>
              <w:tc>
                <w:tcPr>
                  <w:tcW w:w="1338" w:type="pct"/>
                  <w:shd w:val="clear" w:color="auto" w:fill="auto"/>
                  <w:vAlign w:val="center"/>
                </w:tcPr>
                <w:p w14:paraId="5F09BAC8">
                  <w:pPr>
                    <w:pStyle w:val="9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双卧轴强制搅拌</w:t>
                  </w:r>
                  <w:r>
                    <w:rPr>
                      <w:rFonts w:hint="default" w:ascii="Times New Roman" w:hAnsi="Times New Roman" w:cs="Times New Roman"/>
                      <w:color w:val="auto"/>
                      <w:sz w:val="21"/>
                      <w:szCs w:val="21"/>
                      <w:highlight w:val="none"/>
                      <w:lang w:eastAsia="zh-CN"/>
                    </w:rPr>
                    <w:t>，3300kg/批</w:t>
                  </w:r>
                </w:p>
              </w:tc>
              <w:tc>
                <w:tcPr>
                  <w:tcW w:w="727" w:type="pct"/>
                  <w:shd w:val="clear" w:color="auto" w:fill="auto"/>
                  <w:vAlign w:val="center"/>
                </w:tcPr>
                <w:p w14:paraId="7FA600F7">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center"/>
                </w:tcPr>
                <w:p w14:paraId="7AB865EE">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5A93E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39E96396">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14</w:t>
                  </w:r>
                </w:p>
              </w:tc>
              <w:tc>
                <w:tcPr>
                  <w:tcW w:w="1555" w:type="pct"/>
                  <w:shd w:val="clear" w:color="auto" w:fill="auto"/>
                  <w:vAlign w:val="center"/>
                </w:tcPr>
                <w:p w14:paraId="11DA922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微机控制系统</w:t>
                  </w:r>
                </w:p>
              </w:tc>
              <w:tc>
                <w:tcPr>
                  <w:tcW w:w="1338" w:type="pct"/>
                  <w:shd w:val="clear" w:color="auto" w:fill="auto"/>
                  <w:vAlign w:val="center"/>
                </w:tcPr>
                <w:p w14:paraId="57847AEC">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双机双控</w:t>
                  </w:r>
                </w:p>
              </w:tc>
              <w:tc>
                <w:tcPr>
                  <w:tcW w:w="727" w:type="pct"/>
                  <w:shd w:val="clear" w:color="auto" w:fill="auto"/>
                  <w:vAlign w:val="top"/>
                </w:tcPr>
                <w:p w14:paraId="0056F1C7">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center"/>
                </w:tcPr>
                <w:p w14:paraId="120138F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3C5949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195CF77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1555" w:type="pct"/>
                  <w:shd w:val="clear" w:color="auto" w:fill="auto"/>
                  <w:vAlign w:val="center"/>
                </w:tcPr>
                <w:p w14:paraId="6C87B03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柴油储罐</w:t>
                  </w:r>
                </w:p>
              </w:tc>
              <w:tc>
                <w:tcPr>
                  <w:tcW w:w="1338" w:type="pct"/>
                  <w:shd w:val="clear" w:color="auto" w:fill="auto"/>
                  <w:vAlign w:val="center"/>
                </w:tcPr>
                <w:p w14:paraId="07577440">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、10m</w:t>
                  </w:r>
                  <w:r>
                    <w:rPr>
                      <w:rFonts w:hint="default" w:ascii="Times New Roman" w:hAnsi="Times New Roman" w:cs="Times New Roman"/>
                      <w:color w:val="auto"/>
                      <w:sz w:val="21"/>
                      <w:szCs w:val="21"/>
                      <w:highlight w:val="none"/>
                      <w:vertAlign w:val="superscript"/>
                      <w:lang w:val="en-US" w:eastAsia="zh-CN"/>
                    </w:rPr>
                    <w:t>3</w:t>
                  </w:r>
                </w:p>
              </w:tc>
              <w:tc>
                <w:tcPr>
                  <w:tcW w:w="727" w:type="pct"/>
                  <w:shd w:val="clear" w:color="auto" w:fill="auto"/>
                  <w:vAlign w:val="top"/>
                </w:tcPr>
                <w:p w14:paraId="651471C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33F66BB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w:t>
                  </w:r>
                </w:p>
              </w:tc>
            </w:tr>
            <w:tr w14:paraId="1676F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7F987F3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w:t>
                  </w:r>
                </w:p>
              </w:tc>
              <w:tc>
                <w:tcPr>
                  <w:tcW w:w="1555" w:type="pct"/>
                  <w:shd w:val="clear" w:color="auto" w:fill="auto"/>
                  <w:vAlign w:val="center"/>
                </w:tcPr>
                <w:p w14:paraId="2B2BF8D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沥青储罐</w:t>
                  </w:r>
                </w:p>
              </w:tc>
              <w:tc>
                <w:tcPr>
                  <w:tcW w:w="1338" w:type="pct"/>
                  <w:shd w:val="clear" w:color="auto" w:fill="auto"/>
                  <w:vAlign w:val="center"/>
                </w:tcPr>
                <w:p w14:paraId="1366950A">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50m</w:t>
                  </w:r>
                  <w:r>
                    <w:rPr>
                      <w:rFonts w:hint="default" w:ascii="Times New Roman" w:hAnsi="Times New Roman" w:cs="Times New Roman"/>
                      <w:color w:val="auto"/>
                      <w:sz w:val="21"/>
                      <w:szCs w:val="21"/>
                      <w:highlight w:val="none"/>
                      <w:vertAlign w:val="superscript"/>
                      <w:lang w:val="en-US" w:eastAsia="zh-CN"/>
                    </w:rPr>
                    <w:t>3</w:t>
                  </w:r>
                </w:p>
              </w:tc>
              <w:tc>
                <w:tcPr>
                  <w:tcW w:w="727" w:type="pct"/>
                  <w:shd w:val="clear" w:color="auto" w:fill="auto"/>
                  <w:vAlign w:val="top"/>
                </w:tcPr>
                <w:p w14:paraId="38F55D4D">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58BCD44C">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3</w:t>
                  </w:r>
                </w:p>
              </w:tc>
            </w:tr>
            <w:tr w14:paraId="7F31F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0" w:hRule="atLeast"/>
                <w:jc w:val="center"/>
              </w:trPr>
              <w:tc>
                <w:tcPr>
                  <w:tcW w:w="529" w:type="pct"/>
                  <w:vAlign w:val="center"/>
                </w:tcPr>
                <w:p w14:paraId="72DBDC0A">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17</w:t>
                  </w:r>
                </w:p>
              </w:tc>
              <w:tc>
                <w:tcPr>
                  <w:tcW w:w="1555" w:type="pct"/>
                  <w:shd w:val="clear" w:color="auto" w:fill="auto"/>
                  <w:vAlign w:val="center"/>
                </w:tcPr>
                <w:p w14:paraId="1D169A2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导热油炉</w:t>
                  </w:r>
                </w:p>
              </w:tc>
              <w:tc>
                <w:tcPr>
                  <w:tcW w:w="1338" w:type="pct"/>
                  <w:shd w:val="clear" w:color="auto" w:fill="auto"/>
                  <w:vAlign w:val="center"/>
                </w:tcPr>
                <w:p w14:paraId="1D273504">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100万kcal/h</w:t>
                  </w:r>
                </w:p>
              </w:tc>
              <w:tc>
                <w:tcPr>
                  <w:tcW w:w="727" w:type="pct"/>
                  <w:shd w:val="clear" w:color="auto" w:fill="auto"/>
                  <w:vAlign w:val="center"/>
                </w:tcPr>
                <w:p w14:paraId="4CB0341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71089B91">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2609D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4D9EA37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18</w:t>
                  </w:r>
                </w:p>
              </w:tc>
              <w:tc>
                <w:tcPr>
                  <w:tcW w:w="1555" w:type="pct"/>
                  <w:shd w:val="clear" w:color="auto" w:fill="auto"/>
                  <w:vAlign w:val="center"/>
                </w:tcPr>
                <w:p w14:paraId="75F539C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乳化剂水搅拌罐</w:t>
                  </w:r>
                </w:p>
              </w:tc>
              <w:tc>
                <w:tcPr>
                  <w:tcW w:w="1338" w:type="pct"/>
                  <w:shd w:val="clear" w:color="auto" w:fill="auto"/>
                  <w:vAlign w:val="center"/>
                </w:tcPr>
                <w:p w14:paraId="0709CC0D">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φ2.</w:t>
                  </w:r>
                  <w:r>
                    <w:rPr>
                      <w:rFonts w:hint="default"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5.8</w:t>
                  </w:r>
                  <w:r>
                    <w:rPr>
                      <w:rFonts w:hint="default" w:ascii="Times New Roman" w:hAnsi="Times New Roman" w:cs="Times New Roman"/>
                      <w:color w:val="auto"/>
                      <w:sz w:val="21"/>
                      <w:szCs w:val="21"/>
                      <w:highlight w:val="none"/>
                    </w:rPr>
                    <w:t>m</w:t>
                  </w:r>
                </w:p>
              </w:tc>
              <w:tc>
                <w:tcPr>
                  <w:tcW w:w="727" w:type="pct"/>
                  <w:shd w:val="clear" w:color="auto" w:fill="auto"/>
                  <w:vAlign w:val="center"/>
                </w:tcPr>
                <w:p w14:paraId="2CDCE3E4">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6E78DBF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405216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0DF7DBC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19</w:t>
                  </w:r>
                </w:p>
              </w:tc>
              <w:tc>
                <w:tcPr>
                  <w:tcW w:w="1555" w:type="pct"/>
                  <w:shd w:val="clear" w:color="auto" w:fill="auto"/>
                  <w:vAlign w:val="center"/>
                </w:tcPr>
                <w:p w14:paraId="04D9492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旋风除尘器</w:t>
                  </w:r>
                </w:p>
              </w:tc>
              <w:tc>
                <w:tcPr>
                  <w:tcW w:w="1338" w:type="pct"/>
                  <w:shd w:val="clear" w:color="auto" w:fill="auto"/>
                  <w:vAlign w:val="center"/>
                </w:tcPr>
                <w:p w14:paraId="2ED5E5FD">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徐工（XCMG）</w:t>
                  </w:r>
                </w:p>
              </w:tc>
              <w:tc>
                <w:tcPr>
                  <w:tcW w:w="727" w:type="pct"/>
                  <w:shd w:val="clear" w:color="auto" w:fill="auto"/>
                  <w:vAlign w:val="center"/>
                </w:tcPr>
                <w:p w14:paraId="33AF8B07">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个</w:t>
                  </w:r>
                </w:p>
              </w:tc>
              <w:tc>
                <w:tcPr>
                  <w:tcW w:w="849" w:type="pct"/>
                  <w:shd w:val="clear" w:color="auto" w:fill="auto"/>
                  <w:vAlign w:val="center"/>
                </w:tcPr>
                <w:p w14:paraId="661917D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0EAB4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544E179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20</w:t>
                  </w:r>
                </w:p>
              </w:tc>
              <w:tc>
                <w:tcPr>
                  <w:tcW w:w="1555" w:type="pct"/>
                  <w:shd w:val="clear" w:color="auto" w:fill="auto"/>
                  <w:vAlign w:val="center"/>
                </w:tcPr>
                <w:p w14:paraId="007FA5E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布袋除尘器</w:t>
                  </w:r>
                </w:p>
              </w:tc>
              <w:tc>
                <w:tcPr>
                  <w:tcW w:w="1338" w:type="pct"/>
                  <w:shd w:val="clear" w:color="auto" w:fill="auto"/>
                  <w:vAlign w:val="center"/>
                </w:tcPr>
                <w:p w14:paraId="66D1BDAB">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徐工（XCMG）</w:t>
                  </w:r>
                </w:p>
              </w:tc>
              <w:tc>
                <w:tcPr>
                  <w:tcW w:w="727" w:type="pct"/>
                  <w:shd w:val="clear" w:color="auto" w:fill="auto"/>
                  <w:vAlign w:val="center"/>
                </w:tcPr>
                <w:p w14:paraId="77D5880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个</w:t>
                  </w:r>
                </w:p>
              </w:tc>
              <w:tc>
                <w:tcPr>
                  <w:tcW w:w="849" w:type="pct"/>
                  <w:shd w:val="clear" w:color="auto" w:fill="auto"/>
                  <w:vAlign w:val="center"/>
                </w:tcPr>
                <w:p w14:paraId="628EF74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700FB0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3ABDA62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21</w:t>
                  </w:r>
                </w:p>
              </w:tc>
              <w:tc>
                <w:tcPr>
                  <w:tcW w:w="1555" w:type="pct"/>
                  <w:shd w:val="clear" w:color="auto" w:fill="auto"/>
                  <w:vAlign w:val="center"/>
                </w:tcPr>
                <w:p w14:paraId="1823F2DD">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活性炭吸附装置</w:t>
                  </w:r>
                </w:p>
              </w:tc>
              <w:tc>
                <w:tcPr>
                  <w:tcW w:w="1338" w:type="pct"/>
                  <w:shd w:val="clear" w:color="auto" w:fill="auto"/>
                  <w:vAlign w:val="center"/>
                </w:tcPr>
                <w:p w14:paraId="1746ABC0">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20000</w:t>
                  </w:r>
                  <w:r>
                    <w:rPr>
                      <w:rFonts w:hint="default" w:ascii="Times New Roman" w:hAnsi="Times New Roman" w:cs="Times New Roman"/>
                      <w:color w:val="auto"/>
                      <w:kern w:val="0"/>
                      <w:sz w:val="21"/>
                      <w:szCs w:val="21"/>
                      <w:highlight w:val="none"/>
                      <w:lang w:val="en-US" w:eastAsia="zh-CN" w:bidi="ar-SA"/>
                    </w:rPr>
                    <w:t>m</w:t>
                  </w:r>
                  <w:r>
                    <w:rPr>
                      <w:rFonts w:hint="default" w:ascii="Times New Roman" w:hAnsi="Times New Roman" w:cs="Times New Roman"/>
                      <w:color w:val="auto"/>
                      <w:kern w:val="0"/>
                      <w:sz w:val="21"/>
                      <w:szCs w:val="21"/>
                      <w:highlight w:val="none"/>
                      <w:vertAlign w:val="superscript"/>
                      <w:lang w:val="en-US" w:eastAsia="zh-CN" w:bidi="ar-SA"/>
                    </w:rPr>
                    <w:t>3</w:t>
                  </w:r>
                  <w:r>
                    <w:rPr>
                      <w:rFonts w:hint="default" w:ascii="Times New Roman" w:hAnsi="Times New Roman" w:cs="Times New Roman"/>
                      <w:color w:val="auto"/>
                      <w:kern w:val="0"/>
                      <w:sz w:val="21"/>
                      <w:szCs w:val="21"/>
                      <w:highlight w:val="none"/>
                      <w:lang w:val="en-US" w:eastAsia="zh-CN" w:bidi="ar-SA"/>
                    </w:rPr>
                    <w:t>/h</w:t>
                  </w:r>
                </w:p>
              </w:tc>
              <w:tc>
                <w:tcPr>
                  <w:tcW w:w="727" w:type="pct"/>
                  <w:shd w:val="clear" w:color="auto" w:fill="auto"/>
                  <w:vAlign w:val="center"/>
                </w:tcPr>
                <w:p w14:paraId="3DB7AFB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个</w:t>
                  </w:r>
                </w:p>
              </w:tc>
              <w:tc>
                <w:tcPr>
                  <w:tcW w:w="849" w:type="pct"/>
                  <w:shd w:val="clear" w:color="auto" w:fill="auto"/>
                  <w:vAlign w:val="center"/>
                </w:tcPr>
                <w:p w14:paraId="45D90A42">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28CB12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7261FA49">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22</w:t>
                  </w:r>
                </w:p>
              </w:tc>
              <w:tc>
                <w:tcPr>
                  <w:tcW w:w="1555" w:type="pct"/>
                  <w:shd w:val="clear" w:color="auto" w:fill="auto"/>
                  <w:vAlign w:val="center"/>
                </w:tcPr>
                <w:p w14:paraId="1FF3F8A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电捕焦油器</w:t>
                  </w:r>
                </w:p>
              </w:tc>
              <w:tc>
                <w:tcPr>
                  <w:tcW w:w="1338" w:type="pct"/>
                  <w:shd w:val="clear" w:color="auto" w:fill="auto"/>
                  <w:vAlign w:val="center"/>
                </w:tcPr>
                <w:p w14:paraId="139BC402">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20000</w:t>
                  </w:r>
                  <w:r>
                    <w:rPr>
                      <w:rFonts w:hint="default" w:ascii="Times New Roman" w:hAnsi="Times New Roman" w:cs="Times New Roman"/>
                      <w:color w:val="auto"/>
                      <w:kern w:val="0"/>
                      <w:sz w:val="21"/>
                      <w:szCs w:val="21"/>
                      <w:highlight w:val="none"/>
                      <w:lang w:val="en-US" w:eastAsia="zh-CN" w:bidi="ar-SA"/>
                    </w:rPr>
                    <w:t>m</w:t>
                  </w:r>
                  <w:r>
                    <w:rPr>
                      <w:rFonts w:hint="default" w:ascii="Times New Roman" w:hAnsi="Times New Roman" w:cs="Times New Roman"/>
                      <w:color w:val="auto"/>
                      <w:kern w:val="0"/>
                      <w:sz w:val="21"/>
                      <w:szCs w:val="21"/>
                      <w:highlight w:val="none"/>
                      <w:vertAlign w:val="superscript"/>
                      <w:lang w:val="en-US" w:eastAsia="zh-CN" w:bidi="ar-SA"/>
                    </w:rPr>
                    <w:t>3</w:t>
                  </w:r>
                  <w:r>
                    <w:rPr>
                      <w:rFonts w:hint="default" w:ascii="Times New Roman" w:hAnsi="Times New Roman" w:cs="Times New Roman"/>
                      <w:color w:val="auto"/>
                      <w:kern w:val="0"/>
                      <w:sz w:val="21"/>
                      <w:szCs w:val="21"/>
                      <w:highlight w:val="none"/>
                      <w:lang w:val="en-US" w:eastAsia="zh-CN" w:bidi="ar-SA"/>
                    </w:rPr>
                    <w:t>/h</w:t>
                  </w:r>
                </w:p>
              </w:tc>
              <w:tc>
                <w:tcPr>
                  <w:tcW w:w="727" w:type="pct"/>
                  <w:shd w:val="clear" w:color="auto" w:fill="auto"/>
                  <w:vAlign w:val="center"/>
                </w:tcPr>
                <w:p w14:paraId="57A6FD0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31006D5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43896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71241F0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23</w:t>
                  </w:r>
                </w:p>
              </w:tc>
              <w:tc>
                <w:tcPr>
                  <w:tcW w:w="1555" w:type="pct"/>
                  <w:shd w:val="clear" w:color="auto" w:fill="auto"/>
                  <w:vAlign w:val="center"/>
                </w:tcPr>
                <w:p w14:paraId="4F0854A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喷淋系统</w:t>
                  </w:r>
                </w:p>
              </w:tc>
              <w:tc>
                <w:tcPr>
                  <w:tcW w:w="1338" w:type="pct"/>
                  <w:shd w:val="clear" w:color="auto" w:fill="auto"/>
                  <w:vAlign w:val="center"/>
                </w:tcPr>
                <w:p w14:paraId="5CF94443">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5</w:t>
                  </w:r>
                  <w:r>
                    <w:rPr>
                      <w:rFonts w:hint="default" w:ascii="Times New Roman" w:hAnsi="Times New Roman" w:eastAsia="宋体" w:cs="Times New Roman"/>
                      <w:color w:val="auto"/>
                      <w:kern w:val="0"/>
                      <w:sz w:val="21"/>
                      <w:szCs w:val="21"/>
                      <w:highlight w:val="none"/>
                      <w:lang w:val="en-US" w:eastAsia="zh-CN" w:bidi="ar-SA"/>
                    </w:rPr>
                    <w:t>t/d</w:t>
                  </w:r>
                </w:p>
              </w:tc>
              <w:tc>
                <w:tcPr>
                  <w:tcW w:w="727" w:type="pct"/>
                  <w:shd w:val="clear" w:color="auto" w:fill="auto"/>
                  <w:vAlign w:val="center"/>
                </w:tcPr>
                <w:p w14:paraId="1E9ED2F1">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center"/>
                </w:tcPr>
                <w:p w14:paraId="2692A64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30AC14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32C42F1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24</w:t>
                  </w:r>
                </w:p>
              </w:tc>
              <w:tc>
                <w:tcPr>
                  <w:tcW w:w="1555" w:type="pct"/>
                  <w:shd w:val="clear" w:color="auto" w:fill="auto"/>
                  <w:vAlign w:val="center"/>
                </w:tcPr>
                <w:p w14:paraId="120B5724">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风机</w:t>
                  </w:r>
                </w:p>
              </w:tc>
              <w:tc>
                <w:tcPr>
                  <w:tcW w:w="1338" w:type="pct"/>
                  <w:shd w:val="clear" w:color="auto" w:fill="auto"/>
                  <w:vAlign w:val="center"/>
                </w:tcPr>
                <w:p w14:paraId="722BAC5C">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132kW</w:t>
                  </w:r>
                </w:p>
              </w:tc>
              <w:tc>
                <w:tcPr>
                  <w:tcW w:w="727" w:type="pct"/>
                  <w:shd w:val="clear" w:color="auto" w:fill="auto"/>
                  <w:vAlign w:val="center"/>
                </w:tcPr>
                <w:p w14:paraId="67AA7BB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center"/>
                </w:tcPr>
                <w:p w14:paraId="3EB9DBA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bl>
          <w:p w14:paraId="267C0181">
            <w:pPr>
              <w:adjustRightInd w:val="0"/>
              <w:snapToGrid w:val="0"/>
              <w:spacing w:line="500" w:lineRule="exac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4、主要产品方案</w:t>
            </w:r>
          </w:p>
          <w:p w14:paraId="45E5AFCB">
            <w:pPr>
              <w:adjustRightInd w:val="0"/>
              <w:snapToGrid w:val="0"/>
              <w:spacing w:line="500" w:lineRule="exact"/>
              <w:ind w:firstLine="480" w:firstLineChars="200"/>
              <w:rPr>
                <w:rFonts w:hint="default" w:ascii="Times New Roman" w:hAnsi="Times New Roman" w:eastAsia="黑体" w:cs="Times New Roman"/>
                <w:bCs/>
                <w:color w:val="auto"/>
                <w:kern w:val="0"/>
                <w:sz w:val="24"/>
                <w:highlight w:val="none"/>
              </w:rPr>
            </w:pPr>
            <w:r>
              <w:rPr>
                <w:rFonts w:hint="default" w:ascii="Times New Roman" w:hAnsi="Times New Roman" w:cs="Times New Roman"/>
                <w:color w:val="auto"/>
                <w:sz w:val="24"/>
                <w:highlight w:val="none"/>
              </w:rPr>
              <w:t>主要产品方案表见下表。</w:t>
            </w:r>
          </w:p>
          <w:p w14:paraId="2DCCDEC9">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表2-</w:t>
            </w:r>
            <w:r>
              <w:rPr>
                <w:rFonts w:hint="default" w:ascii="Times New Roman" w:hAnsi="Times New Roman" w:eastAsia="黑体" w:cs="Times New Roman"/>
                <w:bCs/>
                <w:color w:val="auto"/>
                <w:kern w:val="0"/>
                <w:sz w:val="24"/>
                <w:highlight w:val="none"/>
                <w:lang w:val="en-US" w:eastAsia="zh-CN"/>
              </w:rPr>
              <w:t>4</w:t>
            </w:r>
            <w:r>
              <w:rPr>
                <w:rFonts w:hint="default" w:ascii="Times New Roman" w:hAnsi="Times New Roman" w:eastAsia="黑体" w:cs="Times New Roman"/>
                <w:bCs/>
                <w:color w:val="auto"/>
                <w:kern w:val="0"/>
                <w:sz w:val="24"/>
                <w:highlight w:val="none"/>
              </w:rPr>
              <w:t xml:space="preserve"> 主要产品方案表</w:t>
            </w:r>
          </w:p>
          <w:tbl>
            <w:tblPr>
              <w:tblStyle w:val="93"/>
              <w:tblW w:w="489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2115"/>
              <w:gridCol w:w="2116"/>
              <w:gridCol w:w="2597"/>
            </w:tblGrid>
            <w:tr w14:paraId="63B839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5ED29AE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1367" w:type="pct"/>
                  <w:vAlign w:val="center"/>
                </w:tcPr>
                <w:p w14:paraId="79C4DA17">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1368" w:type="pct"/>
                  <w:vAlign w:val="center"/>
                </w:tcPr>
                <w:p w14:paraId="468A784D">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产品规格</w:t>
                  </w:r>
                </w:p>
              </w:tc>
              <w:tc>
                <w:tcPr>
                  <w:tcW w:w="1679" w:type="pct"/>
                  <w:vAlign w:val="center"/>
                </w:tcPr>
                <w:p w14:paraId="422222F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产量/年</w:t>
                  </w:r>
                </w:p>
              </w:tc>
            </w:tr>
            <w:tr w14:paraId="2465B4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4C2342FA">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115" w:type="dxa"/>
                  <w:vAlign w:val="center"/>
                </w:tcPr>
                <w:p w14:paraId="2E95FF3F">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沥青混凝土</w:t>
                  </w:r>
                </w:p>
              </w:tc>
              <w:tc>
                <w:tcPr>
                  <w:tcW w:w="2116" w:type="dxa"/>
                  <w:vAlign w:val="center"/>
                </w:tcPr>
                <w:p w14:paraId="7C266C5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AC-1</w:t>
                  </w:r>
                  <w:r>
                    <w:rPr>
                      <w:rFonts w:hint="default" w:ascii="Times New Roman" w:hAnsi="Times New Roman" w:cs="Times New Roman"/>
                      <w:color w:val="auto"/>
                      <w:sz w:val="21"/>
                      <w:szCs w:val="21"/>
                      <w:highlight w:val="none"/>
                      <w:lang w:val="en-US" w:eastAsia="zh-CN"/>
                    </w:rPr>
                    <w:t>3</w:t>
                  </w:r>
                </w:p>
              </w:tc>
              <w:tc>
                <w:tcPr>
                  <w:tcW w:w="2597" w:type="dxa"/>
                  <w:vAlign w:val="center"/>
                </w:tcPr>
                <w:p w14:paraId="45CA2D04">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万</w:t>
                  </w:r>
                  <w:r>
                    <w:rPr>
                      <w:rFonts w:hint="default"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p>
              </w:tc>
            </w:tr>
            <w:tr w14:paraId="08E47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1DEC187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115" w:type="dxa"/>
                  <w:vAlign w:val="center"/>
                </w:tcPr>
                <w:p w14:paraId="5BAE074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沥青混凝土</w:t>
                  </w:r>
                </w:p>
              </w:tc>
              <w:tc>
                <w:tcPr>
                  <w:tcW w:w="2116" w:type="dxa"/>
                  <w:vAlign w:val="center"/>
                </w:tcPr>
                <w:p w14:paraId="75394458">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AC-16</w:t>
                  </w:r>
                </w:p>
              </w:tc>
              <w:tc>
                <w:tcPr>
                  <w:tcW w:w="2597" w:type="dxa"/>
                  <w:vAlign w:val="center"/>
                </w:tcPr>
                <w:p w14:paraId="599381C8">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3万t</w:t>
                  </w:r>
                  <w:r>
                    <w:rPr>
                      <w:rFonts w:hint="default" w:ascii="Times New Roman" w:hAnsi="Times New Roman" w:cs="Times New Roman"/>
                      <w:color w:val="auto"/>
                      <w:sz w:val="21"/>
                      <w:szCs w:val="21"/>
                      <w:highlight w:val="none"/>
                    </w:rPr>
                    <w:t>/a</w:t>
                  </w:r>
                </w:p>
              </w:tc>
            </w:tr>
            <w:tr w14:paraId="308AF5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63FFD7C1">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2115" w:type="dxa"/>
                  <w:vAlign w:val="center"/>
                </w:tcPr>
                <w:p w14:paraId="5A5A9BC0">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沥青混凝土</w:t>
                  </w:r>
                </w:p>
              </w:tc>
              <w:tc>
                <w:tcPr>
                  <w:tcW w:w="2116" w:type="dxa"/>
                  <w:vAlign w:val="center"/>
                </w:tcPr>
                <w:p w14:paraId="210ECE7A">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AC-20</w:t>
                  </w:r>
                </w:p>
              </w:tc>
              <w:tc>
                <w:tcPr>
                  <w:tcW w:w="2597" w:type="dxa"/>
                  <w:vAlign w:val="center"/>
                </w:tcPr>
                <w:p w14:paraId="54E9263F">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万</w:t>
                  </w:r>
                  <w:r>
                    <w:rPr>
                      <w:rFonts w:hint="default"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p>
              </w:tc>
            </w:tr>
            <w:tr w14:paraId="433EBB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7808E062">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2115" w:type="dxa"/>
                  <w:vAlign w:val="center"/>
                </w:tcPr>
                <w:p w14:paraId="601CC1B1">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乳化沥青</w:t>
                  </w:r>
                </w:p>
              </w:tc>
              <w:tc>
                <w:tcPr>
                  <w:tcW w:w="2116" w:type="dxa"/>
                  <w:vAlign w:val="center"/>
                </w:tcPr>
                <w:p w14:paraId="5B2760AE">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2597" w:type="dxa"/>
                  <w:vAlign w:val="center"/>
                </w:tcPr>
                <w:p w14:paraId="72FE810A">
                  <w:pPr>
                    <w:pStyle w:val="9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100吨</w:t>
                  </w:r>
                </w:p>
              </w:tc>
            </w:tr>
          </w:tbl>
          <w:p w14:paraId="791451B9">
            <w:pPr>
              <w:pStyle w:val="63"/>
              <w:spacing w:line="500" w:lineRule="exact"/>
              <w:ind w:firstLine="480"/>
              <w:rPr>
                <w:rFonts w:hint="default" w:ascii="Times New Roman" w:hAnsi="Times New Roman" w:eastAsia="黑体" w:cs="Times New Roman"/>
                <w:bCs/>
                <w:color w:val="auto"/>
                <w:highlight w:val="none"/>
              </w:rPr>
            </w:pPr>
            <w:r>
              <w:rPr>
                <w:rFonts w:hint="default" w:ascii="Times New Roman" w:hAnsi="Times New Roman" w:cs="Times New Roman"/>
                <w:color w:val="auto"/>
                <w:highlight w:val="none"/>
              </w:rPr>
              <w:t>本项目物料平衡见下表。</w:t>
            </w:r>
          </w:p>
          <w:p w14:paraId="20093B0E">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表2-</w:t>
            </w:r>
            <w:r>
              <w:rPr>
                <w:rFonts w:hint="default" w:ascii="Times New Roman" w:hAnsi="Times New Roman" w:eastAsia="黑体" w:cs="Times New Roman"/>
                <w:bCs/>
                <w:color w:val="auto"/>
                <w:kern w:val="0"/>
                <w:sz w:val="24"/>
                <w:highlight w:val="none"/>
                <w:lang w:val="en-US" w:eastAsia="zh-CN"/>
              </w:rPr>
              <w:t>5</w:t>
            </w:r>
            <w:r>
              <w:rPr>
                <w:rFonts w:hint="default" w:ascii="Times New Roman" w:hAnsi="Times New Roman" w:eastAsia="黑体" w:cs="Times New Roman"/>
                <w:bCs/>
                <w:color w:val="auto"/>
                <w:kern w:val="0"/>
                <w:sz w:val="24"/>
                <w:highlight w:val="none"/>
              </w:rPr>
              <w:t xml:space="preserve"> </w:t>
            </w:r>
            <w:r>
              <w:rPr>
                <w:rFonts w:hint="default" w:ascii="Times New Roman" w:hAnsi="Times New Roman" w:eastAsia="黑体" w:cs="Times New Roman"/>
                <w:bCs/>
                <w:color w:val="auto"/>
                <w:kern w:val="0"/>
                <w:sz w:val="24"/>
                <w:highlight w:val="none"/>
                <w:lang w:val="en-US" w:eastAsia="zh-CN"/>
              </w:rPr>
              <w:t>沥青混凝土</w:t>
            </w:r>
            <w:r>
              <w:rPr>
                <w:rFonts w:hint="default" w:ascii="Times New Roman" w:hAnsi="Times New Roman" w:eastAsia="黑体" w:cs="Times New Roman"/>
                <w:bCs/>
                <w:color w:val="auto"/>
                <w:kern w:val="0"/>
                <w:sz w:val="24"/>
                <w:highlight w:val="none"/>
              </w:rPr>
              <w:t>物料平衡表（t/a）</w:t>
            </w:r>
          </w:p>
          <w:tbl>
            <w:tblPr>
              <w:tblStyle w:val="3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848"/>
              <w:gridCol w:w="2042"/>
              <w:gridCol w:w="2189"/>
              <w:gridCol w:w="1830"/>
            </w:tblGrid>
            <w:tr w14:paraId="212F97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vAlign w:val="center"/>
                </w:tcPr>
                <w:p w14:paraId="0DBE5172">
                  <w:pPr>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原料</w:t>
                  </w:r>
                </w:p>
              </w:tc>
              <w:tc>
                <w:tcPr>
                  <w:tcW w:w="1290" w:type="pct"/>
                  <w:vAlign w:val="center"/>
                </w:tcPr>
                <w:p w14:paraId="694F8297">
                  <w:pPr>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进料量</w:t>
                  </w:r>
                </w:p>
              </w:tc>
              <w:tc>
                <w:tcPr>
                  <w:tcW w:w="1383" w:type="pct"/>
                  <w:vAlign w:val="center"/>
                </w:tcPr>
                <w:p w14:paraId="32B82A6E">
                  <w:pPr>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产生物名称</w:t>
                  </w:r>
                </w:p>
              </w:tc>
              <w:tc>
                <w:tcPr>
                  <w:tcW w:w="1156" w:type="pct"/>
                  <w:vAlign w:val="center"/>
                </w:tcPr>
                <w:p w14:paraId="405259D6">
                  <w:pPr>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产生量</w:t>
                  </w:r>
                </w:p>
              </w:tc>
            </w:tr>
            <w:tr w14:paraId="644914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vAlign w:val="center"/>
                </w:tcPr>
                <w:p w14:paraId="1D49C42B">
                  <w:pPr>
                    <w:keepNext w:val="0"/>
                    <w:keepLines w:val="0"/>
                    <w:widowControl/>
                    <w:suppressLineNumbers w:val="0"/>
                    <w:jc w:val="center"/>
                    <w:textAlignment w:val="center"/>
                    <w:rPr>
                      <w:rFonts w:hint="default" w:ascii="Times New Roman" w:hAnsi="Times New Roman" w:cs="Times New Roman"/>
                      <w:bCs/>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沥青</w:t>
                  </w:r>
                </w:p>
              </w:tc>
              <w:tc>
                <w:tcPr>
                  <w:tcW w:w="1290" w:type="pct"/>
                  <w:vAlign w:val="center"/>
                </w:tcPr>
                <w:p w14:paraId="26417AB5">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3974.9774</w:t>
                  </w:r>
                </w:p>
              </w:tc>
              <w:tc>
                <w:tcPr>
                  <w:tcW w:w="1383" w:type="pct"/>
                  <w:vAlign w:val="center"/>
                </w:tcPr>
                <w:p w14:paraId="4A4F3647">
                  <w:pPr>
                    <w:keepNext w:val="0"/>
                    <w:keepLines w:val="0"/>
                    <w:widowControl/>
                    <w:suppressLineNumbers w:val="0"/>
                    <w:jc w:val="center"/>
                    <w:textAlignment w:val="center"/>
                    <w:rPr>
                      <w:rFonts w:hint="default" w:ascii="Times New Roman" w:hAnsi="Times New Roman" w:cs="Times New Roman"/>
                      <w:bCs/>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沥青混凝土</w:t>
                  </w:r>
                </w:p>
              </w:tc>
              <w:tc>
                <w:tcPr>
                  <w:tcW w:w="1156" w:type="pct"/>
                  <w:vAlign w:val="center"/>
                </w:tcPr>
                <w:p w14:paraId="07F95894">
                  <w:pPr>
                    <w:keepNext w:val="0"/>
                    <w:keepLines w:val="0"/>
                    <w:widowControl/>
                    <w:suppressLineNumbers w:val="0"/>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100000</w:t>
                  </w:r>
                </w:p>
              </w:tc>
            </w:tr>
            <w:tr w14:paraId="15E10D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vAlign w:val="center"/>
                </w:tcPr>
                <w:p w14:paraId="772EA2AB">
                  <w:pPr>
                    <w:keepNext w:val="0"/>
                    <w:keepLines w:val="0"/>
                    <w:widowControl/>
                    <w:suppressLineNumbers w:val="0"/>
                    <w:jc w:val="center"/>
                    <w:textAlignment w:val="center"/>
                    <w:rPr>
                      <w:rFonts w:hint="default" w:ascii="Times New Roman" w:hAnsi="Times New Roman" w:cs="Times New Roman"/>
                      <w:bCs/>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石料</w:t>
                  </w:r>
                </w:p>
              </w:tc>
              <w:tc>
                <w:tcPr>
                  <w:tcW w:w="1290" w:type="pct"/>
                  <w:vAlign w:val="center"/>
                </w:tcPr>
                <w:p w14:paraId="46A8626A">
                  <w:pPr>
                    <w:keepNext w:val="0"/>
                    <w:keepLines w:val="0"/>
                    <w:widowControl/>
                    <w:suppressLineNumbers w:val="0"/>
                    <w:jc w:val="center"/>
                    <w:textAlignment w:val="center"/>
                    <w:rPr>
                      <w:rFonts w:hint="default" w:ascii="Times New Roman" w:hAnsi="Times New Roman" w:cs="Times New Roman"/>
                      <w:bCs/>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95600</w:t>
                  </w:r>
                </w:p>
              </w:tc>
              <w:tc>
                <w:tcPr>
                  <w:tcW w:w="1383" w:type="pct"/>
                  <w:shd w:val="clear" w:color="auto" w:fill="auto"/>
                  <w:vAlign w:val="center"/>
                </w:tcPr>
                <w:p w14:paraId="493DF2D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除尘器收尘</w:t>
                  </w:r>
                </w:p>
              </w:tc>
              <w:tc>
                <w:tcPr>
                  <w:tcW w:w="1156" w:type="pct"/>
                  <w:shd w:val="clear" w:color="auto" w:fill="auto"/>
                  <w:vAlign w:val="center"/>
                </w:tcPr>
                <w:p w14:paraId="17EDC66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23.816</w:t>
                  </w:r>
                </w:p>
              </w:tc>
            </w:tr>
            <w:tr w14:paraId="5E6B5E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shd w:val="clear" w:color="auto" w:fill="auto"/>
                  <w:vAlign w:val="center"/>
                </w:tcPr>
                <w:p w14:paraId="63FCA75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矿粉</w:t>
                  </w:r>
                </w:p>
              </w:tc>
              <w:tc>
                <w:tcPr>
                  <w:tcW w:w="1290" w:type="pct"/>
                  <w:shd w:val="clear" w:color="auto" w:fill="auto"/>
                  <w:vAlign w:val="center"/>
                </w:tcPr>
                <w:p w14:paraId="0FBEFF22">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1383" w:type="pct"/>
                  <w:shd w:val="clear" w:color="auto" w:fill="auto"/>
                  <w:vAlign w:val="center"/>
                </w:tcPr>
                <w:p w14:paraId="5AE02730">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滴漏沥青及</w:t>
                  </w:r>
                  <w:r>
                    <w:rPr>
                      <w:rFonts w:hint="default" w:ascii="Times New Roman" w:hAnsi="Times New Roman" w:cs="Times New Roman"/>
                      <w:i w:val="0"/>
                      <w:iCs w:val="0"/>
                      <w:color w:val="auto"/>
                      <w:kern w:val="0"/>
                      <w:sz w:val="21"/>
                      <w:szCs w:val="21"/>
                      <w:highlight w:val="none"/>
                      <w:u w:val="none"/>
                      <w:lang w:val="en-US" w:eastAsia="zh-CN" w:bidi="ar"/>
                    </w:rPr>
                    <w:t>拌合</w:t>
                  </w:r>
                  <w:r>
                    <w:rPr>
                      <w:rFonts w:hint="default" w:ascii="Times New Roman" w:hAnsi="Times New Roman" w:eastAsia="宋体" w:cs="Times New Roman"/>
                      <w:i w:val="0"/>
                      <w:iCs w:val="0"/>
                      <w:color w:val="auto"/>
                      <w:kern w:val="0"/>
                      <w:sz w:val="21"/>
                      <w:szCs w:val="21"/>
                      <w:highlight w:val="none"/>
                      <w:u w:val="none"/>
                      <w:lang w:val="en-US" w:eastAsia="zh-CN" w:bidi="ar"/>
                    </w:rPr>
                    <w:t>残渣</w:t>
                  </w:r>
                </w:p>
              </w:tc>
              <w:tc>
                <w:tcPr>
                  <w:tcW w:w="1156" w:type="pct"/>
                  <w:shd w:val="clear" w:color="auto" w:fill="auto"/>
                  <w:vAlign w:val="center"/>
                </w:tcPr>
                <w:p w14:paraId="7C722F3D">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r>
            <w:tr w14:paraId="334F86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shd w:val="clear" w:color="auto" w:fill="auto"/>
                  <w:vAlign w:val="center"/>
                </w:tcPr>
                <w:p w14:paraId="4EAB2750">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除尘器收尘</w:t>
                  </w:r>
                </w:p>
              </w:tc>
              <w:tc>
                <w:tcPr>
                  <w:tcW w:w="1290" w:type="pct"/>
                  <w:shd w:val="clear" w:color="auto" w:fill="auto"/>
                  <w:vAlign w:val="center"/>
                </w:tcPr>
                <w:p w14:paraId="4F2FD55A">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23.816</w:t>
                  </w:r>
                </w:p>
              </w:tc>
              <w:tc>
                <w:tcPr>
                  <w:tcW w:w="1383" w:type="pct"/>
                  <w:shd w:val="clear" w:color="auto" w:fill="auto"/>
                  <w:vAlign w:val="center"/>
                </w:tcPr>
                <w:p w14:paraId="3F7C4D72">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不合格石料</w:t>
                  </w:r>
                </w:p>
              </w:tc>
              <w:tc>
                <w:tcPr>
                  <w:tcW w:w="1156" w:type="pct"/>
                  <w:shd w:val="clear" w:color="auto" w:fill="auto"/>
                  <w:vAlign w:val="center"/>
                </w:tcPr>
                <w:p w14:paraId="1B0A6DD9">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72.757</w:t>
                  </w:r>
                </w:p>
              </w:tc>
            </w:tr>
            <w:tr w14:paraId="1BD0F2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168" w:type="pct"/>
                  <w:shd w:val="clear" w:color="auto" w:fill="auto"/>
                  <w:vAlign w:val="center"/>
                </w:tcPr>
                <w:p w14:paraId="51BF995B">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滴漏沥青及</w:t>
                  </w:r>
                  <w:r>
                    <w:rPr>
                      <w:rFonts w:hint="default" w:ascii="Times New Roman" w:hAnsi="Times New Roman" w:cs="Times New Roman"/>
                      <w:i w:val="0"/>
                      <w:iCs w:val="0"/>
                      <w:color w:val="auto"/>
                      <w:kern w:val="0"/>
                      <w:sz w:val="21"/>
                      <w:szCs w:val="21"/>
                      <w:highlight w:val="none"/>
                      <w:u w:val="none"/>
                      <w:lang w:val="en-US" w:eastAsia="zh-CN" w:bidi="ar"/>
                    </w:rPr>
                    <w:t>拌合</w:t>
                  </w:r>
                  <w:r>
                    <w:rPr>
                      <w:rFonts w:hint="default" w:ascii="Times New Roman" w:hAnsi="Times New Roman" w:eastAsia="宋体" w:cs="Times New Roman"/>
                      <w:i w:val="0"/>
                      <w:iCs w:val="0"/>
                      <w:color w:val="auto"/>
                      <w:kern w:val="0"/>
                      <w:sz w:val="21"/>
                      <w:szCs w:val="21"/>
                      <w:highlight w:val="none"/>
                      <w:u w:val="none"/>
                      <w:lang w:val="en-US" w:eastAsia="zh-CN" w:bidi="ar"/>
                    </w:rPr>
                    <w:t>残渣</w:t>
                  </w:r>
                </w:p>
              </w:tc>
              <w:tc>
                <w:tcPr>
                  <w:tcW w:w="1290" w:type="pct"/>
                  <w:shd w:val="clear" w:color="auto" w:fill="auto"/>
                  <w:vAlign w:val="center"/>
                </w:tcPr>
                <w:p w14:paraId="36F1E9D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1383" w:type="pct"/>
                  <w:shd w:val="clear" w:color="auto" w:fill="auto"/>
                  <w:vAlign w:val="center"/>
                </w:tcPr>
                <w:p w14:paraId="49B2F97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烘干粉尘</w:t>
                  </w:r>
                </w:p>
              </w:tc>
              <w:tc>
                <w:tcPr>
                  <w:tcW w:w="1156" w:type="pct"/>
                  <w:shd w:val="clear" w:color="auto" w:fill="auto"/>
                  <w:vAlign w:val="center"/>
                </w:tcPr>
                <w:p w14:paraId="1F90CAF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0.1434</w:t>
                  </w:r>
                </w:p>
              </w:tc>
            </w:tr>
            <w:tr w14:paraId="28C06E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48" w:type="dxa"/>
                  <w:shd w:val="clear" w:color="auto" w:fill="auto"/>
                  <w:vAlign w:val="center"/>
                </w:tcPr>
                <w:p w14:paraId="1BF7A699">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042" w:type="dxa"/>
                  <w:shd w:val="clear" w:color="auto" w:fill="auto"/>
                  <w:vAlign w:val="center"/>
                </w:tcPr>
                <w:p w14:paraId="2872F510">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83" w:type="pct"/>
                  <w:shd w:val="clear" w:color="auto" w:fill="auto"/>
                  <w:vAlign w:val="center"/>
                </w:tcPr>
                <w:p w14:paraId="401757E4">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沥青烟气</w:t>
                  </w:r>
                </w:p>
              </w:tc>
              <w:tc>
                <w:tcPr>
                  <w:tcW w:w="1156" w:type="pct"/>
                  <w:shd w:val="clear" w:color="auto" w:fill="auto"/>
                  <w:vAlign w:val="center"/>
                </w:tcPr>
                <w:p w14:paraId="762AF2C2">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1.9995</w:t>
                  </w:r>
                </w:p>
              </w:tc>
            </w:tr>
            <w:tr w14:paraId="319717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48" w:type="dxa"/>
                  <w:shd w:val="clear" w:color="auto" w:fill="auto"/>
                  <w:vAlign w:val="center"/>
                </w:tcPr>
                <w:p w14:paraId="0A9FBE6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042" w:type="dxa"/>
                  <w:shd w:val="clear" w:color="auto" w:fill="auto"/>
                  <w:vAlign w:val="center"/>
                </w:tcPr>
                <w:p w14:paraId="59368F19">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83" w:type="pct"/>
                  <w:shd w:val="clear" w:color="auto" w:fill="auto"/>
                  <w:vAlign w:val="center"/>
                </w:tcPr>
                <w:p w14:paraId="77DBAFBE">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卸料运输贮存粉尘</w:t>
                  </w:r>
                </w:p>
              </w:tc>
              <w:tc>
                <w:tcPr>
                  <w:tcW w:w="1156" w:type="pct"/>
                  <w:shd w:val="clear" w:color="auto" w:fill="auto"/>
                  <w:vAlign w:val="center"/>
                </w:tcPr>
                <w:p w14:paraId="1D17F86B">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01</w:t>
                  </w:r>
                </w:p>
              </w:tc>
            </w:tr>
            <w:tr w14:paraId="230F02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vAlign w:val="center"/>
                </w:tcPr>
                <w:p w14:paraId="67A45CC2">
                  <w:pPr>
                    <w:keepNext w:val="0"/>
                    <w:keepLines w:val="0"/>
                    <w:widowControl/>
                    <w:suppressLineNumbers w:val="0"/>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90" w:type="pct"/>
                  <w:vAlign w:val="center"/>
                </w:tcPr>
                <w:p w14:paraId="54C9385F">
                  <w:pPr>
                    <w:keepNext w:val="0"/>
                    <w:keepLines w:val="0"/>
                    <w:widowControl/>
                    <w:suppressLineNumbers w:val="0"/>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83" w:type="pct"/>
                  <w:shd w:val="clear" w:color="auto" w:fill="auto"/>
                  <w:vAlign w:val="center"/>
                </w:tcPr>
                <w:p w14:paraId="753F6E7A">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矿粉粉尘</w:t>
                  </w:r>
                </w:p>
              </w:tc>
              <w:tc>
                <w:tcPr>
                  <w:tcW w:w="1156" w:type="pct"/>
                  <w:shd w:val="clear" w:color="auto" w:fill="auto"/>
                  <w:vAlign w:val="center"/>
                </w:tcPr>
                <w:p w14:paraId="4046742D">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0.0006</w:t>
                  </w:r>
                </w:p>
              </w:tc>
            </w:tr>
            <w:tr w14:paraId="5E2138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vAlign w:val="center"/>
                </w:tcPr>
                <w:p w14:paraId="6AE16D1D">
                  <w:pPr>
                    <w:keepNext w:val="0"/>
                    <w:keepLines w:val="0"/>
                    <w:widowControl/>
                    <w:suppressLineNumbers w:val="0"/>
                    <w:jc w:val="center"/>
                    <w:textAlignment w:val="center"/>
                    <w:rPr>
                      <w:rFonts w:hint="default" w:ascii="Times New Roman" w:hAnsi="Times New Roman" w:cs="Times New Roman"/>
                      <w:bCs/>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90" w:type="pct"/>
                  <w:vAlign w:val="center"/>
                </w:tcPr>
                <w:p w14:paraId="78D8A500">
                  <w:pPr>
                    <w:keepNext w:val="0"/>
                    <w:keepLines w:val="0"/>
                    <w:widowControl/>
                    <w:suppressLineNumbers w:val="0"/>
                    <w:jc w:val="center"/>
                    <w:textAlignment w:val="center"/>
                    <w:rPr>
                      <w:rFonts w:hint="default" w:ascii="Times New Roman" w:hAnsi="Times New Roman" w:cs="Times New Roman"/>
                      <w:bCs/>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83" w:type="pct"/>
                  <w:shd w:val="clear" w:color="auto" w:fill="auto"/>
                  <w:vAlign w:val="center"/>
                </w:tcPr>
                <w:p w14:paraId="51C9BD4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冷料上料粉尘</w:t>
                  </w:r>
                </w:p>
              </w:tc>
              <w:tc>
                <w:tcPr>
                  <w:tcW w:w="1156" w:type="pct"/>
                  <w:shd w:val="clear" w:color="auto" w:fill="auto"/>
                  <w:vAlign w:val="center"/>
                </w:tcPr>
                <w:p w14:paraId="449CE85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0669</w:t>
                  </w:r>
                </w:p>
              </w:tc>
            </w:tr>
            <w:tr w14:paraId="7CB526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vAlign w:val="center"/>
                </w:tcPr>
                <w:p w14:paraId="6516333E">
                  <w:pPr>
                    <w:keepNext w:val="0"/>
                    <w:keepLines w:val="0"/>
                    <w:widowControl/>
                    <w:suppressLineNumbers w:val="0"/>
                    <w:jc w:val="center"/>
                    <w:textAlignment w:val="center"/>
                    <w:rPr>
                      <w:rFonts w:hint="default" w:ascii="Times New Roman" w:hAnsi="Times New Roman" w:cs="Times New Roman"/>
                      <w:bCs/>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总计</w:t>
                  </w:r>
                </w:p>
              </w:tc>
              <w:tc>
                <w:tcPr>
                  <w:tcW w:w="1290" w:type="pct"/>
                  <w:vAlign w:val="center"/>
                </w:tcPr>
                <w:p w14:paraId="45068B36">
                  <w:pPr>
                    <w:keepNext w:val="0"/>
                    <w:keepLines w:val="0"/>
                    <w:widowControl/>
                    <w:suppressLineNumbers w:val="0"/>
                    <w:jc w:val="center"/>
                    <w:textAlignment w:val="center"/>
                    <w:rPr>
                      <w:rFonts w:hint="default" w:ascii="Times New Roman" w:hAnsi="Times New Roman" w:cs="Times New Roman"/>
                      <w:bCs/>
                      <w:color w:val="auto"/>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100</w:t>
                  </w:r>
                  <w:r>
                    <w:rPr>
                      <w:rFonts w:hint="default" w:ascii="Times New Roman" w:hAnsi="Times New Roman" w:cs="Times New Roman"/>
                      <w:i w:val="0"/>
                      <w:iCs w:val="0"/>
                      <w:color w:val="auto"/>
                      <w:kern w:val="0"/>
                      <w:sz w:val="21"/>
                      <w:szCs w:val="21"/>
                      <w:highlight w:val="none"/>
                      <w:u w:val="none"/>
                      <w:lang w:val="en-US" w:eastAsia="zh-CN" w:bidi="ar"/>
                    </w:rPr>
                    <w:t>098.8934</w:t>
                  </w:r>
                </w:p>
              </w:tc>
              <w:tc>
                <w:tcPr>
                  <w:tcW w:w="1383" w:type="pct"/>
                  <w:vAlign w:val="center"/>
                </w:tcPr>
                <w:p w14:paraId="544AB625">
                  <w:pPr>
                    <w:keepNext w:val="0"/>
                    <w:keepLines w:val="0"/>
                    <w:widowControl/>
                    <w:suppressLineNumbers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总计</w:t>
                  </w:r>
                </w:p>
              </w:tc>
              <w:tc>
                <w:tcPr>
                  <w:tcW w:w="1156" w:type="pct"/>
                  <w:vAlign w:val="center"/>
                </w:tcPr>
                <w:p w14:paraId="213FAA52">
                  <w:pPr>
                    <w:keepNext w:val="0"/>
                    <w:keepLines w:val="0"/>
                    <w:widowControl/>
                    <w:suppressLineNumbers w:val="0"/>
                    <w:jc w:val="center"/>
                    <w:textAlignment w:val="center"/>
                    <w:rPr>
                      <w:rFonts w:hint="default" w:ascii="Times New Roman" w:hAnsi="Times New Roman" w:cs="Times New Roman"/>
                      <w:bCs/>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r>
                    <w:rPr>
                      <w:rFonts w:hint="default" w:ascii="Times New Roman" w:hAnsi="Times New Roman" w:cs="Times New Roman"/>
                      <w:i w:val="0"/>
                      <w:iCs w:val="0"/>
                      <w:color w:val="auto"/>
                      <w:kern w:val="0"/>
                      <w:sz w:val="21"/>
                      <w:szCs w:val="21"/>
                      <w:highlight w:val="none"/>
                      <w:u w:val="none"/>
                      <w:lang w:val="en-US" w:eastAsia="zh-CN" w:bidi="ar"/>
                    </w:rPr>
                    <w:t>098.8934</w:t>
                  </w:r>
                </w:p>
              </w:tc>
            </w:tr>
          </w:tbl>
          <w:p w14:paraId="385E9571">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表2-</w:t>
            </w:r>
            <w:r>
              <w:rPr>
                <w:rFonts w:hint="default" w:ascii="Times New Roman" w:hAnsi="Times New Roman" w:eastAsia="黑体" w:cs="Times New Roman"/>
                <w:bCs/>
                <w:color w:val="auto"/>
                <w:kern w:val="0"/>
                <w:sz w:val="24"/>
                <w:highlight w:val="none"/>
                <w:lang w:val="en-US" w:eastAsia="zh-CN"/>
              </w:rPr>
              <w:t>6</w:t>
            </w:r>
            <w:r>
              <w:rPr>
                <w:rFonts w:hint="default" w:ascii="Times New Roman" w:hAnsi="Times New Roman" w:eastAsia="黑体" w:cs="Times New Roman"/>
                <w:bCs/>
                <w:color w:val="auto"/>
                <w:kern w:val="0"/>
                <w:sz w:val="24"/>
                <w:highlight w:val="none"/>
              </w:rPr>
              <w:t xml:space="preserve"> </w:t>
            </w:r>
            <w:r>
              <w:rPr>
                <w:rFonts w:hint="default" w:ascii="Times New Roman" w:hAnsi="Times New Roman" w:eastAsia="黑体" w:cs="Times New Roman"/>
                <w:bCs/>
                <w:color w:val="auto"/>
                <w:kern w:val="0"/>
                <w:sz w:val="24"/>
                <w:highlight w:val="none"/>
                <w:lang w:val="en-US" w:eastAsia="zh-CN"/>
              </w:rPr>
              <w:t>乳化沥青</w:t>
            </w:r>
            <w:r>
              <w:rPr>
                <w:rFonts w:hint="default" w:ascii="Times New Roman" w:hAnsi="Times New Roman" w:eastAsia="黑体" w:cs="Times New Roman"/>
                <w:bCs/>
                <w:color w:val="auto"/>
                <w:kern w:val="0"/>
                <w:sz w:val="24"/>
                <w:highlight w:val="none"/>
              </w:rPr>
              <w:t>物料平衡表（t/a）</w:t>
            </w:r>
          </w:p>
          <w:tbl>
            <w:tblPr>
              <w:tblStyle w:val="3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848"/>
              <w:gridCol w:w="2042"/>
              <w:gridCol w:w="2189"/>
              <w:gridCol w:w="1830"/>
            </w:tblGrid>
            <w:tr w14:paraId="693B30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vAlign w:val="center"/>
                </w:tcPr>
                <w:p w14:paraId="2E9220C6">
                  <w:pPr>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原料</w:t>
                  </w:r>
                </w:p>
              </w:tc>
              <w:tc>
                <w:tcPr>
                  <w:tcW w:w="1290" w:type="pct"/>
                  <w:vAlign w:val="center"/>
                </w:tcPr>
                <w:p w14:paraId="57FDE4B4">
                  <w:pPr>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进料量</w:t>
                  </w:r>
                </w:p>
              </w:tc>
              <w:tc>
                <w:tcPr>
                  <w:tcW w:w="1383" w:type="pct"/>
                  <w:vAlign w:val="center"/>
                </w:tcPr>
                <w:p w14:paraId="7DF600F9">
                  <w:pPr>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产生物名称</w:t>
                  </w:r>
                </w:p>
              </w:tc>
              <w:tc>
                <w:tcPr>
                  <w:tcW w:w="1156" w:type="pct"/>
                  <w:vAlign w:val="center"/>
                </w:tcPr>
                <w:p w14:paraId="623F6F40">
                  <w:pPr>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产生量</w:t>
                  </w:r>
                </w:p>
              </w:tc>
            </w:tr>
            <w:tr w14:paraId="5FB95C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vAlign w:val="center"/>
                </w:tcPr>
                <w:p w14:paraId="72C5686F">
                  <w:pPr>
                    <w:keepNext w:val="0"/>
                    <w:keepLines w:val="0"/>
                    <w:widowControl/>
                    <w:suppressLineNumbers w:val="0"/>
                    <w:jc w:val="center"/>
                    <w:textAlignment w:val="center"/>
                    <w:rPr>
                      <w:rFonts w:hint="default" w:ascii="Times New Roman" w:hAnsi="Times New Roman" w:cs="Times New Roman"/>
                      <w:bCs/>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沥青</w:t>
                  </w:r>
                </w:p>
              </w:tc>
              <w:tc>
                <w:tcPr>
                  <w:tcW w:w="1290" w:type="pct"/>
                  <w:vAlign w:val="center"/>
                </w:tcPr>
                <w:p w14:paraId="05AF550D">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45.0226</w:t>
                  </w:r>
                </w:p>
              </w:tc>
              <w:tc>
                <w:tcPr>
                  <w:tcW w:w="1383" w:type="pct"/>
                  <w:shd w:val="clear" w:color="auto" w:fill="auto"/>
                  <w:vAlign w:val="center"/>
                </w:tcPr>
                <w:p w14:paraId="7E14D11C">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乳化沥青</w:t>
                  </w:r>
                </w:p>
              </w:tc>
              <w:tc>
                <w:tcPr>
                  <w:tcW w:w="1156" w:type="pct"/>
                  <w:shd w:val="clear" w:color="auto" w:fill="auto"/>
                  <w:vAlign w:val="center"/>
                </w:tcPr>
                <w:p w14:paraId="4809851C">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63705F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shd w:val="clear" w:color="auto" w:fill="auto"/>
                  <w:vAlign w:val="center"/>
                </w:tcPr>
                <w:p w14:paraId="0DE0DD4C">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水</w:t>
                  </w:r>
                </w:p>
              </w:tc>
              <w:tc>
                <w:tcPr>
                  <w:tcW w:w="1290" w:type="pct"/>
                  <w:shd w:val="clear" w:color="auto" w:fill="auto"/>
                  <w:vAlign w:val="center"/>
                </w:tcPr>
                <w:p w14:paraId="221E810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53</w:t>
                  </w:r>
                </w:p>
              </w:tc>
              <w:tc>
                <w:tcPr>
                  <w:tcW w:w="1383" w:type="pct"/>
                  <w:vAlign w:val="center"/>
                </w:tcPr>
                <w:p w14:paraId="03527CAF">
                  <w:pPr>
                    <w:keepNext w:val="0"/>
                    <w:keepLines w:val="0"/>
                    <w:widowControl/>
                    <w:suppressLineNumbers w:val="0"/>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废气</w:t>
                  </w:r>
                </w:p>
              </w:tc>
              <w:tc>
                <w:tcPr>
                  <w:tcW w:w="1156" w:type="pct"/>
                  <w:vAlign w:val="center"/>
                </w:tcPr>
                <w:p w14:paraId="61714F13">
                  <w:pPr>
                    <w:keepNext w:val="0"/>
                    <w:keepLines w:val="0"/>
                    <w:widowControl/>
                    <w:suppressLineNumbers w:val="0"/>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0.0226</w:t>
                  </w:r>
                </w:p>
              </w:tc>
            </w:tr>
            <w:tr w14:paraId="5C7969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shd w:val="clear" w:color="auto" w:fill="auto"/>
                  <w:vAlign w:val="center"/>
                </w:tcPr>
                <w:p w14:paraId="54C2A85F">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乳化剂</w:t>
                  </w:r>
                </w:p>
              </w:tc>
              <w:tc>
                <w:tcPr>
                  <w:tcW w:w="1290" w:type="pct"/>
                  <w:shd w:val="clear" w:color="auto" w:fill="auto"/>
                  <w:vAlign w:val="center"/>
                </w:tcPr>
                <w:p w14:paraId="5A45EFF0">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83" w:type="pct"/>
                  <w:vAlign w:val="center"/>
                </w:tcPr>
                <w:p w14:paraId="4B7FD0C8">
                  <w:pPr>
                    <w:keepNext w:val="0"/>
                    <w:keepLines w:val="0"/>
                    <w:widowControl/>
                    <w:suppressLineNumbers w:val="0"/>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w:t>
                  </w:r>
                </w:p>
              </w:tc>
              <w:tc>
                <w:tcPr>
                  <w:tcW w:w="1156" w:type="pct"/>
                  <w:vAlign w:val="center"/>
                </w:tcPr>
                <w:p w14:paraId="62A05214">
                  <w:pPr>
                    <w:keepNext w:val="0"/>
                    <w:keepLines w:val="0"/>
                    <w:widowControl/>
                    <w:suppressLineNumbers w:val="0"/>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w:t>
                  </w:r>
                </w:p>
              </w:tc>
            </w:tr>
            <w:tr w14:paraId="7112FC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8" w:type="pct"/>
                  <w:vAlign w:val="center"/>
                </w:tcPr>
                <w:p w14:paraId="1CC1E575">
                  <w:pPr>
                    <w:keepNext w:val="0"/>
                    <w:keepLines w:val="0"/>
                    <w:widowControl/>
                    <w:suppressLineNumbers w:val="0"/>
                    <w:jc w:val="center"/>
                    <w:textAlignment w:val="center"/>
                    <w:rPr>
                      <w:rFonts w:hint="default" w:ascii="Times New Roman" w:hAnsi="Times New Roman" w:cs="Times New Roman"/>
                      <w:bCs/>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总计</w:t>
                  </w:r>
                </w:p>
              </w:tc>
              <w:tc>
                <w:tcPr>
                  <w:tcW w:w="1290" w:type="pct"/>
                  <w:vAlign w:val="center"/>
                </w:tcPr>
                <w:p w14:paraId="38E7148D">
                  <w:pPr>
                    <w:keepNext w:val="0"/>
                    <w:keepLines w:val="0"/>
                    <w:widowControl/>
                    <w:suppressLineNumbers w:val="0"/>
                    <w:jc w:val="center"/>
                    <w:textAlignment w:val="center"/>
                    <w:rPr>
                      <w:rFonts w:hint="default" w:ascii="Times New Roman" w:hAnsi="Times New Roman" w:cs="Times New Roman"/>
                      <w:bCs/>
                      <w:color w:val="auto"/>
                      <w:szCs w:val="21"/>
                      <w:highlight w:val="none"/>
                      <w:lang w:val="en-US"/>
                    </w:rPr>
                  </w:pPr>
                  <w:r>
                    <w:rPr>
                      <w:rFonts w:hint="default" w:ascii="Times New Roman" w:hAnsi="Times New Roman" w:cs="Times New Roman"/>
                      <w:i w:val="0"/>
                      <w:iCs w:val="0"/>
                      <w:color w:val="auto"/>
                      <w:kern w:val="0"/>
                      <w:sz w:val="21"/>
                      <w:szCs w:val="21"/>
                      <w:highlight w:val="none"/>
                      <w:u w:val="none"/>
                      <w:lang w:val="en-US" w:eastAsia="zh-CN" w:bidi="ar"/>
                    </w:rPr>
                    <w:t>100.0226</w:t>
                  </w:r>
                </w:p>
              </w:tc>
              <w:tc>
                <w:tcPr>
                  <w:tcW w:w="1383" w:type="pct"/>
                  <w:vAlign w:val="center"/>
                </w:tcPr>
                <w:p w14:paraId="70614D19">
                  <w:pPr>
                    <w:keepNext w:val="0"/>
                    <w:keepLines w:val="0"/>
                    <w:widowControl/>
                    <w:suppressLineNumbers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总计</w:t>
                  </w:r>
                </w:p>
              </w:tc>
              <w:tc>
                <w:tcPr>
                  <w:tcW w:w="1156" w:type="pct"/>
                  <w:vAlign w:val="center"/>
                </w:tcPr>
                <w:p w14:paraId="2A43A553">
                  <w:pPr>
                    <w:keepNext w:val="0"/>
                    <w:keepLines w:val="0"/>
                    <w:widowControl/>
                    <w:suppressLineNumbers w:val="0"/>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100.0226</w:t>
                  </w:r>
                </w:p>
              </w:tc>
            </w:tr>
          </w:tbl>
          <w:p w14:paraId="1329F982">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5、公用工程</w:t>
            </w:r>
          </w:p>
          <w:p w14:paraId="12C5C4E0">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（1）给水</w:t>
            </w:r>
          </w:p>
          <w:p w14:paraId="6FDEA46D">
            <w:pPr>
              <w:pStyle w:val="68"/>
              <w:adjustRightInd w:val="0"/>
              <w:snapToGrid w:val="0"/>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本项目用水为生活用水和生产用水，其中生产用水为降尘用水、乳化沥青搅拌用水和冲洗用水。</w:t>
            </w:r>
          </w:p>
          <w:p w14:paraId="646F2EBC">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①生活用水</w:t>
            </w:r>
          </w:p>
          <w:p w14:paraId="13D2ED31">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本项目劳动定员</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人，年工作</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0天。根据黑龙江省地方标准《用水定额》（DB23/T727-2021），生活用水按80L/人·d计算，则本项目用水量为</w:t>
            </w:r>
            <w:r>
              <w:rPr>
                <w:rFonts w:hint="default"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rPr>
              <w:t>t/d，</w:t>
            </w:r>
            <w:r>
              <w:rPr>
                <w:rFonts w:hint="default" w:ascii="Times New Roman" w:hAnsi="Times New Roman" w:cs="Times New Roman"/>
                <w:color w:val="auto"/>
                <w:sz w:val="24"/>
                <w:highlight w:val="none"/>
                <w:lang w:val="en-US" w:eastAsia="zh-CN"/>
              </w:rPr>
              <w:t>180</w:t>
            </w:r>
            <w:r>
              <w:rPr>
                <w:rFonts w:hint="default" w:ascii="Times New Roman" w:hAnsi="Times New Roman" w:cs="Times New Roman"/>
                <w:color w:val="auto"/>
                <w:sz w:val="24"/>
                <w:highlight w:val="none"/>
              </w:rPr>
              <w:t>t/a。</w:t>
            </w:r>
          </w:p>
          <w:p w14:paraId="0D145058">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②降尘用水</w:t>
            </w:r>
          </w:p>
          <w:p w14:paraId="756FEEE3">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本项目降尘用水主要为堆场贮存、运料运输过程中的</w:t>
            </w:r>
            <w:r>
              <w:rPr>
                <w:rFonts w:hint="default" w:ascii="Times New Roman" w:hAnsi="Times New Roman" w:cs="Times New Roman"/>
                <w:color w:val="auto"/>
                <w:sz w:val="24"/>
                <w:highlight w:val="none"/>
                <w:lang w:eastAsia="zh-CN"/>
              </w:rPr>
              <w:t>喷淋降尘</w:t>
            </w:r>
            <w:r>
              <w:rPr>
                <w:rFonts w:hint="default" w:ascii="Times New Roman" w:hAnsi="Times New Roman" w:cs="Times New Roman"/>
                <w:color w:val="auto"/>
                <w:sz w:val="24"/>
                <w:highlight w:val="none"/>
              </w:rPr>
              <w:t>用水，降尘用水量约为4t/d，</w:t>
            </w:r>
            <w:r>
              <w:rPr>
                <w:rFonts w:hint="default" w:ascii="Times New Roman" w:hAnsi="Times New Roman" w:cs="Times New Roman"/>
                <w:color w:val="auto"/>
                <w:sz w:val="24"/>
                <w:highlight w:val="none"/>
                <w:lang w:val="en-US" w:eastAsia="zh-CN"/>
              </w:rPr>
              <w:t>60</w:t>
            </w:r>
            <w:r>
              <w:rPr>
                <w:rFonts w:hint="default" w:ascii="Times New Roman" w:hAnsi="Times New Roman" w:cs="Times New Roman"/>
                <w:color w:val="auto"/>
                <w:sz w:val="24"/>
                <w:highlight w:val="none"/>
              </w:rPr>
              <w:t>0t/a。</w:t>
            </w:r>
          </w:p>
          <w:p w14:paraId="77AE647F">
            <w:pPr>
              <w:pStyle w:val="68"/>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③乳化沥青搅拌用水</w:t>
            </w:r>
          </w:p>
          <w:p w14:paraId="3B585012">
            <w:pPr>
              <w:pStyle w:val="68"/>
              <w:adjustRightInd w:val="0"/>
              <w:snapToGrid w:val="0"/>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根据企业提供配比资料，</w:t>
            </w:r>
            <w:r>
              <w:rPr>
                <w:rFonts w:hint="default" w:ascii="Times New Roman" w:hAnsi="Times New Roman" w:cs="Times New Roman"/>
                <w:color w:val="auto"/>
                <w:sz w:val="24"/>
                <w:szCs w:val="24"/>
                <w:highlight w:val="none"/>
                <w:lang w:val="en-US" w:eastAsia="zh-CN"/>
              </w:rPr>
              <w:t>乳化沥青搅拌用水</w:t>
            </w:r>
            <w:r>
              <w:rPr>
                <w:rFonts w:hint="default" w:ascii="Times New Roman" w:hAnsi="Times New Roman" w:eastAsia="宋体" w:cs="Times New Roman"/>
                <w:color w:val="auto"/>
                <w:sz w:val="24"/>
                <w:szCs w:val="24"/>
                <w:highlight w:val="none"/>
                <w:lang w:val="en-US" w:eastAsia="zh-CN"/>
              </w:rPr>
              <w:t>量为5</w:t>
            </w:r>
            <w:r>
              <w:rPr>
                <w:rFonts w:hint="default"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/a，全部进入产品。</w:t>
            </w:r>
          </w:p>
          <w:p w14:paraId="0A1B74CD">
            <w:pPr>
              <w:pStyle w:val="68"/>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④</w:t>
            </w:r>
            <w:r>
              <w:rPr>
                <w:rFonts w:hint="default" w:ascii="Times New Roman" w:hAnsi="Times New Roman" w:cs="Times New Roman"/>
                <w:color w:val="auto"/>
                <w:sz w:val="24"/>
                <w:highlight w:val="none"/>
                <w:lang w:val="en-US" w:eastAsia="zh-CN"/>
              </w:rPr>
              <w:t>冲洗用水</w:t>
            </w:r>
          </w:p>
          <w:p w14:paraId="33955568">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本项目每天进行车辆清洗、地面冲洗，冲洗</w:t>
            </w:r>
            <w:r>
              <w:rPr>
                <w:rFonts w:hint="default" w:ascii="Times New Roman" w:hAnsi="Times New Roman" w:cs="Times New Roman"/>
                <w:color w:val="auto"/>
                <w:sz w:val="24"/>
                <w:szCs w:val="24"/>
                <w:highlight w:val="none"/>
                <w:lang w:val="en-US" w:eastAsia="zh-CN"/>
              </w:rPr>
              <w:t>废水经沉淀隔油处理后</w:t>
            </w:r>
            <w:r>
              <w:rPr>
                <w:rFonts w:hint="default" w:ascii="Times New Roman" w:hAnsi="Times New Roman" w:eastAsia="宋体" w:cs="Times New Roman"/>
                <w:color w:val="auto"/>
                <w:sz w:val="24"/>
                <w:szCs w:val="24"/>
                <w:highlight w:val="none"/>
                <w:lang w:val="en-US" w:eastAsia="zh-CN"/>
              </w:rPr>
              <w:t>循环使用，</w:t>
            </w:r>
            <w:r>
              <w:rPr>
                <w:rFonts w:hint="default" w:ascii="Times New Roman" w:hAnsi="Times New Roman" w:cs="Times New Roman"/>
                <w:color w:val="auto"/>
                <w:sz w:val="24"/>
                <w:szCs w:val="24"/>
                <w:highlight w:val="none"/>
                <w:lang w:val="en-US" w:eastAsia="zh-CN"/>
              </w:rPr>
              <w:t>不外排</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eastAsia="zh-CN"/>
              </w:rPr>
              <w:t>根据企业通过资料，新增的补水量为</w:t>
            </w:r>
            <w:r>
              <w:rPr>
                <w:rFonts w:hint="default" w:ascii="Times New Roman" w:hAnsi="Times New Roman" w:cs="Times New Roman"/>
                <w:color w:val="auto"/>
                <w:sz w:val="24"/>
                <w:szCs w:val="24"/>
                <w:highlight w:val="none"/>
                <w:lang w:val="en-US" w:eastAsia="zh-CN"/>
              </w:rPr>
              <w:t>1.5m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/d，</w:t>
            </w:r>
            <w:r>
              <w:rPr>
                <w:rFonts w:hint="default" w:ascii="Times New Roman" w:hAnsi="Times New Roman" w:eastAsia="宋体" w:cs="Times New Roman"/>
                <w:color w:val="auto"/>
                <w:sz w:val="24"/>
                <w:szCs w:val="24"/>
                <w:highlight w:val="none"/>
                <w:lang w:val="en-US" w:eastAsia="zh-CN"/>
              </w:rPr>
              <w:t>年生产天数为</w:t>
            </w:r>
            <w:r>
              <w:rPr>
                <w:rFonts w:hint="default" w:ascii="Times New Roman" w:hAnsi="Times New Roman" w:cs="Times New Roman"/>
                <w:color w:val="auto"/>
                <w:sz w:val="24"/>
                <w:szCs w:val="24"/>
                <w:highlight w:val="none"/>
                <w:lang w:val="en-US" w:eastAsia="zh-CN"/>
              </w:rPr>
              <w:t>15</w:t>
            </w:r>
            <w:r>
              <w:rPr>
                <w:rFonts w:hint="default" w:ascii="Times New Roman" w:hAnsi="Times New Roman" w:eastAsia="宋体" w:cs="Times New Roman"/>
                <w:color w:val="auto"/>
                <w:sz w:val="24"/>
                <w:szCs w:val="24"/>
                <w:highlight w:val="none"/>
                <w:lang w:val="en-US" w:eastAsia="zh-CN"/>
              </w:rPr>
              <w:t>0天，补充水量为</w:t>
            </w:r>
            <w:r>
              <w:rPr>
                <w:rFonts w:hint="default" w:ascii="Times New Roman" w:hAnsi="Times New Roman" w:cs="Times New Roman"/>
                <w:color w:val="auto"/>
                <w:sz w:val="24"/>
                <w:szCs w:val="24"/>
                <w:highlight w:val="none"/>
                <w:lang w:val="en-US" w:eastAsia="zh-CN"/>
              </w:rPr>
              <w:t>225</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cs="Times New Roman"/>
                <w:color w:val="auto"/>
                <w:sz w:val="24"/>
                <w:szCs w:val="24"/>
                <w:highlight w:val="none"/>
                <w:lang w:val="en-US" w:eastAsia="zh-CN"/>
              </w:rPr>
              <w:t>。</w:t>
            </w:r>
          </w:p>
          <w:p w14:paraId="0344C312">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（2）排水</w:t>
            </w:r>
          </w:p>
          <w:p w14:paraId="5015CAB6">
            <w:pPr>
              <w:pStyle w:val="68"/>
              <w:spacing w:line="500" w:lineRule="exact"/>
              <w:ind w:left="479" w:leftChars="228" w:firstLine="0" w:firstLineChars="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①生活污水</w:t>
            </w:r>
          </w:p>
          <w:p w14:paraId="63468D71">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生活污水按用水量的80%计算，污水总量为</w:t>
            </w:r>
            <w:r>
              <w:rPr>
                <w:rFonts w:hint="default" w:ascii="Times New Roman" w:hAnsi="Times New Roman" w:cs="Times New Roman"/>
                <w:color w:val="auto"/>
                <w:sz w:val="24"/>
                <w:highlight w:val="none"/>
                <w:lang w:val="en-US" w:eastAsia="zh-CN"/>
              </w:rPr>
              <w:t>0.96</w:t>
            </w:r>
            <w:r>
              <w:rPr>
                <w:rFonts w:hint="default" w:ascii="Times New Roman" w:hAnsi="Times New Roman" w:cs="Times New Roman"/>
                <w:color w:val="auto"/>
                <w:sz w:val="24"/>
                <w:highlight w:val="none"/>
              </w:rPr>
              <w:t>t/d，</w:t>
            </w:r>
            <w:r>
              <w:rPr>
                <w:rFonts w:hint="default" w:ascii="Times New Roman" w:hAnsi="Times New Roman" w:cs="Times New Roman"/>
                <w:color w:val="auto"/>
                <w:sz w:val="24"/>
                <w:highlight w:val="none"/>
                <w:lang w:val="en-US" w:eastAsia="zh-CN"/>
              </w:rPr>
              <w:t>144</w:t>
            </w:r>
            <w:r>
              <w:rPr>
                <w:rFonts w:hint="default" w:ascii="Times New Roman" w:hAnsi="Times New Roman" w:cs="Times New Roman"/>
                <w:color w:val="auto"/>
                <w:sz w:val="24"/>
                <w:highlight w:val="none"/>
              </w:rPr>
              <w:t>t/a。生活污水主要污染物为COD、BOD</w:t>
            </w:r>
            <w:r>
              <w:rPr>
                <w:rFonts w:hint="default" w:ascii="Times New Roman" w:hAnsi="Times New Roman" w:cs="Times New Roman"/>
                <w:color w:val="auto"/>
                <w:sz w:val="24"/>
                <w:highlight w:val="none"/>
                <w:vertAlign w:val="subscript"/>
              </w:rPr>
              <w:t>5</w:t>
            </w:r>
            <w:r>
              <w:rPr>
                <w:rFonts w:hint="default" w:ascii="Times New Roman" w:hAnsi="Times New Roman" w:cs="Times New Roman"/>
                <w:color w:val="auto"/>
                <w:sz w:val="24"/>
                <w:highlight w:val="none"/>
              </w:rPr>
              <w:t>、SS和氨氮。</w:t>
            </w:r>
          </w:p>
          <w:p w14:paraId="6F8C589D">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②初期雨水</w:t>
            </w:r>
          </w:p>
          <w:p w14:paraId="1E88D593">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本项目初期雨水汇水面积</w:t>
            </w:r>
            <w:r>
              <w:rPr>
                <w:rFonts w:hint="default" w:ascii="Times New Roman" w:hAnsi="Times New Roman" w:cs="Times New Roman"/>
                <w:color w:val="auto"/>
                <w:highlight w:val="none"/>
                <w:lang w:val="en-US" w:eastAsia="zh-CN"/>
              </w:rPr>
              <w:t>约1.09ha</w:t>
            </w:r>
            <w:r>
              <w:rPr>
                <w:rFonts w:hint="default" w:ascii="Times New Roman" w:hAnsi="Times New Roman" w:cs="Times New Roman"/>
                <w:color w:val="auto"/>
                <w:highlight w:val="none"/>
              </w:rPr>
              <w:t>计，参考《</w:t>
            </w:r>
            <w:r>
              <w:rPr>
                <w:rFonts w:hint="default" w:ascii="Times New Roman" w:hAnsi="Times New Roman" w:cs="Times New Roman"/>
                <w:color w:val="auto"/>
                <w:highlight w:val="none"/>
                <w:lang w:eastAsia="zh-CN"/>
              </w:rPr>
              <w:t>室外排水设计标准</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GB 50014-2021</w:t>
            </w:r>
            <w:r>
              <w:rPr>
                <w:rFonts w:hint="default" w:ascii="Times New Roman" w:hAnsi="Times New Roman" w:cs="Times New Roman"/>
                <w:color w:val="auto"/>
                <w:highlight w:val="none"/>
              </w:rPr>
              <w:t>），本项目降雨历时可取15min，重现期取2年。</w:t>
            </w:r>
          </w:p>
          <w:p w14:paraId="45DD0E27">
            <w:pPr>
              <w:pStyle w:val="1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初期雨水的估算方法，以暴雨量的前15min雨量作为初期雨水量。本评价采用暴雨强度及雨水流量计算公式进行估算，计算公式如下：</w:t>
            </w:r>
          </w:p>
          <w:p w14:paraId="0EFA17DC">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 w:val="0"/>
                <w:bCs w:val="0"/>
                <w:i/>
                <w:iCs/>
                <w:color w:val="auto"/>
                <w:sz w:val="24"/>
                <w:highlight w:val="none"/>
                <w:lang w:val="en-US" w:eastAsia="zh-CN"/>
              </w:rPr>
            </w:pPr>
            <w:r>
              <w:rPr>
                <w:rFonts w:hint="default" w:ascii="Times New Roman" w:hAnsi="Times New Roman" w:cs="Times New Roman"/>
                <w:color w:val="auto"/>
                <w:sz w:val="24"/>
                <w:highlight w:val="none"/>
              </w:rPr>
              <w:t>V=q×ψ×F×t×60/1000</w:t>
            </w:r>
            <w:r>
              <w:rPr>
                <w:rFonts w:hint="default" w:ascii="Times New Roman" w:hAnsi="Times New Roman" w:eastAsia="宋体" w:cs="Times New Roman"/>
                <w:b w:val="0"/>
                <w:bCs w:val="0"/>
                <w:i/>
                <w:iCs/>
                <w:color w:val="auto"/>
                <w:sz w:val="24"/>
                <w:highlight w:val="none"/>
                <w:lang w:val="en-US" w:eastAsia="zh-CN"/>
              </w:rPr>
              <w:t xml:space="preserve"> </w:t>
            </w:r>
          </w:p>
          <w:p w14:paraId="6D09A053">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其中：</w:t>
            </w:r>
            <w:r>
              <w:rPr>
                <w:rFonts w:hint="default" w:ascii="Times New Roman" w:hAnsi="Times New Roman" w:eastAsia="宋体" w:cs="Times New Roman"/>
                <w:b w:val="0"/>
                <w:bCs w:val="0"/>
                <w:i/>
                <w:iCs/>
                <w:color w:val="auto"/>
                <w:sz w:val="24"/>
                <w:highlight w:val="none"/>
                <w:lang w:val="en-US" w:eastAsia="zh-CN"/>
              </w:rPr>
              <w:t>V</w:t>
            </w:r>
            <w:r>
              <w:rPr>
                <w:rFonts w:hint="default" w:ascii="Times New Roman" w:hAnsi="Times New Roman" w:eastAsia="宋体" w:cs="Times New Roman"/>
                <w:b w:val="0"/>
                <w:bCs w:val="0"/>
                <w:color w:val="auto"/>
                <w:sz w:val="24"/>
                <w:highlight w:val="none"/>
                <w:lang w:val="en-US" w:eastAsia="zh-CN"/>
              </w:rPr>
              <w:t xml:space="preserve">—径流雨水量； </w:t>
            </w:r>
          </w:p>
          <w:p w14:paraId="30378103">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i/>
                <w:iCs/>
                <w:color w:val="auto"/>
                <w:sz w:val="24"/>
                <w:highlight w:val="none"/>
                <w:lang w:val="en-US" w:eastAsia="zh-CN"/>
              </w:rPr>
              <w:t>φ</w:t>
            </w:r>
            <w:r>
              <w:rPr>
                <w:rFonts w:hint="default" w:ascii="Times New Roman" w:hAnsi="Times New Roman" w:eastAsia="宋体" w:cs="Times New Roman"/>
                <w:b w:val="0"/>
                <w:bCs w:val="0"/>
                <w:color w:val="auto"/>
                <w:sz w:val="24"/>
                <w:highlight w:val="none"/>
                <w:lang w:val="en-US" w:eastAsia="zh-CN"/>
              </w:rPr>
              <w:t>—径流系数，取0.4～0.9，取0.9；</w:t>
            </w:r>
          </w:p>
          <w:p w14:paraId="08D45625">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i/>
                <w:iCs/>
                <w:color w:val="auto"/>
                <w:sz w:val="24"/>
                <w:highlight w:val="none"/>
                <w:lang w:val="en-US" w:eastAsia="zh-CN"/>
              </w:rPr>
              <w:t>F</w:t>
            </w:r>
            <w:r>
              <w:rPr>
                <w:rFonts w:hint="default" w:ascii="Times New Roman" w:hAnsi="Times New Roman" w:eastAsia="宋体" w:cs="Times New Roman"/>
                <w:b w:val="0"/>
                <w:bCs w:val="0"/>
                <w:color w:val="auto"/>
                <w:sz w:val="24"/>
                <w:highlight w:val="none"/>
                <w:lang w:val="en-US" w:eastAsia="zh-CN"/>
              </w:rPr>
              <w:t>—汇水面积，ha，取值</w:t>
            </w:r>
            <w:r>
              <w:rPr>
                <w:rFonts w:hint="default" w:ascii="Times New Roman" w:hAnsi="Times New Roman" w:cs="Times New Roman"/>
                <w:b w:val="0"/>
                <w:bCs w:val="0"/>
                <w:color w:val="auto"/>
                <w:sz w:val="24"/>
                <w:highlight w:val="none"/>
                <w:lang w:val="en-US" w:eastAsia="zh-CN"/>
              </w:rPr>
              <w:t>1.09</w:t>
            </w:r>
            <w:r>
              <w:rPr>
                <w:rFonts w:hint="default" w:ascii="Times New Roman" w:hAnsi="Times New Roman" w:eastAsia="宋体" w:cs="Times New Roman"/>
                <w:b w:val="0"/>
                <w:bCs w:val="0"/>
                <w:color w:val="auto"/>
                <w:sz w:val="24"/>
                <w:highlight w:val="none"/>
                <w:lang w:val="en-US" w:eastAsia="zh-CN"/>
              </w:rPr>
              <w:t>；</w:t>
            </w:r>
          </w:p>
          <w:p w14:paraId="279E3A79">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i/>
                <w:iCs/>
                <w:color w:val="auto"/>
                <w:sz w:val="24"/>
                <w:highlight w:val="none"/>
                <w:lang w:val="en-US" w:eastAsia="zh-CN"/>
              </w:rPr>
              <w:t>T</w:t>
            </w:r>
            <w:r>
              <w:rPr>
                <w:rFonts w:hint="default" w:ascii="Times New Roman" w:hAnsi="Times New Roman" w:eastAsia="宋体" w:cs="Times New Roman"/>
                <w:b w:val="0"/>
                <w:bCs w:val="0"/>
                <w:color w:val="auto"/>
                <w:sz w:val="24"/>
                <w:highlight w:val="none"/>
                <w:lang w:val="en-US" w:eastAsia="zh-CN"/>
              </w:rPr>
              <w:t xml:space="preserve">—收水时间，取15min；  </w:t>
            </w:r>
          </w:p>
          <w:p w14:paraId="338256EA">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i/>
                <w:iCs/>
                <w:color w:val="auto"/>
                <w:sz w:val="24"/>
                <w:highlight w:val="none"/>
                <w:lang w:val="en-US" w:eastAsia="zh-CN"/>
              </w:rPr>
              <w:t>q</w:t>
            </w:r>
            <w:r>
              <w:rPr>
                <w:rFonts w:hint="default" w:ascii="Times New Roman" w:hAnsi="Times New Roman" w:eastAsia="宋体" w:cs="Times New Roman"/>
                <w:b w:val="0"/>
                <w:bCs w:val="0"/>
                <w:color w:val="auto"/>
                <w:sz w:val="24"/>
                <w:highlight w:val="none"/>
                <w:lang w:val="en-US" w:eastAsia="zh-CN"/>
              </w:rPr>
              <w:t>—暴雨强度，单位为 L/（S*ha）；</w:t>
            </w:r>
          </w:p>
          <w:p w14:paraId="7495DD6E">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黑龙江鸡西地区暴雨强度计算公式：</w:t>
            </w:r>
          </w:p>
          <w:p w14:paraId="4E53A719">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 w:val="0"/>
                <w:bCs w:val="0"/>
                <w:i/>
                <w:iCs/>
                <w:color w:val="auto"/>
                <w:sz w:val="24"/>
                <w:highlight w:val="none"/>
                <w:lang w:val="en-US" w:eastAsia="zh-CN"/>
              </w:rPr>
            </w:pPr>
            <w:r>
              <w:rPr>
                <w:rFonts w:hint="default" w:ascii="Times New Roman" w:hAnsi="Times New Roman" w:eastAsia="宋体" w:cs="Times New Roman"/>
                <w:b w:val="0"/>
                <w:bCs w:val="0"/>
                <w:i/>
                <w:iCs/>
                <w:color w:val="auto"/>
                <w:sz w:val="24"/>
                <w:highlight w:val="none"/>
                <w:lang w:val="en-US" w:eastAsia="zh-CN"/>
              </w:rPr>
              <w:t>q＝2054（1＋0.76lgP）/(t+7)</w:t>
            </w:r>
            <w:r>
              <w:rPr>
                <w:rFonts w:hint="default" w:ascii="Times New Roman" w:hAnsi="Times New Roman" w:eastAsia="宋体" w:cs="Times New Roman"/>
                <w:b w:val="0"/>
                <w:bCs w:val="0"/>
                <w:i/>
                <w:iCs/>
                <w:color w:val="auto"/>
                <w:sz w:val="24"/>
                <w:highlight w:val="none"/>
                <w:vertAlign w:val="superscript"/>
                <w:lang w:val="en-US" w:eastAsia="zh-CN"/>
              </w:rPr>
              <w:t>0.87</w:t>
            </w:r>
          </w:p>
          <w:p w14:paraId="54F5ADAF">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式中：</w:t>
            </w:r>
            <w:r>
              <w:rPr>
                <w:rFonts w:hint="default" w:ascii="Times New Roman" w:hAnsi="Times New Roman" w:eastAsia="宋体" w:cs="Times New Roman"/>
                <w:b w:val="0"/>
                <w:bCs w:val="0"/>
                <w:i/>
                <w:iCs/>
                <w:color w:val="auto"/>
                <w:sz w:val="24"/>
                <w:highlight w:val="none"/>
                <w:lang w:val="en-US" w:eastAsia="zh-CN"/>
              </w:rPr>
              <w:t>P</w:t>
            </w:r>
            <w:r>
              <w:rPr>
                <w:rFonts w:hint="default" w:ascii="Times New Roman" w:hAnsi="Times New Roman" w:eastAsia="宋体" w:cs="Times New Roman"/>
                <w:b w:val="0"/>
                <w:bCs w:val="0"/>
                <w:color w:val="auto"/>
                <w:sz w:val="24"/>
                <w:highlight w:val="none"/>
                <w:lang w:val="en-US" w:eastAsia="zh-CN"/>
              </w:rPr>
              <w:t xml:space="preserve">—重现期，取值为2年； </w:t>
            </w:r>
          </w:p>
          <w:p w14:paraId="6D0A7E64">
            <w:pPr>
              <w:pStyle w:val="127"/>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b w:val="0"/>
                <w:bCs w:val="0"/>
                <w:i/>
                <w:iCs/>
                <w:color w:val="auto"/>
                <w:sz w:val="24"/>
                <w:highlight w:val="none"/>
                <w:lang w:val="en-US" w:eastAsia="zh-CN"/>
              </w:rPr>
              <w:t>t</w:t>
            </w:r>
            <w:r>
              <w:rPr>
                <w:rFonts w:hint="default" w:ascii="Times New Roman" w:hAnsi="Times New Roman" w:eastAsia="宋体" w:cs="Times New Roman"/>
                <w:b w:val="0"/>
                <w:bCs w:val="0"/>
                <w:color w:val="auto"/>
                <w:sz w:val="24"/>
                <w:highlight w:val="none"/>
                <w:lang w:val="en-US" w:eastAsia="zh-CN"/>
              </w:rPr>
              <w:t>—设计降雨历时，单位为min，取值15</w:t>
            </w:r>
            <w:r>
              <w:rPr>
                <w:rFonts w:hint="default" w:ascii="Times New Roman" w:hAnsi="Times New Roman" w:eastAsia="宋体" w:cs="Times New Roman"/>
                <w:color w:val="auto"/>
                <w:highlight w:val="none"/>
              </w:rPr>
              <w:t>。</w:t>
            </w:r>
          </w:p>
          <w:p w14:paraId="28D32C6A">
            <w:pPr>
              <w:pStyle w:val="127"/>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val="0"/>
                <w:bCs w:val="0"/>
                <w:color w:val="auto"/>
                <w:sz w:val="24"/>
                <w:highlight w:val="none"/>
                <w:lang w:val="en-US" w:eastAsia="zh-CN"/>
              </w:rPr>
              <w:t>经计算，暴雨强度为171.46 L/（S·ha），项目初期雨水量合计151 立方米/次</w:t>
            </w:r>
            <w:r>
              <w:rPr>
                <w:rFonts w:hint="default" w:ascii="Times New Roman" w:hAnsi="Times New Roman" w:eastAsia="宋体" w:cs="Times New Roman"/>
                <w:color w:val="auto"/>
                <w:highlight w:val="none"/>
              </w:rPr>
              <w:t>。初期雨水经四周排水沟收集汇入厂区一座</w:t>
            </w:r>
            <w:r>
              <w:rPr>
                <w:rFonts w:hint="default" w:ascii="Times New Roman" w:hAnsi="Times New Roman" w:eastAsia="宋体" w:cs="Times New Roman"/>
                <w:color w:val="auto"/>
                <w:highlight w:val="none"/>
                <w:lang w:eastAsia="zh-CN"/>
              </w:rPr>
              <w:t>1</w:t>
            </w:r>
            <w:r>
              <w:rPr>
                <w:rFonts w:hint="default" w:ascii="Times New Roman" w:hAnsi="Times New Roman" w:eastAsia="宋体" w:cs="Times New Roman"/>
                <w:color w:val="auto"/>
                <w:highlight w:val="none"/>
                <w:lang w:val="en-US" w:eastAsia="zh-CN"/>
              </w:rPr>
              <w:t>60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初期雨水收集池，收集后回用于厂区喷淋降尘，不外排。</w:t>
            </w:r>
          </w:p>
          <w:p w14:paraId="7F177875">
            <w:pPr>
              <w:pStyle w:val="127"/>
              <w:spacing w:line="240" w:lineRule="auto"/>
              <w:ind w:left="0" w:lef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cs="Times New Roman"/>
                <w:color w:val="auto"/>
                <w:highlight w:val="none"/>
              </w:rPr>
              <w:drawing>
                <wp:inline distT="0" distB="0" distL="114300" distR="114300">
                  <wp:extent cx="4476750" cy="3657600"/>
                  <wp:effectExtent l="0" t="0" r="0" b="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17"/>
                          <a:stretch>
                            <a:fillRect/>
                          </a:stretch>
                        </pic:blipFill>
                        <pic:spPr>
                          <a:xfrm>
                            <a:off x="0" y="0"/>
                            <a:ext cx="4476750" cy="3657600"/>
                          </a:xfrm>
                          <a:prstGeom prst="rect">
                            <a:avLst/>
                          </a:prstGeom>
                          <a:noFill/>
                          <a:ln>
                            <a:noFill/>
                          </a:ln>
                        </pic:spPr>
                      </pic:pic>
                    </a:graphicData>
                  </a:graphic>
                </wp:inline>
              </w:drawing>
            </w:r>
          </w:p>
          <w:p w14:paraId="7E7071CC">
            <w:pPr>
              <w:pStyle w:val="127"/>
              <w:spacing w:line="240" w:lineRule="auto"/>
              <w:ind w:firstLine="482"/>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图2-1 本项目水平衡图（t/</w:t>
            </w:r>
            <w:r>
              <w:rPr>
                <w:rFonts w:hint="default" w:ascii="Times New Roman" w:hAnsi="Times New Roman" w:eastAsia="宋体" w:cs="Times New Roman"/>
                <w:b/>
                <w:bCs/>
                <w:color w:val="auto"/>
                <w:highlight w:val="none"/>
                <w:lang w:val="en-US" w:eastAsia="zh-CN"/>
              </w:rPr>
              <w:t>a</w:t>
            </w:r>
            <w:r>
              <w:rPr>
                <w:rFonts w:hint="default" w:ascii="Times New Roman" w:hAnsi="Times New Roman" w:eastAsia="宋体" w:cs="Times New Roman"/>
                <w:b/>
                <w:bCs/>
                <w:color w:val="auto"/>
                <w:highlight w:val="none"/>
              </w:rPr>
              <w:t>）</w:t>
            </w:r>
          </w:p>
          <w:p w14:paraId="5D79F71A">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（3）供电：由当地电网提供。</w:t>
            </w:r>
          </w:p>
          <w:p w14:paraId="1B24A18A">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（4）供热：项目冬季不生产，办公室无需取暖。用热主要为生产用热，分别为沥青储罐加热保温及骨料烘干，沥青罐加热使用1台</w:t>
            </w:r>
            <w:r>
              <w:rPr>
                <w:rFonts w:hint="default"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rPr>
              <w:t>0万Kcal导热油炉将沥青加热至150～180℃，燃料为轻质柴油；骨料烘干使用1台21</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MW燃烧器对骨料进行烘干，燃料为轻质柴油。</w:t>
            </w:r>
          </w:p>
          <w:p w14:paraId="322906DB">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5、环保投资</w:t>
            </w:r>
          </w:p>
          <w:p w14:paraId="06D22EC4">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项目环保投资具体情况参见下表。</w:t>
            </w:r>
          </w:p>
          <w:p w14:paraId="7DA56472">
            <w:pPr>
              <w:pStyle w:val="61"/>
              <w:adjustRightInd/>
              <w:snapToGrid/>
              <w:spacing w:line="400" w:lineRule="exact"/>
              <w:ind w:firstLine="48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表2-7 环保投资一览表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5"/>
              <w:gridCol w:w="1234"/>
              <w:gridCol w:w="1949"/>
              <w:gridCol w:w="2921"/>
              <w:gridCol w:w="1370"/>
            </w:tblGrid>
            <w:tr w14:paraId="092A67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87" w:type="pct"/>
                  <w:gridSpan w:val="3"/>
                  <w:vAlign w:val="center"/>
                </w:tcPr>
                <w:p w14:paraId="5D5E7E0B">
                  <w:pPr>
                    <w:pStyle w:val="65"/>
                    <w:rPr>
                      <w:rFonts w:hint="default" w:ascii="Times New Roman" w:hAnsi="Times New Roman" w:cs="Times New Roman"/>
                      <w:color w:val="auto"/>
                      <w:sz w:val="21"/>
                      <w:szCs w:val="21"/>
                      <w:highlight w:val="none"/>
                    </w:rPr>
                  </w:pPr>
                  <w:bookmarkStart w:id="50" w:name="_Hlk494356174"/>
                  <w:r>
                    <w:rPr>
                      <w:rFonts w:hint="default" w:ascii="Times New Roman" w:hAnsi="Times New Roman" w:cs="Times New Roman"/>
                      <w:color w:val="auto"/>
                      <w:sz w:val="21"/>
                      <w:szCs w:val="21"/>
                      <w:highlight w:val="none"/>
                    </w:rPr>
                    <w:t>投资项目</w:t>
                  </w:r>
                </w:p>
              </w:tc>
              <w:tc>
                <w:tcPr>
                  <w:tcW w:w="1846" w:type="pct"/>
                  <w:vAlign w:val="center"/>
                </w:tcPr>
                <w:p w14:paraId="2B48F3BA">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具体措施</w:t>
                  </w:r>
                </w:p>
              </w:tc>
              <w:tc>
                <w:tcPr>
                  <w:tcW w:w="866" w:type="pct"/>
                  <w:vAlign w:val="center"/>
                </w:tcPr>
                <w:p w14:paraId="75E48AB6">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投资</w:t>
                  </w:r>
                </w:p>
                <w:p w14:paraId="7547FCF4">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（万元）</w:t>
                  </w:r>
                </w:p>
              </w:tc>
            </w:tr>
            <w:tr w14:paraId="0BA2E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restart"/>
                  <w:vAlign w:val="center"/>
                </w:tcPr>
                <w:p w14:paraId="241C51BB">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w:t>
                  </w:r>
                </w:p>
              </w:tc>
              <w:tc>
                <w:tcPr>
                  <w:tcW w:w="780" w:type="pct"/>
                  <w:vAlign w:val="center"/>
                </w:tcPr>
                <w:p w14:paraId="5FE20B10">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废气处理</w:t>
                  </w:r>
                </w:p>
              </w:tc>
              <w:tc>
                <w:tcPr>
                  <w:tcW w:w="1232" w:type="pct"/>
                  <w:vAlign w:val="center"/>
                </w:tcPr>
                <w:p w14:paraId="0F9A6154">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土地清理、挖掘等产生扬尘</w:t>
                  </w:r>
                </w:p>
              </w:tc>
              <w:tc>
                <w:tcPr>
                  <w:tcW w:w="1846" w:type="pct"/>
                  <w:vAlign w:val="center"/>
                </w:tcPr>
                <w:p w14:paraId="2B761BA0">
                  <w:pPr>
                    <w:pStyle w:val="65"/>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施工区域周围设置围挡</w:t>
                  </w:r>
                </w:p>
              </w:tc>
              <w:tc>
                <w:tcPr>
                  <w:tcW w:w="866" w:type="pct"/>
                  <w:vAlign w:val="center"/>
                </w:tcPr>
                <w:p w14:paraId="193E9D0F">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r>
            <w:tr w14:paraId="69A05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1936BE8D">
                  <w:pPr>
                    <w:pStyle w:val="65"/>
                    <w:rPr>
                      <w:rFonts w:hint="default" w:ascii="Times New Roman" w:hAnsi="Times New Roman" w:cs="Times New Roman"/>
                      <w:color w:val="auto"/>
                      <w:sz w:val="21"/>
                      <w:szCs w:val="21"/>
                      <w:highlight w:val="none"/>
                    </w:rPr>
                  </w:pPr>
                </w:p>
              </w:tc>
              <w:tc>
                <w:tcPr>
                  <w:tcW w:w="780" w:type="pct"/>
                  <w:vAlign w:val="center"/>
                </w:tcPr>
                <w:p w14:paraId="05B80BD8">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废水处理</w:t>
                  </w:r>
                </w:p>
              </w:tc>
              <w:tc>
                <w:tcPr>
                  <w:tcW w:w="1232" w:type="pct"/>
                  <w:vAlign w:val="center"/>
                </w:tcPr>
                <w:p w14:paraId="4BD6C4E8">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施工废水、施工人员生活污水</w:t>
                  </w:r>
                </w:p>
              </w:tc>
              <w:tc>
                <w:tcPr>
                  <w:tcW w:w="1846" w:type="pct"/>
                  <w:vAlign w:val="center"/>
                </w:tcPr>
                <w:p w14:paraId="29623A2C">
                  <w:pPr>
                    <w:pStyle w:val="65"/>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设置沉淀池，施工废水沉淀后回用，不外排。生活污水</w:t>
                  </w:r>
                  <w:r>
                    <w:rPr>
                      <w:rFonts w:hint="default" w:ascii="Times New Roman" w:hAnsi="Times New Roman" w:cs="Times New Roman"/>
                      <w:color w:val="auto"/>
                      <w:sz w:val="21"/>
                      <w:szCs w:val="21"/>
                      <w:highlight w:val="none"/>
                      <w:lang w:val="en-US" w:eastAsia="zh-CN"/>
                    </w:rPr>
                    <w:t>排入防渗旱厕</w:t>
                  </w:r>
                  <w:r>
                    <w:rPr>
                      <w:rFonts w:hint="default" w:ascii="Times New Roman" w:hAnsi="Times New Roman" w:cs="Times New Roman"/>
                      <w:color w:val="auto"/>
                      <w:sz w:val="21"/>
                      <w:szCs w:val="21"/>
                      <w:highlight w:val="none"/>
                    </w:rPr>
                    <w:t>。</w:t>
                  </w:r>
                </w:p>
              </w:tc>
              <w:tc>
                <w:tcPr>
                  <w:tcW w:w="866" w:type="pct"/>
                  <w:vAlign w:val="center"/>
                </w:tcPr>
                <w:p w14:paraId="04D32175">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r>
            <w:tr w14:paraId="1828A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53BB6FE1">
                  <w:pPr>
                    <w:pStyle w:val="65"/>
                    <w:rPr>
                      <w:rFonts w:hint="default" w:ascii="Times New Roman" w:hAnsi="Times New Roman" w:cs="Times New Roman"/>
                      <w:color w:val="auto"/>
                      <w:sz w:val="21"/>
                      <w:szCs w:val="21"/>
                      <w:highlight w:val="none"/>
                    </w:rPr>
                  </w:pPr>
                </w:p>
              </w:tc>
              <w:tc>
                <w:tcPr>
                  <w:tcW w:w="780" w:type="pct"/>
                  <w:vAlign w:val="center"/>
                </w:tcPr>
                <w:p w14:paraId="0CD66059">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噪声处理</w:t>
                  </w:r>
                </w:p>
              </w:tc>
              <w:tc>
                <w:tcPr>
                  <w:tcW w:w="1232" w:type="pct"/>
                  <w:vAlign w:val="center"/>
                </w:tcPr>
                <w:p w14:paraId="68E7C7D0">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施工设备</w:t>
                  </w:r>
                </w:p>
              </w:tc>
              <w:tc>
                <w:tcPr>
                  <w:tcW w:w="1846" w:type="pct"/>
                  <w:vAlign w:val="center"/>
                </w:tcPr>
                <w:p w14:paraId="6F7EC40E">
                  <w:pPr>
                    <w:pStyle w:val="65"/>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施工区域周围设置围挡</w:t>
                  </w:r>
                </w:p>
              </w:tc>
              <w:tc>
                <w:tcPr>
                  <w:tcW w:w="866" w:type="pct"/>
                  <w:vAlign w:val="center"/>
                </w:tcPr>
                <w:p w14:paraId="7AE4F28D">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r>
            <w:tr w14:paraId="75AFB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5F8D77D7">
                  <w:pPr>
                    <w:pStyle w:val="65"/>
                    <w:rPr>
                      <w:rFonts w:hint="default" w:ascii="Times New Roman" w:hAnsi="Times New Roman" w:cs="Times New Roman"/>
                      <w:color w:val="auto"/>
                      <w:sz w:val="21"/>
                      <w:szCs w:val="21"/>
                      <w:highlight w:val="none"/>
                    </w:rPr>
                  </w:pPr>
                </w:p>
              </w:tc>
              <w:tc>
                <w:tcPr>
                  <w:tcW w:w="780" w:type="pct"/>
                  <w:vAlign w:val="center"/>
                </w:tcPr>
                <w:p w14:paraId="34B01A1D">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固废处理</w:t>
                  </w:r>
                </w:p>
              </w:tc>
              <w:tc>
                <w:tcPr>
                  <w:tcW w:w="1232" w:type="pct"/>
                  <w:vAlign w:val="center"/>
                </w:tcPr>
                <w:p w14:paraId="604ABA49">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施工人员生活垃圾</w:t>
                  </w:r>
                </w:p>
              </w:tc>
              <w:tc>
                <w:tcPr>
                  <w:tcW w:w="1846" w:type="pct"/>
                  <w:vAlign w:val="center"/>
                </w:tcPr>
                <w:p w14:paraId="70BFDCF3">
                  <w:pPr>
                    <w:pStyle w:val="65"/>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生活垃圾收集箱</w:t>
                  </w:r>
                </w:p>
              </w:tc>
              <w:tc>
                <w:tcPr>
                  <w:tcW w:w="866" w:type="pct"/>
                  <w:vAlign w:val="center"/>
                </w:tcPr>
                <w:p w14:paraId="461DA4C6">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r>
            <w:tr w14:paraId="55274E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restart"/>
                  <w:vAlign w:val="center"/>
                </w:tcPr>
                <w:p w14:paraId="5B916311">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运营期</w:t>
                  </w:r>
                </w:p>
              </w:tc>
              <w:tc>
                <w:tcPr>
                  <w:tcW w:w="780" w:type="pct"/>
                  <w:vMerge w:val="restart"/>
                  <w:vAlign w:val="center"/>
                </w:tcPr>
                <w:p w14:paraId="6FBAF7EC">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废水处理</w:t>
                  </w:r>
                </w:p>
              </w:tc>
              <w:tc>
                <w:tcPr>
                  <w:tcW w:w="1232" w:type="pct"/>
                  <w:vAlign w:val="center"/>
                </w:tcPr>
                <w:p w14:paraId="07AD29F4">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初期雨水</w:t>
                  </w:r>
                </w:p>
              </w:tc>
              <w:tc>
                <w:tcPr>
                  <w:tcW w:w="1846" w:type="pct"/>
                  <w:vAlign w:val="center"/>
                </w:tcPr>
                <w:p w14:paraId="2C4A7CAB">
                  <w:pPr>
                    <w:pStyle w:val="91"/>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初期雨水收集</w:t>
                  </w:r>
                  <w:r>
                    <w:rPr>
                      <w:rFonts w:hint="default" w:ascii="Times New Roman" w:hAnsi="Times New Roman" w:cs="Times New Roman"/>
                      <w:color w:val="auto"/>
                      <w:sz w:val="21"/>
                      <w:szCs w:val="21"/>
                      <w:highlight w:val="none"/>
                    </w:rPr>
                    <w:t>池</w:t>
                  </w:r>
                </w:p>
              </w:tc>
              <w:tc>
                <w:tcPr>
                  <w:tcW w:w="866" w:type="pct"/>
                  <w:vAlign w:val="center"/>
                </w:tcPr>
                <w:p w14:paraId="4997FAC7">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r>
            <w:tr w14:paraId="26DA2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49ECE46D">
                  <w:pPr>
                    <w:pStyle w:val="65"/>
                    <w:rPr>
                      <w:rFonts w:hint="default" w:ascii="Times New Roman" w:hAnsi="Times New Roman" w:cs="Times New Roman"/>
                      <w:color w:val="auto"/>
                      <w:sz w:val="21"/>
                      <w:szCs w:val="21"/>
                      <w:highlight w:val="none"/>
                    </w:rPr>
                  </w:pPr>
                </w:p>
              </w:tc>
              <w:tc>
                <w:tcPr>
                  <w:tcW w:w="780" w:type="pct"/>
                  <w:vMerge w:val="continue"/>
                  <w:vAlign w:val="center"/>
                </w:tcPr>
                <w:p w14:paraId="1783224A">
                  <w:pPr>
                    <w:pStyle w:val="65"/>
                    <w:rPr>
                      <w:rFonts w:hint="default" w:ascii="Times New Roman" w:hAnsi="Times New Roman" w:cs="Times New Roman"/>
                      <w:color w:val="auto"/>
                      <w:sz w:val="21"/>
                      <w:szCs w:val="21"/>
                      <w:highlight w:val="none"/>
                    </w:rPr>
                  </w:pPr>
                </w:p>
              </w:tc>
              <w:tc>
                <w:tcPr>
                  <w:tcW w:w="1232" w:type="pct"/>
                  <w:vAlign w:val="center"/>
                </w:tcPr>
                <w:p w14:paraId="2674F220">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冲洗废水</w:t>
                  </w:r>
                </w:p>
              </w:tc>
              <w:tc>
                <w:tcPr>
                  <w:tcW w:w="1846" w:type="pct"/>
                  <w:vAlign w:val="center"/>
                </w:tcPr>
                <w:p w14:paraId="4E229BC2">
                  <w:pPr>
                    <w:pStyle w:val="91"/>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隔油沉淀池</w:t>
                  </w:r>
                </w:p>
              </w:tc>
              <w:tc>
                <w:tcPr>
                  <w:tcW w:w="866" w:type="pct"/>
                  <w:vAlign w:val="center"/>
                </w:tcPr>
                <w:p w14:paraId="2A96A9BB">
                  <w:pPr>
                    <w:pStyle w:val="65"/>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r>
            <w:tr w14:paraId="45E9E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451DD6F2">
                  <w:pPr>
                    <w:pStyle w:val="65"/>
                    <w:rPr>
                      <w:rFonts w:hint="default" w:ascii="Times New Roman" w:hAnsi="Times New Roman" w:cs="Times New Roman"/>
                      <w:color w:val="auto"/>
                      <w:sz w:val="21"/>
                      <w:szCs w:val="21"/>
                      <w:highlight w:val="none"/>
                    </w:rPr>
                  </w:pPr>
                </w:p>
              </w:tc>
              <w:tc>
                <w:tcPr>
                  <w:tcW w:w="780" w:type="pct"/>
                  <w:vMerge w:val="restart"/>
                  <w:vAlign w:val="center"/>
                </w:tcPr>
                <w:p w14:paraId="1B462B03">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废气处理</w:t>
                  </w:r>
                </w:p>
              </w:tc>
              <w:tc>
                <w:tcPr>
                  <w:tcW w:w="1232" w:type="pct"/>
                  <w:vAlign w:val="center"/>
                </w:tcPr>
                <w:p w14:paraId="7E3D6FC5">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车辆粉尘</w:t>
                  </w:r>
                </w:p>
              </w:tc>
              <w:tc>
                <w:tcPr>
                  <w:tcW w:w="1846" w:type="pct"/>
                  <w:vAlign w:val="center"/>
                </w:tcPr>
                <w:p w14:paraId="40F44F9C">
                  <w:pPr>
                    <w:pStyle w:val="9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清洗</w:t>
                  </w:r>
                </w:p>
              </w:tc>
              <w:tc>
                <w:tcPr>
                  <w:tcW w:w="866" w:type="pct"/>
                  <w:vAlign w:val="center"/>
                </w:tcPr>
                <w:p w14:paraId="7E968D4D">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r>
            <w:tr w14:paraId="4AA5EF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15F7800B">
                  <w:pPr>
                    <w:pStyle w:val="65"/>
                    <w:rPr>
                      <w:rFonts w:hint="default" w:ascii="Times New Roman" w:hAnsi="Times New Roman" w:cs="Times New Roman"/>
                      <w:color w:val="auto"/>
                      <w:sz w:val="21"/>
                      <w:szCs w:val="21"/>
                      <w:highlight w:val="none"/>
                    </w:rPr>
                  </w:pPr>
                </w:p>
              </w:tc>
              <w:tc>
                <w:tcPr>
                  <w:tcW w:w="780" w:type="pct"/>
                  <w:vMerge w:val="continue"/>
                  <w:vAlign w:val="center"/>
                </w:tcPr>
                <w:p w14:paraId="26B578F0">
                  <w:pPr>
                    <w:pStyle w:val="65"/>
                    <w:rPr>
                      <w:rFonts w:hint="default" w:ascii="Times New Roman" w:hAnsi="Times New Roman" w:cs="Times New Roman"/>
                      <w:color w:val="auto"/>
                      <w:sz w:val="21"/>
                      <w:szCs w:val="21"/>
                      <w:highlight w:val="none"/>
                    </w:rPr>
                  </w:pPr>
                </w:p>
              </w:tc>
              <w:tc>
                <w:tcPr>
                  <w:tcW w:w="1232" w:type="pct"/>
                  <w:shd w:val="clear" w:color="auto" w:fill="auto"/>
                  <w:vAlign w:val="center"/>
                </w:tcPr>
                <w:p w14:paraId="0B35EB3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堆场粉尘</w:t>
                  </w:r>
                </w:p>
              </w:tc>
              <w:tc>
                <w:tcPr>
                  <w:tcW w:w="1846" w:type="pct"/>
                  <w:shd w:val="clear" w:color="auto" w:fill="auto"/>
                  <w:vAlign w:val="center"/>
                </w:tcPr>
                <w:p w14:paraId="722BDE19">
                  <w:pPr>
                    <w:pStyle w:val="91"/>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堆场四周设置防风抑尘网，进行定期</w:t>
                  </w:r>
                  <w:r>
                    <w:rPr>
                      <w:rFonts w:hint="default" w:ascii="Times New Roman" w:hAnsi="Times New Roman" w:cs="Times New Roman"/>
                      <w:color w:val="auto"/>
                      <w:sz w:val="21"/>
                      <w:szCs w:val="21"/>
                      <w:highlight w:val="none"/>
                      <w:lang w:eastAsia="zh-CN"/>
                    </w:rPr>
                    <w:t>喷淋降尘</w:t>
                  </w:r>
                  <w:r>
                    <w:rPr>
                      <w:rFonts w:hint="default" w:ascii="Times New Roman" w:hAnsi="Times New Roman" w:cs="Times New Roman"/>
                      <w:color w:val="auto"/>
                      <w:sz w:val="21"/>
                      <w:szCs w:val="21"/>
                      <w:highlight w:val="none"/>
                    </w:rPr>
                    <w:t>，堆场地面全部硬化</w:t>
                  </w:r>
                </w:p>
              </w:tc>
              <w:tc>
                <w:tcPr>
                  <w:tcW w:w="866" w:type="pct"/>
                  <w:shd w:val="clear" w:color="auto" w:fill="auto"/>
                  <w:vAlign w:val="center"/>
                </w:tcPr>
                <w:p w14:paraId="74EFB7EC">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w:t>
                  </w:r>
                </w:p>
              </w:tc>
            </w:tr>
            <w:tr w14:paraId="46C6E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4F8FE1A3">
                  <w:pPr>
                    <w:pStyle w:val="65"/>
                    <w:rPr>
                      <w:rFonts w:hint="default" w:ascii="Times New Roman" w:hAnsi="Times New Roman" w:cs="Times New Roman"/>
                      <w:color w:val="auto"/>
                      <w:highlight w:val="none"/>
                    </w:rPr>
                  </w:pPr>
                </w:p>
              </w:tc>
              <w:tc>
                <w:tcPr>
                  <w:tcW w:w="780" w:type="pct"/>
                  <w:vMerge w:val="continue"/>
                  <w:vAlign w:val="center"/>
                </w:tcPr>
                <w:p w14:paraId="01CD776A">
                  <w:pPr>
                    <w:pStyle w:val="65"/>
                    <w:rPr>
                      <w:rFonts w:hint="default" w:ascii="Times New Roman" w:hAnsi="Times New Roman" w:cs="Times New Roman"/>
                      <w:color w:val="auto"/>
                      <w:highlight w:val="none"/>
                    </w:rPr>
                  </w:pPr>
                </w:p>
              </w:tc>
              <w:tc>
                <w:tcPr>
                  <w:tcW w:w="1232" w:type="pct"/>
                  <w:vAlign w:val="center"/>
                </w:tcPr>
                <w:p w14:paraId="1C94056F">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上料</w:t>
                  </w:r>
                </w:p>
              </w:tc>
              <w:tc>
                <w:tcPr>
                  <w:tcW w:w="1846" w:type="pct"/>
                  <w:vAlign w:val="center"/>
                </w:tcPr>
                <w:p w14:paraId="59913B1E">
                  <w:pPr>
                    <w:pStyle w:val="9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封闭</w:t>
                  </w:r>
                </w:p>
              </w:tc>
              <w:tc>
                <w:tcPr>
                  <w:tcW w:w="866" w:type="pct"/>
                  <w:vAlign w:val="center"/>
                </w:tcPr>
                <w:p w14:paraId="5854BBF9">
                  <w:pPr>
                    <w:pStyle w:val="9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3</w:t>
                  </w:r>
                </w:p>
              </w:tc>
            </w:tr>
            <w:tr w14:paraId="16E0D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4B169D29">
                  <w:pPr>
                    <w:pStyle w:val="65"/>
                    <w:rPr>
                      <w:rFonts w:hint="default" w:ascii="Times New Roman" w:hAnsi="Times New Roman" w:cs="Times New Roman"/>
                      <w:color w:val="auto"/>
                      <w:highlight w:val="none"/>
                    </w:rPr>
                  </w:pPr>
                </w:p>
              </w:tc>
              <w:tc>
                <w:tcPr>
                  <w:tcW w:w="780" w:type="pct"/>
                  <w:vMerge w:val="continue"/>
                  <w:vAlign w:val="center"/>
                </w:tcPr>
                <w:p w14:paraId="06875543">
                  <w:pPr>
                    <w:pStyle w:val="65"/>
                    <w:rPr>
                      <w:rFonts w:hint="default" w:ascii="Times New Roman" w:hAnsi="Times New Roman" w:cs="Times New Roman"/>
                      <w:color w:val="auto"/>
                      <w:highlight w:val="none"/>
                    </w:rPr>
                  </w:pPr>
                </w:p>
              </w:tc>
              <w:tc>
                <w:tcPr>
                  <w:tcW w:w="1232" w:type="pct"/>
                  <w:vAlign w:val="center"/>
                </w:tcPr>
                <w:p w14:paraId="464102A4">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导热油炉烟气</w:t>
                  </w:r>
                </w:p>
              </w:tc>
              <w:tc>
                <w:tcPr>
                  <w:tcW w:w="1846" w:type="pct"/>
                  <w:vAlign w:val="center"/>
                </w:tcPr>
                <w:p w14:paraId="65F4E231">
                  <w:pPr>
                    <w:pStyle w:val="91"/>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10m</w:t>
                  </w:r>
                  <w:r>
                    <w:rPr>
                      <w:rFonts w:hint="default" w:ascii="Times New Roman" w:hAnsi="Times New Roman" w:cs="Times New Roman"/>
                      <w:color w:val="auto"/>
                      <w:sz w:val="21"/>
                      <w:szCs w:val="21"/>
                      <w:highlight w:val="none"/>
                    </w:rPr>
                    <w:t>高烟囱</w:t>
                  </w:r>
                </w:p>
              </w:tc>
              <w:tc>
                <w:tcPr>
                  <w:tcW w:w="866" w:type="pct"/>
                  <w:vAlign w:val="center"/>
                </w:tcPr>
                <w:p w14:paraId="29CC0F38">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03A54A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0F6DB8F5">
                  <w:pPr>
                    <w:pStyle w:val="65"/>
                    <w:rPr>
                      <w:rFonts w:hint="default" w:ascii="Times New Roman" w:hAnsi="Times New Roman" w:cs="Times New Roman"/>
                      <w:color w:val="auto"/>
                      <w:highlight w:val="none"/>
                    </w:rPr>
                  </w:pPr>
                </w:p>
              </w:tc>
              <w:tc>
                <w:tcPr>
                  <w:tcW w:w="780" w:type="pct"/>
                  <w:vMerge w:val="continue"/>
                  <w:vAlign w:val="center"/>
                </w:tcPr>
                <w:p w14:paraId="4EAAA5BD">
                  <w:pPr>
                    <w:pStyle w:val="65"/>
                    <w:rPr>
                      <w:rFonts w:hint="default" w:ascii="Times New Roman" w:hAnsi="Times New Roman" w:cs="Times New Roman"/>
                      <w:color w:val="auto"/>
                      <w:highlight w:val="none"/>
                    </w:rPr>
                  </w:pPr>
                </w:p>
              </w:tc>
              <w:tc>
                <w:tcPr>
                  <w:tcW w:w="1232" w:type="pct"/>
                  <w:vAlign w:val="center"/>
                </w:tcPr>
                <w:p w14:paraId="567769E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烘干、筛分粉尘</w:t>
                  </w:r>
                </w:p>
              </w:tc>
              <w:tc>
                <w:tcPr>
                  <w:tcW w:w="1846" w:type="pct"/>
                  <w:vMerge w:val="restart"/>
                  <w:vAlign w:val="center"/>
                </w:tcPr>
                <w:p w14:paraId="2B98A5AC">
                  <w:pPr>
                    <w:pStyle w:val="91"/>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旋风除尘器+布袋除尘器</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15m</w:t>
                  </w:r>
                  <w:r>
                    <w:rPr>
                      <w:rFonts w:hint="default" w:ascii="Times New Roman" w:hAnsi="Times New Roman" w:cs="Times New Roman"/>
                      <w:color w:val="auto"/>
                      <w:sz w:val="21"/>
                      <w:szCs w:val="21"/>
                      <w:highlight w:val="none"/>
                    </w:rPr>
                    <w:t>高排气筒</w:t>
                  </w:r>
                </w:p>
              </w:tc>
              <w:tc>
                <w:tcPr>
                  <w:tcW w:w="866" w:type="pct"/>
                  <w:vMerge w:val="restart"/>
                  <w:vAlign w:val="center"/>
                </w:tcPr>
                <w:p w14:paraId="706845F9">
                  <w:pPr>
                    <w:pStyle w:val="9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6.0</w:t>
                  </w:r>
                </w:p>
              </w:tc>
            </w:tr>
            <w:tr w14:paraId="01B69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1D32615E">
                  <w:pPr>
                    <w:pStyle w:val="90"/>
                    <w:rPr>
                      <w:rFonts w:hint="default" w:ascii="Times New Roman" w:hAnsi="Times New Roman" w:cs="Times New Roman"/>
                      <w:color w:val="auto"/>
                      <w:highlight w:val="none"/>
                    </w:rPr>
                  </w:pPr>
                </w:p>
              </w:tc>
              <w:tc>
                <w:tcPr>
                  <w:tcW w:w="780" w:type="pct"/>
                  <w:vMerge w:val="continue"/>
                  <w:vAlign w:val="center"/>
                </w:tcPr>
                <w:p w14:paraId="6ACE851D">
                  <w:pPr>
                    <w:pStyle w:val="90"/>
                    <w:rPr>
                      <w:rFonts w:hint="default" w:ascii="Times New Roman" w:hAnsi="Times New Roman" w:cs="Times New Roman"/>
                      <w:color w:val="auto"/>
                      <w:highlight w:val="none"/>
                    </w:rPr>
                  </w:pPr>
                </w:p>
              </w:tc>
              <w:tc>
                <w:tcPr>
                  <w:tcW w:w="1232" w:type="pct"/>
                  <w:vAlign w:val="center"/>
                </w:tcPr>
                <w:p w14:paraId="77C0C811">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燃烧器</w:t>
                  </w:r>
                  <w:r>
                    <w:rPr>
                      <w:rFonts w:hint="default" w:ascii="Times New Roman" w:hAnsi="Times New Roman" w:cs="Times New Roman"/>
                      <w:color w:val="auto"/>
                      <w:sz w:val="21"/>
                      <w:szCs w:val="21"/>
                      <w:highlight w:val="none"/>
                    </w:rPr>
                    <w:t>废气</w:t>
                  </w:r>
                </w:p>
              </w:tc>
              <w:tc>
                <w:tcPr>
                  <w:tcW w:w="1846" w:type="pct"/>
                  <w:vMerge w:val="continue"/>
                  <w:vAlign w:val="center"/>
                </w:tcPr>
                <w:p w14:paraId="557A91E5">
                  <w:pPr>
                    <w:pStyle w:val="90"/>
                    <w:jc w:val="center"/>
                    <w:rPr>
                      <w:rFonts w:hint="default" w:ascii="Times New Roman" w:hAnsi="Times New Roman" w:cs="Times New Roman"/>
                      <w:color w:val="auto"/>
                      <w:sz w:val="21"/>
                      <w:szCs w:val="21"/>
                      <w:highlight w:val="none"/>
                    </w:rPr>
                  </w:pPr>
                </w:p>
              </w:tc>
              <w:tc>
                <w:tcPr>
                  <w:tcW w:w="866" w:type="pct"/>
                  <w:vMerge w:val="continue"/>
                  <w:vAlign w:val="center"/>
                </w:tcPr>
                <w:p w14:paraId="535C8FD6">
                  <w:pPr>
                    <w:pStyle w:val="90"/>
                    <w:rPr>
                      <w:rFonts w:hint="default" w:ascii="Times New Roman" w:hAnsi="Times New Roman" w:cs="Times New Roman"/>
                      <w:color w:val="auto"/>
                      <w:szCs w:val="21"/>
                      <w:highlight w:val="none"/>
                    </w:rPr>
                  </w:pPr>
                </w:p>
              </w:tc>
            </w:tr>
            <w:tr w14:paraId="6D97B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0336B1F8">
                  <w:pPr>
                    <w:pStyle w:val="65"/>
                    <w:rPr>
                      <w:rFonts w:hint="default" w:ascii="Times New Roman" w:hAnsi="Times New Roman" w:cs="Times New Roman"/>
                      <w:color w:val="auto"/>
                      <w:highlight w:val="none"/>
                    </w:rPr>
                  </w:pPr>
                </w:p>
              </w:tc>
              <w:tc>
                <w:tcPr>
                  <w:tcW w:w="780" w:type="pct"/>
                  <w:vMerge w:val="continue"/>
                  <w:vAlign w:val="center"/>
                </w:tcPr>
                <w:p w14:paraId="26097032">
                  <w:pPr>
                    <w:pStyle w:val="65"/>
                    <w:rPr>
                      <w:rFonts w:hint="default" w:ascii="Times New Roman" w:hAnsi="Times New Roman" w:cs="Times New Roman"/>
                      <w:color w:val="auto"/>
                      <w:highlight w:val="none"/>
                    </w:rPr>
                  </w:pPr>
                </w:p>
              </w:tc>
              <w:tc>
                <w:tcPr>
                  <w:tcW w:w="1232" w:type="pct"/>
                  <w:vAlign w:val="center"/>
                </w:tcPr>
                <w:p w14:paraId="21A2E5A8">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沥青烟气</w:t>
                  </w:r>
                </w:p>
              </w:tc>
              <w:tc>
                <w:tcPr>
                  <w:tcW w:w="1846" w:type="pct"/>
                  <w:vAlign w:val="center"/>
                </w:tcPr>
                <w:p w14:paraId="6ECC0426">
                  <w:pPr>
                    <w:pStyle w:val="91"/>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电捕焦油器+</w:t>
                  </w:r>
                  <w:r>
                    <w:rPr>
                      <w:rFonts w:hint="default" w:ascii="Times New Roman" w:hAnsi="Times New Roman" w:cs="Times New Roman"/>
                      <w:color w:val="auto"/>
                      <w:sz w:val="21"/>
                      <w:szCs w:val="21"/>
                      <w:highlight w:val="none"/>
                    </w:rPr>
                    <w:t>活性炭吸附装置处理</w:t>
                  </w:r>
                  <w:r>
                    <w:rPr>
                      <w:rFonts w:hint="default" w:ascii="Times New Roman" w:hAnsi="Times New Roman" w:cs="Times New Roman"/>
                      <w:color w:val="auto"/>
                      <w:sz w:val="21"/>
                      <w:szCs w:val="21"/>
                      <w:highlight w:val="none"/>
                      <w:lang w:val="en-US" w:eastAsia="zh-CN"/>
                    </w:rPr>
                    <w:t>+15m高排气筒</w:t>
                  </w:r>
                </w:p>
              </w:tc>
              <w:tc>
                <w:tcPr>
                  <w:tcW w:w="866" w:type="pct"/>
                  <w:vAlign w:val="center"/>
                </w:tcPr>
                <w:p w14:paraId="4A744EEF">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7.0</w:t>
                  </w:r>
                </w:p>
              </w:tc>
            </w:tr>
            <w:tr w14:paraId="427A3D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56437349">
                  <w:pPr>
                    <w:pStyle w:val="65"/>
                    <w:rPr>
                      <w:rFonts w:hint="default" w:ascii="Times New Roman" w:hAnsi="Times New Roman" w:cs="Times New Roman"/>
                      <w:color w:val="auto"/>
                      <w:sz w:val="21"/>
                      <w:szCs w:val="21"/>
                      <w:highlight w:val="none"/>
                    </w:rPr>
                  </w:pPr>
                </w:p>
              </w:tc>
              <w:tc>
                <w:tcPr>
                  <w:tcW w:w="780" w:type="pct"/>
                  <w:vAlign w:val="center"/>
                </w:tcPr>
                <w:p w14:paraId="192B01DE">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降噪措施</w:t>
                  </w:r>
                </w:p>
              </w:tc>
              <w:tc>
                <w:tcPr>
                  <w:tcW w:w="3078" w:type="pct"/>
                  <w:gridSpan w:val="2"/>
                  <w:vAlign w:val="center"/>
                </w:tcPr>
                <w:p w14:paraId="21A77E58">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低噪环保设备，采取减振、降噪、隔声等</w:t>
                  </w:r>
                </w:p>
              </w:tc>
              <w:tc>
                <w:tcPr>
                  <w:tcW w:w="866" w:type="pct"/>
                  <w:vAlign w:val="center"/>
                </w:tcPr>
                <w:p w14:paraId="30F0E369">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560A2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70FEE9F1">
                  <w:pPr>
                    <w:pStyle w:val="65"/>
                    <w:rPr>
                      <w:rFonts w:hint="default" w:ascii="Times New Roman" w:hAnsi="Times New Roman" w:cs="Times New Roman"/>
                      <w:color w:val="auto"/>
                      <w:sz w:val="21"/>
                      <w:szCs w:val="21"/>
                      <w:highlight w:val="none"/>
                    </w:rPr>
                  </w:pPr>
                </w:p>
              </w:tc>
              <w:tc>
                <w:tcPr>
                  <w:tcW w:w="780" w:type="pct"/>
                  <w:vAlign w:val="center"/>
                </w:tcPr>
                <w:p w14:paraId="326083C6">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3078" w:type="pct"/>
                  <w:gridSpan w:val="2"/>
                  <w:vAlign w:val="center"/>
                </w:tcPr>
                <w:p w14:paraId="7628135E">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①生活垃圾：集中收集，由市政环卫部门统一清运处理。</w:t>
                  </w:r>
                </w:p>
                <w:p w14:paraId="659B3F27">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②除尘器收尘：集中收集，袋装，回用于生产。</w:t>
                  </w:r>
                </w:p>
                <w:p w14:paraId="6B9DFB49">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③不合格石料：交由石料供应商回收处置。</w:t>
                  </w:r>
                </w:p>
                <w:p w14:paraId="6895F3E3">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④废活性炭：暂存在危险废物</w:t>
                  </w:r>
                  <w:r>
                    <w:rPr>
                      <w:rFonts w:hint="default" w:ascii="Times New Roman" w:hAnsi="Times New Roman" w:cs="Times New Roman"/>
                      <w:color w:val="auto"/>
                      <w:szCs w:val="21"/>
                      <w:highlight w:val="none"/>
                      <w:lang w:eastAsia="zh-CN"/>
                    </w:rPr>
                    <w:t>贮存点</w:t>
                  </w:r>
                  <w:r>
                    <w:rPr>
                      <w:rFonts w:hint="default" w:ascii="Times New Roman" w:hAnsi="Times New Roman" w:cs="Times New Roman"/>
                      <w:color w:val="auto"/>
                      <w:szCs w:val="21"/>
                      <w:highlight w:val="none"/>
                    </w:rPr>
                    <w:t>，定期交由有资质单位处理。</w:t>
                  </w:r>
                </w:p>
                <w:p w14:paraId="5F545D30">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⑤废导热油：暂存在危险废物</w:t>
                  </w:r>
                  <w:r>
                    <w:rPr>
                      <w:rFonts w:hint="default" w:ascii="Times New Roman" w:hAnsi="Times New Roman" w:cs="Times New Roman"/>
                      <w:color w:val="auto"/>
                      <w:szCs w:val="21"/>
                      <w:highlight w:val="none"/>
                      <w:lang w:eastAsia="zh-CN"/>
                    </w:rPr>
                    <w:t>贮存点</w:t>
                  </w:r>
                  <w:r>
                    <w:rPr>
                      <w:rFonts w:hint="default" w:ascii="Times New Roman" w:hAnsi="Times New Roman" w:cs="Times New Roman"/>
                      <w:color w:val="auto"/>
                      <w:szCs w:val="21"/>
                      <w:highlight w:val="none"/>
                    </w:rPr>
                    <w:t>，定期交由有资质单位处理。</w:t>
                  </w:r>
                </w:p>
                <w:p w14:paraId="64081516">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⑥除尘器废布袋：集中收集，</w:t>
                  </w:r>
                  <w:r>
                    <w:rPr>
                      <w:rFonts w:hint="default" w:ascii="Times New Roman" w:hAnsi="Times New Roman" w:cs="Times New Roman"/>
                      <w:color w:val="auto"/>
                      <w:szCs w:val="21"/>
                      <w:highlight w:val="none"/>
                      <w:lang w:val="en-US" w:eastAsia="zh-CN"/>
                    </w:rPr>
                    <w:t>厂家回收</w:t>
                  </w:r>
                  <w:r>
                    <w:rPr>
                      <w:rFonts w:hint="default" w:ascii="Times New Roman" w:hAnsi="Times New Roman" w:cs="Times New Roman"/>
                      <w:color w:val="auto"/>
                      <w:szCs w:val="21"/>
                      <w:highlight w:val="none"/>
                    </w:rPr>
                    <w:t>。</w:t>
                  </w:r>
                </w:p>
                <w:p w14:paraId="348AD5E5">
                  <w:pPr>
                    <w:pStyle w:val="65"/>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⑦滴漏沥青及</w:t>
                  </w:r>
                  <w:r>
                    <w:rPr>
                      <w:rFonts w:hint="default" w:ascii="Times New Roman" w:hAnsi="Times New Roman" w:cs="Times New Roman"/>
                      <w:color w:val="auto"/>
                      <w:sz w:val="21"/>
                      <w:szCs w:val="21"/>
                      <w:highlight w:val="none"/>
                      <w:lang w:eastAsia="zh-CN"/>
                    </w:rPr>
                    <w:t>拌合</w:t>
                  </w:r>
                  <w:r>
                    <w:rPr>
                      <w:rFonts w:hint="default" w:ascii="Times New Roman" w:hAnsi="Times New Roman" w:cs="Times New Roman"/>
                      <w:color w:val="auto"/>
                      <w:sz w:val="21"/>
                      <w:szCs w:val="21"/>
                      <w:highlight w:val="none"/>
                    </w:rPr>
                    <w:t>残渣：作为原料回用于生产。</w:t>
                  </w:r>
                </w:p>
                <w:p w14:paraId="566F9E92">
                  <w:pPr>
                    <w:widowControl/>
                    <w:adjustRightInd w:val="0"/>
                    <w:snapToGrid w:val="0"/>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⑧</w:t>
                  </w:r>
                  <w:r>
                    <w:rPr>
                      <w:rFonts w:hint="default" w:ascii="Times New Roman" w:hAnsi="Times New Roman" w:cs="Times New Roman"/>
                      <w:color w:val="auto"/>
                      <w:sz w:val="21"/>
                      <w:szCs w:val="21"/>
                      <w:highlight w:val="none"/>
                    </w:rPr>
                    <w:t>废焦油：暂存在危险废物</w:t>
                  </w:r>
                  <w:r>
                    <w:rPr>
                      <w:rFonts w:hint="default" w:ascii="Times New Roman" w:hAnsi="Times New Roman" w:cs="Times New Roman"/>
                      <w:color w:val="auto"/>
                      <w:sz w:val="21"/>
                      <w:szCs w:val="21"/>
                      <w:highlight w:val="none"/>
                      <w:lang w:eastAsia="zh-CN"/>
                    </w:rPr>
                    <w:t>贮存点</w:t>
                  </w:r>
                  <w:r>
                    <w:rPr>
                      <w:rFonts w:hint="default" w:ascii="Times New Roman" w:hAnsi="Times New Roman" w:cs="Times New Roman"/>
                      <w:color w:val="auto"/>
                      <w:sz w:val="21"/>
                      <w:szCs w:val="21"/>
                      <w:highlight w:val="none"/>
                    </w:rPr>
                    <w:t>，定期交由有资质单位处理</w:t>
                  </w:r>
                  <w:r>
                    <w:rPr>
                      <w:rFonts w:hint="default" w:ascii="Times New Roman" w:hAnsi="Times New Roman" w:cs="Times New Roman"/>
                      <w:color w:val="auto"/>
                      <w:szCs w:val="21"/>
                      <w:highlight w:val="none"/>
                      <w:lang w:eastAsia="zh-CN"/>
                    </w:rPr>
                    <w:t>。</w:t>
                  </w:r>
                </w:p>
                <w:p w14:paraId="2FF8767D">
                  <w:pPr>
                    <w:widowControl/>
                    <w:adjustRightInd w:val="0"/>
                    <w:snapToGrid w:val="0"/>
                    <w:textAlignment w:val="baseline"/>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⑨废机油：维修工序就近委托附近机械维修站，车辆、机械设备每半年更换一次机油，外委附近机械维修站进行更换，厂区内不进行储存</w:t>
                  </w:r>
                  <w:r>
                    <w:rPr>
                      <w:rFonts w:hint="default" w:ascii="Times New Roman" w:hAnsi="Times New Roman" w:cs="Times New Roman"/>
                      <w:color w:val="auto"/>
                      <w:szCs w:val="21"/>
                      <w:highlight w:val="none"/>
                      <w:lang w:eastAsia="zh-CN"/>
                    </w:rPr>
                    <w:t>。</w:t>
                  </w:r>
                </w:p>
                <w:p w14:paraId="15BFB974">
                  <w:pPr>
                    <w:widowControl/>
                    <w:adjustRightInd w:val="0"/>
                    <w:snapToGrid w:val="0"/>
                    <w:textAlignment w:val="baseline"/>
                    <w:rPr>
                      <w:rFonts w:hint="default" w:ascii="Times New Roman" w:hAnsi="Times New Roman" w:cs="Times New Roman"/>
                      <w:color w:val="auto"/>
                      <w:szCs w:val="21"/>
                      <w:highlight w:val="none"/>
                    </w:rPr>
                  </w:pPr>
                  <w:r>
                    <w:rPr>
                      <w:rFonts w:hint="default" w:ascii="Times New Roman" w:hAnsi="Times New Roman" w:eastAsia="宋体" w:cs="Times New Roman"/>
                      <w:color w:val="auto"/>
                      <w:kern w:val="2"/>
                      <w:sz w:val="21"/>
                      <w:szCs w:val="21"/>
                      <w:highlight w:val="none"/>
                    </w:rPr>
                    <w:t>⑩</w:t>
                  </w:r>
                  <w:r>
                    <w:rPr>
                      <w:rFonts w:hint="default" w:ascii="Times New Roman" w:hAnsi="Times New Roman" w:cs="Times New Roman"/>
                      <w:color w:val="auto"/>
                      <w:kern w:val="2"/>
                      <w:sz w:val="21"/>
                      <w:szCs w:val="21"/>
                      <w:highlight w:val="none"/>
                      <w:lang w:eastAsia="zh-CN"/>
                    </w:rPr>
                    <w:t>油泥</w:t>
                  </w:r>
                  <w:r>
                    <w:rPr>
                      <w:rFonts w:hint="default" w:ascii="Times New Roman" w:hAnsi="Times New Roman" w:eastAsia="宋体" w:cs="Times New Roman"/>
                      <w:color w:val="auto"/>
                      <w:kern w:val="2"/>
                      <w:sz w:val="21"/>
                      <w:szCs w:val="21"/>
                      <w:highlight w:val="none"/>
                      <w:lang w:eastAsia="zh-CN"/>
                    </w:rPr>
                    <w:t>：柴油罐频率为5年一次，隔油沉淀池清理频次为2年一次，更换后直接交有危险废物处置资质单位处理，不在厂区内储存</w:t>
                  </w:r>
                  <w:r>
                    <w:rPr>
                      <w:rFonts w:hint="default" w:ascii="Times New Roman" w:hAnsi="Times New Roman" w:cs="Times New Roman"/>
                      <w:color w:val="auto"/>
                      <w:szCs w:val="21"/>
                      <w:highlight w:val="none"/>
                    </w:rPr>
                    <w:t>。</w:t>
                  </w:r>
                </w:p>
              </w:tc>
              <w:tc>
                <w:tcPr>
                  <w:tcW w:w="866" w:type="pct"/>
                  <w:vAlign w:val="center"/>
                </w:tcPr>
                <w:p w14:paraId="50634A32">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r>
            <w:tr w14:paraId="6B52DE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609BAE0A">
                  <w:pPr>
                    <w:pStyle w:val="65"/>
                    <w:rPr>
                      <w:rFonts w:hint="default" w:ascii="Times New Roman" w:hAnsi="Times New Roman" w:cs="Times New Roman"/>
                      <w:color w:val="auto"/>
                      <w:sz w:val="21"/>
                      <w:szCs w:val="21"/>
                      <w:highlight w:val="none"/>
                    </w:rPr>
                  </w:pPr>
                </w:p>
              </w:tc>
              <w:tc>
                <w:tcPr>
                  <w:tcW w:w="780" w:type="pct"/>
                  <w:vAlign w:val="center"/>
                </w:tcPr>
                <w:p w14:paraId="40680791">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防渗措施</w:t>
                  </w:r>
                </w:p>
              </w:tc>
              <w:tc>
                <w:tcPr>
                  <w:tcW w:w="3078" w:type="pct"/>
                  <w:gridSpan w:val="2"/>
                  <w:vAlign w:val="center"/>
                </w:tcPr>
                <w:p w14:paraId="61AD53CF">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①厂区</w:t>
                  </w:r>
                  <w:r>
                    <w:rPr>
                      <w:rFonts w:hint="default" w:ascii="Times New Roman" w:hAnsi="Times New Roman" w:cs="Times New Roman"/>
                      <w:color w:val="auto"/>
                      <w:sz w:val="21"/>
                      <w:szCs w:val="21"/>
                      <w:highlight w:val="none"/>
                      <w:lang w:val="en-US" w:eastAsia="zh-CN"/>
                    </w:rPr>
                    <w:t>初期雨水收集</w:t>
                  </w:r>
                  <w:r>
                    <w:rPr>
                      <w:rFonts w:hint="default" w:ascii="Times New Roman" w:hAnsi="Times New Roman" w:cs="Times New Roman"/>
                      <w:color w:val="auto"/>
                      <w:sz w:val="21"/>
                      <w:szCs w:val="21"/>
                      <w:highlight w:val="none"/>
                    </w:rPr>
                    <w:t>池采取防渗措施，参考《</w:t>
                  </w:r>
                  <w:r>
                    <w:rPr>
                      <w:rFonts w:hint="default" w:ascii="Times New Roman" w:hAnsi="Times New Roman" w:cs="Times New Roman"/>
                      <w:color w:val="auto"/>
                      <w:sz w:val="21"/>
                      <w:szCs w:val="21"/>
                      <w:highlight w:val="none"/>
                      <w:lang w:eastAsia="zh-CN"/>
                    </w:rPr>
                    <w:t>环境影响评价技术导则 地下水环境</w:t>
                  </w:r>
                  <w:r>
                    <w:rPr>
                      <w:rFonts w:hint="default" w:ascii="Times New Roman" w:hAnsi="Times New Roman" w:cs="Times New Roman"/>
                      <w:color w:val="auto"/>
                      <w:sz w:val="21"/>
                      <w:szCs w:val="21"/>
                      <w:highlight w:val="none"/>
                    </w:rPr>
                    <w:t>》（HJ610-2016）中一般防渗区防渗技术要求，满足等效黏土防渗层Mb≥1.5m，K≤1×10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cm/s的要求。</w:t>
                  </w:r>
                </w:p>
                <w:p w14:paraId="2F3A850E">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②沥青储罐、柴油储罐区</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事故池、沉淀池、危险废物贮存点</w:t>
                  </w:r>
                  <w:r>
                    <w:rPr>
                      <w:rFonts w:hint="default" w:ascii="Times New Roman" w:hAnsi="Times New Roman" w:cs="Times New Roman"/>
                      <w:color w:val="auto"/>
                      <w:sz w:val="21"/>
                      <w:szCs w:val="21"/>
                      <w:highlight w:val="none"/>
                    </w:rPr>
                    <w:t>采取防渗措施，参考《</w:t>
                  </w:r>
                  <w:r>
                    <w:rPr>
                      <w:rFonts w:hint="default" w:ascii="Times New Roman" w:hAnsi="Times New Roman" w:cs="Times New Roman"/>
                      <w:color w:val="auto"/>
                      <w:sz w:val="21"/>
                      <w:szCs w:val="21"/>
                      <w:highlight w:val="none"/>
                      <w:lang w:eastAsia="zh-CN"/>
                    </w:rPr>
                    <w:t>环境影响评价技术导则 地下水环境</w:t>
                  </w:r>
                  <w:r>
                    <w:rPr>
                      <w:rFonts w:hint="default" w:ascii="Times New Roman" w:hAnsi="Times New Roman" w:cs="Times New Roman"/>
                      <w:color w:val="auto"/>
                      <w:sz w:val="21"/>
                      <w:szCs w:val="21"/>
                      <w:highlight w:val="none"/>
                    </w:rPr>
                    <w:t>》（HJ610-2016）中重点防渗区防渗技术要求，满足等效黏土防渗层Mb≥6m，K≤1×10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cm/s的要求，并设置非燃烧材料的防火堤围堰，防火堤内的有效容积不小于最大贮罐的容积，切断影响途径。</w:t>
                  </w:r>
                </w:p>
                <w:p w14:paraId="7ADF7073">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③危险废物</w:t>
                  </w:r>
                  <w:r>
                    <w:rPr>
                      <w:rFonts w:hint="default" w:ascii="Times New Roman" w:hAnsi="Times New Roman" w:cs="Times New Roman"/>
                      <w:color w:val="auto"/>
                      <w:sz w:val="21"/>
                      <w:szCs w:val="21"/>
                      <w:highlight w:val="none"/>
                      <w:lang w:eastAsia="zh-CN"/>
                    </w:rPr>
                    <w:t>贮存点</w:t>
                  </w:r>
                  <w:r>
                    <w:rPr>
                      <w:rFonts w:hint="default" w:ascii="Times New Roman" w:hAnsi="Times New Roman" w:cs="Times New Roman"/>
                      <w:color w:val="auto"/>
                      <w:sz w:val="21"/>
                      <w:szCs w:val="21"/>
                      <w:highlight w:val="none"/>
                    </w:rPr>
                    <w:t>按照《危险废物贮存污染控制标准》（GB18597-2023）要求进行</w:t>
                  </w:r>
                  <w:r>
                    <w:rPr>
                      <w:rFonts w:hint="default" w:ascii="Times New Roman" w:hAnsi="Times New Roman" w:cs="Times New Roman"/>
                      <w:color w:val="auto"/>
                      <w:sz w:val="21"/>
                      <w:szCs w:val="21"/>
                      <w:highlight w:val="none"/>
                      <w:lang w:val="en-US" w:eastAsia="zh-CN"/>
                    </w:rPr>
                    <w:t>重点防渗，表面防渗材料应与所接触的物料或污染物相容，可采用抗渗混凝土、高密度聚乙烯膜、钠基膨润土防水毯或其他防渗性能等效的材料。贮存的危险废物直接接触地面的，还应进行基础防渗，防渗层为至少 1 m 厚黏土层（渗透系数不大于 10</w:t>
                  </w:r>
                  <w:r>
                    <w:rPr>
                      <w:rFonts w:hint="default" w:ascii="Times New Roman" w:hAnsi="Times New Roman" w:cs="Times New Roman"/>
                      <w:color w:val="auto"/>
                      <w:sz w:val="21"/>
                      <w:szCs w:val="21"/>
                      <w:highlight w:val="none"/>
                      <w:vertAlign w:val="superscript"/>
                      <w:lang w:val="en-US" w:eastAsia="zh-CN"/>
                    </w:rPr>
                    <w:t>-7</w:t>
                  </w:r>
                  <w:r>
                    <w:rPr>
                      <w:rFonts w:hint="default" w:ascii="Times New Roman" w:hAnsi="Times New Roman" w:cs="Times New Roman"/>
                      <w:color w:val="auto"/>
                      <w:sz w:val="21"/>
                      <w:szCs w:val="21"/>
                      <w:highlight w:val="none"/>
                      <w:lang w:val="en-US" w:eastAsia="zh-CN"/>
                    </w:rPr>
                    <w:t xml:space="preserve"> cm/s），或至少2 mm 厚高密度聚乙烯膜等人工防渗材料（渗透系数不大于 10</w:t>
                  </w:r>
                  <w:r>
                    <w:rPr>
                      <w:rFonts w:hint="default" w:ascii="Times New Roman" w:hAnsi="Times New Roman" w:cs="Times New Roman"/>
                      <w:color w:val="auto"/>
                      <w:sz w:val="21"/>
                      <w:szCs w:val="21"/>
                      <w:highlight w:val="none"/>
                      <w:vertAlign w:val="superscript"/>
                      <w:lang w:val="en-US" w:eastAsia="zh-CN"/>
                    </w:rPr>
                    <w:t>-10</w:t>
                  </w:r>
                  <w:r>
                    <w:rPr>
                      <w:rFonts w:hint="default" w:ascii="Times New Roman" w:hAnsi="Times New Roman" w:cs="Times New Roman"/>
                      <w:color w:val="auto"/>
                      <w:sz w:val="21"/>
                      <w:szCs w:val="21"/>
                      <w:highlight w:val="none"/>
                      <w:lang w:val="en-US" w:eastAsia="zh-CN"/>
                    </w:rPr>
                    <w:t xml:space="preserve"> cm/s），或其他防渗性能等效的材料</w:t>
                  </w:r>
                  <w:r>
                    <w:rPr>
                      <w:rFonts w:hint="default" w:ascii="Times New Roman" w:hAnsi="Times New Roman" w:cs="Times New Roman"/>
                      <w:color w:val="auto"/>
                      <w:sz w:val="21"/>
                      <w:szCs w:val="21"/>
                      <w:highlight w:val="none"/>
                    </w:rPr>
                    <w:t>。</w:t>
                  </w:r>
                </w:p>
                <w:p w14:paraId="418056A9">
                  <w:pPr>
                    <w:pStyle w:val="65"/>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④厂区地面进行水泥硬化</w:t>
                  </w:r>
                </w:p>
              </w:tc>
              <w:tc>
                <w:tcPr>
                  <w:tcW w:w="866" w:type="pct"/>
                  <w:vAlign w:val="center"/>
                </w:tcPr>
                <w:p w14:paraId="7EC168AB">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r>
            <w:tr w14:paraId="79D3C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 w:type="pct"/>
                  <w:vMerge w:val="continue"/>
                  <w:vAlign w:val="center"/>
                </w:tcPr>
                <w:p w14:paraId="16290380">
                  <w:pPr>
                    <w:pStyle w:val="65"/>
                    <w:rPr>
                      <w:rFonts w:hint="default" w:ascii="Times New Roman" w:hAnsi="Times New Roman" w:cs="Times New Roman"/>
                      <w:color w:val="auto"/>
                      <w:sz w:val="21"/>
                      <w:szCs w:val="21"/>
                      <w:highlight w:val="none"/>
                    </w:rPr>
                  </w:pPr>
                </w:p>
              </w:tc>
              <w:tc>
                <w:tcPr>
                  <w:tcW w:w="780" w:type="pct"/>
                  <w:vAlign w:val="center"/>
                </w:tcPr>
                <w:p w14:paraId="710C55B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监测、运行维护费用</w:t>
                  </w:r>
                </w:p>
              </w:tc>
              <w:tc>
                <w:tcPr>
                  <w:tcW w:w="3078" w:type="pct"/>
                  <w:gridSpan w:val="2"/>
                  <w:vAlign w:val="center"/>
                </w:tcPr>
                <w:p w14:paraId="1F2B952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环境保护措施和设施的运行维护费用、竣工验收</w:t>
                  </w:r>
                </w:p>
              </w:tc>
              <w:tc>
                <w:tcPr>
                  <w:tcW w:w="866" w:type="pct"/>
                  <w:vAlign w:val="center"/>
                </w:tcPr>
                <w:p w14:paraId="1D7175B8">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r>
            <w:tr w14:paraId="3E95A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33" w:type="pct"/>
                  <w:gridSpan w:val="4"/>
                  <w:vAlign w:val="center"/>
                </w:tcPr>
                <w:p w14:paraId="0D23C529">
                  <w:pPr>
                    <w:pStyle w:val="65"/>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环保投资合计</w:t>
                  </w:r>
                </w:p>
              </w:tc>
              <w:tc>
                <w:tcPr>
                  <w:tcW w:w="866" w:type="pct"/>
                  <w:vAlign w:val="center"/>
                </w:tcPr>
                <w:p w14:paraId="3D19CA4B">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r>
            <w:tr w14:paraId="49F9EC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33" w:type="pct"/>
                  <w:gridSpan w:val="4"/>
                  <w:vAlign w:val="center"/>
                </w:tcPr>
                <w:p w14:paraId="303D8484">
                  <w:pPr>
                    <w:pStyle w:val="65"/>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项目总投资</w:t>
                  </w:r>
                </w:p>
              </w:tc>
              <w:tc>
                <w:tcPr>
                  <w:tcW w:w="866" w:type="pct"/>
                  <w:vAlign w:val="center"/>
                </w:tcPr>
                <w:p w14:paraId="270F697C">
                  <w:pPr>
                    <w:pStyle w:val="65"/>
                    <w:rPr>
                      <w:rFonts w:hint="default" w:ascii="Times New Roman" w:hAnsi="Times New Roman" w:cs="Times New Roman"/>
                      <w:color w:val="auto"/>
                      <w:sz w:val="21"/>
                      <w:szCs w:val="21"/>
                      <w:highlight w:val="none"/>
                    </w:rPr>
                  </w:pPr>
                  <w:bookmarkStart w:id="51" w:name="_Hlk193464749"/>
                  <w:r>
                    <w:rPr>
                      <w:rFonts w:hint="default" w:ascii="Times New Roman" w:hAnsi="Times New Roman" w:cs="Times New Roman"/>
                      <w:color w:val="auto"/>
                      <w:sz w:val="21"/>
                      <w:szCs w:val="21"/>
                      <w:highlight w:val="none"/>
                      <w:lang w:val="en-US" w:eastAsia="zh-CN"/>
                    </w:rPr>
                    <w:t>100</w:t>
                  </w:r>
                  <w:r>
                    <w:rPr>
                      <w:rFonts w:hint="default" w:ascii="Times New Roman" w:hAnsi="Times New Roman" w:cs="Times New Roman"/>
                      <w:color w:val="auto"/>
                      <w:sz w:val="21"/>
                      <w:szCs w:val="21"/>
                      <w:highlight w:val="none"/>
                    </w:rPr>
                    <w:t>0</w:t>
                  </w:r>
                  <w:bookmarkEnd w:id="51"/>
                </w:p>
              </w:tc>
            </w:tr>
            <w:tr w14:paraId="069113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33" w:type="pct"/>
                  <w:gridSpan w:val="4"/>
                  <w:vAlign w:val="center"/>
                </w:tcPr>
                <w:p w14:paraId="3CE762A3">
                  <w:pPr>
                    <w:pStyle w:val="65"/>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环保投资比</w:t>
                  </w:r>
                </w:p>
              </w:tc>
              <w:tc>
                <w:tcPr>
                  <w:tcW w:w="866" w:type="pct"/>
                  <w:vAlign w:val="center"/>
                </w:tcPr>
                <w:p w14:paraId="440FAE6A">
                  <w:pPr>
                    <w:pStyle w:val="65"/>
                    <w:rPr>
                      <w:rFonts w:hint="default" w:ascii="Times New Roman" w:hAnsi="Times New Roman" w:cs="Times New Roman"/>
                      <w:color w:val="auto"/>
                      <w:sz w:val="21"/>
                      <w:szCs w:val="21"/>
                      <w:highlight w:val="none"/>
                    </w:rPr>
                  </w:pPr>
                  <w:bookmarkStart w:id="52" w:name="_Hlk193464758"/>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w:t>
                  </w:r>
                  <w:bookmarkEnd w:id="52"/>
                </w:p>
              </w:tc>
            </w:tr>
            <w:bookmarkEnd w:id="50"/>
          </w:tbl>
          <w:p w14:paraId="69D3F44E">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6、劳动定员及工作天数</w:t>
            </w:r>
          </w:p>
          <w:p w14:paraId="0472A404">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本项目建成工作人员</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人，年工作时间为</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0d，每天工作8h，共</w:t>
            </w:r>
            <w:r>
              <w:rPr>
                <w:rFonts w:hint="default" w:ascii="Times New Roman" w:hAnsi="Times New Roman" w:cs="Times New Roman"/>
                <w:color w:val="auto"/>
                <w:sz w:val="24"/>
                <w:highlight w:val="none"/>
                <w:lang w:val="en-US" w:eastAsia="zh-CN"/>
              </w:rPr>
              <w:t>120</w:t>
            </w:r>
            <w:r>
              <w:rPr>
                <w:rFonts w:hint="default" w:ascii="Times New Roman" w:hAnsi="Times New Roman" w:cs="Times New Roman"/>
                <w:color w:val="auto"/>
                <w:sz w:val="24"/>
                <w:highlight w:val="none"/>
              </w:rPr>
              <w:t>0h，夜间不生产。</w:t>
            </w:r>
          </w:p>
          <w:p w14:paraId="3727F5A9">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本项目不设食堂</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宿舍</w:t>
            </w:r>
            <w:r>
              <w:rPr>
                <w:rFonts w:hint="default" w:ascii="Times New Roman" w:hAnsi="Times New Roman" w:cs="Times New Roman"/>
                <w:color w:val="auto"/>
                <w:sz w:val="24"/>
                <w:highlight w:val="none"/>
                <w:lang w:val="en-US" w:eastAsia="zh-CN"/>
              </w:rPr>
              <w:t>仅用于员工休息</w:t>
            </w:r>
            <w:r>
              <w:rPr>
                <w:rFonts w:hint="default" w:ascii="Times New Roman" w:hAnsi="Times New Roman" w:cs="Times New Roman"/>
                <w:color w:val="auto"/>
                <w:sz w:val="24"/>
                <w:highlight w:val="none"/>
              </w:rPr>
              <w:t>。</w:t>
            </w:r>
          </w:p>
          <w:p w14:paraId="3B80986D">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7、平面布置</w:t>
            </w:r>
          </w:p>
          <w:p w14:paraId="4DEC97EF">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本项目平面布置功能分区合理、布局紧凑，各个建筑物的布置均满足工艺需要。项目所在地道路系统完善，有利于原料及产品的运输。因此，本项目平面布置合理。</w:t>
            </w:r>
          </w:p>
        </w:tc>
      </w:tr>
      <w:tr w14:paraId="72D3D8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99" w:type="dxa"/>
            <w:vAlign w:val="center"/>
          </w:tcPr>
          <w:p w14:paraId="7AE4919C">
            <w:pPr>
              <w:jc w:val="center"/>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工艺流程和产排污环节</w:t>
            </w:r>
          </w:p>
        </w:tc>
        <w:tc>
          <w:tcPr>
            <w:tcW w:w="8125" w:type="dxa"/>
            <w:vAlign w:val="center"/>
          </w:tcPr>
          <w:p w14:paraId="116D49DF">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一、施工期</w:t>
            </w:r>
          </w:p>
          <w:p w14:paraId="7D0C972B">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（1）场地平整、基础工程施工</w:t>
            </w:r>
          </w:p>
          <w:p w14:paraId="4A84F813">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场地清理主要包括清除地面的植物和其他障碍物，项目基础工程施工主要包括地基处理工作。基础工程施工过程中以人工施工为主，配备部分机械施工相结合的方式，在进行场地处理和地基处理施工过程中会产生扬尘、噪声。</w:t>
            </w:r>
          </w:p>
          <w:p w14:paraId="2E30509B">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（2）主体建筑施工</w:t>
            </w:r>
          </w:p>
          <w:p w14:paraId="10D812AA">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过程采用人工施工为主，配有少量的机械施工相结合的方式。噪声影响较小，施工方式合理。钢架结构在厂家内部焊接，运进项目区后做简单的吊装，将钢架跨梁焊接在钢管立柱上，彩钢瓦用钢钉固定在跨梁上。项目主体建筑施工过程中会产生扬尘、噪声和边角材料。</w:t>
            </w:r>
          </w:p>
          <w:p w14:paraId="21F82E5B">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（3）装修、设备安装</w:t>
            </w:r>
          </w:p>
          <w:p w14:paraId="78D4504B">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基础工程和主体建筑施工完毕后，进行装修及设备安装，此过程会产生噪声及粉尘，完毕后随即消失。</w:t>
            </w:r>
          </w:p>
          <w:p w14:paraId="54DC6EB0">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本项目施工期工艺流程及产排污节点见下图。</w:t>
            </w:r>
          </w:p>
          <w:p w14:paraId="046504A1">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anchor distT="0" distB="0" distL="114300" distR="114300" simplePos="0" relativeHeight="251660288" behindDoc="0" locked="0" layoutInCell="1" allowOverlap="1">
                  <wp:simplePos x="0" y="0"/>
                  <wp:positionH relativeFrom="column">
                    <wp:posOffset>13335</wp:posOffset>
                  </wp:positionH>
                  <wp:positionV relativeFrom="paragraph">
                    <wp:posOffset>151130</wp:posOffset>
                  </wp:positionV>
                  <wp:extent cx="4919345" cy="1248410"/>
                  <wp:effectExtent l="0" t="0" r="0" b="8890"/>
                  <wp:wrapNone/>
                  <wp:docPr id="56" name="图片 56" descr="1662343968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662343968630"/>
                          <pic:cNvPicPr>
                            <a:picLocks noChangeAspect="1"/>
                          </pic:cNvPicPr>
                        </pic:nvPicPr>
                        <pic:blipFill>
                          <a:blip r:embed="rId18"/>
                          <a:stretch>
                            <a:fillRect/>
                          </a:stretch>
                        </pic:blipFill>
                        <pic:spPr>
                          <a:xfrm>
                            <a:off x="0" y="0"/>
                            <a:ext cx="4919345" cy="1248410"/>
                          </a:xfrm>
                          <a:prstGeom prst="rect">
                            <a:avLst/>
                          </a:prstGeom>
                        </pic:spPr>
                      </pic:pic>
                    </a:graphicData>
                  </a:graphic>
                </wp:anchor>
              </w:drawing>
            </w:r>
          </w:p>
          <w:p w14:paraId="02DB4B4B">
            <w:pPr>
              <w:pStyle w:val="95"/>
              <w:spacing w:line="500" w:lineRule="exact"/>
              <w:ind w:firstLine="480"/>
              <w:rPr>
                <w:rFonts w:hint="default" w:ascii="Times New Roman" w:hAnsi="Times New Roman" w:cs="Times New Roman"/>
                <w:color w:val="auto"/>
                <w:sz w:val="24"/>
                <w:highlight w:val="none"/>
              </w:rPr>
            </w:pPr>
          </w:p>
          <w:p w14:paraId="4B576CE7">
            <w:pPr>
              <w:pStyle w:val="95"/>
              <w:spacing w:line="500" w:lineRule="exact"/>
              <w:ind w:firstLine="480"/>
              <w:rPr>
                <w:rFonts w:hint="default" w:ascii="Times New Roman" w:hAnsi="Times New Roman" w:cs="Times New Roman"/>
                <w:color w:val="auto"/>
                <w:sz w:val="24"/>
                <w:highlight w:val="none"/>
              </w:rPr>
            </w:pPr>
          </w:p>
          <w:p w14:paraId="6467B747">
            <w:pPr>
              <w:pStyle w:val="95"/>
              <w:spacing w:line="500" w:lineRule="exact"/>
              <w:ind w:firstLine="480"/>
              <w:rPr>
                <w:rFonts w:hint="default" w:ascii="Times New Roman" w:hAnsi="Times New Roman" w:cs="Times New Roman"/>
                <w:color w:val="auto"/>
                <w:sz w:val="24"/>
                <w:highlight w:val="none"/>
              </w:rPr>
            </w:pPr>
          </w:p>
          <w:p w14:paraId="3EB546D0">
            <w:pPr>
              <w:pStyle w:val="95"/>
              <w:spacing w:line="500" w:lineRule="exact"/>
              <w:ind w:firstLine="0" w:firstLineChars="0"/>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图2-3施工期工艺流程及产污节点图</w:t>
            </w:r>
          </w:p>
          <w:p w14:paraId="2A040623">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二、运营期</w:t>
            </w:r>
          </w:p>
          <w:p w14:paraId="0A71BC63">
            <w:pPr>
              <w:adjustRightInd w:val="0"/>
              <w:snapToGrid w:val="0"/>
              <w:spacing w:line="500" w:lineRule="exact"/>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运营期工艺流程及产污节点图见下图。</w:t>
            </w:r>
          </w:p>
          <w:p w14:paraId="6FD267D5">
            <w:pPr>
              <w:rPr>
                <w:rFonts w:hint="default" w:ascii="Times New Roman" w:hAnsi="Times New Roman" w:cs="Times New Roman"/>
                <w:color w:val="auto"/>
                <w:sz w:val="24"/>
                <w:highlight w:val="none"/>
              </w:rPr>
            </w:pPr>
          </w:p>
          <w:p w14:paraId="1B196D37">
            <w:pPr>
              <w:adjustRightInd w:val="0"/>
              <w:snapToGrid w:val="0"/>
              <w:spacing w:line="360" w:lineRule="auto"/>
              <w:jc w:val="center"/>
              <w:rPr>
                <w:rFonts w:hint="default" w:ascii="Times New Roman" w:hAnsi="Times New Roman" w:eastAsia="宋体" w:cs="Times New Roman"/>
                <w:color w:val="auto"/>
                <w:highlight w:val="none"/>
                <w:lang w:eastAsia="zh-CN"/>
              </w:rPr>
            </w:pPr>
            <w:bookmarkStart w:id="53" w:name="_Ref43737161"/>
            <w:r>
              <w:rPr>
                <w:rFonts w:hint="default" w:ascii="Times New Roman" w:hAnsi="Times New Roman" w:cs="Times New Roman"/>
                <w:color w:val="auto"/>
                <w:highlight w:val="none"/>
              </w:rPr>
              <w:drawing>
                <wp:anchor distT="0" distB="0" distL="114300" distR="114300" simplePos="0" relativeHeight="251685888" behindDoc="0" locked="0" layoutInCell="1" allowOverlap="1">
                  <wp:simplePos x="0" y="0"/>
                  <wp:positionH relativeFrom="column">
                    <wp:posOffset>3856355</wp:posOffset>
                  </wp:positionH>
                  <wp:positionV relativeFrom="paragraph">
                    <wp:posOffset>2322830</wp:posOffset>
                  </wp:positionV>
                  <wp:extent cx="630555" cy="623570"/>
                  <wp:effectExtent l="0" t="0" r="17145" b="5080"/>
                  <wp:wrapNone/>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19"/>
                          <a:stretch>
                            <a:fillRect/>
                          </a:stretch>
                        </pic:blipFill>
                        <pic:spPr>
                          <a:xfrm>
                            <a:off x="0" y="0"/>
                            <a:ext cx="630555" cy="623570"/>
                          </a:xfrm>
                          <a:prstGeom prst="rect">
                            <a:avLst/>
                          </a:prstGeom>
                          <a:noFill/>
                          <a:ln>
                            <a:noFill/>
                          </a:ln>
                        </pic:spPr>
                      </pic:pic>
                    </a:graphicData>
                  </a:graphic>
                </wp:anchor>
              </w:drawing>
            </w:r>
            <w:r>
              <w:rPr>
                <w:rFonts w:hint="default" w:ascii="Times New Roman" w:hAnsi="Times New Roman" w:eastAsia="宋体" w:cs="Times New Roman"/>
                <w:color w:val="auto"/>
                <w:highlight w:val="none"/>
                <w:lang w:eastAsia="zh-CN"/>
              </w:rPr>
              <w:drawing>
                <wp:inline distT="0" distB="0" distL="114300" distR="114300">
                  <wp:extent cx="4277995" cy="3003550"/>
                  <wp:effectExtent l="0" t="0" r="8255" b="6350"/>
                  <wp:docPr id="57" name="图片 57" descr="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工艺流程"/>
                          <pic:cNvPicPr>
                            <a:picLocks noChangeAspect="1"/>
                          </pic:cNvPicPr>
                        </pic:nvPicPr>
                        <pic:blipFill>
                          <a:blip r:embed="rId20"/>
                          <a:stretch>
                            <a:fillRect/>
                          </a:stretch>
                        </pic:blipFill>
                        <pic:spPr>
                          <a:xfrm>
                            <a:off x="0" y="0"/>
                            <a:ext cx="4277995" cy="3003550"/>
                          </a:xfrm>
                          <a:prstGeom prst="rect">
                            <a:avLst/>
                          </a:prstGeom>
                        </pic:spPr>
                      </pic:pic>
                    </a:graphicData>
                  </a:graphic>
                </wp:inline>
              </w:drawing>
            </w:r>
          </w:p>
          <w:p w14:paraId="63B56579">
            <w:pPr>
              <w:adjustRightInd w:val="0"/>
              <w:snapToGrid w:val="0"/>
              <w:spacing w:line="360" w:lineRule="auto"/>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 xml:space="preserve">图2-4 </w:t>
            </w:r>
            <w:r>
              <w:rPr>
                <w:rFonts w:hint="default" w:ascii="Times New Roman" w:hAnsi="Times New Roman" w:eastAsia="黑体" w:cs="Times New Roman"/>
                <w:color w:val="auto"/>
                <w:sz w:val="24"/>
                <w:highlight w:val="none"/>
                <w:lang w:val="en-US" w:eastAsia="zh-CN"/>
              </w:rPr>
              <w:t>沥青混凝土</w:t>
            </w:r>
            <w:r>
              <w:rPr>
                <w:rFonts w:hint="default" w:ascii="Times New Roman" w:hAnsi="Times New Roman" w:eastAsia="黑体" w:cs="Times New Roman"/>
                <w:color w:val="auto"/>
                <w:sz w:val="24"/>
                <w:highlight w:val="none"/>
              </w:rPr>
              <w:t>生产工艺流程及产污环节图</w:t>
            </w:r>
            <w:bookmarkEnd w:id="53"/>
          </w:p>
          <w:p w14:paraId="241C9E68">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工艺流程简述：</w:t>
            </w:r>
          </w:p>
          <w:p w14:paraId="3907AC49">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①冷料斗（计量配料）：通过铲车按比例将不同粒径破碎后的碎石送入冷料斗内，随后冷料斗内冷料通过皮带输送被送到烘干滚筒内，冷料在转运及输送过程中会产生一定量的扬尘，以无组织排放形式排放。</w:t>
            </w:r>
          </w:p>
          <w:p w14:paraId="67B83E74">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烘干：配比好的碎石由输送装置送至密闭式烘干滚筒内进行烘干，输送带及落料点均采取全密闭，烘干滚筒出料口一端安装有燃烧器，燃烧器燃料为轻质柴油，燃烧产生的热气流进入干滚筒将物料烘干，即为沥青混凝土骨料，烘干滚筒采用逆料流加热方式，燃烧器火焰自烘干滚筒出料口一端喷入，热气流逆着料流方向穿过滚筒时被骨料吸走热量。逆流加热时的烟温度约350℃为了使骨料受热均匀，烘干滚筒不停的转动，滚筒内的提升叶片将入筒内的冷骨料不断的升起和抛下（骨料在烘干滚筒内的停留时间为30min左右，尾气温度在120℃左右）。在烘干过程中，燃烧器燃烧会产生含尘烟气（主要污染因子为颗粒物、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x</w:t>
            </w:r>
            <w:r>
              <w:rPr>
                <w:rFonts w:hint="default" w:ascii="Times New Roman" w:hAnsi="Times New Roman" w:eastAsia="宋体" w:cs="Times New Roman"/>
                <w:color w:val="auto"/>
                <w:sz w:val="24"/>
                <w:szCs w:val="24"/>
                <w:highlight w:val="none"/>
              </w:rPr>
              <w:t>）。</w:t>
            </w:r>
          </w:p>
          <w:p w14:paraId="4C9D8234">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③提升：将加热的骨料通过密闭式骨料提升机送到位于搅拌机顶部的密闭式振动筛。提升过程在全密闭系统内进行，无粉尘排放。</w:t>
            </w:r>
          </w:p>
          <w:p w14:paraId="2C7718E2">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④振动筛分：烘干后的石料经密闭式骨料提升机输送至振动筛，筛分后合格骨料进入搅拌机内搅拌，不合格石料经专门出口排出。筛分过程中会产生含尘废气。</w:t>
            </w:r>
          </w:p>
          <w:p w14:paraId="6D3CFB18">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⑤沥青加热、保温：沥青是</w:t>
            </w:r>
            <w:r>
              <w:rPr>
                <w:rFonts w:hint="default" w:ascii="Times New Roman" w:hAnsi="Times New Roman" w:eastAsia="宋体" w:cs="Times New Roman"/>
                <w:color w:val="auto"/>
                <w:sz w:val="24"/>
                <w:szCs w:val="24"/>
                <w:highlight w:val="none"/>
                <w:lang w:eastAsia="zh-CN"/>
              </w:rPr>
              <w:t>石油化工厂</w:t>
            </w:r>
            <w:r>
              <w:rPr>
                <w:rFonts w:hint="default" w:ascii="Times New Roman" w:hAnsi="Times New Roman" w:eastAsia="宋体" w:cs="Times New Roman"/>
                <w:color w:val="auto"/>
                <w:sz w:val="24"/>
                <w:szCs w:val="24"/>
                <w:highlight w:val="none"/>
              </w:rPr>
              <w:t>热解石油气原料时得到的副产品，由专用沥青运输车将沥青通过密闭沥青管道送至沥青储罐，使用</w:t>
            </w:r>
            <w:r>
              <w:rPr>
                <w:rFonts w:hint="default" w:ascii="Times New Roman" w:hAnsi="Times New Roman" w:eastAsia="宋体" w:cs="Times New Roman"/>
                <w:color w:val="auto"/>
                <w:sz w:val="24"/>
                <w:szCs w:val="24"/>
                <w:highlight w:val="none"/>
                <w:lang w:val="en-US" w:eastAsia="zh-CN"/>
              </w:rPr>
              <w:t>100</w:t>
            </w:r>
            <w:r>
              <w:rPr>
                <w:rFonts w:hint="default" w:ascii="Times New Roman" w:hAnsi="Times New Roman" w:eastAsia="宋体" w:cs="Times New Roman"/>
                <w:color w:val="auto"/>
                <w:sz w:val="24"/>
                <w:szCs w:val="24"/>
                <w:highlight w:val="none"/>
              </w:rPr>
              <w:t>万Kcal导热油炉将其加热至150～180℃，由沥青泵输送到沥青计量器，按一定的配比重量后通过专门管道送入沥青混凝土搅拌主楼的搅拌机内与石料、矿粉混合。导热油炉采用轻质柴油作为燃料，导热油炉烟气主要污染因子为颗粒物、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x</w:t>
            </w:r>
            <w:r>
              <w:rPr>
                <w:rFonts w:hint="default" w:ascii="Times New Roman" w:hAnsi="Times New Roman" w:eastAsia="宋体" w:cs="Times New Roman"/>
                <w:color w:val="auto"/>
                <w:sz w:val="24"/>
                <w:szCs w:val="24"/>
                <w:highlight w:val="none"/>
              </w:rPr>
              <w:t>。沥青在间接加热过程中，会产生沥青烟气。</w:t>
            </w:r>
          </w:p>
          <w:p w14:paraId="100C151E">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⑥计量、拌合：沥青、矿粉、碎石骨料通过计量系统自动计量，按照比例进入搅拌机，混合拌料过程中搅拌机全程密闭，沥青在高速拌料、高温时会产生沥青烟气，在卸料阀开启卸料装车过程中会散发出废气。</w:t>
            </w:r>
          </w:p>
          <w:p w14:paraId="4CEF5058">
            <w:pPr>
              <w:adjustRightInd w:val="0"/>
              <w:snapToGrid w:val="0"/>
              <w:spacing w:line="360" w:lineRule="auto"/>
              <w:ind w:firstLine="480" w:firstLineChars="20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⑦出仓、运输：项目成品仓高度低于</w:t>
            </w:r>
            <w:r>
              <w:rPr>
                <w:rFonts w:hint="default" w:ascii="Times New Roman" w:hAnsi="Times New Roman" w:cs="Times New Roman"/>
                <w:color w:val="auto"/>
                <w:kern w:val="0"/>
                <w:sz w:val="24"/>
                <w:szCs w:val="24"/>
                <w:highlight w:val="none"/>
                <w:lang w:val="en-US" w:eastAsia="zh-CN" w:bidi="ar-SA"/>
              </w:rPr>
              <w:t>拌合</w:t>
            </w:r>
            <w:r>
              <w:rPr>
                <w:rFonts w:hint="default" w:ascii="Times New Roman" w:hAnsi="Times New Roman" w:eastAsia="宋体" w:cs="Times New Roman"/>
                <w:color w:val="auto"/>
                <w:kern w:val="0"/>
                <w:sz w:val="24"/>
                <w:szCs w:val="24"/>
                <w:highlight w:val="none"/>
                <w:lang w:val="en-US" w:eastAsia="zh-CN" w:bidi="ar-SA"/>
              </w:rPr>
              <w:t>系统，因此成品经过自身重力作用降落至成品仓，整个生产工艺在密闭系统中进行。同时成品仓出料口的高度高于运输车，因此成品经过出料口进入运输车</w:t>
            </w:r>
            <w:r>
              <w:rPr>
                <w:rFonts w:hint="default" w:ascii="Times New Roman" w:hAnsi="Times New Roman" w:cs="Times New Roman"/>
                <w:color w:val="auto"/>
                <w:kern w:val="0"/>
                <w:sz w:val="24"/>
                <w:szCs w:val="24"/>
                <w:highlight w:val="none"/>
                <w:lang w:val="en-US" w:eastAsia="zh-CN" w:bidi="ar-SA"/>
              </w:rPr>
              <w:t>。</w:t>
            </w:r>
          </w:p>
          <w:p w14:paraId="32835CDA">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027170" cy="2248535"/>
                  <wp:effectExtent l="0" t="0" r="11430" b="18415"/>
                  <wp:docPr id="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5"/>
                          <pic:cNvPicPr>
                            <a:picLocks noChangeAspect="1"/>
                          </pic:cNvPicPr>
                        </pic:nvPicPr>
                        <pic:blipFill>
                          <a:blip r:embed="rId21"/>
                          <a:stretch>
                            <a:fillRect/>
                          </a:stretch>
                        </pic:blipFill>
                        <pic:spPr>
                          <a:xfrm>
                            <a:off x="0" y="0"/>
                            <a:ext cx="4027170" cy="2248535"/>
                          </a:xfrm>
                          <a:prstGeom prst="rect">
                            <a:avLst/>
                          </a:prstGeom>
                          <a:noFill/>
                          <a:ln>
                            <a:noFill/>
                          </a:ln>
                        </pic:spPr>
                      </pic:pic>
                    </a:graphicData>
                  </a:graphic>
                </wp:inline>
              </w:drawing>
            </w:r>
            <w:r>
              <w:rPr>
                <w:rFonts w:hint="default" w:ascii="Times New Roman" w:hAnsi="Times New Roman" w:cs="Times New Roman"/>
                <w:color w:val="auto"/>
                <w:highlight w:val="none"/>
              </w:rPr>
              <w:drawing>
                <wp:anchor distT="0" distB="0" distL="114300" distR="114300" simplePos="0" relativeHeight="251684864" behindDoc="1" locked="0" layoutInCell="1" allowOverlap="1">
                  <wp:simplePos x="0" y="0"/>
                  <wp:positionH relativeFrom="column">
                    <wp:posOffset>3681730</wp:posOffset>
                  </wp:positionH>
                  <wp:positionV relativeFrom="paragraph">
                    <wp:posOffset>1616075</wp:posOffset>
                  </wp:positionV>
                  <wp:extent cx="630555" cy="623570"/>
                  <wp:effectExtent l="0" t="0" r="17145" b="5080"/>
                  <wp:wrapThrough wrapText="bothSides">
                    <wp:wrapPolygon>
                      <wp:start x="0" y="0"/>
                      <wp:lineTo x="0" y="21116"/>
                      <wp:lineTo x="20882" y="21116"/>
                      <wp:lineTo x="20882" y="0"/>
                      <wp:lineTo x="0" y="0"/>
                    </wp:wrapPolygon>
                  </wp:wrapThrough>
                  <wp:docPr id="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
                          <pic:cNvPicPr>
                            <a:picLocks noChangeAspect="1"/>
                          </pic:cNvPicPr>
                        </pic:nvPicPr>
                        <pic:blipFill>
                          <a:blip r:embed="rId19"/>
                          <a:stretch>
                            <a:fillRect/>
                          </a:stretch>
                        </pic:blipFill>
                        <pic:spPr>
                          <a:xfrm>
                            <a:off x="0" y="0"/>
                            <a:ext cx="630555" cy="623570"/>
                          </a:xfrm>
                          <a:prstGeom prst="rect">
                            <a:avLst/>
                          </a:prstGeom>
                          <a:noFill/>
                          <a:ln>
                            <a:noFill/>
                          </a:ln>
                        </pic:spPr>
                      </pic:pic>
                    </a:graphicData>
                  </a:graphic>
                </wp:anchor>
              </w:drawing>
            </w:r>
          </w:p>
          <w:p w14:paraId="24AEBEA6">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eastAsia="黑体" w:cs="Times New Roman"/>
                <w:color w:val="auto"/>
                <w:sz w:val="24"/>
                <w:highlight w:val="none"/>
              </w:rPr>
              <w:t>图2-</w:t>
            </w:r>
            <w:r>
              <w:rPr>
                <w:rFonts w:hint="default" w:ascii="Times New Roman" w:hAnsi="Times New Roman" w:eastAsia="黑体" w:cs="Times New Roman"/>
                <w:color w:val="auto"/>
                <w:sz w:val="24"/>
                <w:highlight w:val="none"/>
                <w:lang w:val="en-US" w:eastAsia="zh-CN"/>
              </w:rPr>
              <w:t>5</w:t>
            </w:r>
            <w:r>
              <w:rPr>
                <w:rFonts w:hint="default" w:ascii="Times New Roman" w:hAnsi="Times New Roman" w:eastAsia="黑体" w:cs="Times New Roman"/>
                <w:color w:val="auto"/>
                <w:sz w:val="24"/>
                <w:highlight w:val="none"/>
              </w:rPr>
              <w:t xml:space="preserve"> </w:t>
            </w:r>
            <w:r>
              <w:rPr>
                <w:rFonts w:hint="default" w:ascii="Times New Roman" w:hAnsi="Times New Roman" w:eastAsia="黑体" w:cs="Times New Roman"/>
                <w:color w:val="auto"/>
                <w:sz w:val="24"/>
                <w:highlight w:val="none"/>
                <w:lang w:val="en-US" w:eastAsia="zh-CN"/>
              </w:rPr>
              <w:t>乳化沥青</w:t>
            </w:r>
            <w:r>
              <w:rPr>
                <w:rFonts w:hint="default" w:ascii="Times New Roman" w:hAnsi="Times New Roman" w:eastAsia="黑体" w:cs="Times New Roman"/>
                <w:color w:val="auto"/>
                <w:sz w:val="24"/>
                <w:highlight w:val="none"/>
              </w:rPr>
              <w:t>生产工艺流程及产污环节图</w:t>
            </w:r>
          </w:p>
          <w:p w14:paraId="4E6EF031">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工艺流程简述：</w:t>
            </w:r>
          </w:p>
          <w:p w14:paraId="7C4BEAE9">
            <w:pPr>
              <w:pStyle w:val="29"/>
              <w:spacing w:after="0" w:line="360" w:lineRule="auto"/>
              <w:ind w:left="0" w:leftChars="0" w:firstLine="480"/>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lang w:val="en-US" w:eastAsia="zh-CN"/>
              </w:rPr>
              <w:t>水和沥青采用燃油导热油炉间接加热，水和乳化液按比例要求计量，与沥青一并搅拌均匀，然后外运至工地</w:t>
            </w:r>
            <w:r>
              <w:rPr>
                <w:rFonts w:hint="default" w:ascii="Times New Roman" w:hAnsi="Times New Roman" w:eastAsia="宋体" w:cs="Times New Roman"/>
                <w:color w:val="auto"/>
                <w:kern w:val="0"/>
                <w:sz w:val="24"/>
                <w:szCs w:val="24"/>
                <w:highlight w:val="none"/>
                <w:lang w:eastAsia="zh-CN"/>
              </w:rPr>
              <w:t>。</w:t>
            </w:r>
          </w:p>
          <w:p w14:paraId="7DB9BD91">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0"/>
                <w:sz w:val="24"/>
                <w:szCs w:val="24"/>
                <w:highlight w:val="none"/>
                <w:lang w:eastAsia="zh-CN"/>
              </w:rPr>
              <w:t>产污环节：</w:t>
            </w:r>
            <w:r>
              <w:rPr>
                <w:rFonts w:hint="default" w:ascii="Times New Roman" w:hAnsi="Times New Roman" w:cs="Times New Roman"/>
                <w:color w:val="auto"/>
                <w:kern w:val="0"/>
                <w:sz w:val="24"/>
                <w:szCs w:val="24"/>
                <w:highlight w:val="none"/>
                <w:lang w:eastAsia="zh-CN"/>
              </w:rPr>
              <w:t>沥青产生的</w:t>
            </w:r>
            <w:r>
              <w:rPr>
                <w:rFonts w:hint="default" w:ascii="Times New Roman" w:hAnsi="Times New Roman" w:eastAsia="宋体" w:cs="Times New Roman"/>
                <w:color w:val="auto"/>
                <w:kern w:val="0"/>
                <w:sz w:val="24"/>
                <w:szCs w:val="24"/>
                <w:highlight w:val="none"/>
                <w:lang w:eastAsia="zh-CN"/>
              </w:rPr>
              <w:t>苯并[a]芘、沥青烟、VOCs，</w:t>
            </w:r>
            <w:r>
              <w:rPr>
                <w:rFonts w:hint="default" w:ascii="Times New Roman" w:hAnsi="Times New Roman" w:cs="Times New Roman"/>
                <w:color w:val="auto"/>
                <w:kern w:val="0"/>
                <w:sz w:val="24"/>
                <w:szCs w:val="24"/>
                <w:highlight w:val="none"/>
                <w:lang w:eastAsia="zh-CN"/>
              </w:rPr>
              <w:t>设备</w:t>
            </w:r>
            <w:r>
              <w:rPr>
                <w:rFonts w:hint="default" w:ascii="Times New Roman" w:hAnsi="Times New Roman" w:eastAsia="宋体" w:cs="Times New Roman"/>
                <w:color w:val="auto"/>
                <w:kern w:val="0"/>
                <w:sz w:val="24"/>
                <w:szCs w:val="24"/>
                <w:highlight w:val="none"/>
                <w:lang w:eastAsia="zh-CN"/>
              </w:rPr>
              <w:t>噪声，</w:t>
            </w:r>
            <w:r>
              <w:rPr>
                <w:rFonts w:hint="default" w:ascii="Times New Roman" w:hAnsi="Times New Roman" w:eastAsia="宋体" w:cs="Times New Roman"/>
                <w:color w:val="auto"/>
                <w:kern w:val="0"/>
                <w:sz w:val="24"/>
                <w:szCs w:val="24"/>
                <w:highlight w:val="none"/>
                <w:lang w:val="en-US" w:eastAsia="zh-CN"/>
              </w:rPr>
              <w:t>柴油</w:t>
            </w:r>
            <w:r>
              <w:rPr>
                <w:rFonts w:hint="default" w:ascii="Times New Roman" w:hAnsi="Times New Roman" w:eastAsia="宋体" w:cs="Times New Roman"/>
                <w:color w:val="auto"/>
                <w:kern w:val="0"/>
                <w:sz w:val="24"/>
                <w:szCs w:val="24"/>
                <w:highlight w:val="none"/>
                <w:lang w:eastAsia="zh-CN"/>
              </w:rPr>
              <w:t>燃烧废气。</w:t>
            </w:r>
          </w:p>
        </w:tc>
      </w:tr>
      <w:tr w14:paraId="69A3F3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99" w:type="dxa"/>
            <w:shd w:val="clear" w:color="auto" w:fill="auto"/>
            <w:vAlign w:val="center"/>
          </w:tcPr>
          <w:p w14:paraId="0EB05B92">
            <w:pPr>
              <w:jc w:val="center"/>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与项目有关的原有环境污染问题</w:t>
            </w:r>
          </w:p>
        </w:tc>
        <w:tc>
          <w:tcPr>
            <w:tcW w:w="8125" w:type="dxa"/>
            <w:vAlign w:val="center"/>
          </w:tcPr>
          <w:p w14:paraId="1833C67C">
            <w:pPr>
              <w:pStyle w:val="68"/>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项目为新建项目，</w:t>
            </w:r>
            <w:r>
              <w:rPr>
                <w:rFonts w:hint="default" w:ascii="Times New Roman" w:hAnsi="Times New Roman" w:cs="Times New Roman"/>
                <w:color w:val="auto"/>
                <w:sz w:val="24"/>
                <w:highlight w:val="none"/>
                <w:lang w:val="en-US" w:eastAsia="zh-CN"/>
              </w:rPr>
              <w:t>厂区原为木材厂闲置区域，场地仅有原有闲置房屋，</w:t>
            </w:r>
            <w:r>
              <w:rPr>
                <w:rFonts w:hint="default" w:ascii="Times New Roman" w:hAnsi="Times New Roman" w:cs="Times New Roman"/>
                <w:color w:val="auto"/>
                <w:sz w:val="24"/>
                <w:highlight w:val="none"/>
              </w:rPr>
              <w:t>不存在与项目有关的原有环境污染问题。</w:t>
            </w:r>
          </w:p>
        </w:tc>
      </w:tr>
    </w:tbl>
    <w:p w14:paraId="49CAB250">
      <w:pPr>
        <w:pStyle w:val="25"/>
        <w:ind w:firstLine="720"/>
        <w:jc w:val="center"/>
        <w:rPr>
          <w:rFonts w:hint="default" w:ascii="Times New Roman" w:hAnsi="Times New Roman" w:eastAsia="仿宋" w:cs="Times New Roman"/>
          <w:snapToGrid w:val="0"/>
          <w:color w:val="auto"/>
          <w:sz w:val="36"/>
          <w:szCs w:val="36"/>
          <w:highlight w:val="none"/>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4E86E71">
      <w:pPr>
        <w:pStyle w:val="25"/>
        <w:adjustRightInd w:val="0"/>
        <w:snapToGrid w:val="0"/>
        <w:spacing w:before="0" w:beforeAutospacing="0" w:after="0" w:afterAutospacing="0"/>
        <w:outlineLvl w:val="0"/>
        <w:rPr>
          <w:rFonts w:hint="default" w:ascii="Times New Roman" w:hAnsi="Times New Roman" w:cs="Times New Roman"/>
          <w:snapToGrid w:val="0"/>
          <w:color w:val="auto"/>
          <w:sz w:val="30"/>
          <w:szCs w:val="30"/>
          <w:highlight w:val="none"/>
        </w:rPr>
      </w:pPr>
      <w:bookmarkStart w:id="54" w:name="_Toc10157"/>
      <w:r>
        <w:rPr>
          <w:rFonts w:hint="default" w:ascii="Times New Roman" w:hAnsi="Times New Roman" w:cs="Times New Roman"/>
          <w:snapToGrid w:val="0"/>
          <w:color w:val="auto"/>
          <w:sz w:val="30"/>
          <w:szCs w:val="30"/>
          <w:highlight w:val="none"/>
        </w:rPr>
        <w:t>三、区域环境质量现状、环境保护目标及评价标准</w:t>
      </w:r>
      <w:bookmarkEnd w:id="54"/>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070"/>
      </w:tblGrid>
      <w:tr w14:paraId="5B3267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dxa"/>
            <w:vAlign w:val="center"/>
          </w:tcPr>
          <w:p w14:paraId="149A13E5">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区域</w:t>
            </w:r>
          </w:p>
          <w:p w14:paraId="0F1CA56C">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w:t>
            </w:r>
          </w:p>
          <w:p w14:paraId="13CE8780">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质量</w:t>
            </w:r>
          </w:p>
          <w:p w14:paraId="01AB6089">
            <w:pPr>
              <w:jc w:val="center"/>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现状</w:t>
            </w:r>
          </w:p>
        </w:tc>
        <w:tc>
          <w:tcPr>
            <w:tcW w:w="7943" w:type="dxa"/>
            <w:vAlign w:val="center"/>
          </w:tcPr>
          <w:p w14:paraId="35A623C6">
            <w:pPr>
              <w:pStyle w:val="95"/>
              <w:spacing w:line="500" w:lineRule="exact"/>
              <w:ind w:firstLine="482"/>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一、大气环境质量现状</w:t>
            </w:r>
          </w:p>
          <w:p w14:paraId="047EA2BF">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（1）常规污染物</w:t>
            </w:r>
          </w:p>
          <w:p w14:paraId="2D35D1BA">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w:t>
            </w:r>
            <w:r>
              <w:rPr>
                <w:rFonts w:hint="default" w:ascii="Times New Roman" w:hAnsi="Times New Roman" w:cs="Times New Roman"/>
                <w:color w:val="auto"/>
                <w:sz w:val="24"/>
                <w:szCs w:val="24"/>
                <w:highlight w:val="none"/>
              </w:rPr>
              <w:t>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年黑龙江省生态环境质量状况</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鸡西市</w:t>
            </w:r>
            <w:r>
              <w:rPr>
                <w:rFonts w:hint="default" w:ascii="Times New Roman" w:hAnsi="Times New Roman" w:cs="Times New Roman"/>
                <w:color w:val="auto"/>
                <w:kern w:val="0"/>
                <w:sz w:val="24"/>
                <w:highlight w:val="none"/>
              </w:rPr>
              <w:t>常规污染物（SO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、NO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、PM</w:t>
            </w:r>
            <w:r>
              <w:rPr>
                <w:rFonts w:hint="default" w:ascii="Times New Roman" w:hAnsi="Times New Roman" w:cs="Times New Roman"/>
                <w:color w:val="auto"/>
                <w:kern w:val="0"/>
                <w:sz w:val="24"/>
                <w:highlight w:val="none"/>
                <w:vertAlign w:val="subscript"/>
              </w:rPr>
              <w:t>10</w:t>
            </w:r>
            <w:r>
              <w:rPr>
                <w:rFonts w:hint="default" w:ascii="Times New Roman" w:hAnsi="Times New Roman" w:cs="Times New Roman"/>
                <w:color w:val="auto"/>
                <w:kern w:val="0"/>
                <w:sz w:val="24"/>
                <w:highlight w:val="none"/>
              </w:rPr>
              <w:t>、O</w:t>
            </w:r>
            <w:r>
              <w:rPr>
                <w:rFonts w:hint="default" w:ascii="Times New Roman" w:hAnsi="Times New Roman" w:cs="Times New Roman"/>
                <w:color w:val="auto"/>
                <w:kern w:val="0"/>
                <w:sz w:val="24"/>
                <w:highlight w:val="none"/>
                <w:vertAlign w:val="subscript"/>
              </w:rPr>
              <w:t>3</w:t>
            </w:r>
            <w:r>
              <w:rPr>
                <w:rFonts w:hint="default" w:ascii="Times New Roman" w:hAnsi="Times New Roman" w:cs="Times New Roman"/>
                <w:color w:val="auto"/>
                <w:kern w:val="0"/>
                <w:sz w:val="24"/>
                <w:highlight w:val="none"/>
              </w:rPr>
              <w:t>、CO、PM</w:t>
            </w:r>
            <w:r>
              <w:rPr>
                <w:rFonts w:hint="default" w:ascii="Times New Roman" w:hAnsi="Times New Roman" w:cs="Times New Roman"/>
                <w:color w:val="auto"/>
                <w:kern w:val="0"/>
                <w:sz w:val="24"/>
                <w:highlight w:val="none"/>
                <w:vertAlign w:val="subscript"/>
              </w:rPr>
              <w:t>2.5</w:t>
            </w:r>
            <w:r>
              <w:rPr>
                <w:rFonts w:hint="default" w:ascii="Times New Roman" w:hAnsi="Times New Roman" w:cs="Times New Roman"/>
                <w:color w:val="auto"/>
                <w:kern w:val="0"/>
                <w:sz w:val="24"/>
                <w:highlight w:val="none"/>
              </w:rPr>
              <w:t>）区域空气质量现状评价情况见下表。</w:t>
            </w:r>
          </w:p>
          <w:p w14:paraId="7A8E24C3">
            <w:pPr>
              <w:spacing w:line="400" w:lineRule="exact"/>
              <w:jc w:val="center"/>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表3-1 区域空气质量现状评价表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2004"/>
              <w:gridCol w:w="1464"/>
              <w:gridCol w:w="1314"/>
              <w:gridCol w:w="993"/>
              <w:gridCol w:w="999"/>
            </w:tblGrid>
            <w:tr w14:paraId="01AAA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5" w:type="dxa"/>
                  <w:vAlign w:val="center"/>
                </w:tcPr>
                <w:p w14:paraId="23A45624">
                  <w:pPr>
                    <w:keepNext w:val="0"/>
                    <w:keepLines w:val="0"/>
                    <w:pageBreakBefore w:val="0"/>
                    <w:widowControl w:val="0"/>
                    <w:kinsoku/>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1903" w:type="dxa"/>
                  <w:vAlign w:val="center"/>
                </w:tcPr>
                <w:p w14:paraId="4F27B602">
                  <w:pPr>
                    <w:keepNext w:val="0"/>
                    <w:keepLines w:val="0"/>
                    <w:pageBreakBefore w:val="0"/>
                    <w:widowControl w:val="0"/>
                    <w:kinsoku/>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年评价指标</w:t>
                  </w:r>
                </w:p>
              </w:tc>
              <w:tc>
                <w:tcPr>
                  <w:tcW w:w="1390" w:type="dxa"/>
                  <w:vAlign w:val="center"/>
                </w:tcPr>
                <w:p w14:paraId="28BDB2A7">
                  <w:pPr>
                    <w:keepNext w:val="0"/>
                    <w:keepLines w:val="0"/>
                    <w:pageBreakBefore w:val="0"/>
                    <w:widowControl w:val="0"/>
                    <w:kinsoku/>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现状浓度/</w:t>
                  </w:r>
                  <w:r>
                    <w:rPr>
                      <w:rFonts w:hint="default" w:ascii="Times New Roman" w:hAnsi="Times New Roman" w:cs="Times New Roman"/>
                      <w:snapToGrid w:val="0"/>
                      <w:color w:val="auto"/>
                      <w:kern w:val="0"/>
                      <w:sz w:val="24"/>
                      <w:highlight w:val="none"/>
                    </w:rPr>
                    <w:t>μg/m</w:t>
                  </w:r>
                  <w:r>
                    <w:rPr>
                      <w:rFonts w:hint="default" w:ascii="Times New Roman" w:hAnsi="Times New Roman" w:cs="Times New Roman"/>
                      <w:snapToGrid w:val="0"/>
                      <w:color w:val="auto"/>
                      <w:kern w:val="0"/>
                      <w:sz w:val="24"/>
                      <w:highlight w:val="none"/>
                      <w:vertAlign w:val="superscript"/>
                    </w:rPr>
                    <w:t>3</w:t>
                  </w:r>
                </w:p>
              </w:tc>
              <w:tc>
                <w:tcPr>
                  <w:tcW w:w="1248" w:type="dxa"/>
                  <w:vAlign w:val="center"/>
                </w:tcPr>
                <w:p w14:paraId="0073E7A9">
                  <w:pPr>
                    <w:keepNext w:val="0"/>
                    <w:keepLines w:val="0"/>
                    <w:pageBreakBefore w:val="0"/>
                    <w:widowControl w:val="0"/>
                    <w:kinsoku/>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w:t>
                  </w:r>
                  <w:r>
                    <w:rPr>
                      <w:rFonts w:hint="default" w:ascii="Times New Roman" w:hAnsi="Times New Roman" w:cs="Times New Roman"/>
                      <w:snapToGrid w:val="0"/>
                      <w:color w:val="auto"/>
                      <w:kern w:val="0"/>
                      <w:sz w:val="24"/>
                      <w:highlight w:val="none"/>
                    </w:rPr>
                    <w:t>μg/m</w:t>
                  </w:r>
                  <w:r>
                    <w:rPr>
                      <w:rFonts w:hint="default" w:ascii="Times New Roman" w:hAnsi="Times New Roman" w:cs="Times New Roman"/>
                      <w:snapToGrid w:val="0"/>
                      <w:color w:val="auto"/>
                      <w:kern w:val="0"/>
                      <w:sz w:val="24"/>
                      <w:highlight w:val="none"/>
                      <w:vertAlign w:val="superscript"/>
                    </w:rPr>
                    <w:t>3</w:t>
                  </w:r>
                </w:p>
              </w:tc>
              <w:tc>
                <w:tcPr>
                  <w:tcW w:w="943" w:type="dxa"/>
                  <w:vAlign w:val="center"/>
                </w:tcPr>
                <w:p w14:paraId="137338F0">
                  <w:pPr>
                    <w:keepNext w:val="0"/>
                    <w:keepLines w:val="0"/>
                    <w:pageBreakBefore w:val="0"/>
                    <w:widowControl w:val="0"/>
                    <w:kinsoku/>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948" w:type="dxa"/>
                  <w:vAlign w:val="center"/>
                </w:tcPr>
                <w:p w14:paraId="5B82135E">
                  <w:pPr>
                    <w:keepNext w:val="0"/>
                    <w:keepLines w:val="0"/>
                    <w:pageBreakBefore w:val="0"/>
                    <w:widowControl w:val="0"/>
                    <w:kinsoku/>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p w14:paraId="49D1584F">
                  <w:pPr>
                    <w:keepNext w:val="0"/>
                    <w:keepLines w:val="0"/>
                    <w:pageBreakBefore w:val="0"/>
                    <w:widowControl w:val="0"/>
                    <w:kinsoku/>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情况</w:t>
                  </w:r>
                </w:p>
              </w:tc>
            </w:tr>
            <w:tr w14:paraId="1C4450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5" w:type="dxa"/>
                  <w:vAlign w:val="center"/>
                </w:tcPr>
                <w:p w14:paraId="5FCE605A">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903" w:type="dxa"/>
                  <w:vAlign w:val="center"/>
                </w:tcPr>
                <w:p w14:paraId="76876001">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390" w:type="dxa"/>
                  <w:vAlign w:val="center"/>
                </w:tcPr>
                <w:p w14:paraId="3A94D7EC">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2</w:t>
                  </w:r>
                  <w:r>
                    <w:rPr>
                      <w:rFonts w:hint="default" w:ascii="Times New Roman" w:hAnsi="Times New Roman" w:cs="Times New Roman"/>
                      <w:color w:val="auto"/>
                      <w:sz w:val="21"/>
                      <w:szCs w:val="21"/>
                      <w:highlight w:val="none"/>
                      <w:lang w:val="en-US" w:eastAsia="zh-CN"/>
                    </w:rPr>
                    <w:t>7</w:t>
                  </w:r>
                </w:p>
              </w:tc>
              <w:tc>
                <w:tcPr>
                  <w:tcW w:w="1248" w:type="dxa"/>
                  <w:vAlign w:val="center"/>
                </w:tcPr>
                <w:p w14:paraId="55DCCCB2">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p>
              </w:tc>
              <w:tc>
                <w:tcPr>
                  <w:tcW w:w="943" w:type="dxa"/>
                  <w:vAlign w:val="center"/>
                </w:tcPr>
                <w:p w14:paraId="6F8C4FBE">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77.14</w:t>
                  </w:r>
                  <w:r>
                    <w:rPr>
                      <w:rFonts w:hint="default" w:ascii="Times New Roman" w:hAnsi="Times New Roman" w:cs="Times New Roman"/>
                      <w:color w:val="auto"/>
                      <w:sz w:val="21"/>
                      <w:szCs w:val="21"/>
                      <w:highlight w:val="none"/>
                    </w:rPr>
                    <w:t>%</w:t>
                  </w:r>
                </w:p>
              </w:tc>
              <w:tc>
                <w:tcPr>
                  <w:tcW w:w="948" w:type="dxa"/>
                  <w:vAlign w:val="center"/>
                </w:tcPr>
                <w:p w14:paraId="20629751">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42C6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5" w:type="dxa"/>
                  <w:vAlign w:val="center"/>
                </w:tcPr>
                <w:p w14:paraId="7584B627">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903" w:type="dxa"/>
                  <w:vAlign w:val="center"/>
                </w:tcPr>
                <w:p w14:paraId="73EBE313">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390" w:type="dxa"/>
                  <w:vAlign w:val="center"/>
                </w:tcPr>
                <w:p w14:paraId="3B8FB45D">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46</w:t>
                  </w:r>
                </w:p>
              </w:tc>
              <w:tc>
                <w:tcPr>
                  <w:tcW w:w="1248" w:type="dxa"/>
                  <w:vAlign w:val="center"/>
                </w:tcPr>
                <w:p w14:paraId="58471C1B">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943" w:type="dxa"/>
                  <w:vAlign w:val="center"/>
                </w:tcPr>
                <w:p w14:paraId="2917268F">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65.71</w:t>
                  </w:r>
                  <w:r>
                    <w:rPr>
                      <w:rFonts w:hint="default" w:ascii="Times New Roman" w:hAnsi="Times New Roman" w:cs="Times New Roman"/>
                      <w:color w:val="auto"/>
                      <w:sz w:val="21"/>
                      <w:szCs w:val="21"/>
                      <w:highlight w:val="none"/>
                    </w:rPr>
                    <w:t>%</w:t>
                  </w:r>
                </w:p>
              </w:tc>
              <w:tc>
                <w:tcPr>
                  <w:tcW w:w="948" w:type="dxa"/>
                  <w:vAlign w:val="center"/>
                </w:tcPr>
                <w:p w14:paraId="22057587">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6290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5" w:type="dxa"/>
                  <w:vAlign w:val="center"/>
                </w:tcPr>
                <w:p w14:paraId="7B6AD453">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903" w:type="dxa"/>
                  <w:vAlign w:val="center"/>
                </w:tcPr>
                <w:p w14:paraId="433BF88E">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390" w:type="dxa"/>
                  <w:vAlign w:val="center"/>
                </w:tcPr>
                <w:p w14:paraId="13D61373">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17</w:t>
                  </w:r>
                </w:p>
              </w:tc>
              <w:tc>
                <w:tcPr>
                  <w:tcW w:w="1248" w:type="dxa"/>
                  <w:vAlign w:val="center"/>
                </w:tcPr>
                <w:p w14:paraId="5348112E">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943" w:type="dxa"/>
                  <w:vAlign w:val="center"/>
                </w:tcPr>
                <w:p w14:paraId="205815C6">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28</w:t>
                  </w:r>
                  <w:r>
                    <w:rPr>
                      <w:rFonts w:hint="default" w:ascii="Times New Roman" w:hAnsi="Times New Roman" w:cs="Times New Roman"/>
                      <w:color w:val="auto"/>
                      <w:sz w:val="21"/>
                      <w:szCs w:val="21"/>
                      <w:highlight w:val="none"/>
                    </w:rPr>
                    <w:t>.33%</w:t>
                  </w:r>
                </w:p>
              </w:tc>
              <w:tc>
                <w:tcPr>
                  <w:tcW w:w="948" w:type="dxa"/>
                  <w:vAlign w:val="center"/>
                </w:tcPr>
                <w:p w14:paraId="0B4EBCEC">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49724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5" w:type="dxa"/>
                  <w:vAlign w:val="center"/>
                </w:tcPr>
                <w:p w14:paraId="68E252F2">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903" w:type="dxa"/>
                  <w:vAlign w:val="center"/>
                </w:tcPr>
                <w:p w14:paraId="63953ED2">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390" w:type="dxa"/>
                  <w:vAlign w:val="center"/>
                </w:tcPr>
                <w:p w14:paraId="299C8A0D">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1248" w:type="dxa"/>
                  <w:vAlign w:val="center"/>
                </w:tcPr>
                <w:p w14:paraId="65B29925">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943" w:type="dxa"/>
                  <w:vAlign w:val="center"/>
                </w:tcPr>
                <w:p w14:paraId="38C5BF9E">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20.00%</w:t>
                  </w:r>
                </w:p>
              </w:tc>
              <w:tc>
                <w:tcPr>
                  <w:tcW w:w="948" w:type="dxa"/>
                  <w:vAlign w:val="center"/>
                </w:tcPr>
                <w:p w14:paraId="61A92872">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C3944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5" w:type="dxa"/>
                  <w:vAlign w:val="center"/>
                </w:tcPr>
                <w:p w14:paraId="20D3CB8C">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z w:val="21"/>
                      <w:szCs w:val="21"/>
                      <w:highlight w:val="none"/>
                    </w:rPr>
                    <w:t>COmg/m</w:t>
                  </w:r>
                  <w:r>
                    <w:rPr>
                      <w:rFonts w:hint="default" w:ascii="Times New Roman" w:hAnsi="Times New Roman" w:cs="Times New Roman"/>
                      <w:color w:val="auto"/>
                      <w:sz w:val="21"/>
                      <w:szCs w:val="21"/>
                      <w:highlight w:val="none"/>
                      <w:vertAlign w:val="superscript"/>
                    </w:rPr>
                    <w:t>3</w:t>
                  </w:r>
                </w:p>
              </w:tc>
              <w:tc>
                <w:tcPr>
                  <w:tcW w:w="1903" w:type="dxa"/>
                  <w:vAlign w:val="center"/>
                </w:tcPr>
                <w:p w14:paraId="6DDC2550">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第95百分位数日平均浓度</w:t>
                  </w:r>
                </w:p>
              </w:tc>
              <w:tc>
                <w:tcPr>
                  <w:tcW w:w="1390" w:type="dxa"/>
                  <w:vAlign w:val="center"/>
                </w:tcPr>
                <w:p w14:paraId="5C32ACE7">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w:t>
                  </w:r>
                </w:p>
              </w:tc>
              <w:tc>
                <w:tcPr>
                  <w:tcW w:w="1248" w:type="dxa"/>
                  <w:vAlign w:val="center"/>
                </w:tcPr>
                <w:p w14:paraId="3AEF8926">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4000</w:t>
                  </w:r>
                </w:p>
              </w:tc>
              <w:tc>
                <w:tcPr>
                  <w:tcW w:w="943" w:type="dxa"/>
                  <w:vAlign w:val="center"/>
                </w:tcPr>
                <w:p w14:paraId="3AD28B26">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25.00%</w:t>
                  </w:r>
                </w:p>
              </w:tc>
              <w:tc>
                <w:tcPr>
                  <w:tcW w:w="948" w:type="dxa"/>
                  <w:vAlign w:val="center"/>
                </w:tcPr>
                <w:p w14:paraId="6203904C">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79F0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5" w:type="dxa"/>
                  <w:vAlign w:val="center"/>
                </w:tcPr>
                <w:p w14:paraId="09B50F91">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903" w:type="dxa"/>
                  <w:vAlign w:val="center"/>
                </w:tcPr>
                <w:p w14:paraId="3F8BD5D2">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第90百分位数8h平均质量浓度</w:t>
                  </w:r>
                </w:p>
              </w:tc>
              <w:tc>
                <w:tcPr>
                  <w:tcW w:w="1390" w:type="dxa"/>
                  <w:vAlign w:val="center"/>
                </w:tcPr>
                <w:p w14:paraId="322445EE">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9</w:t>
                  </w:r>
                  <w:r>
                    <w:rPr>
                      <w:rFonts w:hint="default" w:ascii="Times New Roman" w:hAnsi="Times New Roman" w:cs="Times New Roman"/>
                      <w:color w:val="auto"/>
                      <w:sz w:val="21"/>
                      <w:szCs w:val="21"/>
                      <w:highlight w:val="none"/>
                      <w:lang w:val="en-US" w:eastAsia="zh-CN"/>
                    </w:rPr>
                    <w:t>0</w:t>
                  </w:r>
                </w:p>
              </w:tc>
              <w:tc>
                <w:tcPr>
                  <w:tcW w:w="1248" w:type="dxa"/>
                  <w:vAlign w:val="center"/>
                </w:tcPr>
                <w:p w14:paraId="223C7129">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943" w:type="dxa"/>
                  <w:vAlign w:val="center"/>
                </w:tcPr>
                <w:p w14:paraId="3FCD568B">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56.</w:t>
                  </w:r>
                  <w:r>
                    <w:rPr>
                      <w:rFonts w:hint="default" w:ascii="Times New Roman" w:hAnsi="Times New Roman" w:cs="Times New Roman"/>
                      <w:color w:val="auto"/>
                      <w:sz w:val="21"/>
                      <w:szCs w:val="21"/>
                      <w:highlight w:val="none"/>
                    </w:rPr>
                    <w:t>25%</w:t>
                  </w:r>
                </w:p>
              </w:tc>
              <w:tc>
                <w:tcPr>
                  <w:tcW w:w="948" w:type="dxa"/>
                  <w:vAlign w:val="center"/>
                </w:tcPr>
                <w:p w14:paraId="65110E3A">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3CBD1CF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sz w:val="24"/>
                <w:szCs w:val="24"/>
                <w:highlight w:val="none"/>
              </w:rPr>
              <w:t>根据《202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年黑龙江省生态环境质量状况》，鸡西市202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年空气质量级别达二级标准，达标天数为34</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天(95.</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%)，SO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、NO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、PM</w:t>
            </w:r>
            <w:r>
              <w:rPr>
                <w:rFonts w:hint="default" w:ascii="Times New Roman" w:hAnsi="Times New Roman" w:cs="Times New Roman"/>
                <w:color w:val="auto"/>
                <w:sz w:val="24"/>
                <w:szCs w:val="24"/>
                <w:highlight w:val="none"/>
                <w:vertAlign w:val="subscript"/>
              </w:rPr>
              <w:t>10</w:t>
            </w:r>
            <w:r>
              <w:rPr>
                <w:rFonts w:hint="default" w:ascii="Times New Roman" w:hAnsi="Times New Roman" w:cs="Times New Roman"/>
                <w:color w:val="auto"/>
                <w:sz w:val="24"/>
                <w:szCs w:val="24"/>
                <w:highlight w:val="none"/>
              </w:rPr>
              <w:t>、PM</w:t>
            </w:r>
            <w:r>
              <w:rPr>
                <w:rFonts w:hint="default" w:ascii="Times New Roman" w:hAnsi="Times New Roman" w:cs="Times New Roman"/>
                <w:color w:val="auto"/>
                <w:sz w:val="24"/>
                <w:szCs w:val="24"/>
                <w:highlight w:val="none"/>
                <w:vertAlign w:val="subscript"/>
              </w:rPr>
              <w:t>2.5</w:t>
            </w:r>
            <w:r>
              <w:rPr>
                <w:rFonts w:hint="default" w:ascii="Times New Roman" w:hAnsi="Times New Roman" w:cs="Times New Roman"/>
                <w:color w:val="auto"/>
                <w:sz w:val="24"/>
                <w:szCs w:val="24"/>
                <w:highlight w:val="none"/>
              </w:rPr>
              <w:t>年均浓度分别为8μg/m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17</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46</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27</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；CO24小时平均第95百分位数为1.0mg/m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，O</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日最大8小时平均第90百分位数为9</w:t>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；各污染物平均浓度均优于《环境空气质量标准》（GB3095-2012）中二级标准限值，判定结果为达标区</w:t>
            </w:r>
            <w:r>
              <w:rPr>
                <w:rFonts w:hint="default" w:ascii="Times New Roman" w:hAnsi="Times New Roman" w:cs="Times New Roman"/>
                <w:color w:val="auto"/>
                <w:kern w:val="0"/>
                <w:sz w:val="24"/>
                <w:highlight w:val="none"/>
              </w:rPr>
              <w:t>。</w:t>
            </w:r>
          </w:p>
          <w:p w14:paraId="2559676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rPr>
              <w:t>（2）特征污染物</w:t>
            </w:r>
            <w:r>
              <w:rPr>
                <w:rFonts w:hint="default" w:ascii="Times New Roman" w:hAnsi="Times New Roman" w:cs="Times New Roman"/>
                <w:color w:val="auto"/>
                <w:kern w:val="0"/>
                <w:sz w:val="24"/>
                <w:szCs w:val="24"/>
                <w:highlight w:val="none"/>
                <w:lang w:val="en-US" w:eastAsia="zh-CN"/>
              </w:rPr>
              <w:t>补充监测</w:t>
            </w:r>
          </w:p>
          <w:p w14:paraId="7F3CF7F4">
            <w:pPr>
              <w:pStyle w:val="63"/>
              <w:adjustRightInd w:val="0"/>
              <w:snapToGrid w:val="0"/>
              <w:spacing w:line="360" w:lineRule="auto"/>
              <w:ind w:firstLine="42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根据《虎林市迎胜沥青混凝土搅拌有限公司沥青混凝土搅拌站建设项目大气环境影响专项评价报告》结论，本项目</w:t>
            </w:r>
            <w:r>
              <w:rPr>
                <w:rFonts w:hint="default" w:ascii="Times New Roman" w:hAnsi="Times New Roman" w:cs="Times New Roman"/>
                <w:color w:val="auto"/>
                <w:sz w:val="24"/>
                <w:szCs w:val="24"/>
                <w:highlight w:val="none"/>
              </w:rPr>
              <w:t>特征污染物TSP</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NMHC</w:t>
            </w:r>
            <w:r>
              <w:rPr>
                <w:rFonts w:hint="default" w:ascii="Times New Roman" w:hAnsi="Times New Roman" w:cs="Times New Roman"/>
                <w:color w:val="auto"/>
                <w:sz w:val="24"/>
                <w:szCs w:val="24"/>
                <w:highlight w:val="none"/>
              </w:rPr>
              <w:t>占标率均小于100%，</w:t>
            </w:r>
            <w:r>
              <w:rPr>
                <w:rFonts w:hint="default" w:ascii="Times New Roman" w:hAnsi="Times New Roman" w:cs="Times New Roman"/>
                <w:color w:val="auto"/>
                <w:sz w:val="24"/>
                <w:szCs w:val="24"/>
                <w:highlight w:val="none"/>
                <w:lang w:eastAsia="zh-CN"/>
              </w:rPr>
              <w:t>苯并[a]芘</w:t>
            </w:r>
            <w:r>
              <w:rPr>
                <w:rFonts w:hint="default" w:ascii="Times New Roman" w:hAnsi="Times New Roman" w:cs="Times New Roman"/>
                <w:color w:val="auto"/>
                <w:sz w:val="24"/>
                <w:szCs w:val="24"/>
                <w:highlight w:val="none"/>
                <w:lang w:val="en-US" w:eastAsia="zh-CN"/>
              </w:rPr>
              <w:t>未检出。</w:t>
            </w:r>
            <w:r>
              <w:rPr>
                <w:rFonts w:hint="default" w:ascii="Times New Roman" w:hAnsi="Times New Roman" w:cs="Times New Roman"/>
                <w:color w:val="auto"/>
                <w:sz w:val="24"/>
                <w:szCs w:val="24"/>
                <w:highlight w:val="none"/>
              </w:rPr>
              <w:t>TSP</w:t>
            </w:r>
            <w:r>
              <w:rPr>
                <w:rFonts w:hint="default" w:ascii="Times New Roman" w:hAnsi="Times New Roman" w:cs="Times New Roman"/>
                <w:color w:val="auto"/>
                <w:sz w:val="24"/>
                <w:szCs w:val="24"/>
                <w:highlight w:val="none"/>
                <w:lang w:eastAsia="zh-CN"/>
              </w:rPr>
              <w:t>、苯并[a]芘</w:t>
            </w:r>
            <w:r>
              <w:rPr>
                <w:rFonts w:hint="default" w:ascii="Times New Roman" w:hAnsi="Times New Roman" w:cs="Times New Roman"/>
                <w:color w:val="auto"/>
                <w:sz w:val="24"/>
                <w:szCs w:val="24"/>
                <w:highlight w:val="none"/>
              </w:rPr>
              <w:t>满足《环境空气质量标准》（GB3095-2012）及其修改单中表2二级标准要求</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NMHC满足《大气污染物综合排放标准详解》中标准限值的要求</w:t>
            </w:r>
            <w:r>
              <w:rPr>
                <w:rFonts w:hint="default" w:ascii="Times New Roman" w:hAnsi="Times New Roman" w:cs="Times New Roman"/>
                <w:color w:val="auto"/>
                <w:sz w:val="24"/>
                <w:szCs w:val="24"/>
                <w:highlight w:val="none"/>
                <w:lang w:eastAsia="zh-CN"/>
              </w:rPr>
              <w:t>。</w:t>
            </w:r>
          </w:p>
          <w:p w14:paraId="74A7FAF4">
            <w:pPr>
              <w:pStyle w:val="63"/>
              <w:spacing w:line="360" w:lineRule="auto"/>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二、地表水环境质量现状</w:t>
            </w:r>
          </w:p>
          <w:p w14:paraId="7C95ACD9">
            <w:pPr>
              <w:pStyle w:val="63"/>
              <w:spacing w:line="360" w:lineRule="auto"/>
              <w:ind w:firstLine="480"/>
              <w:rPr>
                <w:rFonts w:hint="default" w:ascii="Times New Roman" w:hAnsi="Times New Roman" w:cs="Times New Roman"/>
                <w:color w:val="auto"/>
                <w:highlight w:val="none"/>
              </w:rPr>
            </w:pPr>
            <w:bookmarkStart w:id="55" w:name="_Hlk186814003"/>
            <w:r>
              <w:rPr>
                <w:rFonts w:hint="default" w:ascii="Times New Roman" w:hAnsi="Times New Roman" w:cs="Times New Roman"/>
                <w:color w:val="auto"/>
                <w:sz w:val="24"/>
                <w:szCs w:val="24"/>
                <w:highlight w:val="none"/>
              </w:rPr>
              <w:t>本项目涉及的地表水体为穆棱河，根据《全国重要江河湖泊水功能区划（2011-2030年）的通知》，本项目所在区域属于穆棱河段凯北站—东仁义屯断面，规划水质目标为Ⅲ类水体，执行《地表水环境质量标准》（GB3838-2002）中Ⅲ类水体标准。根据鸡西市人民政府网站发布的 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年地表水国控考核断面水质信息公开，穆棱河水质状况良好，满足《地表水环境质量标准》（GB3838-2002）中Ⅲ类水质标准</w:t>
            </w:r>
            <w:r>
              <w:rPr>
                <w:rFonts w:hint="default" w:ascii="Times New Roman" w:hAnsi="Times New Roman" w:cs="Times New Roman"/>
                <w:color w:val="auto"/>
                <w:highlight w:val="none"/>
              </w:rPr>
              <w:t>。</w:t>
            </w:r>
          </w:p>
          <w:bookmarkEnd w:id="55"/>
          <w:p w14:paraId="54B1E26D">
            <w:pPr>
              <w:pStyle w:val="63"/>
              <w:spacing w:line="360" w:lineRule="auto"/>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三、声环境质量现状</w:t>
            </w:r>
          </w:p>
          <w:p w14:paraId="4A2E81BE">
            <w:pPr>
              <w:adjustRightInd w:val="0"/>
              <w:snapToGrid w:val="0"/>
              <w:spacing w:line="360" w:lineRule="auto"/>
              <w:ind w:firstLine="480" w:firstLineChars="200"/>
              <w:rPr>
                <w:rFonts w:hint="default" w:ascii="Times New Roman" w:hAnsi="Times New Roman" w:cs="Times New Roman"/>
                <w:color w:val="auto"/>
                <w:sz w:val="24"/>
                <w:szCs w:val="24"/>
                <w:highlight w:val="none"/>
                <w:lang w:val="en-US" w:eastAsia="zh-CN"/>
              </w:rPr>
            </w:pPr>
            <w:bookmarkStart w:id="56" w:name="_Hlk193466022"/>
            <w:r>
              <w:rPr>
                <w:rFonts w:hint="default" w:ascii="Times New Roman" w:hAnsi="Times New Roman" w:cs="Times New Roman"/>
                <w:color w:val="auto"/>
                <w:sz w:val="24"/>
                <w:szCs w:val="24"/>
                <w:highlight w:val="none"/>
                <w:lang w:val="en-US" w:eastAsia="zh-CN"/>
              </w:rPr>
              <w:t>根据《建设项目环境影响报告表编制技术指南（污染影响类）（试行）》，本项目厂界50米范围内不存在声环境保护目标，不进行补充监测。</w:t>
            </w:r>
          </w:p>
          <w:p w14:paraId="0A63369A">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鸡西市区域昼间声环境质量为二级，等效声级为53.6dB(A)；道路交通昼间声环境质量为一级，等效声级为65.8dB(A)，功能区昼间达标率100%，功能区夜间达标率100%</w:t>
            </w:r>
            <w:r>
              <w:rPr>
                <w:rFonts w:hint="default" w:ascii="Times New Roman" w:hAnsi="Times New Roman" w:cs="Times New Roman"/>
                <w:color w:val="auto"/>
                <w:sz w:val="24"/>
                <w:szCs w:val="24"/>
                <w:highlight w:val="none"/>
              </w:rPr>
              <w:t>。鸡西市区域昼间</w:t>
            </w:r>
            <w:r>
              <w:rPr>
                <w:rFonts w:hint="default" w:ascii="Times New Roman" w:hAnsi="Times New Roman" w:cs="Times New Roman"/>
                <w:color w:val="auto"/>
                <w:sz w:val="24"/>
                <w:szCs w:val="24"/>
                <w:highlight w:val="none"/>
                <w:lang w:val="en-US" w:eastAsia="zh-CN"/>
              </w:rPr>
              <w:t>噪声满足</w:t>
            </w:r>
            <w:r>
              <w:rPr>
                <w:rFonts w:hint="default" w:ascii="Times New Roman" w:hAnsi="Times New Roman" w:cs="Times New Roman"/>
                <w:color w:val="auto"/>
                <w:sz w:val="24"/>
                <w:szCs w:val="24"/>
                <w:highlight w:val="none"/>
              </w:rPr>
              <w:t>声环境质量二级</w:t>
            </w:r>
            <w:r>
              <w:rPr>
                <w:rFonts w:hint="default" w:ascii="Times New Roman" w:hAnsi="Times New Roman" w:cs="Times New Roman"/>
                <w:color w:val="auto"/>
                <w:sz w:val="24"/>
                <w:szCs w:val="24"/>
                <w:highlight w:val="none"/>
                <w:lang w:val="en-US" w:eastAsia="zh-CN"/>
              </w:rPr>
              <w:t>标准限值；道路交通昼间噪声满足声环境质量一级，声环境质量良好。</w:t>
            </w:r>
          </w:p>
          <w:bookmarkEnd w:id="56"/>
          <w:p w14:paraId="1ECABF2C">
            <w:pPr>
              <w:pStyle w:val="63"/>
              <w:spacing w:line="360" w:lineRule="auto"/>
              <w:ind w:firstLine="480"/>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cs="Times New Roman"/>
                <w:b/>
                <w:bCs/>
                <w:color w:val="auto"/>
                <w:sz w:val="24"/>
                <w:highlight w:val="none"/>
              </w:rPr>
              <w:t>四、</w:t>
            </w:r>
            <w:r>
              <w:rPr>
                <w:rFonts w:hint="default" w:ascii="Times New Roman" w:hAnsi="Times New Roman" w:eastAsia="宋体" w:cs="Times New Roman"/>
                <w:b/>
                <w:bCs/>
                <w:color w:val="auto"/>
                <w:kern w:val="0"/>
                <w:sz w:val="24"/>
                <w:szCs w:val="24"/>
                <w:highlight w:val="none"/>
                <w:lang w:val="en-US" w:eastAsia="zh-CN" w:bidi="ar-SA"/>
              </w:rPr>
              <w:t>土壤</w:t>
            </w:r>
            <w:r>
              <w:rPr>
                <w:rFonts w:hint="default" w:ascii="Times New Roman" w:hAnsi="Times New Roman" w:cs="Times New Roman"/>
                <w:b/>
                <w:bCs/>
                <w:color w:val="auto"/>
                <w:kern w:val="0"/>
                <w:sz w:val="24"/>
                <w:szCs w:val="24"/>
                <w:highlight w:val="none"/>
                <w:lang w:val="en-US" w:eastAsia="zh-CN" w:bidi="ar-SA"/>
              </w:rPr>
              <w:t>环境质量现状</w:t>
            </w:r>
          </w:p>
          <w:p w14:paraId="6A3ABEBE">
            <w:pPr>
              <w:spacing w:line="360" w:lineRule="auto"/>
              <w:ind w:firstLine="480" w:firstLineChars="20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本项目委托黑龙江汇川检测有限公司对土壤本底值进行监测。</w:t>
            </w:r>
          </w:p>
          <w:p w14:paraId="5243CE33">
            <w:pPr>
              <w:spacing w:line="360" w:lineRule="auto"/>
              <w:ind w:firstLine="480" w:firstLineChars="20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1、监测布点</w:t>
            </w:r>
          </w:p>
          <w:p w14:paraId="07BCAC66">
            <w:pPr>
              <w:spacing w:line="360" w:lineRule="auto"/>
              <w:ind w:firstLine="480" w:firstLineChars="200"/>
              <w:rPr>
                <w:rFonts w:hint="default" w:ascii="Times New Roman" w:hAnsi="Times New Roman" w:cs="Times New Roman"/>
                <w:snapToGrid w:val="0"/>
                <w:color w:val="auto"/>
                <w:kern w:val="0"/>
                <w:sz w:val="24"/>
                <w:highlight w:val="none"/>
                <w:lang w:eastAsia="zh-CN"/>
              </w:rPr>
            </w:pPr>
            <w:r>
              <w:rPr>
                <w:rFonts w:hint="default" w:ascii="Times New Roman" w:hAnsi="Times New Roman" w:cs="Times New Roman"/>
                <w:color w:val="auto"/>
                <w:kern w:val="0"/>
                <w:sz w:val="24"/>
                <w:szCs w:val="24"/>
                <w:highlight w:val="none"/>
                <w:lang w:val="en-US" w:eastAsia="zh-CN" w:bidi="ar-SA"/>
              </w:rPr>
              <w:t>本项目</w:t>
            </w:r>
            <w:r>
              <w:rPr>
                <w:rFonts w:hint="default" w:ascii="Times New Roman" w:hAnsi="Times New Roman" w:cs="Times New Roman"/>
                <w:snapToGrid w:val="0"/>
                <w:color w:val="auto"/>
                <w:kern w:val="0"/>
                <w:sz w:val="24"/>
                <w:highlight w:val="none"/>
              </w:rPr>
              <w:t>共布设2处监测点：项目区1个，厂区下风向1个。</w:t>
            </w:r>
            <w:r>
              <w:rPr>
                <w:rFonts w:hint="default" w:ascii="Times New Roman" w:hAnsi="Times New Roman" w:cs="Times New Roman"/>
                <w:snapToGrid w:val="0"/>
                <w:color w:val="auto"/>
                <w:kern w:val="0"/>
                <w:sz w:val="24"/>
                <w:highlight w:val="none"/>
                <w:lang w:val="en-US" w:eastAsia="zh-CN"/>
              </w:rPr>
              <w:t>监测点位示意图见图3-2，</w:t>
            </w:r>
            <w:r>
              <w:rPr>
                <w:rFonts w:hint="default" w:ascii="Times New Roman" w:hAnsi="Times New Roman" w:cs="Times New Roman"/>
                <w:snapToGrid w:val="0"/>
                <w:color w:val="auto"/>
                <w:kern w:val="0"/>
                <w:sz w:val="24"/>
                <w:highlight w:val="none"/>
              </w:rPr>
              <w:t>各监测点的情况见下表</w:t>
            </w:r>
            <w:r>
              <w:rPr>
                <w:rFonts w:hint="default" w:ascii="Times New Roman" w:hAnsi="Times New Roman" w:cs="Times New Roman"/>
                <w:snapToGrid w:val="0"/>
                <w:color w:val="auto"/>
                <w:kern w:val="0"/>
                <w:sz w:val="24"/>
                <w:highlight w:val="none"/>
                <w:lang w:eastAsia="zh-CN"/>
              </w:rPr>
              <w:t>。</w:t>
            </w:r>
          </w:p>
          <w:p w14:paraId="163E6D77">
            <w:pPr>
              <w:adjustRightInd w:val="0"/>
              <w:spacing w:line="240" w:lineRule="auto"/>
              <w:jc w:val="center"/>
              <w:rPr>
                <w:rFonts w:hint="default" w:ascii="Times New Roman" w:hAnsi="Times New Roman" w:eastAsia="黑体" w:cs="Times New Roman"/>
                <w:color w:val="auto"/>
                <w:sz w:val="24"/>
                <w:highlight w:val="none"/>
              </w:rPr>
            </w:pPr>
            <w:r>
              <w:rPr>
                <w:rFonts w:hint="default" w:ascii="Times New Roman" w:hAnsi="Times New Roman" w:cs="Times New Roman"/>
                <w:color w:val="auto"/>
                <w:highlight w:val="none"/>
              </w:rPr>
              <w:drawing>
                <wp:inline distT="0" distB="0" distL="114300" distR="114300">
                  <wp:extent cx="4613275" cy="3573780"/>
                  <wp:effectExtent l="0" t="0" r="15875" b="7620"/>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22"/>
                          <a:stretch>
                            <a:fillRect/>
                          </a:stretch>
                        </pic:blipFill>
                        <pic:spPr>
                          <a:xfrm>
                            <a:off x="0" y="0"/>
                            <a:ext cx="4613275" cy="3573780"/>
                          </a:xfrm>
                          <a:prstGeom prst="rect">
                            <a:avLst/>
                          </a:prstGeom>
                          <a:noFill/>
                          <a:ln>
                            <a:noFill/>
                          </a:ln>
                        </pic:spPr>
                      </pic:pic>
                    </a:graphicData>
                  </a:graphic>
                </wp:inline>
              </w:drawing>
            </w:r>
          </w:p>
          <w:p w14:paraId="4B0119DA">
            <w:pPr>
              <w:adjustRightInd w:val="0"/>
              <w:spacing w:line="500" w:lineRule="exact"/>
              <w:jc w:val="center"/>
              <w:rPr>
                <w:rFonts w:hint="default" w:ascii="Times New Roman" w:hAnsi="Times New Roman" w:eastAsia="黑体" w:cs="Times New Roman"/>
                <w:color w:val="auto"/>
                <w:sz w:val="24"/>
                <w:highlight w:val="none"/>
                <w:lang w:val="en-US" w:eastAsia="zh-CN"/>
              </w:rPr>
            </w:pPr>
            <w:r>
              <w:rPr>
                <w:rFonts w:hint="default" w:ascii="Times New Roman" w:hAnsi="Times New Roman" w:eastAsia="黑体" w:cs="Times New Roman"/>
                <w:color w:val="auto"/>
                <w:sz w:val="24"/>
                <w:highlight w:val="none"/>
                <w:lang w:val="en-US" w:eastAsia="zh-CN"/>
              </w:rPr>
              <w:t>图3-2 补充监测点位示意图</w:t>
            </w:r>
          </w:p>
          <w:p w14:paraId="1747A746">
            <w:pPr>
              <w:adjustRightInd w:val="0"/>
              <w:spacing w:line="500" w:lineRule="exact"/>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w:t>
            </w:r>
            <w:r>
              <w:rPr>
                <w:rFonts w:hint="default" w:ascii="Times New Roman" w:hAnsi="Times New Roman" w:eastAsia="黑体" w:cs="Times New Roman"/>
                <w:color w:val="auto"/>
                <w:sz w:val="24"/>
                <w:highlight w:val="none"/>
                <w:lang w:val="en-US" w:eastAsia="zh-CN"/>
              </w:rPr>
              <w:t>3</w:t>
            </w:r>
            <w:r>
              <w:rPr>
                <w:rFonts w:hint="default" w:ascii="Times New Roman" w:hAnsi="Times New Roman" w:eastAsia="黑体" w:cs="Times New Roman"/>
                <w:color w:val="auto"/>
                <w:sz w:val="24"/>
                <w:highlight w:val="none"/>
              </w:rPr>
              <w:t>-</w:t>
            </w:r>
            <w:r>
              <w:rPr>
                <w:rFonts w:hint="default" w:ascii="Times New Roman" w:hAnsi="Times New Roman" w:eastAsia="黑体" w:cs="Times New Roman"/>
                <w:color w:val="auto"/>
                <w:sz w:val="24"/>
                <w:highlight w:val="none"/>
                <w:lang w:val="en-US" w:eastAsia="zh-CN"/>
              </w:rPr>
              <w:t>2土壤</w:t>
            </w:r>
            <w:r>
              <w:rPr>
                <w:rFonts w:hint="default" w:ascii="Times New Roman" w:hAnsi="Times New Roman" w:eastAsia="黑体" w:cs="Times New Roman"/>
                <w:color w:val="auto"/>
                <w:sz w:val="24"/>
                <w:highlight w:val="none"/>
              </w:rPr>
              <w:t>监测布点情况</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1384"/>
              <w:gridCol w:w="1169"/>
              <w:gridCol w:w="1054"/>
              <w:gridCol w:w="776"/>
              <w:gridCol w:w="1211"/>
              <w:gridCol w:w="1103"/>
              <w:gridCol w:w="1151"/>
            </w:tblGrid>
            <w:tr w14:paraId="0D55C49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67" w:hRule="atLeast"/>
                <w:jc w:val="center"/>
              </w:trPr>
              <w:tc>
                <w:tcPr>
                  <w:tcW w:w="882" w:type="pct"/>
                  <w:vMerge w:val="restart"/>
                  <w:noWrap w:val="0"/>
                  <w:vAlign w:val="center"/>
                </w:tcPr>
                <w:p w14:paraId="6EA6F71C">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监测点名称</w:t>
                  </w:r>
                </w:p>
              </w:tc>
              <w:tc>
                <w:tcPr>
                  <w:tcW w:w="1415" w:type="pct"/>
                  <w:gridSpan w:val="2"/>
                  <w:tcBorders>
                    <w:bottom w:val="single" w:color="auto" w:sz="4" w:space="0"/>
                  </w:tcBorders>
                  <w:noWrap w:val="0"/>
                  <w:vAlign w:val="center"/>
                </w:tcPr>
                <w:p w14:paraId="78B19EE1">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监测点坐标/°</w:t>
                  </w:r>
                </w:p>
              </w:tc>
              <w:tc>
                <w:tcPr>
                  <w:tcW w:w="494" w:type="pct"/>
                  <w:vMerge w:val="restart"/>
                  <w:tcBorders>
                    <w:left w:val="single" w:color="auto" w:sz="4" w:space="0"/>
                  </w:tcBorders>
                  <w:noWrap w:val="0"/>
                  <w:vAlign w:val="center"/>
                </w:tcPr>
                <w:p w14:paraId="33942ECB">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771" w:type="pct"/>
                  <w:vMerge w:val="restart"/>
                  <w:tcBorders>
                    <w:left w:val="single" w:color="auto" w:sz="4" w:space="0"/>
                  </w:tcBorders>
                  <w:noWrap w:val="0"/>
                  <w:vAlign w:val="center"/>
                </w:tcPr>
                <w:p w14:paraId="0D65C230">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监测时段</w:t>
                  </w:r>
                </w:p>
              </w:tc>
              <w:tc>
                <w:tcPr>
                  <w:tcW w:w="702" w:type="pct"/>
                  <w:vMerge w:val="restart"/>
                  <w:tcBorders>
                    <w:left w:val="single" w:color="auto" w:sz="4" w:space="0"/>
                  </w:tcBorders>
                  <w:noWrap w:val="0"/>
                  <w:vAlign w:val="center"/>
                </w:tcPr>
                <w:p w14:paraId="42D229E6">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相对项目区方位</w:t>
                  </w:r>
                </w:p>
              </w:tc>
              <w:tc>
                <w:tcPr>
                  <w:tcW w:w="733" w:type="pct"/>
                  <w:vMerge w:val="restart"/>
                  <w:noWrap w:val="0"/>
                  <w:vAlign w:val="center"/>
                </w:tcPr>
                <w:p w14:paraId="7FA89E32">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相对项目区边界距离（m）</w:t>
                  </w:r>
                </w:p>
              </w:tc>
            </w:tr>
            <w:tr w14:paraId="7BFCA70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67" w:hRule="atLeast"/>
                <w:jc w:val="center"/>
              </w:trPr>
              <w:tc>
                <w:tcPr>
                  <w:tcW w:w="882" w:type="pct"/>
                  <w:vMerge w:val="continue"/>
                  <w:noWrap w:val="0"/>
                  <w:vAlign w:val="center"/>
                </w:tcPr>
                <w:p w14:paraId="0261FE3E">
                  <w:pPr>
                    <w:pStyle w:val="160"/>
                    <w:rPr>
                      <w:rFonts w:hint="default" w:ascii="Times New Roman" w:hAnsi="Times New Roman" w:cs="Times New Roman"/>
                      <w:color w:val="auto"/>
                      <w:highlight w:val="none"/>
                    </w:rPr>
                  </w:pPr>
                </w:p>
              </w:tc>
              <w:tc>
                <w:tcPr>
                  <w:tcW w:w="744" w:type="pct"/>
                  <w:tcBorders>
                    <w:top w:val="single" w:color="auto" w:sz="4" w:space="0"/>
                    <w:right w:val="single" w:color="auto" w:sz="4" w:space="0"/>
                  </w:tcBorders>
                  <w:noWrap w:val="0"/>
                  <w:vAlign w:val="center"/>
                </w:tcPr>
                <w:p w14:paraId="1C32BAF7">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671" w:type="pct"/>
                  <w:tcBorders>
                    <w:top w:val="single" w:color="auto" w:sz="4" w:space="0"/>
                    <w:left w:val="single" w:color="auto" w:sz="4" w:space="0"/>
                  </w:tcBorders>
                  <w:noWrap w:val="0"/>
                  <w:vAlign w:val="center"/>
                </w:tcPr>
                <w:p w14:paraId="71455C91">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494" w:type="pct"/>
                  <w:vMerge w:val="continue"/>
                  <w:tcBorders>
                    <w:left w:val="single" w:color="auto" w:sz="4" w:space="0"/>
                  </w:tcBorders>
                  <w:noWrap w:val="0"/>
                  <w:vAlign w:val="center"/>
                </w:tcPr>
                <w:p w14:paraId="5D02BFF5">
                  <w:pPr>
                    <w:pStyle w:val="160"/>
                    <w:rPr>
                      <w:rFonts w:hint="default" w:ascii="Times New Roman" w:hAnsi="Times New Roman" w:cs="Times New Roman"/>
                      <w:color w:val="auto"/>
                      <w:highlight w:val="none"/>
                    </w:rPr>
                  </w:pPr>
                </w:p>
              </w:tc>
              <w:tc>
                <w:tcPr>
                  <w:tcW w:w="771" w:type="pct"/>
                  <w:vMerge w:val="continue"/>
                  <w:tcBorders>
                    <w:left w:val="single" w:color="auto" w:sz="4" w:space="0"/>
                  </w:tcBorders>
                  <w:noWrap w:val="0"/>
                  <w:vAlign w:val="center"/>
                </w:tcPr>
                <w:p w14:paraId="02C9D173">
                  <w:pPr>
                    <w:pStyle w:val="160"/>
                    <w:rPr>
                      <w:rFonts w:hint="default" w:ascii="Times New Roman" w:hAnsi="Times New Roman" w:cs="Times New Roman"/>
                      <w:color w:val="auto"/>
                      <w:highlight w:val="none"/>
                    </w:rPr>
                  </w:pPr>
                </w:p>
              </w:tc>
              <w:tc>
                <w:tcPr>
                  <w:tcW w:w="702" w:type="pct"/>
                  <w:vMerge w:val="continue"/>
                  <w:tcBorders>
                    <w:left w:val="single" w:color="auto" w:sz="4" w:space="0"/>
                  </w:tcBorders>
                  <w:noWrap w:val="0"/>
                  <w:vAlign w:val="center"/>
                </w:tcPr>
                <w:p w14:paraId="0662D852">
                  <w:pPr>
                    <w:pStyle w:val="160"/>
                    <w:rPr>
                      <w:rFonts w:hint="default" w:ascii="Times New Roman" w:hAnsi="Times New Roman" w:cs="Times New Roman"/>
                      <w:color w:val="auto"/>
                      <w:highlight w:val="none"/>
                    </w:rPr>
                  </w:pPr>
                </w:p>
              </w:tc>
              <w:tc>
                <w:tcPr>
                  <w:tcW w:w="733" w:type="pct"/>
                  <w:vMerge w:val="continue"/>
                  <w:noWrap w:val="0"/>
                  <w:vAlign w:val="center"/>
                </w:tcPr>
                <w:p w14:paraId="763F9162">
                  <w:pPr>
                    <w:pStyle w:val="160"/>
                    <w:rPr>
                      <w:rFonts w:hint="default" w:ascii="Times New Roman" w:hAnsi="Times New Roman" w:cs="Times New Roman"/>
                      <w:color w:val="auto"/>
                      <w:highlight w:val="none"/>
                    </w:rPr>
                  </w:pPr>
                </w:p>
              </w:tc>
            </w:tr>
            <w:tr w14:paraId="597067D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67" w:hRule="atLeast"/>
                <w:jc w:val="center"/>
              </w:trPr>
              <w:tc>
                <w:tcPr>
                  <w:tcW w:w="882" w:type="pct"/>
                  <w:noWrap w:val="0"/>
                  <w:vAlign w:val="center"/>
                </w:tcPr>
                <w:p w14:paraId="2679717F">
                  <w:pPr>
                    <w:pStyle w:val="16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厂址</w:t>
                  </w:r>
                </w:p>
              </w:tc>
              <w:tc>
                <w:tcPr>
                  <w:tcW w:w="744" w:type="pct"/>
                  <w:tcBorders>
                    <w:right w:val="single" w:color="auto" w:sz="4" w:space="0"/>
                  </w:tcBorders>
                  <w:noWrap w:val="0"/>
                  <w:vAlign w:val="center"/>
                </w:tcPr>
                <w:p w14:paraId="7AB09A10">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133.032796</w:t>
                  </w:r>
                </w:p>
              </w:tc>
              <w:tc>
                <w:tcPr>
                  <w:tcW w:w="671" w:type="pct"/>
                  <w:tcBorders>
                    <w:left w:val="single" w:color="auto" w:sz="4" w:space="0"/>
                  </w:tcBorders>
                  <w:noWrap w:val="0"/>
                  <w:vAlign w:val="center"/>
                </w:tcPr>
                <w:p w14:paraId="454E8A1B">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45.792073</w:t>
                  </w:r>
                </w:p>
              </w:tc>
              <w:tc>
                <w:tcPr>
                  <w:tcW w:w="494" w:type="pct"/>
                  <w:vMerge w:val="restart"/>
                  <w:tcBorders>
                    <w:left w:val="single" w:color="auto" w:sz="4" w:space="0"/>
                  </w:tcBorders>
                  <w:noWrap w:val="0"/>
                  <w:vAlign w:val="center"/>
                </w:tcPr>
                <w:p w14:paraId="6B32A829">
                  <w:pPr>
                    <w:pStyle w:val="16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苯并[a]芘</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石油烃</w:t>
                  </w:r>
                </w:p>
              </w:tc>
              <w:tc>
                <w:tcPr>
                  <w:tcW w:w="771" w:type="pct"/>
                  <w:vMerge w:val="restart"/>
                  <w:tcBorders>
                    <w:left w:val="single" w:color="auto" w:sz="4" w:space="0"/>
                  </w:tcBorders>
                  <w:noWrap w:val="0"/>
                  <w:vAlign w:val="center"/>
                </w:tcPr>
                <w:p w14:paraId="6DEDEFDA">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p>
                <w:p w14:paraId="1778559D">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rPr>
                    <w:t>日</w:t>
                  </w:r>
                </w:p>
              </w:tc>
              <w:tc>
                <w:tcPr>
                  <w:tcW w:w="702" w:type="pct"/>
                  <w:tcBorders>
                    <w:left w:val="single" w:color="auto" w:sz="4" w:space="0"/>
                  </w:tcBorders>
                  <w:noWrap w:val="0"/>
                  <w:vAlign w:val="center"/>
                </w:tcPr>
                <w:p w14:paraId="1335A8C4">
                  <w:pPr>
                    <w:pStyle w:val="16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733" w:type="pct"/>
                  <w:noWrap w:val="0"/>
                  <w:vAlign w:val="center"/>
                </w:tcPr>
                <w:p w14:paraId="64C5BD95">
                  <w:pPr>
                    <w:pStyle w:val="16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14:paraId="0068497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67" w:hRule="atLeast"/>
                <w:jc w:val="center"/>
              </w:trPr>
              <w:tc>
                <w:tcPr>
                  <w:tcW w:w="882" w:type="pct"/>
                  <w:noWrap w:val="0"/>
                  <w:vAlign w:val="center"/>
                </w:tcPr>
                <w:p w14:paraId="31CE16A7">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厂址下风向</w:t>
                  </w:r>
                </w:p>
              </w:tc>
              <w:tc>
                <w:tcPr>
                  <w:tcW w:w="744" w:type="pct"/>
                  <w:tcBorders>
                    <w:right w:val="single" w:color="auto" w:sz="4" w:space="0"/>
                  </w:tcBorders>
                  <w:noWrap w:val="0"/>
                  <w:vAlign w:val="center"/>
                </w:tcPr>
                <w:p w14:paraId="7DA7A79B">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133.033890</w:t>
                  </w:r>
                </w:p>
              </w:tc>
              <w:tc>
                <w:tcPr>
                  <w:tcW w:w="671" w:type="pct"/>
                  <w:tcBorders>
                    <w:left w:val="single" w:color="auto" w:sz="4" w:space="0"/>
                  </w:tcBorders>
                  <w:noWrap w:val="0"/>
                  <w:vAlign w:val="center"/>
                </w:tcPr>
                <w:p w14:paraId="2050C1D2">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45.792926</w:t>
                  </w:r>
                </w:p>
              </w:tc>
              <w:tc>
                <w:tcPr>
                  <w:tcW w:w="494" w:type="pct"/>
                  <w:vMerge w:val="continue"/>
                  <w:tcBorders>
                    <w:left w:val="single" w:color="auto" w:sz="4" w:space="0"/>
                  </w:tcBorders>
                  <w:noWrap w:val="0"/>
                  <w:vAlign w:val="center"/>
                </w:tcPr>
                <w:p w14:paraId="55D4E86D">
                  <w:pPr>
                    <w:pStyle w:val="160"/>
                    <w:rPr>
                      <w:rFonts w:hint="default" w:ascii="Times New Roman" w:hAnsi="Times New Roman" w:cs="Times New Roman"/>
                      <w:color w:val="auto"/>
                      <w:highlight w:val="none"/>
                    </w:rPr>
                  </w:pPr>
                </w:p>
              </w:tc>
              <w:tc>
                <w:tcPr>
                  <w:tcW w:w="771" w:type="pct"/>
                  <w:vMerge w:val="continue"/>
                  <w:tcBorders>
                    <w:left w:val="single" w:color="auto" w:sz="4" w:space="0"/>
                  </w:tcBorders>
                  <w:noWrap w:val="0"/>
                  <w:vAlign w:val="center"/>
                </w:tcPr>
                <w:p w14:paraId="71971C5B">
                  <w:pPr>
                    <w:pStyle w:val="160"/>
                    <w:rPr>
                      <w:rFonts w:hint="default" w:ascii="Times New Roman" w:hAnsi="Times New Roman" w:cs="Times New Roman"/>
                      <w:color w:val="auto"/>
                      <w:highlight w:val="none"/>
                    </w:rPr>
                  </w:pPr>
                </w:p>
              </w:tc>
              <w:tc>
                <w:tcPr>
                  <w:tcW w:w="702" w:type="pct"/>
                  <w:tcBorders>
                    <w:left w:val="single" w:color="auto" w:sz="4" w:space="0"/>
                  </w:tcBorders>
                  <w:shd w:val="clear" w:color="auto" w:fill="auto"/>
                  <w:noWrap w:val="0"/>
                  <w:vAlign w:val="center"/>
                </w:tcPr>
                <w:p w14:paraId="6F1CC3EF">
                  <w:pPr>
                    <w:pStyle w:val="16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NE</w:t>
                  </w:r>
                </w:p>
              </w:tc>
              <w:tc>
                <w:tcPr>
                  <w:tcW w:w="733" w:type="pct"/>
                  <w:shd w:val="clear" w:color="auto" w:fill="auto"/>
                  <w:noWrap w:val="0"/>
                  <w:vAlign w:val="center"/>
                </w:tcPr>
                <w:p w14:paraId="03634C6C">
                  <w:pPr>
                    <w:pStyle w:val="16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35</w:t>
                  </w:r>
                </w:p>
              </w:tc>
            </w:tr>
          </w:tbl>
          <w:p w14:paraId="640B03AE">
            <w:pPr>
              <w:spacing w:line="500" w:lineRule="exact"/>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2、监测分析方法及仪器</w:t>
            </w:r>
          </w:p>
          <w:p w14:paraId="276DC2F1">
            <w:pPr>
              <w:spacing w:line="400" w:lineRule="exact"/>
              <w:jc w:val="center"/>
              <w:rPr>
                <w:rFonts w:hint="default" w:ascii="Times New Roman" w:hAnsi="Times New Roman" w:eastAsia="黑体" w:cs="Times New Roman"/>
                <w:snapToGrid w:val="0"/>
                <w:color w:val="auto"/>
                <w:kern w:val="0"/>
                <w:sz w:val="24"/>
                <w:highlight w:val="none"/>
                <w:lang w:val="zh-CN"/>
              </w:rPr>
            </w:pPr>
            <w:r>
              <w:rPr>
                <w:rFonts w:hint="default" w:ascii="Times New Roman" w:hAnsi="Times New Roman" w:eastAsia="黑体" w:cs="Times New Roman"/>
                <w:snapToGrid w:val="0"/>
                <w:color w:val="auto"/>
                <w:kern w:val="0"/>
                <w:sz w:val="24"/>
                <w:highlight w:val="none"/>
                <w:lang w:val="zh-CN"/>
              </w:rPr>
              <w:t>表</w:t>
            </w:r>
            <w:r>
              <w:rPr>
                <w:rFonts w:hint="default" w:ascii="Times New Roman" w:hAnsi="Times New Roman" w:eastAsia="黑体" w:cs="Times New Roman"/>
                <w:snapToGrid w:val="0"/>
                <w:color w:val="auto"/>
                <w:kern w:val="0"/>
                <w:sz w:val="24"/>
                <w:highlight w:val="none"/>
                <w:lang w:val="en-US" w:eastAsia="zh-CN"/>
              </w:rPr>
              <w:t xml:space="preserve">3-3 </w:t>
            </w:r>
            <w:r>
              <w:rPr>
                <w:rFonts w:hint="default" w:ascii="Times New Roman" w:hAnsi="Times New Roman" w:eastAsia="黑体" w:cs="Times New Roman"/>
                <w:snapToGrid w:val="0"/>
                <w:color w:val="auto"/>
                <w:kern w:val="0"/>
                <w:sz w:val="24"/>
                <w:highlight w:val="none"/>
                <w:lang w:val="zh-CN"/>
              </w:rPr>
              <w:t>监测分析方法及仪器</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4"/>
              <w:gridCol w:w="1227"/>
              <w:gridCol w:w="3294"/>
              <w:gridCol w:w="2736"/>
            </w:tblGrid>
            <w:tr w14:paraId="7D1522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blHeader/>
              </w:trPr>
              <w:tc>
                <w:tcPr>
                  <w:tcW w:w="379" w:type="pct"/>
                  <w:noWrap w:val="0"/>
                  <w:vAlign w:val="center"/>
                </w:tcPr>
                <w:p w14:paraId="7C0345BD">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类别</w:t>
                  </w:r>
                </w:p>
              </w:tc>
              <w:tc>
                <w:tcPr>
                  <w:tcW w:w="781" w:type="pct"/>
                  <w:noWrap w:val="0"/>
                  <w:vAlign w:val="center"/>
                </w:tcPr>
                <w:p w14:paraId="175424CC">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检测项目</w:t>
                  </w:r>
                </w:p>
              </w:tc>
              <w:tc>
                <w:tcPr>
                  <w:tcW w:w="2097" w:type="pct"/>
                  <w:noWrap w:val="0"/>
                  <w:vAlign w:val="center"/>
                </w:tcPr>
                <w:p w14:paraId="34DB046D">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检测方法及依据</w:t>
                  </w:r>
                </w:p>
              </w:tc>
              <w:tc>
                <w:tcPr>
                  <w:tcW w:w="1742" w:type="pct"/>
                  <w:noWrap w:val="0"/>
                  <w:vAlign w:val="center"/>
                </w:tcPr>
                <w:p w14:paraId="56C3A190">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仪器名称及型号/编号</w:t>
                  </w:r>
                </w:p>
              </w:tc>
            </w:tr>
            <w:tr w14:paraId="7BC23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379" w:type="pct"/>
                  <w:vMerge w:val="restart"/>
                  <w:noWrap w:val="0"/>
                  <w:vAlign w:val="center"/>
                </w:tcPr>
                <w:p w14:paraId="2C917C42">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土壤</w:t>
                  </w:r>
                </w:p>
              </w:tc>
              <w:tc>
                <w:tcPr>
                  <w:tcW w:w="781" w:type="pct"/>
                  <w:noWrap w:val="0"/>
                  <w:vAlign w:val="center"/>
                </w:tcPr>
                <w:p w14:paraId="5FFF34BF">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eastAsia="zh-CN"/>
                    </w:rPr>
                    <w:t>苯并[a]芘</w:t>
                  </w:r>
                </w:p>
              </w:tc>
              <w:tc>
                <w:tcPr>
                  <w:tcW w:w="2097" w:type="pct"/>
                  <w:noWrap w:val="0"/>
                  <w:vAlign w:val="center"/>
                </w:tcPr>
                <w:p w14:paraId="70C5A13E">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土壤和沉积物 多环芳烃的测定 高效液相色谱法 HJ 784-2016</w:t>
                  </w:r>
                </w:p>
              </w:tc>
              <w:tc>
                <w:tcPr>
                  <w:tcW w:w="1742" w:type="pct"/>
                  <w:noWrap w:val="0"/>
                  <w:vAlign w:val="center"/>
                </w:tcPr>
                <w:p w14:paraId="3B072EEC">
                  <w:pPr>
                    <w:pStyle w:val="17"/>
                    <w:spacing w:after="0" w:line="240" w:lineRule="auto"/>
                    <w:ind w:left="0" w:leftChars="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液相色谱仪  SCL-10A vp</w:t>
                  </w:r>
                </w:p>
                <w:p w14:paraId="6B01C61D">
                  <w:pPr>
                    <w:pStyle w:val="17"/>
                    <w:spacing w:after="0" w:line="240" w:lineRule="auto"/>
                    <w:ind w:left="0" w:leftChars="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HCYQ-030</w:t>
                  </w:r>
                </w:p>
              </w:tc>
            </w:tr>
            <w:tr w14:paraId="74ECFA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1" w:hRule="atLeast"/>
              </w:trPr>
              <w:tc>
                <w:tcPr>
                  <w:tcW w:w="379" w:type="pct"/>
                  <w:vMerge w:val="continue"/>
                  <w:noWrap w:val="0"/>
                  <w:vAlign w:val="center"/>
                </w:tcPr>
                <w:p w14:paraId="71C8E727">
                  <w:pPr>
                    <w:jc w:val="center"/>
                    <w:rPr>
                      <w:rFonts w:hint="default" w:ascii="Times New Roman" w:hAnsi="Times New Roman" w:cs="Times New Roman"/>
                      <w:color w:val="auto"/>
                      <w:szCs w:val="21"/>
                      <w:highlight w:val="none"/>
                    </w:rPr>
                  </w:pPr>
                </w:p>
              </w:tc>
              <w:tc>
                <w:tcPr>
                  <w:tcW w:w="781" w:type="pct"/>
                  <w:noWrap w:val="0"/>
                  <w:vAlign w:val="center"/>
                </w:tcPr>
                <w:p w14:paraId="4F7DC59F">
                  <w:pPr>
                    <w:widowControl/>
                    <w:autoSpaceDE w:val="0"/>
                    <w:autoSpaceDN w:val="0"/>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石油烃</w:t>
                  </w:r>
                </w:p>
              </w:tc>
              <w:tc>
                <w:tcPr>
                  <w:tcW w:w="2097" w:type="pct"/>
                  <w:noWrap w:val="0"/>
                  <w:vAlign w:val="center"/>
                </w:tcPr>
                <w:p w14:paraId="6A3827EE">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土壤和沉积物 石油烃（C10-C40 ）的测定 气相色谱法 HJ 1021-2019</w:t>
                  </w:r>
                </w:p>
              </w:tc>
              <w:tc>
                <w:tcPr>
                  <w:tcW w:w="1742" w:type="pct"/>
                  <w:noWrap w:val="0"/>
                  <w:vAlign w:val="center"/>
                </w:tcPr>
                <w:p w14:paraId="6A63A22F">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气相色谱仪  GC-2014C</w:t>
                  </w:r>
                </w:p>
                <w:p w14:paraId="11CD7CE2">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HCYQ-026</w:t>
                  </w:r>
                </w:p>
              </w:tc>
            </w:tr>
          </w:tbl>
          <w:p w14:paraId="54D66B81">
            <w:pPr>
              <w:spacing w:line="360" w:lineRule="auto"/>
              <w:ind w:firstLine="480" w:firstLineChars="20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3、</w:t>
            </w:r>
            <w:r>
              <w:rPr>
                <w:rFonts w:hint="default" w:ascii="Times New Roman" w:hAnsi="Times New Roman" w:eastAsia="黑体" w:cs="Times New Roman"/>
                <w:bCs/>
                <w:color w:val="auto"/>
                <w:kern w:val="44"/>
                <w:sz w:val="24"/>
                <w:highlight w:val="none"/>
              </w:rPr>
              <w:t>监测结果</w:t>
            </w:r>
          </w:p>
          <w:p w14:paraId="0F90A7E3">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cs="Times New Roman"/>
                <w:snapToGrid w:val="0"/>
                <w:color w:val="auto"/>
                <w:kern w:val="0"/>
                <w:sz w:val="24"/>
                <w:highlight w:val="none"/>
              </w:rPr>
              <w:t>补充监测统计结果见下表</w:t>
            </w:r>
            <w:r>
              <w:rPr>
                <w:rFonts w:hint="default" w:ascii="Times New Roman" w:hAnsi="Times New Roman" w:cs="Times New Roman"/>
                <w:snapToGrid w:val="0"/>
                <w:color w:val="auto"/>
                <w:kern w:val="0"/>
                <w:sz w:val="24"/>
                <w:highlight w:val="none"/>
                <w:lang w:eastAsia="zh-CN"/>
              </w:rPr>
              <w:t>。</w:t>
            </w:r>
          </w:p>
          <w:p w14:paraId="3CA22ABD">
            <w:pPr>
              <w:spacing w:line="400" w:lineRule="exact"/>
              <w:jc w:val="center"/>
              <w:rPr>
                <w:rFonts w:hint="default" w:ascii="Times New Roman" w:hAnsi="Times New Roman" w:cs="Times New Roman"/>
                <w:snapToGrid w:val="0"/>
                <w:color w:val="auto"/>
                <w:sz w:val="24"/>
                <w:highlight w:val="none"/>
              </w:rPr>
            </w:pPr>
            <w:r>
              <w:rPr>
                <w:rFonts w:hint="default" w:ascii="Times New Roman" w:hAnsi="Times New Roman" w:eastAsia="黑体" w:cs="Times New Roman"/>
                <w:snapToGrid w:val="0"/>
                <w:color w:val="auto"/>
                <w:sz w:val="24"/>
                <w:highlight w:val="none"/>
                <w:lang w:val="en-US" w:eastAsia="zh-CN"/>
              </w:rPr>
              <w:t xml:space="preserve">       </w:t>
            </w:r>
            <w:r>
              <w:rPr>
                <w:rFonts w:hint="default" w:ascii="Times New Roman" w:hAnsi="Times New Roman" w:eastAsia="黑体" w:cs="Times New Roman"/>
                <w:snapToGrid w:val="0"/>
                <w:color w:val="auto"/>
                <w:sz w:val="24"/>
                <w:highlight w:val="none"/>
              </w:rPr>
              <w:t>表</w:t>
            </w:r>
            <w:r>
              <w:rPr>
                <w:rFonts w:hint="default" w:ascii="Times New Roman" w:hAnsi="Times New Roman" w:eastAsia="黑体" w:cs="Times New Roman"/>
                <w:snapToGrid w:val="0"/>
                <w:color w:val="auto"/>
                <w:sz w:val="24"/>
                <w:highlight w:val="none"/>
                <w:lang w:val="en-US" w:eastAsia="zh-CN"/>
              </w:rPr>
              <w:t>3-4</w:t>
            </w:r>
            <w:r>
              <w:rPr>
                <w:rFonts w:hint="default" w:ascii="Times New Roman" w:hAnsi="Times New Roman" w:eastAsia="黑体" w:cs="Times New Roman"/>
                <w:snapToGrid w:val="0"/>
                <w:color w:val="auto"/>
                <w:sz w:val="24"/>
                <w:highlight w:val="none"/>
              </w:rPr>
              <w:t>污染物监测结果一览表</w:t>
            </w:r>
            <w:r>
              <w:rPr>
                <w:rFonts w:hint="default" w:ascii="Times New Roman" w:hAnsi="Times New Roman" w:eastAsia="黑体" w:cs="Times New Roman"/>
                <w:snapToGrid w:val="0"/>
                <w:color w:val="auto"/>
                <w:sz w:val="24"/>
                <w:highlight w:val="none"/>
                <w:lang w:val="en-US" w:eastAsia="zh-CN"/>
              </w:rPr>
              <w:t xml:space="preserve">        </w:t>
            </w:r>
            <w:r>
              <w:rPr>
                <w:rFonts w:hint="default" w:ascii="Times New Roman" w:hAnsi="Times New Roman" w:cs="Times New Roman"/>
                <w:color w:val="auto"/>
                <w:sz w:val="24"/>
                <w:szCs w:val="21"/>
                <w:highlight w:val="none"/>
              </w:rPr>
              <w:t>单位：</w:t>
            </w:r>
            <w:r>
              <w:rPr>
                <w:rFonts w:hint="default" w:ascii="Times New Roman" w:hAnsi="Times New Roman" w:cs="Times New Roman"/>
                <w:color w:val="auto"/>
                <w:sz w:val="24"/>
                <w:szCs w:val="21"/>
                <w:highlight w:val="none"/>
                <w:lang w:val="en-US" w:eastAsia="zh-CN"/>
              </w:rPr>
              <w:t>k</w:t>
            </w:r>
            <w:r>
              <w:rPr>
                <w:rFonts w:hint="default" w:ascii="Times New Roman" w:hAnsi="Times New Roman" w:cs="Times New Roman"/>
                <w:color w:val="auto"/>
                <w:sz w:val="24"/>
                <w:szCs w:val="21"/>
                <w:highlight w:val="none"/>
              </w:rPr>
              <w:t>g/m</w:t>
            </w:r>
            <w:r>
              <w:rPr>
                <w:rFonts w:hint="default" w:ascii="Times New Roman" w:hAnsi="Times New Roman" w:cs="Times New Roman"/>
                <w:color w:val="auto"/>
                <w:sz w:val="24"/>
                <w:szCs w:val="21"/>
                <w:highlight w:val="none"/>
                <w:vertAlign w:val="superscript"/>
              </w:rPr>
              <w:t>3</w:t>
            </w:r>
          </w:p>
          <w:tbl>
            <w:tblPr>
              <w:tblStyle w:val="30"/>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8"/>
              <w:gridCol w:w="1501"/>
              <w:gridCol w:w="1209"/>
              <w:gridCol w:w="1128"/>
              <w:gridCol w:w="2538"/>
              <w:gridCol w:w="704"/>
            </w:tblGrid>
            <w:tr w14:paraId="16FBB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89" w:type="pct"/>
                  <w:noWrap w:val="0"/>
                  <w:vAlign w:val="center"/>
                </w:tcPr>
                <w:p w14:paraId="5207F929">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监测点位</w:t>
                  </w:r>
                </w:p>
              </w:tc>
              <w:tc>
                <w:tcPr>
                  <w:tcW w:w="956" w:type="pct"/>
                  <w:noWrap w:val="0"/>
                  <w:vAlign w:val="center"/>
                </w:tcPr>
                <w:p w14:paraId="728C9AD5">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监测项目</w:t>
                  </w:r>
                </w:p>
              </w:tc>
              <w:tc>
                <w:tcPr>
                  <w:tcW w:w="770" w:type="pct"/>
                  <w:noWrap w:val="0"/>
                  <w:vAlign w:val="center"/>
                </w:tcPr>
                <w:p w14:paraId="4B046EBB">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监测日期</w:t>
                  </w:r>
                </w:p>
              </w:tc>
              <w:tc>
                <w:tcPr>
                  <w:tcW w:w="718" w:type="pct"/>
                  <w:noWrap w:val="0"/>
                  <w:vAlign w:val="center"/>
                </w:tcPr>
                <w:p w14:paraId="58B29062">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检测结果</w:t>
                  </w:r>
                </w:p>
              </w:tc>
              <w:tc>
                <w:tcPr>
                  <w:tcW w:w="1616" w:type="pct"/>
                  <w:noWrap w:val="0"/>
                  <w:vAlign w:val="center"/>
                </w:tcPr>
                <w:p w14:paraId="26D931A5">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评价标准</w:t>
                  </w:r>
                </w:p>
              </w:tc>
              <w:tc>
                <w:tcPr>
                  <w:tcW w:w="448" w:type="pct"/>
                  <w:noWrap w:val="0"/>
                  <w:vAlign w:val="center"/>
                </w:tcPr>
                <w:p w14:paraId="2028FC77">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标准限值</w:t>
                  </w:r>
                </w:p>
              </w:tc>
            </w:tr>
            <w:tr w14:paraId="33D343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89" w:type="pct"/>
                  <w:vMerge w:val="restart"/>
                  <w:noWrap w:val="0"/>
                  <w:vAlign w:val="center"/>
                </w:tcPr>
                <w:p w14:paraId="538ACC2B">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厂址</w:t>
                  </w:r>
                </w:p>
              </w:tc>
              <w:tc>
                <w:tcPr>
                  <w:tcW w:w="956" w:type="pct"/>
                  <w:noWrap w:val="0"/>
                  <w:vAlign w:val="center"/>
                </w:tcPr>
                <w:p w14:paraId="7D4DF8A7">
                  <w:pPr>
                    <w:pStyle w:val="6"/>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苯并[a]芘</w:t>
                  </w:r>
                </w:p>
                <w:p w14:paraId="3BC92112">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μg/m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eastAsia="zh-CN"/>
                    </w:rPr>
                    <w:t>）</w:t>
                  </w:r>
                </w:p>
              </w:tc>
              <w:tc>
                <w:tcPr>
                  <w:tcW w:w="770" w:type="pct"/>
                  <w:vMerge w:val="restart"/>
                  <w:noWrap w:val="0"/>
                  <w:vAlign w:val="center"/>
                </w:tcPr>
                <w:p w14:paraId="7E19C018">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7.24</w:t>
                  </w:r>
                </w:p>
              </w:tc>
              <w:tc>
                <w:tcPr>
                  <w:tcW w:w="718" w:type="pct"/>
                  <w:noWrap w:val="0"/>
                  <w:vAlign w:val="center"/>
                </w:tcPr>
                <w:p w14:paraId="41E96808">
                  <w:pPr>
                    <w:spacing w:after="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2"/>
                      <w:szCs w:val="21"/>
                      <w:highlight w:val="none"/>
                      <w:vertAlign w:val="baseline"/>
                      <w:lang w:val="en-US" w:eastAsia="zh-CN" w:bidi="ar-SA"/>
                    </w:rPr>
                    <w:t>5L</w:t>
                  </w:r>
                </w:p>
              </w:tc>
              <w:tc>
                <w:tcPr>
                  <w:tcW w:w="1616" w:type="pct"/>
                  <w:vMerge w:val="restart"/>
                  <w:noWrap w:val="0"/>
                  <w:vAlign w:val="center"/>
                </w:tcPr>
                <w:p w14:paraId="2995078E">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《土壤环境质量 建设用地土壤污染风险管控标准（试行）》（GB36600-2018）</w:t>
                  </w:r>
                </w:p>
              </w:tc>
              <w:tc>
                <w:tcPr>
                  <w:tcW w:w="448" w:type="pct"/>
                  <w:noWrap w:val="0"/>
                  <w:vAlign w:val="center"/>
                </w:tcPr>
                <w:p w14:paraId="2CFD9E7E">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r>
            <w:tr w14:paraId="1249BC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89" w:type="pct"/>
                  <w:vMerge w:val="continue"/>
                  <w:noWrap w:val="0"/>
                  <w:vAlign w:val="center"/>
                </w:tcPr>
                <w:p w14:paraId="154D2D4C">
                  <w:pPr>
                    <w:jc w:val="center"/>
                    <w:rPr>
                      <w:rFonts w:hint="default" w:ascii="Times New Roman" w:hAnsi="Times New Roman" w:eastAsia="宋体" w:cs="Times New Roman"/>
                      <w:color w:val="auto"/>
                      <w:sz w:val="21"/>
                      <w:szCs w:val="21"/>
                      <w:highlight w:val="none"/>
                      <w:lang w:eastAsia="zh-CN"/>
                    </w:rPr>
                  </w:pPr>
                </w:p>
              </w:tc>
              <w:tc>
                <w:tcPr>
                  <w:tcW w:w="956" w:type="pct"/>
                  <w:noWrap w:val="0"/>
                  <w:vAlign w:val="center"/>
                </w:tcPr>
                <w:p w14:paraId="54607813">
                  <w:pPr>
                    <w:pStyle w:val="6"/>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石油烃</w:t>
                  </w:r>
                  <w:r>
                    <w:rPr>
                      <w:rFonts w:hint="default" w:ascii="Times New Roman" w:hAnsi="Times New Roman" w:cs="Times New Roman"/>
                      <w:color w:val="auto"/>
                      <w:sz w:val="21"/>
                      <w:szCs w:val="21"/>
                      <w:highlight w:val="none"/>
                      <w:lang w:val="en-US" w:eastAsia="zh-CN"/>
                    </w:rPr>
                    <w:t>（mg/kg）</w:t>
                  </w:r>
                </w:p>
              </w:tc>
              <w:tc>
                <w:tcPr>
                  <w:tcW w:w="770" w:type="pct"/>
                  <w:vMerge w:val="continue"/>
                  <w:noWrap w:val="0"/>
                  <w:vAlign w:val="center"/>
                </w:tcPr>
                <w:p w14:paraId="03A3B44F">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718" w:type="pct"/>
                  <w:noWrap w:val="0"/>
                  <w:vAlign w:val="center"/>
                </w:tcPr>
                <w:p w14:paraId="33D8E509">
                  <w:pPr>
                    <w:spacing w:after="0"/>
                    <w:jc w:val="center"/>
                    <w:rPr>
                      <w:rFonts w:hint="default" w:ascii="Times New Roman" w:hAnsi="Times New Roman" w:cs="Times New Roman"/>
                      <w:color w:val="auto"/>
                      <w:szCs w:val="21"/>
                      <w:highlight w:val="none"/>
                    </w:rPr>
                  </w:pPr>
                  <w:r>
                    <w:rPr>
                      <w:rFonts w:hint="default" w:ascii="Times New Roman" w:hAnsi="Times New Roman" w:cs="Times New Roman" w:eastAsiaTheme="minorEastAsia"/>
                      <w:color w:val="auto"/>
                      <w:sz w:val="21"/>
                      <w:szCs w:val="21"/>
                      <w:highlight w:val="none"/>
                      <w:vertAlign w:val="baseline"/>
                      <w:lang w:val="en-US" w:eastAsia="zh-CN"/>
                    </w:rPr>
                    <w:t>16.4</w:t>
                  </w:r>
                </w:p>
              </w:tc>
              <w:tc>
                <w:tcPr>
                  <w:tcW w:w="1616" w:type="pct"/>
                  <w:vMerge w:val="continue"/>
                  <w:noWrap w:val="0"/>
                  <w:vAlign w:val="center"/>
                </w:tcPr>
                <w:p w14:paraId="42A7D4B8">
                  <w:pPr>
                    <w:pStyle w:val="6"/>
                    <w:snapToGrid w:val="0"/>
                    <w:jc w:val="center"/>
                    <w:rPr>
                      <w:rFonts w:hint="default" w:ascii="Times New Roman" w:hAnsi="Times New Roman" w:cs="Times New Roman"/>
                      <w:color w:val="auto"/>
                      <w:sz w:val="21"/>
                      <w:szCs w:val="21"/>
                      <w:highlight w:val="none"/>
                    </w:rPr>
                  </w:pPr>
                </w:p>
              </w:tc>
              <w:tc>
                <w:tcPr>
                  <w:tcW w:w="448" w:type="pct"/>
                  <w:noWrap w:val="0"/>
                  <w:vAlign w:val="center"/>
                </w:tcPr>
                <w:p w14:paraId="64F99AB8">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4500</w:t>
                  </w:r>
                </w:p>
              </w:tc>
            </w:tr>
            <w:tr w14:paraId="64EB7E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89" w:type="pct"/>
                  <w:vMerge w:val="restart"/>
                  <w:noWrap w:val="0"/>
                  <w:vAlign w:val="center"/>
                </w:tcPr>
                <w:p w14:paraId="42F25B90">
                  <w:pPr>
                    <w:widowControl/>
                    <w:autoSpaceDE w:val="0"/>
                    <w:autoSpaceDN w:val="0"/>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厂址</w:t>
                  </w:r>
                  <w:r>
                    <w:rPr>
                      <w:rFonts w:hint="default" w:ascii="Times New Roman" w:hAnsi="Times New Roman" w:cs="Times New Roman"/>
                      <w:color w:val="auto"/>
                      <w:sz w:val="21"/>
                      <w:szCs w:val="21"/>
                      <w:highlight w:val="none"/>
                    </w:rPr>
                    <w:t>下风向</w:t>
                  </w:r>
                </w:p>
              </w:tc>
              <w:tc>
                <w:tcPr>
                  <w:tcW w:w="956" w:type="pct"/>
                  <w:noWrap w:val="0"/>
                  <w:vAlign w:val="center"/>
                </w:tcPr>
                <w:p w14:paraId="066F5817">
                  <w:pPr>
                    <w:pStyle w:val="6"/>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苯并[a]芘</w:t>
                  </w:r>
                </w:p>
                <w:p w14:paraId="255C0B8C">
                  <w:pPr>
                    <w:pStyle w:val="6"/>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μg/m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eastAsia="zh-CN"/>
                    </w:rPr>
                    <w:t>）</w:t>
                  </w:r>
                </w:p>
              </w:tc>
              <w:tc>
                <w:tcPr>
                  <w:tcW w:w="770" w:type="pct"/>
                  <w:vMerge w:val="restart"/>
                  <w:noWrap w:val="0"/>
                  <w:vAlign w:val="center"/>
                </w:tcPr>
                <w:p w14:paraId="25BCAF08">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cs="Times New Roman"/>
                      <w:b w:val="0"/>
                      <w:bCs/>
                      <w:color w:val="auto"/>
                      <w:szCs w:val="21"/>
                      <w:highlight w:val="none"/>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7.24</w:t>
                  </w:r>
                </w:p>
              </w:tc>
              <w:tc>
                <w:tcPr>
                  <w:tcW w:w="718" w:type="pct"/>
                  <w:noWrap w:val="0"/>
                  <w:vAlign w:val="center"/>
                </w:tcPr>
                <w:p w14:paraId="22D9BD61">
                  <w:pPr>
                    <w:spacing w:after="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2"/>
                      <w:szCs w:val="21"/>
                      <w:highlight w:val="none"/>
                      <w:vertAlign w:val="baseline"/>
                      <w:lang w:val="en-US" w:eastAsia="zh-CN" w:bidi="ar-SA"/>
                    </w:rPr>
                    <w:t>5L</w:t>
                  </w:r>
                </w:p>
              </w:tc>
              <w:tc>
                <w:tcPr>
                  <w:tcW w:w="1616" w:type="pct"/>
                  <w:noWrap w:val="0"/>
                  <w:vAlign w:val="center"/>
                </w:tcPr>
                <w:p w14:paraId="6F19B022">
                  <w:pPr>
                    <w:pStyle w:val="6"/>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《土壤环境质量 农用地土壤污染风险管控标准》（试行）</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GB15618- 2018</w:t>
                  </w:r>
                  <w:r>
                    <w:rPr>
                      <w:rFonts w:hint="default" w:ascii="Times New Roman" w:hAnsi="Times New Roman" w:cs="Times New Roman"/>
                      <w:color w:val="auto"/>
                      <w:sz w:val="21"/>
                      <w:szCs w:val="21"/>
                      <w:highlight w:val="none"/>
                      <w:lang w:val="en-US" w:eastAsia="zh-CN"/>
                    </w:rPr>
                    <w:t>)</w:t>
                  </w:r>
                </w:p>
              </w:tc>
              <w:tc>
                <w:tcPr>
                  <w:tcW w:w="448" w:type="pct"/>
                  <w:noWrap w:val="0"/>
                  <w:vAlign w:val="center"/>
                </w:tcPr>
                <w:p w14:paraId="40643664">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0.55</w:t>
                  </w:r>
                </w:p>
              </w:tc>
            </w:tr>
            <w:tr w14:paraId="274B1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89" w:type="pct"/>
                  <w:vMerge w:val="continue"/>
                  <w:noWrap w:val="0"/>
                  <w:vAlign w:val="center"/>
                </w:tcPr>
                <w:p w14:paraId="2834ED5D">
                  <w:pPr>
                    <w:pStyle w:val="6"/>
                    <w:snapToGrid w:val="0"/>
                    <w:jc w:val="center"/>
                    <w:rPr>
                      <w:rFonts w:hint="default" w:ascii="Times New Roman" w:hAnsi="Times New Roman" w:cs="Times New Roman"/>
                      <w:color w:val="auto"/>
                      <w:sz w:val="21"/>
                      <w:szCs w:val="21"/>
                      <w:highlight w:val="none"/>
                      <w:lang w:val="en-US" w:eastAsia="zh-CN"/>
                    </w:rPr>
                  </w:pPr>
                </w:p>
              </w:tc>
              <w:tc>
                <w:tcPr>
                  <w:tcW w:w="956" w:type="pct"/>
                  <w:noWrap w:val="0"/>
                  <w:vAlign w:val="center"/>
                </w:tcPr>
                <w:p w14:paraId="54008DED">
                  <w:pPr>
                    <w:pStyle w:val="6"/>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石油烃</w:t>
                  </w:r>
                  <w:r>
                    <w:rPr>
                      <w:rFonts w:hint="default" w:ascii="Times New Roman" w:hAnsi="Times New Roman" w:cs="Times New Roman"/>
                      <w:color w:val="auto"/>
                      <w:sz w:val="21"/>
                      <w:szCs w:val="21"/>
                      <w:highlight w:val="none"/>
                      <w:lang w:val="en-US" w:eastAsia="zh-CN"/>
                    </w:rPr>
                    <w:t>（mg/kg）</w:t>
                  </w:r>
                </w:p>
              </w:tc>
              <w:tc>
                <w:tcPr>
                  <w:tcW w:w="770" w:type="pct"/>
                  <w:vMerge w:val="continue"/>
                  <w:noWrap w:val="0"/>
                  <w:vAlign w:val="center"/>
                </w:tcPr>
                <w:p w14:paraId="42CC392B">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cs="Times New Roman"/>
                      <w:b w:val="0"/>
                      <w:bCs/>
                      <w:color w:val="auto"/>
                      <w:szCs w:val="21"/>
                      <w:highlight w:val="none"/>
                    </w:rPr>
                  </w:pPr>
                </w:p>
              </w:tc>
              <w:tc>
                <w:tcPr>
                  <w:tcW w:w="718" w:type="pct"/>
                  <w:noWrap w:val="0"/>
                  <w:vAlign w:val="center"/>
                </w:tcPr>
                <w:p w14:paraId="6FFB70BC">
                  <w:pPr>
                    <w:spacing w:after="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eastAsiaTheme="minorEastAsia"/>
                      <w:color w:val="auto"/>
                      <w:sz w:val="21"/>
                      <w:szCs w:val="21"/>
                      <w:highlight w:val="none"/>
                      <w:vertAlign w:val="baseline"/>
                      <w:lang w:val="en-US" w:eastAsia="zh-CN"/>
                    </w:rPr>
                    <w:t>15.2</w:t>
                  </w:r>
                </w:p>
              </w:tc>
              <w:tc>
                <w:tcPr>
                  <w:tcW w:w="1616" w:type="pct"/>
                  <w:noWrap w:val="0"/>
                  <w:vAlign w:val="center"/>
                </w:tcPr>
                <w:p w14:paraId="4C9C30B6">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《土壤环境质量 建设用地土壤污染风险管控标准（试行）》（GB36600-2018）</w:t>
                  </w:r>
                </w:p>
              </w:tc>
              <w:tc>
                <w:tcPr>
                  <w:tcW w:w="448" w:type="pct"/>
                  <w:noWrap w:val="0"/>
                  <w:vAlign w:val="center"/>
                </w:tcPr>
                <w:p w14:paraId="7BAA1636">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4500</w:t>
                  </w:r>
                </w:p>
              </w:tc>
            </w:tr>
          </w:tbl>
          <w:p w14:paraId="5E6B452E">
            <w:pPr>
              <w:spacing w:line="500" w:lineRule="exact"/>
              <w:ind w:firstLine="480" w:firstLineChars="20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根据2025年7月24日土壤监测数据可知，各监测点位各污染因子均不超标，厂区土壤中苯并[a]芘、石油烃满足《土壤环境质量建设用地土壤污染风险管控标准（试行）》（GB36600-2018）表 2 、表3第二类用地筛选值的要求；下风向土壤中</w:t>
            </w:r>
            <w:r>
              <w:rPr>
                <w:rFonts w:hint="default" w:ascii="Times New Roman" w:hAnsi="Times New Roman" w:eastAsia="宋体" w:cs="Times New Roman"/>
                <w:color w:val="auto"/>
                <w:kern w:val="0"/>
                <w:sz w:val="24"/>
                <w:szCs w:val="24"/>
                <w:highlight w:val="none"/>
                <w:lang w:val="en-US" w:eastAsia="zh-CN" w:bidi="ar-SA"/>
              </w:rPr>
              <w:t>苯并[a]芘</w:t>
            </w:r>
            <w:r>
              <w:rPr>
                <w:rFonts w:hint="default" w:ascii="Times New Roman" w:hAnsi="Times New Roman" w:cs="Times New Roman"/>
                <w:color w:val="auto"/>
                <w:kern w:val="0"/>
                <w:sz w:val="24"/>
                <w:szCs w:val="24"/>
                <w:highlight w:val="none"/>
                <w:lang w:val="en-US" w:eastAsia="zh-CN" w:bidi="ar-SA"/>
              </w:rPr>
              <w:t>满足《土壤环境质量 农用地土壤污染风险管控标准（试行）》（GB15618-2018）表 2 中风险筛选值的要求，石油烃满足《土壤环境质量建设用地土壤污染风险管控标准（试行）》（GB36600-2018）表3第二类用地筛选值的要求，表明厂区所在区域土壤和厂界外土壤环境良好，目前尚未受到污染。</w:t>
            </w:r>
          </w:p>
          <w:p w14:paraId="6BB272EA">
            <w:pPr>
              <w:spacing w:line="500" w:lineRule="exact"/>
              <w:ind w:firstLine="482" w:firstLineChars="200"/>
              <w:rPr>
                <w:rFonts w:hint="default" w:ascii="Times New Roman" w:hAnsi="Times New Roman" w:cs="Times New Roman"/>
                <w:b/>
                <w:bCs/>
                <w:color w:val="auto"/>
                <w:kern w:val="0"/>
                <w:sz w:val="24"/>
                <w:szCs w:val="24"/>
                <w:highlight w:val="none"/>
                <w:lang w:val="en-US" w:eastAsia="zh-CN" w:bidi="ar-SA"/>
              </w:rPr>
            </w:pPr>
            <w:r>
              <w:rPr>
                <w:rFonts w:hint="default" w:ascii="Times New Roman" w:hAnsi="Times New Roman" w:cs="Times New Roman"/>
                <w:b/>
                <w:bCs/>
                <w:color w:val="auto"/>
                <w:kern w:val="0"/>
                <w:sz w:val="24"/>
                <w:szCs w:val="24"/>
                <w:highlight w:val="none"/>
                <w:lang w:val="en-US" w:eastAsia="zh-CN" w:bidi="ar-SA"/>
              </w:rPr>
              <w:t>五、地下水环境质量现状</w:t>
            </w:r>
          </w:p>
          <w:p w14:paraId="18A3ABFE">
            <w:pPr>
              <w:spacing w:line="500" w:lineRule="exact"/>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本项目委托黑龙江汇川检测有限公司对厂区地下水本底值进行监测。</w:t>
            </w:r>
          </w:p>
          <w:p w14:paraId="12116CEB">
            <w:pPr>
              <w:spacing w:line="500" w:lineRule="exact"/>
              <w:ind w:firstLine="480" w:firstLineChars="20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1、监测布点</w:t>
            </w:r>
          </w:p>
          <w:p w14:paraId="549722FB">
            <w:pPr>
              <w:spacing w:line="500" w:lineRule="exact"/>
              <w:ind w:firstLine="480" w:firstLineChars="200"/>
              <w:rPr>
                <w:rFonts w:hint="default" w:ascii="Times New Roman" w:hAnsi="Times New Roman" w:cs="Times New Roman"/>
                <w:snapToGrid w:val="0"/>
                <w:color w:val="auto"/>
                <w:kern w:val="0"/>
                <w:sz w:val="24"/>
                <w:highlight w:val="none"/>
                <w:lang w:eastAsia="zh-CN"/>
              </w:rPr>
            </w:pPr>
            <w:r>
              <w:rPr>
                <w:rFonts w:hint="default" w:ascii="Times New Roman" w:hAnsi="Times New Roman" w:cs="Times New Roman"/>
                <w:color w:val="auto"/>
                <w:kern w:val="0"/>
                <w:sz w:val="24"/>
                <w:szCs w:val="24"/>
                <w:highlight w:val="none"/>
                <w:lang w:val="en-US" w:eastAsia="zh-CN" w:bidi="ar-SA"/>
              </w:rPr>
              <w:t>本项目</w:t>
            </w:r>
            <w:r>
              <w:rPr>
                <w:rFonts w:hint="default" w:ascii="Times New Roman" w:hAnsi="Times New Roman" w:cs="Times New Roman"/>
                <w:snapToGrid w:val="0"/>
                <w:color w:val="auto"/>
                <w:kern w:val="0"/>
                <w:sz w:val="24"/>
                <w:highlight w:val="none"/>
                <w:lang w:val="en-US" w:eastAsia="zh-CN"/>
              </w:rPr>
              <w:t>在厂区内设置1</w:t>
            </w:r>
            <w:r>
              <w:rPr>
                <w:rFonts w:hint="default" w:ascii="Times New Roman" w:hAnsi="Times New Roman" w:cs="Times New Roman"/>
                <w:snapToGrid w:val="0"/>
                <w:color w:val="auto"/>
                <w:kern w:val="0"/>
                <w:sz w:val="24"/>
                <w:highlight w:val="none"/>
              </w:rPr>
              <w:t>处监测点</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lang w:val="en-US" w:eastAsia="zh-CN"/>
              </w:rPr>
              <w:t>监测点位示意图见图3-2，</w:t>
            </w:r>
            <w:r>
              <w:rPr>
                <w:rFonts w:hint="default" w:ascii="Times New Roman" w:hAnsi="Times New Roman" w:cs="Times New Roman"/>
                <w:snapToGrid w:val="0"/>
                <w:color w:val="auto"/>
                <w:kern w:val="0"/>
                <w:sz w:val="24"/>
                <w:highlight w:val="none"/>
              </w:rPr>
              <w:t>监测点的情况见下表</w:t>
            </w:r>
            <w:r>
              <w:rPr>
                <w:rFonts w:hint="default" w:ascii="Times New Roman" w:hAnsi="Times New Roman" w:cs="Times New Roman"/>
                <w:snapToGrid w:val="0"/>
                <w:color w:val="auto"/>
                <w:kern w:val="0"/>
                <w:sz w:val="24"/>
                <w:highlight w:val="none"/>
                <w:lang w:eastAsia="zh-CN"/>
              </w:rPr>
              <w:t>。</w:t>
            </w:r>
          </w:p>
          <w:p w14:paraId="018DE4C8">
            <w:pPr>
              <w:adjustRightInd w:val="0"/>
              <w:spacing w:line="500" w:lineRule="exact"/>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w:t>
            </w:r>
            <w:r>
              <w:rPr>
                <w:rFonts w:hint="default" w:ascii="Times New Roman" w:hAnsi="Times New Roman" w:eastAsia="黑体" w:cs="Times New Roman"/>
                <w:color w:val="auto"/>
                <w:sz w:val="24"/>
                <w:highlight w:val="none"/>
                <w:lang w:val="en-US" w:eastAsia="zh-CN"/>
              </w:rPr>
              <w:t>3-5 地下水</w:t>
            </w:r>
            <w:r>
              <w:rPr>
                <w:rFonts w:hint="default" w:ascii="Times New Roman" w:hAnsi="Times New Roman" w:eastAsia="黑体" w:cs="Times New Roman"/>
                <w:color w:val="auto"/>
                <w:sz w:val="24"/>
                <w:highlight w:val="none"/>
              </w:rPr>
              <w:t>监测布点情况</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1259"/>
              <w:gridCol w:w="1150"/>
              <w:gridCol w:w="1087"/>
              <w:gridCol w:w="1041"/>
              <w:gridCol w:w="1756"/>
              <w:gridCol w:w="675"/>
              <w:gridCol w:w="880"/>
            </w:tblGrid>
            <w:tr w14:paraId="4EA6C4C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454" w:hRule="atLeast"/>
                <w:jc w:val="center"/>
              </w:trPr>
              <w:tc>
                <w:tcPr>
                  <w:tcW w:w="802" w:type="pct"/>
                  <w:vMerge w:val="restart"/>
                  <w:noWrap w:val="0"/>
                  <w:vAlign w:val="center"/>
                </w:tcPr>
                <w:p w14:paraId="3BD0E0CE">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监测点名称</w:t>
                  </w:r>
                </w:p>
              </w:tc>
              <w:tc>
                <w:tcPr>
                  <w:tcW w:w="1424" w:type="pct"/>
                  <w:gridSpan w:val="2"/>
                  <w:tcBorders>
                    <w:bottom w:val="single" w:color="auto" w:sz="4" w:space="0"/>
                  </w:tcBorders>
                  <w:noWrap w:val="0"/>
                  <w:vAlign w:val="center"/>
                </w:tcPr>
                <w:p w14:paraId="1C834C96">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监测点坐标/°</w:t>
                  </w:r>
                </w:p>
              </w:tc>
              <w:tc>
                <w:tcPr>
                  <w:tcW w:w="663" w:type="pct"/>
                  <w:vMerge w:val="restart"/>
                  <w:tcBorders>
                    <w:left w:val="single" w:color="auto" w:sz="4" w:space="0"/>
                  </w:tcBorders>
                  <w:noWrap w:val="0"/>
                  <w:vAlign w:val="center"/>
                </w:tcPr>
                <w:p w14:paraId="3C2E4E22">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1118" w:type="pct"/>
                  <w:vMerge w:val="restart"/>
                  <w:tcBorders>
                    <w:left w:val="single" w:color="auto" w:sz="4" w:space="0"/>
                  </w:tcBorders>
                  <w:noWrap w:val="0"/>
                  <w:vAlign w:val="center"/>
                </w:tcPr>
                <w:p w14:paraId="5992925E">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监测时段</w:t>
                  </w:r>
                </w:p>
              </w:tc>
              <w:tc>
                <w:tcPr>
                  <w:tcW w:w="430" w:type="pct"/>
                  <w:vMerge w:val="restart"/>
                  <w:tcBorders>
                    <w:left w:val="single" w:color="auto" w:sz="4" w:space="0"/>
                  </w:tcBorders>
                  <w:noWrap w:val="0"/>
                  <w:vAlign w:val="center"/>
                </w:tcPr>
                <w:p w14:paraId="762E608E">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相对项目区方位</w:t>
                  </w:r>
                </w:p>
              </w:tc>
              <w:tc>
                <w:tcPr>
                  <w:tcW w:w="560" w:type="pct"/>
                  <w:vMerge w:val="restart"/>
                  <w:noWrap w:val="0"/>
                  <w:vAlign w:val="center"/>
                </w:tcPr>
                <w:p w14:paraId="00CB5300">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相对项目区边界距离（m）</w:t>
                  </w:r>
                </w:p>
              </w:tc>
            </w:tr>
            <w:tr w14:paraId="2AF13A2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454" w:hRule="atLeast"/>
                <w:jc w:val="center"/>
              </w:trPr>
              <w:tc>
                <w:tcPr>
                  <w:tcW w:w="802" w:type="pct"/>
                  <w:vMerge w:val="continue"/>
                  <w:noWrap w:val="0"/>
                  <w:vAlign w:val="center"/>
                </w:tcPr>
                <w:p w14:paraId="2A4B9AF2">
                  <w:pPr>
                    <w:pStyle w:val="160"/>
                    <w:rPr>
                      <w:rFonts w:hint="default" w:ascii="Times New Roman" w:hAnsi="Times New Roman" w:cs="Times New Roman"/>
                      <w:color w:val="auto"/>
                      <w:highlight w:val="none"/>
                    </w:rPr>
                  </w:pPr>
                </w:p>
              </w:tc>
              <w:tc>
                <w:tcPr>
                  <w:tcW w:w="732" w:type="pct"/>
                  <w:tcBorders>
                    <w:top w:val="single" w:color="auto" w:sz="4" w:space="0"/>
                    <w:right w:val="single" w:color="auto" w:sz="4" w:space="0"/>
                  </w:tcBorders>
                  <w:noWrap w:val="0"/>
                  <w:vAlign w:val="center"/>
                </w:tcPr>
                <w:p w14:paraId="7545A6E5">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692" w:type="pct"/>
                  <w:tcBorders>
                    <w:top w:val="single" w:color="auto" w:sz="4" w:space="0"/>
                    <w:left w:val="single" w:color="auto" w:sz="4" w:space="0"/>
                  </w:tcBorders>
                  <w:noWrap w:val="0"/>
                  <w:vAlign w:val="center"/>
                </w:tcPr>
                <w:p w14:paraId="022285C5">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663" w:type="pct"/>
                  <w:vMerge w:val="continue"/>
                  <w:tcBorders>
                    <w:left w:val="single" w:color="auto" w:sz="4" w:space="0"/>
                  </w:tcBorders>
                  <w:noWrap w:val="0"/>
                  <w:vAlign w:val="center"/>
                </w:tcPr>
                <w:p w14:paraId="0300F003">
                  <w:pPr>
                    <w:pStyle w:val="160"/>
                    <w:rPr>
                      <w:rFonts w:hint="default" w:ascii="Times New Roman" w:hAnsi="Times New Roman" w:cs="Times New Roman"/>
                      <w:color w:val="auto"/>
                      <w:highlight w:val="none"/>
                    </w:rPr>
                  </w:pPr>
                </w:p>
              </w:tc>
              <w:tc>
                <w:tcPr>
                  <w:tcW w:w="1118" w:type="pct"/>
                  <w:vMerge w:val="continue"/>
                  <w:tcBorders>
                    <w:left w:val="single" w:color="auto" w:sz="4" w:space="0"/>
                  </w:tcBorders>
                  <w:noWrap w:val="0"/>
                  <w:vAlign w:val="center"/>
                </w:tcPr>
                <w:p w14:paraId="4BDCAE83">
                  <w:pPr>
                    <w:pStyle w:val="160"/>
                    <w:rPr>
                      <w:rFonts w:hint="default" w:ascii="Times New Roman" w:hAnsi="Times New Roman" w:cs="Times New Roman"/>
                      <w:color w:val="auto"/>
                      <w:highlight w:val="none"/>
                    </w:rPr>
                  </w:pPr>
                </w:p>
              </w:tc>
              <w:tc>
                <w:tcPr>
                  <w:tcW w:w="430" w:type="pct"/>
                  <w:vMerge w:val="continue"/>
                  <w:tcBorders>
                    <w:left w:val="single" w:color="auto" w:sz="4" w:space="0"/>
                  </w:tcBorders>
                  <w:noWrap w:val="0"/>
                  <w:vAlign w:val="center"/>
                </w:tcPr>
                <w:p w14:paraId="1709E4CD">
                  <w:pPr>
                    <w:pStyle w:val="160"/>
                    <w:rPr>
                      <w:rFonts w:hint="default" w:ascii="Times New Roman" w:hAnsi="Times New Roman" w:cs="Times New Roman"/>
                      <w:color w:val="auto"/>
                      <w:highlight w:val="none"/>
                    </w:rPr>
                  </w:pPr>
                </w:p>
              </w:tc>
              <w:tc>
                <w:tcPr>
                  <w:tcW w:w="560" w:type="pct"/>
                  <w:vMerge w:val="continue"/>
                  <w:noWrap w:val="0"/>
                  <w:vAlign w:val="center"/>
                </w:tcPr>
                <w:p w14:paraId="769D9CAD">
                  <w:pPr>
                    <w:pStyle w:val="160"/>
                    <w:rPr>
                      <w:rFonts w:hint="default" w:ascii="Times New Roman" w:hAnsi="Times New Roman" w:cs="Times New Roman"/>
                      <w:color w:val="auto"/>
                      <w:highlight w:val="none"/>
                    </w:rPr>
                  </w:pPr>
                </w:p>
              </w:tc>
            </w:tr>
            <w:tr w14:paraId="5BB96E7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64" w:hRule="atLeast"/>
                <w:jc w:val="center"/>
              </w:trPr>
              <w:tc>
                <w:tcPr>
                  <w:tcW w:w="802" w:type="pct"/>
                  <w:noWrap w:val="0"/>
                  <w:vAlign w:val="center"/>
                </w:tcPr>
                <w:p w14:paraId="152F90D9">
                  <w:pPr>
                    <w:pStyle w:val="16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厂区内</w:t>
                  </w:r>
                </w:p>
              </w:tc>
              <w:tc>
                <w:tcPr>
                  <w:tcW w:w="732" w:type="pct"/>
                  <w:tcBorders>
                    <w:right w:val="single" w:color="auto" w:sz="4" w:space="0"/>
                  </w:tcBorders>
                  <w:noWrap w:val="0"/>
                  <w:vAlign w:val="center"/>
                </w:tcPr>
                <w:p w14:paraId="69C7E0DA">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133.032613</w:t>
                  </w:r>
                </w:p>
              </w:tc>
              <w:tc>
                <w:tcPr>
                  <w:tcW w:w="692" w:type="pct"/>
                  <w:tcBorders>
                    <w:left w:val="single" w:color="auto" w:sz="4" w:space="0"/>
                  </w:tcBorders>
                  <w:noWrap w:val="0"/>
                  <w:vAlign w:val="center"/>
                </w:tcPr>
                <w:p w14:paraId="62F33CBE">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45.791917</w:t>
                  </w:r>
                </w:p>
              </w:tc>
              <w:tc>
                <w:tcPr>
                  <w:tcW w:w="663" w:type="pct"/>
                  <w:tcBorders>
                    <w:left w:val="single" w:color="auto" w:sz="4" w:space="0"/>
                  </w:tcBorders>
                  <w:noWrap w:val="0"/>
                  <w:vAlign w:val="center"/>
                </w:tcPr>
                <w:p w14:paraId="51C55B5B">
                  <w:pPr>
                    <w:pStyle w:val="16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pH、氨氮、耗氧量、苯并（a）芘、石油类</w:t>
                  </w:r>
                </w:p>
              </w:tc>
              <w:tc>
                <w:tcPr>
                  <w:tcW w:w="1118" w:type="pct"/>
                  <w:tcBorders>
                    <w:left w:val="single" w:color="auto" w:sz="4" w:space="0"/>
                  </w:tcBorders>
                  <w:noWrap w:val="0"/>
                  <w:vAlign w:val="center"/>
                </w:tcPr>
                <w:p w14:paraId="2926D4D9">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rPr>
                    <w:t>日</w:t>
                  </w:r>
                </w:p>
              </w:tc>
              <w:tc>
                <w:tcPr>
                  <w:tcW w:w="430" w:type="pct"/>
                  <w:tcBorders>
                    <w:left w:val="single" w:color="auto" w:sz="4" w:space="0"/>
                  </w:tcBorders>
                  <w:noWrap w:val="0"/>
                  <w:vAlign w:val="center"/>
                </w:tcPr>
                <w:p w14:paraId="367C4B12">
                  <w:pPr>
                    <w:pStyle w:val="16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60" w:type="pct"/>
                  <w:noWrap w:val="0"/>
                  <w:vAlign w:val="center"/>
                </w:tcPr>
                <w:p w14:paraId="33EAAEB2">
                  <w:pPr>
                    <w:pStyle w:val="16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bl>
          <w:p w14:paraId="3DFB6B19">
            <w:pPr>
              <w:spacing w:line="500" w:lineRule="exact"/>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2、监测分析方法及仪器</w:t>
            </w:r>
          </w:p>
          <w:p w14:paraId="696BF7AA">
            <w:pPr>
              <w:spacing w:line="400" w:lineRule="exact"/>
              <w:jc w:val="center"/>
              <w:rPr>
                <w:rFonts w:hint="default" w:ascii="Times New Roman" w:hAnsi="Times New Roman" w:eastAsia="黑体" w:cs="Times New Roman"/>
                <w:snapToGrid w:val="0"/>
                <w:color w:val="auto"/>
                <w:kern w:val="0"/>
                <w:sz w:val="24"/>
                <w:highlight w:val="none"/>
                <w:lang w:val="zh-CN"/>
              </w:rPr>
            </w:pPr>
            <w:r>
              <w:rPr>
                <w:rFonts w:hint="default" w:ascii="Times New Roman" w:hAnsi="Times New Roman" w:eastAsia="黑体" w:cs="Times New Roman"/>
                <w:snapToGrid w:val="0"/>
                <w:color w:val="auto"/>
                <w:kern w:val="0"/>
                <w:sz w:val="24"/>
                <w:highlight w:val="none"/>
                <w:lang w:val="zh-CN"/>
              </w:rPr>
              <w:t>表</w:t>
            </w:r>
            <w:r>
              <w:rPr>
                <w:rFonts w:hint="default" w:ascii="Times New Roman" w:hAnsi="Times New Roman" w:eastAsia="黑体" w:cs="Times New Roman"/>
                <w:snapToGrid w:val="0"/>
                <w:color w:val="auto"/>
                <w:kern w:val="0"/>
                <w:sz w:val="24"/>
                <w:highlight w:val="none"/>
                <w:lang w:val="en-US" w:eastAsia="zh-CN"/>
              </w:rPr>
              <w:t>3-6</w:t>
            </w:r>
            <w:r>
              <w:rPr>
                <w:rFonts w:hint="default" w:ascii="Times New Roman" w:hAnsi="Times New Roman" w:eastAsia="黑体" w:cs="Times New Roman"/>
                <w:snapToGrid w:val="0"/>
                <w:color w:val="auto"/>
                <w:kern w:val="0"/>
                <w:sz w:val="24"/>
                <w:highlight w:val="none"/>
                <w:lang w:val="zh-CN"/>
              </w:rPr>
              <w:t>监测分析方法及仪器</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1087"/>
              <w:gridCol w:w="3352"/>
              <w:gridCol w:w="2785"/>
            </w:tblGrid>
            <w:tr w14:paraId="08CD9B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399" w:type="pct"/>
                  <w:noWrap w:val="0"/>
                  <w:vAlign w:val="center"/>
                </w:tcPr>
                <w:p w14:paraId="5F33BBEF">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类别</w:t>
                  </w:r>
                </w:p>
              </w:tc>
              <w:tc>
                <w:tcPr>
                  <w:tcW w:w="692" w:type="pct"/>
                  <w:noWrap w:val="0"/>
                  <w:vAlign w:val="center"/>
                </w:tcPr>
                <w:p w14:paraId="3B86DFBB">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检测项目</w:t>
                  </w:r>
                </w:p>
              </w:tc>
              <w:tc>
                <w:tcPr>
                  <w:tcW w:w="2134" w:type="pct"/>
                  <w:noWrap w:val="0"/>
                  <w:vAlign w:val="center"/>
                </w:tcPr>
                <w:p w14:paraId="7D19B139">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检测方法及依据</w:t>
                  </w:r>
                </w:p>
              </w:tc>
              <w:tc>
                <w:tcPr>
                  <w:tcW w:w="1773" w:type="pct"/>
                  <w:noWrap w:val="0"/>
                  <w:vAlign w:val="center"/>
                </w:tcPr>
                <w:p w14:paraId="458D09C7">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仪器名称及型号/编号</w:t>
                  </w:r>
                </w:p>
              </w:tc>
            </w:tr>
            <w:tr w14:paraId="25D55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80" w:hRule="atLeast"/>
              </w:trPr>
              <w:tc>
                <w:tcPr>
                  <w:tcW w:w="399" w:type="pct"/>
                  <w:vMerge w:val="restart"/>
                  <w:noWrap w:val="0"/>
                  <w:vAlign w:val="center"/>
                </w:tcPr>
                <w:p w14:paraId="10E90B59">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地下水</w:t>
                  </w:r>
                </w:p>
              </w:tc>
              <w:tc>
                <w:tcPr>
                  <w:tcW w:w="1050" w:type="dxa"/>
                  <w:noWrap w:val="0"/>
                  <w:vAlign w:val="center"/>
                </w:tcPr>
                <w:p w14:paraId="6875351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pH</w:t>
                  </w:r>
                </w:p>
              </w:tc>
              <w:tc>
                <w:tcPr>
                  <w:tcW w:w="3237" w:type="dxa"/>
                  <w:noWrap w:val="0"/>
                  <w:vAlign w:val="center"/>
                </w:tcPr>
                <w:p w14:paraId="64CA750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水质 pH值的测定 电极法</w:t>
                  </w:r>
                </w:p>
                <w:p w14:paraId="7CA4287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HJ 1147-2020</w:t>
                  </w:r>
                </w:p>
              </w:tc>
              <w:tc>
                <w:tcPr>
                  <w:tcW w:w="1773" w:type="pct"/>
                  <w:noWrap w:val="0"/>
                  <w:vAlign w:val="center"/>
                </w:tcPr>
                <w:p w14:paraId="206DB34B">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数显台式酸度计PHS-25</w:t>
                  </w:r>
                </w:p>
                <w:p w14:paraId="54341B98">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HCYQ-006</w:t>
                  </w:r>
                </w:p>
              </w:tc>
            </w:tr>
            <w:tr w14:paraId="31E678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99" w:type="pct"/>
                  <w:vMerge w:val="continue"/>
                  <w:noWrap w:val="0"/>
                  <w:vAlign w:val="center"/>
                </w:tcPr>
                <w:p w14:paraId="299A8BF6">
                  <w:pPr>
                    <w:jc w:val="center"/>
                    <w:rPr>
                      <w:rFonts w:hint="default" w:ascii="Times New Roman" w:hAnsi="Times New Roman" w:cs="Times New Roman"/>
                      <w:color w:val="auto"/>
                      <w:szCs w:val="21"/>
                      <w:highlight w:val="none"/>
                      <w:lang w:val="en-US" w:eastAsia="zh-CN"/>
                    </w:rPr>
                  </w:pPr>
                </w:p>
              </w:tc>
              <w:tc>
                <w:tcPr>
                  <w:tcW w:w="1050" w:type="dxa"/>
                  <w:noWrap w:val="0"/>
                  <w:vAlign w:val="center"/>
                </w:tcPr>
                <w:p w14:paraId="2BF510A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耗氧量</w:t>
                  </w:r>
                </w:p>
              </w:tc>
              <w:tc>
                <w:tcPr>
                  <w:tcW w:w="3237" w:type="dxa"/>
                  <w:noWrap w:val="0"/>
                  <w:vAlign w:val="center"/>
                </w:tcPr>
                <w:p w14:paraId="39E18F1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地下水质分析方法 第68部分：耗氧量的测定 酸性高锰酸钾滴定法 DZ/T 0064.68-2021</w:t>
                  </w:r>
                </w:p>
              </w:tc>
              <w:tc>
                <w:tcPr>
                  <w:tcW w:w="1773" w:type="pct"/>
                  <w:noWrap w:val="0"/>
                  <w:vAlign w:val="center"/>
                </w:tcPr>
                <w:p w14:paraId="5E070D8D">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滴定管50mL</w:t>
                  </w:r>
                </w:p>
              </w:tc>
            </w:tr>
            <w:tr w14:paraId="2E7799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99" w:type="pct"/>
                  <w:vMerge w:val="continue"/>
                  <w:noWrap w:val="0"/>
                  <w:vAlign w:val="center"/>
                </w:tcPr>
                <w:p w14:paraId="514A4DA0">
                  <w:pPr>
                    <w:jc w:val="center"/>
                    <w:rPr>
                      <w:rFonts w:hint="default" w:ascii="Times New Roman" w:hAnsi="Times New Roman" w:cs="Times New Roman"/>
                      <w:color w:val="auto"/>
                      <w:szCs w:val="21"/>
                      <w:highlight w:val="none"/>
                      <w:lang w:val="en-US" w:eastAsia="zh-CN"/>
                    </w:rPr>
                  </w:pPr>
                </w:p>
              </w:tc>
              <w:tc>
                <w:tcPr>
                  <w:tcW w:w="1050" w:type="dxa"/>
                  <w:noWrap w:val="0"/>
                  <w:vAlign w:val="center"/>
                </w:tcPr>
                <w:p w14:paraId="461CB15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氨氮</w:t>
                  </w:r>
                </w:p>
              </w:tc>
              <w:tc>
                <w:tcPr>
                  <w:tcW w:w="3237" w:type="dxa"/>
                  <w:noWrap w:val="0"/>
                  <w:vAlign w:val="center"/>
                </w:tcPr>
                <w:p w14:paraId="54F3679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水质 氨氮的测定 纳氏试剂分光光度法HJ 535-2009</w:t>
                  </w:r>
                </w:p>
              </w:tc>
              <w:tc>
                <w:tcPr>
                  <w:tcW w:w="1773" w:type="pct"/>
                  <w:noWrap w:val="0"/>
                  <w:vAlign w:val="center"/>
                </w:tcPr>
                <w:p w14:paraId="79728031">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紫外可见分光光度计754型</w:t>
                  </w:r>
                </w:p>
                <w:p w14:paraId="3A262FCA">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HCYQ-016</w:t>
                  </w:r>
                </w:p>
              </w:tc>
            </w:tr>
            <w:tr w14:paraId="469DAA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99" w:type="pct"/>
                  <w:vMerge w:val="continue"/>
                  <w:noWrap w:val="0"/>
                  <w:vAlign w:val="center"/>
                </w:tcPr>
                <w:p w14:paraId="6FC89DD5">
                  <w:pPr>
                    <w:jc w:val="center"/>
                    <w:rPr>
                      <w:rFonts w:hint="default" w:ascii="Times New Roman" w:hAnsi="Times New Roman" w:cs="Times New Roman"/>
                      <w:color w:val="auto"/>
                      <w:szCs w:val="21"/>
                      <w:highlight w:val="none"/>
                      <w:lang w:val="en-US" w:eastAsia="zh-CN"/>
                    </w:rPr>
                  </w:pPr>
                </w:p>
              </w:tc>
              <w:tc>
                <w:tcPr>
                  <w:tcW w:w="1050" w:type="dxa"/>
                  <w:noWrap w:val="0"/>
                  <w:vAlign w:val="center"/>
                </w:tcPr>
                <w:p w14:paraId="1189788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石油类</w:t>
                  </w:r>
                </w:p>
              </w:tc>
              <w:tc>
                <w:tcPr>
                  <w:tcW w:w="3237" w:type="dxa"/>
                  <w:noWrap w:val="0"/>
                  <w:vAlign w:val="center"/>
                </w:tcPr>
                <w:p w14:paraId="6B69EB1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水质 石油类的测定 紫外分光光度法（试行）HJ 970-2018</w:t>
                  </w:r>
                </w:p>
              </w:tc>
              <w:tc>
                <w:tcPr>
                  <w:tcW w:w="1773" w:type="pct"/>
                  <w:noWrap w:val="0"/>
                  <w:vAlign w:val="center"/>
                </w:tcPr>
                <w:p w14:paraId="495B75A8">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紫外可见分光光度计754型</w:t>
                  </w:r>
                </w:p>
                <w:p w14:paraId="464B61BE">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HCYQ-016</w:t>
                  </w:r>
                </w:p>
              </w:tc>
            </w:tr>
            <w:tr w14:paraId="55F33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99" w:type="pct"/>
                  <w:vMerge w:val="continue"/>
                  <w:noWrap w:val="0"/>
                  <w:vAlign w:val="center"/>
                </w:tcPr>
                <w:p w14:paraId="5D4F2797">
                  <w:pPr>
                    <w:jc w:val="center"/>
                    <w:rPr>
                      <w:rFonts w:hint="default" w:ascii="Times New Roman" w:hAnsi="Times New Roman" w:cs="Times New Roman"/>
                      <w:color w:val="auto"/>
                      <w:szCs w:val="21"/>
                      <w:highlight w:val="none"/>
                    </w:rPr>
                  </w:pPr>
                </w:p>
              </w:tc>
              <w:tc>
                <w:tcPr>
                  <w:tcW w:w="1050" w:type="dxa"/>
                  <w:noWrap w:val="0"/>
                  <w:vAlign w:val="center"/>
                </w:tcPr>
                <w:p w14:paraId="340EAFF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苯并[a]芘</w:t>
                  </w:r>
                </w:p>
              </w:tc>
              <w:tc>
                <w:tcPr>
                  <w:tcW w:w="3237" w:type="dxa"/>
                  <w:noWrap w:val="0"/>
                  <w:vAlign w:val="center"/>
                </w:tcPr>
                <w:p w14:paraId="5823B76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 xml:space="preserve">水质 多环芳烃的测定 液液萃取和固相萃取高效液相色谱法 </w:t>
                  </w:r>
                </w:p>
                <w:p w14:paraId="73E2741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HJ 478-2009</w:t>
                  </w:r>
                </w:p>
              </w:tc>
              <w:tc>
                <w:tcPr>
                  <w:tcW w:w="1773" w:type="pct"/>
                  <w:noWrap w:val="0"/>
                  <w:vAlign w:val="center"/>
                </w:tcPr>
                <w:p w14:paraId="319724E3">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液相色谱仪SCL-10A vp</w:t>
                  </w:r>
                </w:p>
                <w:p w14:paraId="73BC90BB">
                  <w:pPr>
                    <w:pStyle w:val="17"/>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HCYQ-030</w:t>
                  </w:r>
                </w:p>
              </w:tc>
            </w:tr>
          </w:tbl>
          <w:p w14:paraId="629430DD">
            <w:pPr>
              <w:spacing w:line="500" w:lineRule="exact"/>
              <w:ind w:firstLine="480" w:firstLineChars="20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3、</w:t>
            </w:r>
            <w:r>
              <w:rPr>
                <w:rFonts w:hint="default" w:ascii="Times New Roman" w:hAnsi="Times New Roman" w:eastAsia="黑体" w:cs="Times New Roman"/>
                <w:bCs/>
                <w:color w:val="auto"/>
                <w:kern w:val="44"/>
                <w:sz w:val="24"/>
                <w:highlight w:val="none"/>
              </w:rPr>
              <w:t>监测结果</w:t>
            </w:r>
          </w:p>
          <w:p w14:paraId="23019F62">
            <w:pPr>
              <w:spacing w:line="500" w:lineRule="exact"/>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cs="Times New Roman"/>
                <w:snapToGrid w:val="0"/>
                <w:color w:val="auto"/>
                <w:kern w:val="0"/>
                <w:sz w:val="24"/>
                <w:highlight w:val="none"/>
              </w:rPr>
              <w:t>补充监测统计结果见下表</w:t>
            </w:r>
            <w:r>
              <w:rPr>
                <w:rFonts w:hint="default" w:ascii="Times New Roman" w:hAnsi="Times New Roman" w:cs="Times New Roman"/>
                <w:snapToGrid w:val="0"/>
                <w:color w:val="auto"/>
                <w:kern w:val="0"/>
                <w:sz w:val="24"/>
                <w:highlight w:val="none"/>
                <w:lang w:eastAsia="zh-CN"/>
              </w:rPr>
              <w:t>。</w:t>
            </w:r>
          </w:p>
          <w:p w14:paraId="31FF73C6">
            <w:pPr>
              <w:spacing w:line="400" w:lineRule="exact"/>
              <w:jc w:val="center"/>
              <w:rPr>
                <w:rFonts w:hint="default" w:ascii="Times New Roman" w:hAnsi="Times New Roman" w:eastAsia="黑体" w:cs="Times New Roman"/>
                <w:snapToGrid w:val="0"/>
                <w:color w:val="auto"/>
                <w:sz w:val="24"/>
                <w:highlight w:val="none"/>
                <w:lang w:val="en-US" w:eastAsia="zh-CN"/>
              </w:rPr>
            </w:pPr>
            <w:r>
              <w:rPr>
                <w:rFonts w:hint="default" w:ascii="Times New Roman" w:hAnsi="Times New Roman" w:eastAsia="黑体" w:cs="Times New Roman"/>
                <w:snapToGrid w:val="0"/>
                <w:color w:val="auto"/>
                <w:sz w:val="24"/>
                <w:highlight w:val="none"/>
                <w:lang w:val="en-US" w:eastAsia="zh-CN"/>
              </w:rPr>
              <w:t xml:space="preserve">      </w:t>
            </w:r>
          </w:p>
          <w:p w14:paraId="7B3B25C5">
            <w:pPr>
              <w:spacing w:line="400" w:lineRule="exact"/>
              <w:jc w:val="center"/>
              <w:rPr>
                <w:rFonts w:hint="default" w:ascii="Times New Roman" w:hAnsi="Times New Roman" w:eastAsia="宋体" w:cs="Times New Roman"/>
                <w:snapToGrid w:val="0"/>
                <w:color w:val="auto"/>
                <w:sz w:val="24"/>
                <w:highlight w:val="none"/>
                <w:lang w:val="en-US" w:eastAsia="zh-CN"/>
              </w:rPr>
            </w:pPr>
            <w:r>
              <w:rPr>
                <w:rFonts w:hint="default" w:ascii="Times New Roman" w:hAnsi="Times New Roman" w:eastAsia="黑体" w:cs="Times New Roman"/>
                <w:snapToGrid w:val="0"/>
                <w:color w:val="auto"/>
                <w:sz w:val="24"/>
                <w:highlight w:val="none"/>
                <w:lang w:val="en-US" w:eastAsia="zh-CN"/>
              </w:rPr>
              <w:t xml:space="preserve">      </w:t>
            </w:r>
            <w:r>
              <w:rPr>
                <w:rFonts w:hint="default" w:ascii="Times New Roman" w:hAnsi="Times New Roman" w:eastAsia="黑体" w:cs="Times New Roman"/>
                <w:snapToGrid w:val="0"/>
                <w:color w:val="auto"/>
                <w:sz w:val="24"/>
                <w:highlight w:val="none"/>
              </w:rPr>
              <w:t>表</w:t>
            </w:r>
            <w:r>
              <w:rPr>
                <w:rFonts w:hint="default" w:ascii="Times New Roman" w:hAnsi="Times New Roman" w:eastAsia="黑体" w:cs="Times New Roman"/>
                <w:snapToGrid w:val="0"/>
                <w:color w:val="auto"/>
                <w:sz w:val="24"/>
                <w:highlight w:val="none"/>
                <w:lang w:val="en-US" w:eastAsia="zh-CN"/>
              </w:rPr>
              <w:t>3-7 地下水</w:t>
            </w:r>
            <w:r>
              <w:rPr>
                <w:rFonts w:hint="default" w:ascii="Times New Roman" w:hAnsi="Times New Roman" w:eastAsia="黑体" w:cs="Times New Roman"/>
                <w:snapToGrid w:val="0"/>
                <w:color w:val="auto"/>
                <w:sz w:val="24"/>
                <w:highlight w:val="none"/>
              </w:rPr>
              <w:t>监测结果一览表</w:t>
            </w:r>
            <w:r>
              <w:rPr>
                <w:rFonts w:hint="default" w:ascii="Times New Roman" w:hAnsi="Times New Roman" w:eastAsia="黑体" w:cs="Times New Roman"/>
                <w:snapToGrid w:val="0"/>
                <w:color w:val="auto"/>
                <w:sz w:val="24"/>
                <w:highlight w:val="none"/>
                <w:lang w:val="en-US" w:eastAsia="zh-CN"/>
              </w:rPr>
              <w:t xml:space="preserve">             </w:t>
            </w:r>
            <w:r>
              <w:rPr>
                <w:rFonts w:hint="default" w:ascii="Times New Roman" w:hAnsi="Times New Roman" w:cs="Times New Roman"/>
                <w:color w:val="auto"/>
                <w:sz w:val="24"/>
                <w:szCs w:val="21"/>
                <w:highlight w:val="none"/>
              </w:rPr>
              <w:t>单位：</w:t>
            </w:r>
            <w:r>
              <w:rPr>
                <w:rFonts w:hint="default" w:ascii="Times New Roman" w:hAnsi="Times New Roman" w:cs="Times New Roman"/>
                <w:color w:val="auto"/>
                <w:sz w:val="24"/>
                <w:szCs w:val="21"/>
                <w:highlight w:val="none"/>
                <w:lang w:val="en-US" w:eastAsia="zh-CN"/>
              </w:rPr>
              <w:t>mg</w:t>
            </w:r>
            <w:r>
              <w:rPr>
                <w:rFonts w:hint="default" w:ascii="Times New Roman" w:hAnsi="Times New Roman" w:cs="Times New Roman"/>
                <w:color w:val="auto"/>
                <w:sz w:val="24"/>
                <w:szCs w:val="21"/>
                <w:highlight w:val="none"/>
              </w:rPr>
              <w:t>/</w:t>
            </w:r>
            <w:r>
              <w:rPr>
                <w:rFonts w:hint="default" w:ascii="Times New Roman" w:hAnsi="Times New Roman" w:cs="Times New Roman"/>
                <w:color w:val="auto"/>
                <w:sz w:val="24"/>
                <w:szCs w:val="21"/>
                <w:highlight w:val="none"/>
                <w:lang w:val="en-US" w:eastAsia="zh-CN"/>
              </w:rPr>
              <w:t>L</w:t>
            </w:r>
          </w:p>
          <w:tbl>
            <w:tblPr>
              <w:tblStyle w:val="30"/>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1125"/>
              <w:gridCol w:w="1161"/>
              <w:gridCol w:w="1223"/>
              <w:gridCol w:w="2458"/>
              <w:gridCol w:w="1081"/>
            </w:tblGrid>
            <w:tr w14:paraId="59E9F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10" w:type="pct"/>
                  <w:noWrap w:val="0"/>
                  <w:vAlign w:val="center"/>
                </w:tcPr>
                <w:p w14:paraId="1ED0028B">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监测点位</w:t>
                  </w:r>
                </w:p>
              </w:tc>
              <w:tc>
                <w:tcPr>
                  <w:tcW w:w="716" w:type="pct"/>
                  <w:noWrap w:val="0"/>
                  <w:vAlign w:val="center"/>
                </w:tcPr>
                <w:p w14:paraId="358D526D">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监测项目</w:t>
                  </w:r>
                </w:p>
              </w:tc>
              <w:tc>
                <w:tcPr>
                  <w:tcW w:w="739" w:type="pct"/>
                  <w:noWrap w:val="0"/>
                  <w:vAlign w:val="center"/>
                </w:tcPr>
                <w:p w14:paraId="6931A8C9">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监测日期</w:t>
                  </w:r>
                </w:p>
              </w:tc>
              <w:tc>
                <w:tcPr>
                  <w:tcW w:w="779" w:type="pct"/>
                  <w:noWrap w:val="0"/>
                  <w:vAlign w:val="center"/>
                </w:tcPr>
                <w:p w14:paraId="695142B1">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检测结果</w:t>
                  </w:r>
                </w:p>
              </w:tc>
              <w:tc>
                <w:tcPr>
                  <w:tcW w:w="1565" w:type="pct"/>
                  <w:noWrap w:val="0"/>
                  <w:vAlign w:val="center"/>
                </w:tcPr>
                <w:p w14:paraId="193BBC92">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评价标准</w:t>
                  </w:r>
                </w:p>
              </w:tc>
              <w:tc>
                <w:tcPr>
                  <w:tcW w:w="688" w:type="pct"/>
                  <w:noWrap w:val="0"/>
                  <w:vAlign w:val="center"/>
                </w:tcPr>
                <w:p w14:paraId="1D709F93">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标准限值</w:t>
                  </w:r>
                </w:p>
              </w:tc>
            </w:tr>
            <w:tr w14:paraId="4F23D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0" w:type="pct"/>
                  <w:vMerge w:val="restart"/>
                  <w:noWrap w:val="0"/>
                  <w:vAlign w:val="center"/>
                </w:tcPr>
                <w:p w14:paraId="17407A5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厂址</w:t>
                  </w:r>
                  <w:r>
                    <w:rPr>
                      <w:rFonts w:hint="default" w:ascii="Times New Roman" w:hAnsi="Times New Roman" w:cs="Times New Roman"/>
                      <w:color w:val="auto"/>
                      <w:sz w:val="21"/>
                      <w:szCs w:val="21"/>
                      <w:highlight w:val="none"/>
                      <w:lang w:val="en-US" w:eastAsia="zh-CN"/>
                    </w:rPr>
                    <w:t>内</w:t>
                  </w:r>
                </w:p>
              </w:tc>
              <w:tc>
                <w:tcPr>
                  <w:tcW w:w="716" w:type="pct"/>
                  <w:noWrap w:val="0"/>
                  <w:vAlign w:val="center"/>
                </w:tcPr>
                <w:p w14:paraId="5EDF5297">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pH</w:t>
                  </w:r>
                </w:p>
              </w:tc>
              <w:tc>
                <w:tcPr>
                  <w:tcW w:w="739" w:type="pct"/>
                  <w:vMerge w:val="restart"/>
                  <w:noWrap w:val="0"/>
                  <w:vAlign w:val="center"/>
                </w:tcPr>
                <w:p w14:paraId="308FECDA">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7.24</w:t>
                  </w:r>
                </w:p>
              </w:tc>
              <w:tc>
                <w:tcPr>
                  <w:tcW w:w="779" w:type="pct"/>
                  <w:noWrap w:val="0"/>
                  <w:vAlign w:val="center"/>
                </w:tcPr>
                <w:p w14:paraId="00F27209">
                  <w:pPr>
                    <w:spacing w:after="0" w:line="220" w:lineRule="atLeas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7.4</w:t>
                  </w:r>
                </w:p>
              </w:tc>
              <w:tc>
                <w:tcPr>
                  <w:tcW w:w="1565" w:type="pct"/>
                  <w:vMerge w:val="restart"/>
                  <w:noWrap w:val="0"/>
                  <w:vAlign w:val="center"/>
                </w:tcPr>
                <w:p w14:paraId="3C0B93EE">
                  <w:pPr>
                    <w:pStyle w:val="6"/>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《地下水质量标准》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GB/T14848-2017</w:t>
                  </w:r>
                  <w:r>
                    <w:rPr>
                      <w:rFonts w:hint="default" w:ascii="Times New Roman" w:hAnsi="Times New Roman" w:cs="Times New Roman"/>
                      <w:color w:val="auto"/>
                      <w:sz w:val="21"/>
                      <w:szCs w:val="21"/>
                      <w:highlight w:val="none"/>
                      <w:lang w:val="en-US" w:eastAsia="zh-CN"/>
                    </w:rPr>
                    <w:t>)</w:t>
                  </w:r>
                </w:p>
              </w:tc>
              <w:tc>
                <w:tcPr>
                  <w:tcW w:w="688" w:type="pct"/>
                  <w:noWrap w:val="0"/>
                  <w:vAlign w:val="center"/>
                </w:tcPr>
                <w:p w14:paraId="2639D4B3">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6.5-8.5</w:t>
                  </w:r>
                </w:p>
              </w:tc>
            </w:tr>
            <w:tr w14:paraId="34620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0" w:type="pct"/>
                  <w:vMerge w:val="continue"/>
                  <w:noWrap w:val="0"/>
                  <w:vAlign w:val="center"/>
                </w:tcPr>
                <w:p w14:paraId="5275951F">
                  <w:pPr>
                    <w:jc w:val="center"/>
                    <w:rPr>
                      <w:rFonts w:hint="default" w:ascii="Times New Roman" w:hAnsi="Times New Roman" w:eastAsia="宋体" w:cs="Times New Roman"/>
                      <w:color w:val="auto"/>
                      <w:sz w:val="21"/>
                      <w:szCs w:val="21"/>
                      <w:highlight w:val="none"/>
                      <w:lang w:eastAsia="zh-CN"/>
                    </w:rPr>
                  </w:pPr>
                </w:p>
              </w:tc>
              <w:tc>
                <w:tcPr>
                  <w:tcW w:w="716" w:type="pct"/>
                  <w:noWrap w:val="0"/>
                  <w:vAlign w:val="center"/>
                </w:tcPr>
                <w:p w14:paraId="7A798A0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耗氧量</w:t>
                  </w:r>
                </w:p>
              </w:tc>
              <w:tc>
                <w:tcPr>
                  <w:tcW w:w="739" w:type="pct"/>
                  <w:vMerge w:val="continue"/>
                  <w:noWrap w:val="0"/>
                  <w:vAlign w:val="center"/>
                </w:tcPr>
                <w:p w14:paraId="0B88CB29">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779" w:type="pct"/>
                  <w:noWrap w:val="0"/>
                  <w:vAlign w:val="center"/>
                </w:tcPr>
                <w:p w14:paraId="6C4EB002">
                  <w:pPr>
                    <w:spacing w:after="0" w:line="22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2.7</w:t>
                  </w:r>
                </w:p>
              </w:tc>
              <w:tc>
                <w:tcPr>
                  <w:tcW w:w="1565" w:type="pct"/>
                  <w:vMerge w:val="continue"/>
                  <w:noWrap w:val="0"/>
                  <w:vAlign w:val="center"/>
                </w:tcPr>
                <w:p w14:paraId="075CE106">
                  <w:pPr>
                    <w:pStyle w:val="6"/>
                    <w:snapToGrid w:val="0"/>
                    <w:jc w:val="center"/>
                    <w:rPr>
                      <w:rFonts w:hint="default" w:ascii="Times New Roman" w:hAnsi="Times New Roman" w:cs="Times New Roman"/>
                      <w:color w:val="auto"/>
                      <w:sz w:val="21"/>
                      <w:szCs w:val="21"/>
                      <w:highlight w:val="none"/>
                    </w:rPr>
                  </w:pPr>
                </w:p>
              </w:tc>
              <w:tc>
                <w:tcPr>
                  <w:tcW w:w="688" w:type="pct"/>
                  <w:noWrap w:val="0"/>
                  <w:vAlign w:val="center"/>
                </w:tcPr>
                <w:p w14:paraId="5A743D10">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r>
            <w:tr w14:paraId="06276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0" w:type="pct"/>
                  <w:vMerge w:val="continue"/>
                  <w:noWrap w:val="0"/>
                  <w:vAlign w:val="center"/>
                </w:tcPr>
                <w:p w14:paraId="0E2ACD0F">
                  <w:pPr>
                    <w:widowControl/>
                    <w:autoSpaceDE w:val="0"/>
                    <w:autoSpaceDN w:val="0"/>
                    <w:adjustRightInd w:val="0"/>
                    <w:snapToGrid w:val="0"/>
                    <w:jc w:val="center"/>
                    <w:rPr>
                      <w:rFonts w:hint="default" w:ascii="Times New Roman" w:hAnsi="Times New Roman" w:cs="Times New Roman"/>
                      <w:color w:val="auto"/>
                      <w:sz w:val="21"/>
                      <w:szCs w:val="21"/>
                      <w:highlight w:val="none"/>
                      <w:lang w:val="en-US" w:eastAsia="zh-CN"/>
                    </w:rPr>
                  </w:pPr>
                </w:p>
              </w:tc>
              <w:tc>
                <w:tcPr>
                  <w:tcW w:w="716" w:type="pct"/>
                  <w:noWrap w:val="0"/>
                  <w:vAlign w:val="center"/>
                </w:tcPr>
                <w:p w14:paraId="589EC46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氨氮</w:t>
                  </w:r>
                </w:p>
              </w:tc>
              <w:tc>
                <w:tcPr>
                  <w:tcW w:w="739" w:type="pct"/>
                  <w:vMerge w:val="continue"/>
                  <w:noWrap w:val="0"/>
                  <w:vAlign w:val="center"/>
                </w:tcPr>
                <w:p w14:paraId="35A75D54">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cs="Times New Roman"/>
                      <w:b w:val="0"/>
                      <w:bCs/>
                      <w:color w:val="auto"/>
                      <w:szCs w:val="21"/>
                      <w:highlight w:val="none"/>
                    </w:rPr>
                  </w:pPr>
                </w:p>
              </w:tc>
              <w:tc>
                <w:tcPr>
                  <w:tcW w:w="779" w:type="pct"/>
                  <w:noWrap w:val="0"/>
                  <w:vAlign w:val="center"/>
                </w:tcPr>
                <w:p w14:paraId="352B0C2D">
                  <w:pPr>
                    <w:spacing w:after="0" w:line="220" w:lineRule="atLeas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0.082</w:t>
                  </w:r>
                </w:p>
              </w:tc>
              <w:tc>
                <w:tcPr>
                  <w:tcW w:w="1565" w:type="pct"/>
                  <w:vMerge w:val="continue"/>
                  <w:noWrap w:val="0"/>
                  <w:vAlign w:val="center"/>
                </w:tcPr>
                <w:p w14:paraId="7A513D8F">
                  <w:pPr>
                    <w:pStyle w:val="6"/>
                    <w:snapToGrid w:val="0"/>
                    <w:jc w:val="center"/>
                    <w:rPr>
                      <w:rFonts w:hint="default" w:ascii="Times New Roman" w:hAnsi="Times New Roman" w:eastAsia="宋体" w:cs="Times New Roman"/>
                      <w:color w:val="auto"/>
                      <w:sz w:val="21"/>
                      <w:szCs w:val="21"/>
                      <w:highlight w:val="none"/>
                      <w:lang w:eastAsia="zh-CN"/>
                    </w:rPr>
                  </w:pPr>
                </w:p>
              </w:tc>
              <w:tc>
                <w:tcPr>
                  <w:tcW w:w="688" w:type="pct"/>
                  <w:noWrap w:val="0"/>
                  <w:vAlign w:val="center"/>
                </w:tcPr>
                <w:p w14:paraId="587B538B">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w:t>
                  </w:r>
                </w:p>
              </w:tc>
            </w:tr>
            <w:tr w14:paraId="646EB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0" w:type="pct"/>
                  <w:vMerge w:val="continue"/>
                  <w:noWrap w:val="0"/>
                  <w:vAlign w:val="center"/>
                </w:tcPr>
                <w:p w14:paraId="64E8D1A4">
                  <w:pPr>
                    <w:widowControl/>
                    <w:autoSpaceDE w:val="0"/>
                    <w:autoSpaceDN w:val="0"/>
                    <w:adjustRightInd w:val="0"/>
                    <w:snapToGrid w:val="0"/>
                    <w:jc w:val="center"/>
                    <w:rPr>
                      <w:rFonts w:hint="default" w:ascii="Times New Roman" w:hAnsi="Times New Roman" w:cs="Times New Roman"/>
                      <w:color w:val="auto"/>
                      <w:sz w:val="21"/>
                      <w:szCs w:val="21"/>
                      <w:highlight w:val="none"/>
                      <w:lang w:val="en-US" w:eastAsia="zh-CN"/>
                    </w:rPr>
                  </w:pPr>
                </w:p>
              </w:tc>
              <w:tc>
                <w:tcPr>
                  <w:tcW w:w="716" w:type="pct"/>
                  <w:noWrap w:val="0"/>
                  <w:vAlign w:val="center"/>
                </w:tcPr>
                <w:p w14:paraId="1B4B9C01">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苯并[a]芘</w:t>
                  </w:r>
                </w:p>
              </w:tc>
              <w:tc>
                <w:tcPr>
                  <w:tcW w:w="739" w:type="pct"/>
                  <w:vMerge w:val="continue"/>
                  <w:noWrap w:val="0"/>
                  <w:vAlign w:val="center"/>
                </w:tcPr>
                <w:p w14:paraId="7852CF2D">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cs="Times New Roman"/>
                      <w:b w:val="0"/>
                      <w:bCs/>
                      <w:color w:val="auto"/>
                      <w:szCs w:val="21"/>
                      <w:highlight w:val="none"/>
                    </w:rPr>
                  </w:pPr>
                </w:p>
              </w:tc>
              <w:tc>
                <w:tcPr>
                  <w:tcW w:w="779" w:type="pct"/>
                  <w:noWrap w:val="0"/>
                  <w:vAlign w:val="center"/>
                </w:tcPr>
                <w:p w14:paraId="45218F4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vertAlign w:val="baseline"/>
                      <w:lang w:val="en-US" w:eastAsia="zh-CN" w:bidi="ar-SA"/>
                    </w:rPr>
                    <w:t>0.004L</w:t>
                  </w:r>
                </w:p>
              </w:tc>
              <w:tc>
                <w:tcPr>
                  <w:tcW w:w="1565" w:type="pct"/>
                  <w:vMerge w:val="continue"/>
                  <w:noWrap w:val="0"/>
                  <w:vAlign w:val="center"/>
                </w:tcPr>
                <w:p w14:paraId="75B5C6A7">
                  <w:pPr>
                    <w:pStyle w:val="6"/>
                    <w:snapToGrid w:val="0"/>
                    <w:jc w:val="center"/>
                    <w:rPr>
                      <w:rFonts w:hint="default" w:ascii="Times New Roman" w:hAnsi="Times New Roman" w:cs="Times New Roman"/>
                      <w:color w:val="auto"/>
                      <w:sz w:val="21"/>
                      <w:szCs w:val="21"/>
                      <w:highlight w:val="none"/>
                    </w:rPr>
                  </w:pPr>
                </w:p>
              </w:tc>
              <w:tc>
                <w:tcPr>
                  <w:tcW w:w="688" w:type="pct"/>
                  <w:noWrap w:val="0"/>
                  <w:vAlign w:val="center"/>
                </w:tcPr>
                <w:p w14:paraId="2D1F40F4">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0.01</w:t>
                  </w:r>
                </w:p>
              </w:tc>
            </w:tr>
            <w:tr w14:paraId="54D3D2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0" w:type="pct"/>
                  <w:vMerge w:val="continue"/>
                  <w:noWrap w:val="0"/>
                  <w:vAlign w:val="center"/>
                </w:tcPr>
                <w:p w14:paraId="5BD15DF2">
                  <w:pPr>
                    <w:pStyle w:val="6"/>
                    <w:snapToGrid w:val="0"/>
                    <w:jc w:val="center"/>
                    <w:rPr>
                      <w:rFonts w:hint="default" w:ascii="Times New Roman" w:hAnsi="Times New Roman" w:cs="Times New Roman"/>
                      <w:color w:val="auto"/>
                      <w:sz w:val="21"/>
                      <w:szCs w:val="21"/>
                      <w:highlight w:val="none"/>
                      <w:lang w:val="en-US" w:eastAsia="zh-CN"/>
                    </w:rPr>
                  </w:pPr>
                </w:p>
              </w:tc>
              <w:tc>
                <w:tcPr>
                  <w:tcW w:w="716" w:type="pct"/>
                  <w:noWrap w:val="0"/>
                  <w:vAlign w:val="center"/>
                </w:tcPr>
                <w:p w14:paraId="6A2A856F">
                  <w:pPr>
                    <w:widowControl/>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石油类</w:t>
                  </w:r>
                </w:p>
              </w:tc>
              <w:tc>
                <w:tcPr>
                  <w:tcW w:w="739" w:type="pct"/>
                  <w:vMerge w:val="continue"/>
                  <w:noWrap w:val="0"/>
                  <w:vAlign w:val="center"/>
                </w:tcPr>
                <w:p w14:paraId="792493CC">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cs="Times New Roman"/>
                      <w:b w:val="0"/>
                      <w:bCs/>
                      <w:color w:val="auto"/>
                      <w:szCs w:val="21"/>
                      <w:highlight w:val="none"/>
                    </w:rPr>
                  </w:pPr>
                </w:p>
              </w:tc>
              <w:tc>
                <w:tcPr>
                  <w:tcW w:w="779" w:type="pct"/>
                  <w:noWrap w:val="0"/>
                  <w:vAlign w:val="center"/>
                </w:tcPr>
                <w:p w14:paraId="29DA58A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0.01L</w:t>
                  </w:r>
                </w:p>
              </w:tc>
              <w:tc>
                <w:tcPr>
                  <w:tcW w:w="1565" w:type="pct"/>
                  <w:noWrap w:val="0"/>
                  <w:vAlign w:val="center"/>
                </w:tcPr>
                <w:p w14:paraId="27894E8D">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《地表水环境质量标准》</w:t>
                  </w:r>
                </w:p>
                <w:p w14:paraId="3A8D40C6">
                  <w:pPr>
                    <w:pStyle w:val="6"/>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GB 3838—2002</w:t>
                  </w:r>
                  <w:r>
                    <w:rPr>
                      <w:rFonts w:hint="default" w:ascii="Times New Roman" w:hAnsi="Times New Roman" w:cs="Times New Roman"/>
                      <w:color w:val="auto"/>
                      <w:sz w:val="21"/>
                      <w:szCs w:val="21"/>
                      <w:highlight w:val="none"/>
                      <w:lang w:val="en-US" w:eastAsia="zh-CN"/>
                    </w:rPr>
                    <w:t>)</w:t>
                  </w:r>
                </w:p>
              </w:tc>
              <w:tc>
                <w:tcPr>
                  <w:tcW w:w="688" w:type="pct"/>
                  <w:noWrap w:val="0"/>
                  <w:vAlign w:val="center"/>
                </w:tcPr>
                <w:p w14:paraId="308465F9">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0.05</w:t>
                  </w:r>
                </w:p>
              </w:tc>
            </w:tr>
          </w:tbl>
          <w:p w14:paraId="79AA7E61">
            <w:pPr>
              <w:spacing w:line="50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sz w:val="24"/>
                <w:szCs w:val="24"/>
                <w:highlight w:val="none"/>
                <w:lang w:val="en-US" w:eastAsia="zh-CN" w:bidi="ar-SA"/>
              </w:rPr>
              <w:t>根据2025年7月24日地下水监测数据可知，各监测点位各污染因子均不超标，厂区内地下水pH、氨氮、耗氧量、苯并（a）芘浓度满足《地下水质量标准》（GB/T14848-2017）中的Ⅲ类标准要求，石油类未检出，满足《地表水环境质量标准》（GB 3838—2002）标准限值的要求，表明厂区所在区域地下水环境良好，目前尚未受到污染</w:t>
            </w:r>
            <w:r>
              <w:rPr>
                <w:rFonts w:hint="default" w:ascii="Times New Roman" w:hAnsi="Times New Roman" w:cs="Times New Roman"/>
                <w:color w:val="auto"/>
                <w:kern w:val="0"/>
                <w:sz w:val="24"/>
                <w:highlight w:val="none"/>
              </w:rPr>
              <w:t>。</w:t>
            </w:r>
          </w:p>
        </w:tc>
      </w:tr>
      <w:tr w14:paraId="688E10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dxa"/>
            <w:vAlign w:val="center"/>
          </w:tcPr>
          <w:p w14:paraId="04CACADB">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w:t>
            </w:r>
          </w:p>
          <w:p w14:paraId="48C11C32">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保护</w:t>
            </w:r>
          </w:p>
          <w:p w14:paraId="7244C960">
            <w:pPr>
              <w:jc w:val="center"/>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目标</w:t>
            </w:r>
          </w:p>
        </w:tc>
        <w:tc>
          <w:tcPr>
            <w:tcW w:w="7943" w:type="dxa"/>
            <w:vAlign w:val="center"/>
          </w:tcPr>
          <w:p w14:paraId="225BACAA">
            <w:pPr>
              <w:pStyle w:val="63"/>
              <w:spacing w:line="500" w:lineRule="exact"/>
              <w:ind w:firstLine="480"/>
              <w:rPr>
                <w:rFonts w:hint="default" w:ascii="Times New Roman" w:hAnsi="Times New Roman" w:cs="Times New Roman"/>
                <w:color w:val="auto"/>
                <w:highlight w:val="none"/>
              </w:rPr>
            </w:pPr>
            <w:bookmarkStart w:id="57" w:name="_Hlk72490597"/>
            <w:r>
              <w:rPr>
                <w:rFonts w:hint="default" w:ascii="Times New Roman" w:hAnsi="Times New Roman" w:cs="Times New Roman"/>
                <w:color w:val="auto"/>
                <w:highlight w:val="none"/>
              </w:rPr>
              <w:t>项目主要的保护目标是保护好项目所在区域现有环境不受影响。采取有效的环保措施，使本项目的建设和生产运行中保持项目所在地区域原有的环境空气质量、声环境质量和生态环境质量不变。</w:t>
            </w:r>
          </w:p>
          <w:p w14:paraId="3E271A16">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本项目所在地无国家级、省、市级自然保护区、风景名胜区、文物保护区、饮用水源保护区，总体上不因本项目的实施而改变区域环境现有功能，因此环境保护目标为一般环境保护区域。</w:t>
            </w:r>
          </w:p>
          <w:p w14:paraId="377F722A">
            <w:pPr>
              <w:pStyle w:val="63"/>
              <w:spacing w:line="500" w:lineRule="exact"/>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1、大气环境保护目标</w:t>
            </w:r>
          </w:p>
          <w:p w14:paraId="38DD5730">
            <w:pPr>
              <w:pStyle w:val="101"/>
              <w:numPr>
                <w:ilvl w:val="0"/>
                <w:numId w:val="0"/>
              </w:numPr>
              <w:spacing w:line="500" w:lineRule="exact"/>
              <w:jc w:val="center"/>
              <w:rPr>
                <w:rFonts w:hint="default" w:ascii="Times New Roman" w:hAnsi="Times New Roman" w:cs="Times New Roman"/>
                <w:b/>
                <w:bCs/>
                <w:color w:val="auto"/>
                <w:sz w:val="24"/>
                <w:szCs w:val="24"/>
                <w:highlight w:val="none"/>
              </w:rPr>
            </w:pPr>
            <w:r>
              <w:rPr>
                <w:rFonts w:hint="default" w:ascii="Times New Roman" w:hAnsi="Times New Roman" w:eastAsia="黑体" w:cs="Times New Roman"/>
                <w:color w:val="auto"/>
                <w:kern w:val="0"/>
                <w:sz w:val="24"/>
                <w:highlight w:val="none"/>
              </w:rPr>
              <w:t>表3-</w:t>
            </w:r>
            <w:r>
              <w:rPr>
                <w:rFonts w:hint="default" w:ascii="Times New Roman" w:hAnsi="Times New Roman" w:eastAsia="黑体" w:cs="Times New Roman"/>
                <w:color w:val="auto"/>
                <w:kern w:val="0"/>
                <w:sz w:val="24"/>
                <w:highlight w:val="none"/>
                <w:lang w:val="en-US" w:eastAsia="zh-CN"/>
              </w:rPr>
              <w:t>8</w:t>
            </w:r>
            <w:r>
              <w:rPr>
                <w:rFonts w:hint="default" w:ascii="Times New Roman" w:hAnsi="Times New Roman" w:eastAsia="黑体" w:cs="Times New Roman"/>
                <w:color w:val="auto"/>
                <w:kern w:val="0"/>
                <w:sz w:val="24"/>
                <w:highlight w:val="none"/>
              </w:rPr>
              <w:t xml:space="preserve"> 环境空气保护目标一览</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4"/>
              <w:gridCol w:w="1040"/>
              <w:gridCol w:w="1352"/>
              <w:gridCol w:w="1355"/>
              <w:gridCol w:w="677"/>
              <w:gridCol w:w="505"/>
              <w:gridCol w:w="494"/>
              <w:gridCol w:w="633"/>
              <w:gridCol w:w="604"/>
            </w:tblGrid>
            <w:tr w14:paraId="4A26E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760" w:type="pct"/>
                  <w:vMerge w:val="restart"/>
                  <w:vAlign w:val="center"/>
                </w:tcPr>
                <w:p w14:paraId="1EB3EF6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名称</w:t>
                  </w:r>
                </w:p>
              </w:tc>
              <w:tc>
                <w:tcPr>
                  <w:tcW w:w="662" w:type="pct"/>
                  <w:vMerge w:val="restart"/>
                  <w:vAlign w:val="center"/>
                </w:tcPr>
                <w:p w14:paraId="5305B013">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规模（人）</w:t>
                  </w:r>
                </w:p>
              </w:tc>
              <w:tc>
                <w:tcPr>
                  <w:tcW w:w="1722" w:type="pct"/>
                  <w:gridSpan w:val="2"/>
                  <w:vAlign w:val="center"/>
                </w:tcPr>
                <w:p w14:paraId="32F98F32">
                  <w:pPr>
                    <w:adjustRightInd w:val="0"/>
                    <w:snapToGrid w:val="0"/>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rPr>
                    <w:t>坐标</w:t>
                  </w:r>
                  <w:r>
                    <w:rPr>
                      <w:rFonts w:hint="default" w:ascii="Times New Roman" w:hAnsi="Times New Roman" w:cs="Times New Roman"/>
                      <w:snapToGrid w:val="0"/>
                      <w:color w:val="auto"/>
                      <w:kern w:val="0"/>
                      <w:szCs w:val="21"/>
                      <w:highlight w:val="none"/>
                      <w:lang w:eastAsia="zh-CN"/>
                    </w:rPr>
                    <w:t>（</w:t>
                  </w:r>
                  <w:r>
                    <w:rPr>
                      <w:rFonts w:hint="default" w:ascii="Times New Roman" w:hAnsi="Times New Roman" w:cs="Times New Roman"/>
                      <w:snapToGrid w:val="0"/>
                      <w:color w:val="auto"/>
                      <w:kern w:val="0"/>
                      <w:szCs w:val="21"/>
                      <w:highlight w:val="none"/>
                      <w:lang w:val="en-US" w:eastAsia="zh-CN"/>
                    </w:rPr>
                    <w:t>°</w:t>
                  </w:r>
                  <w:r>
                    <w:rPr>
                      <w:rFonts w:hint="default" w:ascii="Times New Roman" w:hAnsi="Times New Roman" w:cs="Times New Roman"/>
                      <w:snapToGrid w:val="0"/>
                      <w:color w:val="auto"/>
                      <w:kern w:val="0"/>
                      <w:szCs w:val="21"/>
                      <w:highlight w:val="none"/>
                      <w:lang w:eastAsia="zh-CN"/>
                    </w:rPr>
                    <w:t>）</w:t>
                  </w:r>
                </w:p>
              </w:tc>
              <w:tc>
                <w:tcPr>
                  <w:tcW w:w="431" w:type="pct"/>
                  <w:vMerge w:val="restart"/>
                  <w:vAlign w:val="center"/>
                </w:tcPr>
                <w:p w14:paraId="7FBC8E4D">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保护对象</w:t>
                  </w:r>
                </w:p>
              </w:tc>
              <w:tc>
                <w:tcPr>
                  <w:tcW w:w="321" w:type="pct"/>
                  <w:vMerge w:val="restart"/>
                  <w:vAlign w:val="center"/>
                </w:tcPr>
                <w:p w14:paraId="0139D5D5">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保护内容</w:t>
                  </w:r>
                </w:p>
              </w:tc>
              <w:tc>
                <w:tcPr>
                  <w:tcW w:w="314" w:type="pct"/>
                  <w:vMerge w:val="restart"/>
                  <w:vAlign w:val="center"/>
                </w:tcPr>
                <w:p w14:paraId="0D94EFC6">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环境功能区</w:t>
                  </w:r>
                </w:p>
              </w:tc>
              <w:tc>
                <w:tcPr>
                  <w:tcW w:w="403" w:type="pct"/>
                  <w:vMerge w:val="restart"/>
                  <w:vAlign w:val="center"/>
                </w:tcPr>
                <w:p w14:paraId="7286148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相对厂址方位</w:t>
                  </w:r>
                </w:p>
              </w:tc>
              <w:tc>
                <w:tcPr>
                  <w:tcW w:w="384" w:type="pct"/>
                  <w:vMerge w:val="restart"/>
                  <w:vAlign w:val="center"/>
                </w:tcPr>
                <w:p w14:paraId="68BF7BCB">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相对厂界距离/</w:t>
                  </w:r>
                  <w:r>
                    <w:rPr>
                      <w:rFonts w:hint="default" w:ascii="Times New Roman" w:hAnsi="Times New Roman" w:cs="Times New Roman"/>
                      <w:snapToGrid w:val="0"/>
                      <w:color w:val="auto"/>
                      <w:kern w:val="0"/>
                      <w:szCs w:val="21"/>
                      <w:highlight w:val="none"/>
                      <w:lang w:val="en-US" w:eastAsia="zh-CN"/>
                    </w:rPr>
                    <w:t>k</w:t>
                  </w:r>
                  <w:r>
                    <w:rPr>
                      <w:rFonts w:hint="default" w:ascii="Times New Roman" w:hAnsi="Times New Roman" w:cs="Times New Roman"/>
                      <w:snapToGrid w:val="0"/>
                      <w:color w:val="auto"/>
                      <w:kern w:val="0"/>
                      <w:szCs w:val="21"/>
                      <w:highlight w:val="none"/>
                    </w:rPr>
                    <w:t>m</w:t>
                  </w:r>
                </w:p>
              </w:tc>
            </w:tr>
            <w:tr w14:paraId="7CD000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760" w:type="pct"/>
                  <w:vMerge w:val="continue"/>
                  <w:vAlign w:val="center"/>
                </w:tcPr>
                <w:p w14:paraId="73395124">
                  <w:pPr>
                    <w:adjustRightInd w:val="0"/>
                    <w:snapToGrid w:val="0"/>
                    <w:jc w:val="center"/>
                    <w:rPr>
                      <w:rFonts w:hint="default" w:ascii="Times New Roman" w:hAnsi="Times New Roman" w:cs="Times New Roman"/>
                      <w:snapToGrid w:val="0"/>
                      <w:color w:val="auto"/>
                      <w:kern w:val="0"/>
                      <w:szCs w:val="21"/>
                      <w:highlight w:val="none"/>
                    </w:rPr>
                  </w:pPr>
                </w:p>
              </w:tc>
              <w:tc>
                <w:tcPr>
                  <w:tcW w:w="662" w:type="pct"/>
                  <w:vMerge w:val="continue"/>
                  <w:vAlign w:val="center"/>
                </w:tcPr>
                <w:p w14:paraId="4A462B51">
                  <w:pPr>
                    <w:adjustRightInd w:val="0"/>
                    <w:snapToGrid w:val="0"/>
                    <w:jc w:val="center"/>
                    <w:rPr>
                      <w:rFonts w:hint="default" w:ascii="Times New Roman" w:hAnsi="Times New Roman" w:cs="Times New Roman"/>
                      <w:snapToGrid w:val="0"/>
                      <w:color w:val="auto"/>
                      <w:kern w:val="0"/>
                      <w:szCs w:val="21"/>
                      <w:highlight w:val="none"/>
                    </w:rPr>
                  </w:pPr>
                </w:p>
              </w:tc>
              <w:tc>
                <w:tcPr>
                  <w:tcW w:w="860" w:type="pct"/>
                  <w:vAlign w:val="center"/>
                </w:tcPr>
                <w:p w14:paraId="695C234B">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东经</w:t>
                  </w:r>
                </w:p>
              </w:tc>
              <w:tc>
                <w:tcPr>
                  <w:tcW w:w="861" w:type="pct"/>
                  <w:vAlign w:val="center"/>
                </w:tcPr>
                <w:p w14:paraId="67014CD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北纬</w:t>
                  </w:r>
                </w:p>
              </w:tc>
              <w:tc>
                <w:tcPr>
                  <w:tcW w:w="431" w:type="pct"/>
                  <w:vMerge w:val="continue"/>
                  <w:vAlign w:val="center"/>
                </w:tcPr>
                <w:p w14:paraId="3C5A141C">
                  <w:pPr>
                    <w:adjustRightInd w:val="0"/>
                    <w:snapToGrid w:val="0"/>
                    <w:jc w:val="center"/>
                    <w:rPr>
                      <w:rFonts w:hint="default" w:ascii="Times New Roman" w:hAnsi="Times New Roman" w:cs="Times New Roman"/>
                      <w:b/>
                      <w:snapToGrid w:val="0"/>
                      <w:color w:val="auto"/>
                      <w:kern w:val="0"/>
                      <w:szCs w:val="21"/>
                      <w:highlight w:val="none"/>
                    </w:rPr>
                  </w:pPr>
                </w:p>
              </w:tc>
              <w:tc>
                <w:tcPr>
                  <w:tcW w:w="321" w:type="pct"/>
                  <w:vMerge w:val="continue"/>
                  <w:vAlign w:val="center"/>
                </w:tcPr>
                <w:p w14:paraId="6E96E54B">
                  <w:pPr>
                    <w:adjustRightInd w:val="0"/>
                    <w:snapToGrid w:val="0"/>
                    <w:jc w:val="center"/>
                    <w:rPr>
                      <w:rFonts w:hint="default" w:ascii="Times New Roman" w:hAnsi="Times New Roman" w:cs="Times New Roman"/>
                      <w:b/>
                      <w:snapToGrid w:val="0"/>
                      <w:color w:val="auto"/>
                      <w:kern w:val="0"/>
                      <w:szCs w:val="21"/>
                      <w:highlight w:val="none"/>
                    </w:rPr>
                  </w:pPr>
                </w:p>
              </w:tc>
              <w:tc>
                <w:tcPr>
                  <w:tcW w:w="314" w:type="pct"/>
                  <w:vMerge w:val="continue"/>
                  <w:vAlign w:val="center"/>
                </w:tcPr>
                <w:p w14:paraId="0AA017E3">
                  <w:pPr>
                    <w:adjustRightInd w:val="0"/>
                    <w:snapToGrid w:val="0"/>
                    <w:jc w:val="center"/>
                    <w:rPr>
                      <w:rFonts w:hint="default" w:ascii="Times New Roman" w:hAnsi="Times New Roman" w:cs="Times New Roman"/>
                      <w:snapToGrid w:val="0"/>
                      <w:color w:val="auto"/>
                      <w:kern w:val="0"/>
                      <w:szCs w:val="21"/>
                      <w:highlight w:val="none"/>
                    </w:rPr>
                  </w:pPr>
                </w:p>
              </w:tc>
              <w:tc>
                <w:tcPr>
                  <w:tcW w:w="403" w:type="pct"/>
                  <w:vMerge w:val="continue"/>
                  <w:vAlign w:val="center"/>
                </w:tcPr>
                <w:p w14:paraId="01736F69">
                  <w:pPr>
                    <w:adjustRightInd w:val="0"/>
                    <w:snapToGrid w:val="0"/>
                    <w:jc w:val="center"/>
                    <w:rPr>
                      <w:rFonts w:hint="default" w:ascii="Times New Roman" w:hAnsi="Times New Roman" w:cs="Times New Roman"/>
                      <w:snapToGrid w:val="0"/>
                      <w:color w:val="auto"/>
                      <w:kern w:val="0"/>
                      <w:szCs w:val="21"/>
                      <w:highlight w:val="none"/>
                    </w:rPr>
                  </w:pPr>
                </w:p>
              </w:tc>
              <w:tc>
                <w:tcPr>
                  <w:tcW w:w="384" w:type="pct"/>
                  <w:vMerge w:val="continue"/>
                  <w:vAlign w:val="center"/>
                </w:tcPr>
                <w:p w14:paraId="1E959658">
                  <w:pPr>
                    <w:adjustRightInd w:val="0"/>
                    <w:snapToGrid w:val="0"/>
                    <w:jc w:val="center"/>
                    <w:rPr>
                      <w:rFonts w:hint="default" w:ascii="Times New Roman" w:hAnsi="Times New Roman" w:cs="Times New Roman"/>
                      <w:snapToGrid w:val="0"/>
                      <w:color w:val="auto"/>
                      <w:kern w:val="0"/>
                      <w:szCs w:val="21"/>
                      <w:highlight w:val="none"/>
                    </w:rPr>
                  </w:pPr>
                </w:p>
              </w:tc>
            </w:tr>
            <w:tr w14:paraId="3B96A4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760" w:type="pct"/>
                  <w:vMerge w:val="restart"/>
                  <w:shd w:val="clear" w:color="auto" w:fill="auto"/>
                  <w:vAlign w:val="center"/>
                </w:tcPr>
                <w:p w14:paraId="25EC41CC">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东风村</w:t>
                  </w:r>
                </w:p>
              </w:tc>
              <w:tc>
                <w:tcPr>
                  <w:tcW w:w="662" w:type="pct"/>
                  <w:vMerge w:val="restart"/>
                  <w:shd w:val="clear" w:color="auto" w:fill="auto"/>
                  <w:vAlign w:val="center"/>
                </w:tcPr>
                <w:p w14:paraId="1B65985D">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500</w:t>
                  </w:r>
                </w:p>
              </w:tc>
              <w:tc>
                <w:tcPr>
                  <w:tcW w:w="860" w:type="pct"/>
                  <w:vMerge w:val="restart"/>
                  <w:shd w:val="clear" w:color="auto" w:fill="auto"/>
                  <w:vAlign w:val="center"/>
                </w:tcPr>
                <w:p w14:paraId="76ABB03A">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133.033508</w:t>
                  </w:r>
                </w:p>
              </w:tc>
              <w:tc>
                <w:tcPr>
                  <w:tcW w:w="861" w:type="pct"/>
                  <w:vMerge w:val="restart"/>
                  <w:shd w:val="clear" w:color="auto" w:fill="auto"/>
                  <w:vAlign w:val="center"/>
                </w:tcPr>
                <w:p w14:paraId="0A7759B1">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45.789774</w:t>
                  </w:r>
                </w:p>
              </w:tc>
              <w:tc>
                <w:tcPr>
                  <w:tcW w:w="431" w:type="pct"/>
                  <w:vMerge w:val="restart"/>
                  <w:vAlign w:val="center"/>
                </w:tcPr>
                <w:p w14:paraId="6336EE6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农村人群集中区</w:t>
                  </w:r>
                </w:p>
              </w:tc>
              <w:tc>
                <w:tcPr>
                  <w:tcW w:w="321" w:type="pct"/>
                  <w:vMerge w:val="restart"/>
                  <w:vAlign w:val="center"/>
                </w:tcPr>
                <w:p w14:paraId="5E130C61">
                  <w:pPr>
                    <w:adjustRightInd w:val="0"/>
                    <w:snapToGrid w:val="0"/>
                    <w:jc w:val="center"/>
                    <w:rPr>
                      <w:rFonts w:hint="default" w:ascii="Times New Roman" w:hAnsi="Times New Roman" w:cs="Times New Roman"/>
                      <w:b/>
                      <w:snapToGrid w:val="0"/>
                      <w:color w:val="auto"/>
                      <w:kern w:val="0"/>
                      <w:szCs w:val="21"/>
                      <w:highlight w:val="none"/>
                    </w:rPr>
                  </w:pPr>
                  <w:r>
                    <w:rPr>
                      <w:rFonts w:hint="default" w:ascii="Times New Roman" w:hAnsi="Times New Roman" w:cs="Times New Roman"/>
                      <w:snapToGrid w:val="0"/>
                      <w:color w:val="auto"/>
                      <w:kern w:val="0"/>
                      <w:szCs w:val="21"/>
                      <w:highlight w:val="none"/>
                    </w:rPr>
                    <w:t>人群</w:t>
                  </w:r>
                </w:p>
              </w:tc>
              <w:tc>
                <w:tcPr>
                  <w:tcW w:w="314" w:type="pct"/>
                  <w:vMerge w:val="restart"/>
                  <w:vAlign w:val="center"/>
                </w:tcPr>
                <w:p w14:paraId="3B88767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二类区</w:t>
                  </w:r>
                </w:p>
              </w:tc>
              <w:tc>
                <w:tcPr>
                  <w:tcW w:w="403" w:type="pct"/>
                  <w:shd w:val="clear" w:color="auto" w:fill="auto"/>
                  <w:vAlign w:val="center"/>
                </w:tcPr>
                <w:p w14:paraId="6B8BA025">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E</w:t>
                  </w:r>
                </w:p>
              </w:tc>
              <w:tc>
                <w:tcPr>
                  <w:tcW w:w="384" w:type="pct"/>
                  <w:shd w:val="clear" w:color="auto" w:fill="auto"/>
                  <w:vAlign w:val="center"/>
                </w:tcPr>
                <w:p w14:paraId="7B4662F8">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0.07</w:t>
                  </w:r>
                </w:p>
              </w:tc>
            </w:tr>
            <w:tr w14:paraId="6BF11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60" w:type="pct"/>
                  <w:vMerge w:val="continue"/>
                  <w:shd w:val="clear" w:color="auto" w:fill="auto"/>
                  <w:vAlign w:val="center"/>
                </w:tcPr>
                <w:p w14:paraId="79A06E57">
                  <w:pPr>
                    <w:adjustRightInd w:val="0"/>
                    <w:snapToGrid w:val="0"/>
                    <w:jc w:val="center"/>
                    <w:rPr>
                      <w:rFonts w:hint="default" w:ascii="Times New Roman" w:hAnsi="Times New Roman" w:cs="Times New Roman"/>
                      <w:snapToGrid w:val="0"/>
                      <w:color w:val="auto"/>
                      <w:kern w:val="0"/>
                      <w:szCs w:val="21"/>
                      <w:highlight w:val="none"/>
                      <w:lang w:val="en-US" w:eastAsia="zh-CN"/>
                    </w:rPr>
                  </w:pPr>
                </w:p>
              </w:tc>
              <w:tc>
                <w:tcPr>
                  <w:tcW w:w="662" w:type="pct"/>
                  <w:vMerge w:val="continue"/>
                  <w:shd w:val="clear" w:color="auto" w:fill="auto"/>
                  <w:vAlign w:val="center"/>
                </w:tcPr>
                <w:p w14:paraId="38D56940">
                  <w:pPr>
                    <w:adjustRightInd w:val="0"/>
                    <w:snapToGrid w:val="0"/>
                    <w:jc w:val="center"/>
                    <w:rPr>
                      <w:rFonts w:hint="default" w:ascii="Times New Roman" w:hAnsi="Times New Roman" w:cs="Times New Roman"/>
                      <w:snapToGrid w:val="0"/>
                      <w:color w:val="auto"/>
                      <w:kern w:val="0"/>
                      <w:szCs w:val="21"/>
                      <w:highlight w:val="none"/>
                      <w:lang w:val="en-US" w:eastAsia="zh-CN"/>
                    </w:rPr>
                  </w:pPr>
                </w:p>
              </w:tc>
              <w:tc>
                <w:tcPr>
                  <w:tcW w:w="860" w:type="pct"/>
                  <w:vMerge w:val="continue"/>
                  <w:shd w:val="clear" w:color="auto" w:fill="auto"/>
                  <w:vAlign w:val="center"/>
                </w:tcPr>
                <w:p w14:paraId="612E0F87">
                  <w:pPr>
                    <w:adjustRightInd w:val="0"/>
                    <w:snapToGrid w:val="0"/>
                    <w:jc w:val="center"/>
                    <w:rPr>
                      <w:rFonts w:hint="default" w:ascii="Times New Roman" w:hAnsi="Times New Roman" w:cs="Times New Roman"/>
                      <w:snapToGrid w:val="0"/>
                      <w:color w:val="auto"/>
                      <w:kern w:val="0"/>
                      <w:szCs w:val="21"/>
                      <w:highlight w:val="none"/>
                    </w:rPr>
                  </w:pPr>
                </w:p>
              </w:tc>
              <w:tc>
                <w:tcPr>
                  <w:tcW w:w="861" w:type="pct"/>
                  <w:vMerge w:val="continue"/>
                  <w:shd w:val="clear" w:color="auto" w:fill="auto"/>
                  <w:vAlign w:val="center"/>
                </w:tcPr>
                <w:p w14:paraId="00BC60E5">
                  <w:pPr>
                    <w:adjustRightInd w:val="0"/>
                    <w:snapToGrid w:val="0"/>
                    <w:jc w:val="center"/>
                    <w:rPr>
                      <w:rFonts w:hint="default" w:ascii="Times New Roman" w:hAnsi="Times New Roman" w:cs="Times New Roman"/>
                      <w:snapToGrid w:val="0"/>
                      <w:color w:val="auto"/>
                      <w:kern w:val="0"/>
                      <w:szCs w:val="21"/>
                      <w:highlight w:val="none"/>
                    </w:rPr>
                  </w:pPr>
                </w:p>
              </w:tc>
              <w:tc>
                <w:tcPr>
                  <w:tcW w:w="431" w:type="pct"/>
                  <w:vMerge w:val="continue"/>
                  <w:vAlign w:val="center"/>
                </w:tcPr>
                <w:p w14:paraId="7E6C81C9">
                  <w:pPr>
                    <w:adjustRightInd w:val="0"/>
                    <w:snapToGrid w:val="0"/>
                    <w:jc w:val="center"/>
                    <w:rPr>
                      <w:rFonts w:hint="default" w:ascii="Times New Roman" w:hAnsi="Times New Roman" w:cs="Times New Roman"/>
                      <w:snapToGrid w:val="0"/>
                      <w:color w:val="auto"/>
                      <w:kern w:val="0"/>
                      <w:szCs w:val="21"/>
                      <w:highlight w:val="none"/>
                    </w:rPr>
                  </w:pPr>
                </w:p>
              </w:tc>
              <w:tc>
                <w:tcPr>
                  <w:tcW w:w="321" w:type="pct"/>
                  <w:vMerge w:val="continue"/>
                  <w:vAlign w:val="center"/>
                </w:tcPr>
                <w:p w14:paraId="20FCDD0E">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5892E6EE">
                  <w:pPr>
                    <w:adjustRightInd w:val="0"/>
                    <w:snapToGrid w:val="0"/>
                    <w:jc w:val="center"/>
                    <w:rPr>
                      <w:rFonts w:hint="default" w:ascii="Times New Roman" w:hAnsi="Times New Roman" w:cs="Times New Roman"/>
                      <w:snapToGrid w:val="0"/>
                      <w:color w:val="auto"/>
                      <w:kern w:val="0"/>
                      <w:szCs w:val="21"/>
                      <w:highlight w:val="none"/>
                    </w:rPr>
                  </w:pPr>
                </w:p>
              </w:tc>
              <w:tc>
                <w:tcPr>
                  <w:tcW w:w="403" w:type="pct"/>
                  <w:shd w:val="clear" w:color="auto" w:fill="auto"/>
                  <w:vAlign w:val="center"/>
                </w:tcPr>
                <w:p w14:paraId="1277A6E6">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S</w:t>
                  </w:r>
                </w:p>
              </w:tc>
              <w:tc>
                <w:tcPr>
                  <w:tcW w:w="384" w:type="pct"/>
                  <w:shd w:val="clear" w:color="auto" w:fill="auto"/>
                  <w:vAlign w:val="center"/>
                </w:tcPr>
                <w:p w14:paraId="72BE7942">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0.21</w:t>
                  </w:r>
                </w:p>
              </w:tc>
            </w:tr>
            <w:tr w14:paraId="2C7FC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1DCDB0A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庆丰农场</w:t>
                  </w:r>
                </w:p>
              </w:tc>
              <w:tc>
                <w:tcPr>
                  <w:tcW w:w="662" w:type="pct"/>
                  <w:vAlign w:val="center"/>
                </w:tcPr>
                <w:p w14:paraId="7F96CD3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3000</w:t>
                  </w:r>
                </w:p>
              </w:tc>
              <w:tc>
                <w:tcPr>
                  <w:tcW w:w="860" w:type="pct"/>
                  <w:vAlign w:val="center"/>
                </w:tcPr>
                <w:p w14:paraId="1CA6D37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133.057669</w:t>
                  </w:r>
                </w:p>
              </w:tc>
              <w:tc>
                <w:tcPr>
                  <w:tcW w:w="861" w:type="pct"/>
                  <w:vAlign w:val="center"/>
                </w:tcPr>
                <w:p w14:paraId="1BF3B8D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45.783658</w:t>
                  </w:r>
                </w:p>
              </w:tc>
              <w:tc>
                <w:tcPr>
                  <w:tcW w:w="431" w:type="pct"/>
                  <w:vMerge w:val="continue"/>
                  <w:vAlign w:val="center"/>
                </w:tcPr>
                <w:p w14:paraId="207BB5DF">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71B8CF97">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7CF8896F">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2B6C48C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SE</w:t>
                  </w:r>
                </w:p>
              </w:tc>
              <w:tc>
                <w:tcPr>
                  <w:tcW w:w="384" w:type="pct"/>
                  <w:vAlign w:val="center"/>
                </w:tcPr>
                <w:p w14:paraId="28550E1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1.93</w:t>
                  </w:r>
                </w:p>
              </w:tc>
            </w:tr>
            <w:tr w14:paraId="7EEE9B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0C8597F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东风一组</w:t>
                  </w:r>
                </w:p>
              </w:tc>
              <w:tc>
                <w:tcPr>
                  <w:tcW w:w="662" w:type="pct"/>
                  <w:vAlign w:val="center"/>
                </w:tcPr>
                <w:p w14:paraId="5AFAA410">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270</w:t>
                  </w:r>
                </w:p>
              </w:tc>
              <w:tc>
                <w:tcPr>
                  <w:tcW w:w="860" w:type="pct"/>
                  <w:vAlign w:val="center"/>
                </w:tcPr>
                <w:p w14:paraId="080A60F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133.057069</w:t>
                  </w:r>
                </w:p>
              </w:tc>
              <w:tc>
                <w:tcPr>
                  <w:tcW w:w="861" w:type="pct"/>
                  <w:vAlign w:val="center"/>
                </w:tcPr>
                <w:p w14:paraId="7490E26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45.787349</w:t>
                  </w:r>
                </w:p>
              </w:tc>
              <w:tc>
                <w:tcPr>
                  <w:tcW w:w="431" w:type="pct"/>
                  <w:vMerge w:val="continue"/>
                  <w:vAlign w:val="center"/>
                </w:tcPr>
                <w:p w14:paraId="05E938AB">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1F1C99A9">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24FBDD44">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4D15A62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SE</w:t>
                  </w:r>
                </w:p>
              </w:tc>
              <w:tc>
                <w:tcPr>
                  <w:tcW w:w="384" w:type="pct"/>
                  <w:vAlign w:val="center"/>
                </w:tcPr>
                <w:p w14:paraId="247C665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1.60</w:t>
                  </w:r>
                </w:p>
              </w:tc>
            </w:tr>
            <w:tr w14:paraId="3F4AD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14859D8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庆丰屯</w:t>
                  </w:r>
                </w:p>
              </w:tc>
              <w:tc>
                <w:tcPr>
                  <w:tcW w:w="662" w:type="pct"/>
                  <w:vAlign w:val="center"/>
                </w:tcPr>
                <w:p w14:paraId="69526D9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60</w:t>
                  </w:r>
                </w:p>
              </w:tc>
              <w:tc>
                <w:tcPr>
                  <w:tcW w:w="860" w:type="pct"/>
                  <w:vAlign w:val="center"/>
                </w:tcPr>
                <w:p w14:paraId="6B0D06B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133.029592</w:t>
                  </w:r>
                </w:p>
              </w:tc>
              <w:tc>
                <w:tcPr>
                  <w:tcW w:w="861" w:type="pct"/>
                  <w:vAlign w:val="center"/>
                </w:tcPr>
                <w:p w14:paraId="13DCBE0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45.772929</w:t>
                  </w:r>
                </w:p>
              </w:tc>
              <w:tc>
                <w:tcPr>
                  <w:tcW w:w="431" w:type="pct"/>
                  <w:vMerge w:val="continue"/>
                  <w:vAlign w:val="center"/>
                </w:tcPr>
                <w:p w14:paraId="173DFA82">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15CBE831">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79DC84B5">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2639B80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SW</w:t>
                  </w:r>
                </w:p>
              </w:tc>
              <w:tc>
                <w:tcPr>
                  <w:tcW w:w="384" w:type="pct"/>
                  <w:vAlign w:val="center"/>
                </w:tcPr>
                <w:p w14:paraId="63965C6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1.93</w:t>
                  </w:r>
                </w:p>
              </w:tc>
            </w:tr>
            <w:tr w14:paraId="1A9ED2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5C26690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永丰六组</w:t>
                  </w:r>
                </w:p>
              </w:tc>
              <w:tc>
                <w:tcPr>
                  <w:tcW w:w="662" w:type="pct"/>
                  <w:vAlign w:val="center"/>
                </w:tcPr>
                <w:p w14:paraId="1CB69E6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120</w:t>
                  </w:r>
                </w:p>
              </w:tc>
              <w:tc>
                <w:tcPr>
                  <w:tcW w:w="860" w:type="pct"/>
                  <w:vAlign w:val="center"/>
                </w:tcPr>
                <w:p w14:paraId="1F96C85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133.010838</w:t>
                  </w:r>
                </w:p>
              </w:tc>
              <w:tc>
                <w:tcPr>
                  <w:tcW w:w="861" w:type="pct"/>
                  <w:vAlign w:val="center"/>
                </w:tcPr>
                <w:p w14:paraId="509878D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45.771342</w:t>
                  </w:r>
                </w:p>
              </w:tc>
              <w:tc>
                <w:tcPr>
                  <w:tcW w:w="431" w:type="pct"/>
                  <w:vMerge w:val="continue"/>
                  <w:vAlign w:val="center"/>
                </w:tcPr>
                <w:p w14:paraId="3DAF4A6B">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352A88C1">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54B1DD58">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7A46843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SW</w:t>
                  </w:r>
                </w:p>
              </w:tc>
              <w:tc>
                <w:tcPr>
                  <w:tcW w:w="384" w:type="pct"/>
                  <w:vAlign w:val="center"/>
                </w:tcPr>
                <w:p w14:paraId="17D303A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2.58</w:t>
                  </w:r>
                </w:p>
              </w:tc>
            </w:tr>
            <w:tr w14:paraId="6D6F8F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16CE21B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永丰七组</w:t>
                  </w:r>
                </w:p>
              </w:tc>
              <w:tc>
                <w:tcPr>
                  <w:tcW w:w="662" w:type="pct"/>
                  <w:vAlign w:val="center"/>
                </w:tcPr>
                <w:p w14:paraId="7067F98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280</w:t>
                  </w:r>
                </w:p>
              </w:tc>
              <w:tc>
                <w:tcPr>
                  <w:tcW w:w="860" w:type="pct"/>
                  <w:vAlign w:val="center"/>
                </w:tcPr>
                <w:p w14:paraId="5370554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133.009615</w:t>
                  </w:r>
                </w:p>
              </w:tc>
              <w:tc>
                <w:tcPr>
                  <w:tcW w:w="861" w:type="pct"/>
                  <w:vAlign w:val="center"/>
                </w:tcPr>
                <w:p w14:paraId="60C1806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45.776320</w:t>
                  </w:r>
                </w:p>
              </w:tc>
              <w:tc>
                <w:tcPr>
                  <w:tcW w:w="431" w:type="pct"/>
                  <w:vMerge w:val="continue"/>
                  <w:vAlign w:val="center"/>
                </w:tcPr>
                <w:p w14:paraId="1DAA2727">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7DAB2BD8">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5C86CEA6">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315BCAC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SW</w:t>
                  </w:r>
                </w:p>
              </w:tc>
              <w:tc>
                <w:tcPr>
                  <w:tcW w:w="384" w:type="pct"/>
                  <w:vAlign w:val="center"/>
                </w:tcPr>
                <w:p w14:paraId="043C743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2.14</w:t>
                  </w:r>
                </w:p>
              </w:tc>
            </w:tr>
            <w:tr w14:paraId="740155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36623B4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东风二组</w:t>
                  </w:r>
                </w:p>
              </w:tc>
              <w:tc>
                <w:tcPr>
                  <w:tcW w:w="662" w:type="pct"/>
                  <w:vAlign w:val="center"/>
                </w:tcPr>
                <w:p w14:paraId="79684A8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130</w:t>
                  </w:r>
                </w:p>
              </w:tc>
              <w:tc>
                <w:tcPr>
                  <w:tcW w:w="860" w:type="pct"/>
                  <w:vAlign w:val="center"/>
                </w:tcPr>
                <w:p w14:paraId="3DB3671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133.051929</w:t>
                  </w:r>
                </w:p>
              </w:tc>
              <w:tc>
                <w:tcPr>
                  <w:tcW w:w="861" w:type="pct"/>
                  <w:vAlign w:val="center"/>
                </w:tcPr>
                <w:p w14:paraId="0D032FE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45.803657</w:t>
                  </w:r>
                </w:p>
              </w:tc>
              <w:tc>
                <w:tcPr>
                  <w:tcW w:w="431" w:type="pct"/>
                  <w:vMerge w:val="continue"/>
                  <w:vAlign w:val="center"/>
                </w:tcPr>
                <w:p w14:paraId="316F4365">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6576D7F6">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34654593">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6EF15440">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NE</w:t>
                  </w:r>
                </w:p>
              </w:tc>
              <w:tc>
                <w:tcPr>
                  <w:tcW w:w="384" w:type="pct"/>
                  <w:vAlign w:val="center"/>
                </w:tcPr>
                <w:p w14:paraId="56C9D03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1.75</w:t>
                  </w:r>
                </w:p>
              </w:tc>
            </w:tr>
            <w:tr w14:paraId="586C2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28E72F1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东风三组</w:t>
                  </w:r>
                </w:p>
              </w:tc>
              <w:tc>
                <w:tcPr>
                  <w:tcW w:w="662" w:type="pct"/>
                  <w:vAlign w:val="center"/>
                </w:tcPr>
                <w:p w14:paraId="5AA5D39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180</w:t>
                  </w:r>
                </w:p>
              </w:tc>
              <w:tc>
                <w:tcPr>
                  <w:tcW w:w="860" w:type="pct"/>
                  <w:vAlign w:val="center"/>
                </w:tcPr>
                <w:p w14:paraId="2571E68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133.040943</w:t>
                  </w:r>
                </w:p>
              </w:tc>
              <w:tc>
                <w:tcPr>
                  <w:tcW w:w="861" w:type="pct"/>
                  <w:vAlign w:val="center"/>
                </w:tcPr>
                <w:p w14:paraId="634168E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45.799451</w:t>
                  </w:r>
                </w:p>
              </w:tc>
              <w:tc>
                <w:tcPr>
                  <w:tcW w:w="431" w:type="pct"/>
                  <w:vMerge w:val="continue"/>
                  <w:vAlign w:val="center"/>
                </w:tcPr>
                <w:p w14:paraId="60ACED3F">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6495D8C9">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591D7D65">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148B7D6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NE</w:t>
                  </w:r>
                </w:p>
              </w:tc>
              <w:tc>
                <w:tcPr>
                  <w:tcW w:w="384" w:type="pct"/>
                  <w:vAlign w:val="center"/>
                </w:tcPr>
                <w:p w14:paraId="34EABB6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0.63</w:t>
                  </w:r>
                </w:p>
              </w:tc>
            </w:tr>
            <w:tr w14:paraId="46AF0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3DDFD85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东风四组</w:t>
                  </w:r>
                </w:p>
              </w:tc>
              <w:tc>
                <w:tcPr>
                  <w:tcW w:w="662" w:type="pct"/>
                  <w:vAlign w:val="center"/>
                </w:tcPr>
                <w:p w14:paraId="3700FB7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120</w:t>
                  </w:r>
                </w:p>
              </w:tc>
              <w:tc>
                <w:tcPr>
                  <w:tcW w:w="860" w:type="pct"/>
                  <w:vAlign w:val="center"/>
                </w:tcPr>
                <w:p w14:paraId="4579E9C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133.016481</w:t>
                  </w:r>
                </w:p>
              </w:tc>
              <w:tc>
                <w:tcPr>
                  <w:tcW w:w="861" w:type="pct"/>
                  <w:vAlign w:val="center"/>
                </w:tcPr>
                <w:p w14:paraId="0BC1E7D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45.810480</w:t>
                  </w:r>
                </w:p>
              </w:tc>
              <w:tc>
                <w:tcPr>
                  <w:tcW w:w="431" w:type="pct"/>
                  <w:vMerge w:val="continue"/>
                  <w:vAlign w:val="center"/>
                </w:tcPr>
                <w:p w14:paraId="6346C0B6">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1DA3F001">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0AB798C2">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3A46F03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NW</w:t>
                  </w:r>
                </w:p>
              </w:tc>
              <w:tc>
                <w:tcPr>
                  <w:tcW w:w="384" w:type="pct"/>
                  <w:vAlign w:val="center"/>
                </w:tcPr>
                <w:p w14:paraId="28676008">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2.00</w:t>
                  </w:r>
                </w:p>
              </w:tc>
            </w:tr>
            <w:tr w14:paraId="00357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0E40DD08">
                  <w:pPr>
                    <w:adjustRightInd w:val="0"/>
                    <w:snapToGrid w:val="0"/>
                    <w:jc w:val="center"/>
                    <w:rPr>
                      <w:rFonts w:hint="default" w:ascii="Times New Roman" w:hAnsi="Times New Roman" w:cs="Times New Roman"/>
                      <w:color w:val="auto"/>
                      <w:kern w:val="0"/>
                      <w:szCs w:val="21"/>
                      <w:highlight w:val="none"/>
                      <w:lang w:val="en-US"/>
                    </w:rPr>
                  </w:pPr>
                  <w:r>
                    <w:rPr>
                      <w:rFonts w:hint="default" w:ascii="Times New Roman" w:hAnsi="Times New Roman" w:cs="Times New Roman"/>
                      <w:color w:val="auto"/>
                      <w:kern w:val="0"/>
                      <w:szCs w:val="21"/>
                      <w:highlight w:val="none"/>
                      <w:lang w:val="en-US" w:eastAsia="zh-CN"/>
                    </w:rPr>
                    <w:t>东风五组</w:t>
                  </w:r>
                </w:p>
              </w:tc>
              <w:tc>
                <w:tcPr>
                  <w:tcW w:w="662" w:type="pct"/>
                  <w:shd w:val="clear" w:color="auto" w:fill="auto"/>
                  <w:vAlign w:val="center"/>
                </w:tcPr>
                <w:p w14:paraId="3178862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80</w:t>
                  </w:r>
                </w:p>
              </w:tc>
              <w:tc>
                <w:tcPr>
                  <w:tcW w:w="860" w:type="pct"/>
                  <w:shd w:val="clear" w:color="auto" w:fill="auto"/>
                  <w:vAlign w:val="center"/>
                </w:tcPr>
                <w:p w14:paraId="75E3B04E">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133.008027</w:t>
                  </w:r>
                </w:p>
              </w:tc>
              <w:tc>
                <w:tcPr>
                  <w:tcW w:w="861" w:type="pct"/>
                  <w:shd w:val="clear" w:color="auto" w:fill="auto"/>
                  <w:vAlign w:val="center"/>
                </w:tcPr>
                <w:p w14:paraId="314E0B62">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45.814472</w:t>
                  </w:r>
                </w:p>
              </w:tc>
              <w:tc>
                <w:tcPr>
                  <w:tcW w:w="431" w:type="pct"/>
                  <w:vMerge w:val="continue"/>
                  <w:vAlign w:val="center"/>
                </w:tcPr>
                <w:p w14:paraId="3DAF830B">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1442F15E">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54E7D130">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3A0F645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NW</w:t>
                  </w:r>
                </w:p>
              </w:tc>
              <w:tc>
                <w:tcPr>
                  <w:tcW w:w="384" w:type="pct"/>
                  <w:vAlign w:val="center"/>
                </w:tcPr>
                <w:p w14:paraId="0036370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2.99</w:t>
                  </w:r>
                </w:p>
              </w:tc>
            </w:tr>
            <w:tr w14:paraId="33850B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5F87342C">
                  <w:pPr>
                    <w:adjustRightInd w:val="0"/>
                    <w:snapToGrid w:val="0"/>
                    <w:jc w:val="center"/>
                    <w:rPr>
                      <w:rFonts w:hint="default" w:ascii="Times New Roman" w:hAnsi="Times New Roman" w:cs="Times New Roman"/>
                      <w:color w:val="auto"/>
                      <w:kern w:val="0"/>
                      <w:szCs w:val="21"/>
                      <w:highlight w:val="none"/>
                      <w:lang w:val="en-US"/>
                    </w:rPr>
                  </w:pPr>
                  <w:r>
                    <w:rPr>
                      <w:rFonts w:hint="default" w:ascii="Times New Roman" w:hAnsi="Times New Roman" w:cs="Times New Roman"/>
                      <w:color w:val="auto"/>
                      <w:kern w:val="0"/>
                      <w:szCs w:val="21"/>
                      <w:highlight w:val="none"/>
                      <w:lang w:val="en-US" w:eastAsia="zh-CN"/>
                    </w:rPr>
                    <w:t>东风八组</w:t>
                  </w:r>
                </w:p>
              </w:tc>
              <w:tc>
                <w:tcPr>
                  <w:tcW w:w="662" w:type="pct"/>
                  <w:vAlign w:val="center"/>
                </w:tcPr>
                <w:p w14:paraId="541695A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100</w:t>
                  </w:r>
                </w:p>
              </w:tc>
              <w:tc>
                <w:tcPr>
                  <w:tcW w:w="860" w:type="pct"/>
                  <w:vAlign w:val="center"/>
                </w:tcPr>
                <w:p w14:paraId="3A1ECF6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133.008263</w:t>
                  </w:r>
                </w:p>
              </w:tc>
              <w:tc>
                <w:tcPr>
                  <w:tcW w:w="861" w:type="pct"/>
                  <w:vAlign w:val="center"/>
                </w:tcPr>
                <w:p w14:paraId="2625F75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45.767715</w:t>
                  </w:r>
                </w:p>
              </w:tc>
              <w:tc>
                <w:tcPr>
                  <w:tcW w:w="431" w:type="pct"/>
                  <w:vMerge w:val="continue"/>
                  <w:vAlign w:val="center"/>
                </w:tcPr>
                <w:p w14:paraId="25F8FABF">
                  <w:pPr>
                    <w:adjustRightInd w:val="0"/>
                    <w:snapToGrid w:val="0"/>
                    <w:jc w:val="center"/>
                    <w:rPr>
                      <w:rFonts w:hint="default" w:ascii="Times New Roman" w:hAnsi="Times New Roman" w:cs="Times New Roman"/>
                      <w:color w:val="auto"/>
                      <w:kern w:val="0"/>
                      <w:szCs w:val="21"/>
                      <w:highlight w:val="none"/>
                    </w:rPr>
                  </w:pPr>
                </w:p>
              </w:tc>
              <w:tc>
                <w:tcPr>
                  <w:tcW w:w="321" w:type="pct"/>
                  <w:vMerge w:val="continue"/>
                  <w:vAlign w:val="center"/>
                </w:tcPr>
                <w:p w14:paraId="2F1A2E34">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651E11DE">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6BB0AB10">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NW</w:t>
                  </w:r>
                </w:p>
              </w:tc>
              <w:tc>
                <w:tcPr>
                  <w:tcW w:w="384" w:type="pct"/>
                  <w:vAlign w:val="center"/>
                </w:tcPr>
                <w:p w14:paraId="4B90500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1.43</w:t>
                  </w:r>
                </w:p>
              </w:tc>
            </w:tr>
            <w:tr w14:paraId="123D4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60" w:type="pct"/>
                  <w:vAlign w:val="center"/>
                </w:tcPr>
                <w:p w14:paraId="1E5E300A">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庆丰学校</w:t>
                  </w:r>
                </w:p>
              </w:tc>
              <w:tc>
                <w:tcPr>
                  <w:tcW w:w="662" w:type="pct"/>
                  <w:vAlign w:val="center"/>
                </w:tcPr>
                <w:p w14:paraId="798BFB2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600</w:t>
                  </w:r>
                </w:p>
              </w:tc>
              <w:tc>
                <w:tcPr>
                  <w:tcW w:w="860" w:type="pct"/>
                  <w:vAlign w:val="center"/>
                </w:tcPr>
                <w:p w14:paraId="576F52A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133.059815</w:t>
                  </w:r>
                </w:p>
              </w:tc>
              <w:tc>
                <w:tcPr>
                  <w:tcW w:w="861" w:type="pct"/>
                  <w:vAlign w:val="center"/>
                </w:tcPr>
                <w:p w14:paraId="0DE8B8C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45.784860</w:t>
                  </w:r>
                </w:p>
              </w:tc>
              <w:tc>
                <w:tcPr>
                  <w:tcW w:w="431" w:type="pct"/>
                  <w:vAlign w:val="center"/>
                </w:tcPr>
                <w:p w14:paraId="439E0ED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文化区</w:t>
                  </w:r>
                </w:p>
              </w:tc>
              <w:tc>
                <w:tcPr>
                  <w:tcW w:w="321" w:type="pct"/>
                  <w:vMerge w:val="continue"/>
                  <w:vAlign w:val="center"/>
                </w:tcPr>
                <w:p w14:paraId="7181C5BF">
                  <w:pPr>
                    <w:adjustRightInd w:val="0"/>
                    <w:snapToGrid w:val="0"/>
                    <w:jc w:val="center"/>
                    <w:rPr>
                      <w:rFonts w:hint="default" w:ascii="Times New Roman" w:hAnsi="Times New Roman" w:cs="Times New Roman"/>
                      <w:snapToGrid w:val="0"/>
                      <w:color w:val="auto"/>
                      <w:kern w:val="0"/>
                      <w:szCs w:val="21"/>
                      <w:highlight w:val="none"/>
                    </w:rPr>
                  </w:pPr>
                </w:p>
              </w:tc>
              <w:tc>
                <w:tcPr>
                  <w:tcW w:w="314" w:type="pct"/>
                  <w:vMerge w:val="continue"/>
                  <w:vAlign w:val="center"/>
                </w:tcPr>
                <w:p w14:paraId="08264B4F">
                  <w:pPr>
                    <w:adjustRightInd w:val="0"/>
                    <w:snapToGrid w:val="0"/>
                    <w:jc w:val="center"/>
                    <w:rPr>
                      <w:rFonts w:hint="default" w:ascii="Times New Roman" w:hAnsi="Times New Roman" w:cs="Times New Roman"/>
                      <w:snapToGrid w:val="0"/>
                      <w:color w:val="auto"/>
                      <w:kern w:val="0"/>
                      <w:szCs w:val="21"/>
                      <w:highlight w:val="none"/>
                    </w:rPr>
                  </w:pPr>
                </w:p>
              </w:tc>
              <w:tc>
                <w:tcPr>
                  <w:tcW w:w="403" w:type="pct"/>
                  <w:vAlign w:val="center"/>
                </w:tcPr>
                <w:p w14:paraId="302FD95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SE</w:t>
                  </w:r>
                </w:p>
              </w:tc>
              <w:tc>
                <w:tcPr>
                  <w:tcW w:w="384" w:type="pct"/>
                  <w:vAlign w:val="center"/>
                </w:tcPr>
                <w:p w14:paraId="2843843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2.19</w:t>
                  </w:r>
                </w:p>
              </w:tc>
            </w:tr>
          </w:tbl>
          <w:p w14:paraId="0F71E473">
            <w:pPr>
              <w:pStyle w:val="101"/>
              <w:numPr>
                <w:ilvl w:val="0"/>
                <w:numId w:val="3"/>
              </w:numPr>
              <w:spacing w:line="500" w:lineRule="exact"/>
              <w:ind w:firstLine="482"/>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声环境保护目标</w:t>
            </w:r>
          </w:p>
          <w:p w14:paraId="2F16FF16">
            <w:pPr>
              <w:pStyle w:val="101"/>
              <w:spacing w:line="50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highlight w:val="none"/>
              </w:rPr>
              <w:t>建设单位租用50m范围内2处民房作为办公室使用（见附件），本项目无声环境保护目标</w:t>
            </w:r>
            <w:r>
              <w:rPr>
                <w:rFonts w:hint="default" w:ascii="Times New Roman" w:hAnsi="Times New Roman" w:cs="Times New Roman"/>
                <w:color w:val="auto"/>
                <w:sz w:val="24"/>
                <w:szCs w:val="24"/>
                <w:highlight w:val="none"/>
              </w:rPr>
              <w:t>。</w:t>
            </w:r>
          </w:p>
          <w:p w14:paraId="1E7D2BA6">
            <w:pPr>
              <w:pStyle w:val="101"/>
              <w:spacing w:line="500" w:lineRule="exact"/>
              <w:ind w:firstLine="482"/>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3、地下水环境保护目标</w:t>
            </w:r>
          </w:p>
          <w:p w14:paraId="1A8D36AA">
            <w:pPr>
              <w:pStyle w:val="63"/>
              <w:adjustRightInd w:val="0"/>
              <w:snapToGrid w:val="0"/>
              <w:spacing w:line="500" w:lineRule="exact"/>
              <w:ind w:firstLine="480"/>
              <w:rPr>
                <w:rFonts w:hint="default" w:ascii="Times New Roman" w:hAnsi="Times New Roman" w:eastAsia="宋体" w:cs="Times New Roman"/>
                <w:color w:val="auto"/>
                <w:highlight w:val="none"/>
                <w:lang w:val="en-US" w:eastAsia="zh-CN"/>
              </w:rPr>
            </w:pPr>
            <w:bookmarkStart w:id="58" w:name="_Hlk193465644"/>
            <w:r>
              <w:rPr>
                <w:rFonts w:hint="default" w:ascii="Times New Roman" w:hAnsi="Times New Roman" w:cs="Times New Roman"/>
                <w:color w:val="auto"/>
                <w:highlight w:val="none"/>
              </w:rPr>
              <w:t>厂界外500米范围内无地下水集中式饮用水水源和热水、矿泉水、温泉等特殊地下水资源。</w:t>
            </w:r>
            <w:r>
              <w:rPr>
                <w:rFonts w:hint="default" w:ascii="Times New Roman" w:hAnsi="Times New Roman" w:cs="Times New Roman"/>
                <w:color w:val="auto"/>
                <w:highlight w:val="none"/>
                <w:lang w:val="en-US" w:eastAsia="zh-CN"/>
              </w:rPr>
              <w:t>距离本项目最近地下水水源为厂区东侧3.5公里东风村地下水水源。</w:t>
            </w:r>
          </w:p>
          <w:bookmarkEnd w:id="58"/>
          <w:p w14:paraId="6F76365A">
            <w:pPr>
              <w:pStyle w:val="63"/>
              <w:adjustRightInd w:val="0"/>
              <w:snapToGrid w:val="0"/>
              <w:spacing w:line="500" w:lineRule="exact"/>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4、生态环境保护目标</w:t>
            </w:r>
          </w:p>
          <w:p w14:paraId="681A0DAF">
            <w:pPr>
              <w:pStyle w:val="63"/>
              <w:adjustRightInd w:val="0"/>
              <w:snapToGrid w:val="0"/>
              <w:spacing w:line="500" w:lineRule="exact"/>
              <w:ind w:firstLine="480"/>
              <w:rPr>
                <w:rFonts w:hint="default" w:ascii="Times New Roman" w:hAnsi="Times New Roman" w:eastAsia="仿宋" w:cs="Times New Roman"/>
                <w:color w:val="auto"/>
                <w:highlight w:val="none"/>
              </w:rPr>
            </w:pPr>
            <w:bookmarkStart w:id="59" w:name="_Hlk193465664"/>
            <w:r>
              <w:rPr>
                <w:rFonts w:hint="default" w:ascii="Times New Roman" w:hAnsi="Times New Roman" w:cs="Times New Roman"/>
                <w:snapToGrid w:val="0"/>
                <w:color w:val="auto"/>
                <w:highlight w:val="none"/>
              </w:rPr>
              <w:t>本项目占地范围内无特殊生态敏感区及重要生态敏感区等生态环境保护目标，项目所在地无国家级、省、市级自然保护区、风景名胜区、文物保护对象。</w:t>
            </w:r>
            <w:bookmarkEnd w:id="57"/>
            <w:bookmarkEnd w:id="59"/>
          </w:p>
        </w:tc>
      </w:tr>
      <w:tr w14:paraId="5A330E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80" w:type="dxa"/>
            <w:tcMar>
              <w:left w:w="28" w:type="dxa"/>
              <w:right w:w="28" w:type="dxa"/>
            </w:tcMar>
            <w:vAlign w:val="center"/>
          </w:tcPr>
          <w:p w14:paraId="0FB98EEA">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污染</w:t>
            </w:r>
          </w:p>
          <w:p w14:paraId="08B6CE4F">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物排</w:t>
            </w:r>
          </w:p>
          <w:p w14:paraId="25145386">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放控</w:t>
            </w:r>
          </w:p>
          <w:p w14:paraId="25F20A34">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制标</w:t>
            </w:r>
          </w:p>
          <w:p w14:paraId="2A3F1A41">
            <w:pPr>
              <w:jc w:val="center"/>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准</w:t>
            </w:r>
          </w:p>
        </w:tc>
        <w:tc>
          <w:tcPr>
            <w:tcW w:w="7943" w:type="dxa"/>
            <w:vAlign w:val="center"/>
          </w:tcPr>
          <w:p w14:paraId="1F9CA0A5">
            <w:pPr>
              <w:adjustRightInd w:val="0"/>
              <w:snapToGrid w:val="0"/>
              <w:spacing w:line="500" w:lineRule="exact"/>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1、废气</w:t>
            </w:r>
          </w:p>
          <w:p w14:paraId="5B5F6874">
            <w:pPr>
              <w:pStyle w:val="63"/>
              <w:spacing w:line="500" w:lineRule="exact"/>
              <w:ind w:firstLine="480"/>
              <w:rPr>
                <w:rFonts w:hint="default" w:ascii="Times New Roman" w:hAnsi="Times New Roman" w:cs="Times New Roman"/>
                <w:color w:val="auto"/>
                <w:kern w:val="2"/>
                <w:highlight w:val="none"/>
              </w:rPr>
            </w:pPr>
            <w:r>
              <w:rPr>
                <w:rFonts w:hint="default" w:ascii="Times New Roman" w:hAnsi="Times New Roman" w:cs="Times New Roman"/>
                <w:color w:val="auto"/>
                <w:highlight w:val="none"/>
              </w:rPr>
              <w:t>（1）施工期</w:t>
            </w:r>
          </w:p>
          <w:p w14:paraId="5461AB4A">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施工期粉尘排放执行《大气污染物综合排放标准》（GB16297-1996）表2中颗粒物无组织排放监控浓度限值。标准值见下表。</w:t>
            </w:r>
          </w:p>
          <w:p w14:paraId="0D93354C">
            <w:pPr>
              <w:pStyle w:val="14"/>
              <w:spacing w:line="420" w:lineRule="exact"/>
              <w:ind w:firstLine="561"/>
              <w:jc w:val="center"/>
              <w:rPr>
                <w:rFonts w:hint="default" w:ascii="Times New Roman" w:hAnsi="Times New Roman" w:eastAsia="黑体" w:cs="Times New Roman"/>
                <w:bCs/>
                <w:color w:val="auto"/>
                <w:sz w:val="24"/>
                <w:szCs w:val="24"/>
                <w:highlight w:val="none"/>
              </w:rPr>
            </w:pPr>
            <w:r>
              <w:rPr>
                <w:rFonts w:hint="default" w:ascii="Times New Roman" w:hAnsi="Times New Roman" w:eastAsia="黑体" w:cs="Times New Roman"/>
                <w:bCs/>
                <w:color w:val="auto"/>
                <w:sz w:val="24"/>
                <w:szCs w:val="24"/>
                <w:highlight w:val="none"/>
              </w:rPr>
              <w:t>表3-</w:t>
            </w:r>
            <w:r>
              <w:rPr>
                <w:rFonts w:hint="default" w:ascii="Times New Roman" w:hAnsi="Times New Roman" w:eastAsia="黑体" w:cs="Times New Roman"/>
                <w:bCs/>
                <w:color w:val="auto"/>
                <w:sz w:val="24"/>
                <w:szCs w:val="24"/>
                <w:highlight w:val="none"/>
                <w:lang w:val="en-US" w:eastAsia="zh-CN"/>
              </w:rPr>
              <w:t>9</w:t>
            </w:r>
            <w:r>
              <w:rPr>
                <w:rFonts w:hint="default" w:ascii="Times New Roman" w:hAnsi="Times New Roman" w:eastAsia="黑体" w:cs="Times New Roman"/>
                <w:bCs/>
                <w:color w:val="auto"/>
                <w:sz w:val="24"/>
                <w:szCs w:val="24"/>
                <w:highlight w:val="none"/>
              </w:rPr>
              <w:t xml:space="preserve"> 《大气污染物综合排放标准》（GB16297-1996）</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73"/>
              <w:gridCol w:w="2338"/>
              <w:gridCol w:w="3343"/>
            </w:tblGrid>
            <w:tr w14:paraId="317A3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4" w:type="dxa"/>
                  <w:vMerge w:val="restart"/>
                  <w:tcBorders>
                    <w:top w:val="single" w:color="auto" w:sz="12" w:space="0"/>
                    <w:left w:val="nil"/>
                    <w:bottom w:val="single" w:color="auto" w:sz="4" w:space="0"/>
                    <w:right w:val="single" w:color="auto" w:sz="4" w:space="0"/>
                  </w:tcBorders>
                  <w:vAlign w:val="center"/>
                </w:tcPr>
                <w:p w14:paraId="1E48203B">
                  <w:pPr>
                    <w:pStyle w:val="14"/>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5756" w:type="dxa"/>
                  <w:gridSpan w:val="2"/>
                  <w:tcBorders>
                    <w:top w:val="single" w:color="auto" w:sz="12" w:space="0"/>
                    <w:left w:val="single" w:color="auto" w:sz="4" w:space="0"/>
                    <w:bottom w:val="single" w:color="auto" w:sz="4" w:space="0"/>
                    <w:right w:val="nil"/>
                  </w:tcBorders>
                  <w:vAlign w:val="center"/>
                </w:tcPr>
                <w:p w14:paraId="7AD87EA7">
                  <w:pPr>
                    <w:pStyle w:val="14"/>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无组织排放监控浓度限值</w:t>
                  </w:r>
                </w:p>
              </w:tc>
            </w:tr>
            <w:tr w14:paraId="7448B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31" w:type="dxa"/>
                  <w:vMerge w:val="continue"/>
                  <w:tcBorders>
                    <w:top w:val="single" w:color="auto" w:sz="12" w:space="0"/>
                    <w:left w:val="nil"/>
                    <w:bottom w:val="single" w:color="auto" w:sz="4" w:space="0"/>
                    <w:right w:val="single" w:color="auto" w:sz="4" w:space="0"/>
                  </w:tcBorders>
                  <w:vAlign w:val="center"/>
                </w:tcPr>
                <w:p w14:paraId="07EFE2CA">
                  <w:pPr>
                    <w:rPr>
                      <w:rFonts w:hint="default" w:ascii="Times New Roman" w:hAnsi="Times New Roman" w:cs="Times New Roman"/>
                      <w:color w:val="auto"/>
                      <w:szCs w:val="21"/>
                      <w:highlight w:val="none"/>
                    </w:rPr>
                  </w:pPr>
                </w:p>
              </w:tc>
              <w:tc>
                <w:tcPr>
                  <w:tcW w:w="2372" w:type="dxa"/>
                  <w:tcBorders>
                    <w:top w:val="single" w:color="auto" w:sz="4" w:space="0"/>
                    <w:left w:val="single" w:color="auto" w:sz="4" w:space="0"/>
                    <w:bottom w:val="single" w:color="auto" w:sz="4" w:space="0"/>
                    <w:right w:val="single" w:color="auto" w:sz="4" w:space="0"/>
                  </w:tcBorders>
                  <w:vAlign w:val="center"/>
                </w:tcPr>
                <w:p w14:paraId="5E55ED62">
                  <w:pPr>
                    <w:pStyle w:val="14"/>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监控点</w:t>
                  </w:r>
                </w:p>
              </w:tc>
              <w:tc>
                <w:tcPr>
                  <w:tcW w:w="3384" w:type="dxa"/>
                  <w:tcBorders>
                    <w:top w:val="single" w:color="auto" w:sz="4" w:space="0"/>
                    <w:left w:val="single" w:color="auto" w:sz="4" w:space="0"/>
                    <w:bottom w:val="single" w:color="auto" w:sz="4" w:space="0"/>
                    <w:right w:val="nil"/>
                  </w:tcBorders>
                  <w:vAlign w:val="center"/>
                </w:tcPr>
                <w:p w14:paraId="55C3FD68">
                  <w:pPr>
                    <w:pStyle w:val="14"/>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浓度限值</w:t>
                  </w:r>
                </w:p>
              </w:tc>
            </w:tr>
            <w:tr w14:paraId="2CC06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204" w:type="dxa"/>
                  <w:tcBorders>
                    <w:top w:val="single" w:color="auto" w:sz="4" w:space="0"/>
                    <w:left w:val="nil"/>
                    <w:bottom w:val="single" w:color="auto" w:sz="12" w:space="0"/>
                    <w:right w:val="single" w:color="auto" w:sz="4" w:space="0"/>
                  </w:tcBorders>
                  <w:vAlign w:val="center"/>
                </w:tcPr>
                <w:p w14:paraId="74E6E2CA">
                  <w:pPr>
                    <w:pStyle w:val="14"/>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2372" w:type="dxa"/>
                  <w:tcBorders>
                    <w:top w:val="single" w:color="auto" w:sz="4" w:space="0"/>
                    <w:left w:val="single" w:color="auto" w:sz="4" w:space="0"/>
                    <w:bottom w:val="single" w:color="auto" w:sz="12" w:space="0"/>
                    <w:right w:val="single" w:color="auto" w:sz="4" w:space="0"/>
                  </w:tcBorders>
                  <w:vAlign w:val="center"/>
                </w:tcPr>
                <w:p w14:paraId="2C9A3E08">
                  <w:pPr>
                    <w:pStyle w:val="14"/>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周界外浓度最高点</w:t>
                  </w:r>
                </w:p>
              </w:tc>
              <w:tc>
                <w:tcPr>
                  <w:tcW w:w="3384" w:type="dxa"/>
                  <w:tcBorders>
                    <w:top w:val="single" w:color="auto" w:sz="4" w:space="0"/>
                    <w:left w:val="single" w:color="auto" w:sz="4" w:space="0"/>
                    <w:bottom w:val="single" w:color="auto" w:sz="12" w:space="0"/>
                    <w:right w:val="nil"/>
                  </w:tcBorders>
                  <w:vAlign w:val="center"/>
                </w:tcPr>
                <w:p w14:paraId="40278EEF">
                  <w:pPr>
                    <w:pStyle w:val="14"/>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1.0mg/m</w:t>
                  </w:r>
                  <w:r>
                    <w:rPr>
                      <w:rFonts w:hint="default" w:ascii="Times New Roman" w:hAnsi="Times New Roman" w:cs="Times New Roman"/>
                      <w:color w:val="auto"/>
                      <w:sz w:val="21"/>
                      <w:szCs w:val="21"/>
                      <w:highlight w:val="none"/>
                      <w:vertAlign w:val="superscript"/>
                    </w:rPr>
                    <w:t>3</w:t>
                  </w:r>
                </w:p>
              </w:tc>
            </w:tr>
          </w:tbl>
          <w:p w14:paraId="54554940">
            <w:pPr>
              <w:numPr>
                <w:ilvl w:val="0"/>
                <w:numId w:val="4"/>
              </w:numPr>
              <w:adjustRightInd w:val="0"/>
              <w:snapToGrid w:val="0"/>
              <w:spacing w:line="500" w:lineRule="exact"/>
              <w:ind w:left="-60" w:leftChars="0" w:firstLine="480" w:firstLineChars="0"/>
              <w:rPr>
                <w:rStyle w:val="66"/>
                <w:rFonts w:hint="default" w:ascii="Times New Roman" w:hAnsi="Times New Roman" w:cs="Times New Roman"/>
                <w:color w:val="auto"/>
                <w:highlight w:val="none"/>
              </w:rPr>
            </w:pPr>
            <w:r>
              <w:rPr>
                <w:rStyle w:val="66"/>
                <w:rFonts w:hint="default" w:ascii="Times New Roman" w:hAnsi="Times New Roman" w:cs="Times New Roman"/>
                <w:color w:val="auto"/>
                <w:highlight w:val="none"/>
              </w:rPr>
              <w:t>运营期</w:t>
            </w:r>
          </w:p>
          <w:p w14:paraId="1D2E71C4">
            <w:pPr>
              <w:adjustRightInd w:val="0"/>
              <w:snapToGrid w:val="0"/>
              <w:spacing w:line="500" w:lineRule="exact"/>
              <w:ind w:firstLine="480" w:firstLineChars="200"/>
              <w:rPr>
                <w:rFonts w:hint="default" w:ascii="Times New Roman" w:hAnsi="Times New Roman" w:cs="Times New Roman"/>
                <w:b/>
                <w:bCs/>
                <w:color w:val="auto"/>
                <w:sz w:val="24"/>
                <w:highlight w:val="none"/>
              </w:rPr>
            </w:pPr>
            <w:r>
              <w:rPr>
                <w:rStyle w:val="66"/>
                <w:rFonts w:hint="default" w:ascii="Times New Roman" w:hAnsi="Times New Roman" w:cs="Times New Roman"/>
                <w:color w:val="auto"/>
                <w:highlight w:val="none"/>
              </w:rPr>
              <w:t>运营期粉尘、苯并[a]芘、沥青烟</w:t>
            </w:r>
            <w:r>
              <w:rPr>
                <w:rStyle w:val="66"/>
                <w:rFonts w:hint="default" w:ascii="Times New Roman" w:hAnsi="Times New Roman" w:cs="Times New Roman"/>
                <w:color w:val="auto"/>
                <w:highlight w:val="none"/>
                <w:lang w:eastAsia="zh-CN"/>
              </w:rPr>
              <w:t>、</w:t>
            </w:r>
            <w:r>
              <w:rPr>
                <w:rStyle w:val="66"/>
                <w:rFonts w:hint="default" w:ascii="Times New Roman" w:hAnsi="Times New Roman" w:cs="Times New Roman"/>
                <w:color w:val="auto"/>
                <w:highlight w:val="none"/>
                <w:lang w:val="en-US" w:eastAsia="zh-CN"/>
              </w:rPr>
              <w:t>非甲烷总烃</w:t>
            </w:r>
            <w:r>
              <w:rPr>
                <w:rStyle w:val="66"/>
                <w:rFonts w:hint="default" w:ascii="Times New Roman" w:hAnsi="Times New Roman" w:cs="Times New Roman"/>
                <w:color w:val="auto"/>
                <w:highlight w:val="none"/>
              </w:rPr>
              <w:t>排</w:t>
            </w:r>
            <w:r>
              <w:rPr>
                <w:rFonts w:hint="default" w:ascii="Times New Roman" w:hAnsi="Times New Roman" w:cs="Times New Roman"/>
                <w:color w:val="auto"/>
                <w:sz w:val="24"/>
                <w:highlight w:val="none"/>
              </w:rPr>
              <w:t>放执行《大气污染物综合排放标准》（GB16297-1996）表2中二级标准和无组织排放监控浓度限值，具体标准值见下表。</w:t>
            </w:r>
          </w:p>
          <w:p w14:paraId="038208B0">
            <w:pPr>
              <w:adjustRightInd w:val="0"/>
              <w:snapToGrid w:val="0"/>
              <w:spacing w:line="400" w:lineRule="exact"/>
              <w:ind w:firstLine="480" w:firstLineChars="200"/>
              <w:jc w:val="center"/>
              <w:rPr>
                <w:rFonts w:hint="default" w:ascii="Times New Roman" w:hAnsi="Times New Roman" w:eastAsia="黑体" w:cs="Times New Roman"/>
                <w:bCs/>
                <w:color w:val="auto"/>
                <w:sz w:val="24"/>
                <w:highlight w:val="none"/>
              </w:rPr>
            </w:pPr>
            <w:r>
              <w:rPr>
                <w:rFonts w:hint="default" w:ascii="Times New Roman" w:hAnsi="Times New Roman" w:eastAsia="黑体" w:cs="Times New Roman"/>
                <w:bCs/>
                <w:color w:val="auto"/>
                <w:sz w:val="24"/>
                <w:highlight w:val="none"/>
              </w:rPr>
              <w:t>表3-</w:t>
            </w:r>
            <w:r>
              <w:rPr>
                <w:rFonts w:hint="default" w:ascii="Times New Roman" w:hAnsi="Times New Roman" w:eastAsia="黑体" w:cs="Times New Roman"/>
                <w:bCs/>
                <w:color w:val="auto"/>
                <w:sz w:val="24"/>
                <w:highlight w:val="none"/>
                <w:lang w:val="en-US" w:eastAsia="zh-CN"/>
              </w:rPr>
              <w:t>10</w:t>
            </w:r>
            <w:r>
              <w:rPr>
                <w:rFonts w:hint="default" w:ascii="Times New Roman" w:hAnsi="Times New Roman" w:eastAsia="黑体" w:cs="Times New Roman"/>
                <w:bCs/>
                <w:color w:val="auto"/>
                <w:sz w:val="24"/>
                <w:highlight w:val="none"/>
              </w:rPr>
              <w:t xml:space="preserve"> 《大气污染物综合排放标准》（GB16297-1996）</w:t>
            </w:r>
          </w:p>
          <w:tbl>
            <w:tblPr>
              <w:tblStyle w:val="30"/>
              <w:tblW w:w="793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1192"/>
              <w:gridCol w:w="969"/>
              <w:gridCol w:w="3749"/>
              <w:gridCol w:w="2029"/>
            </w:tblGrid>
            <w:tr w14:paraId="7F8178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69" w:hRule="atLeast"/>
                <w:jc w:val="center"/>
              </w:trPr>
              <w:tc>
                <w:tcPr>
                  <w:tcW w:w="1192" w:type="dxa"/>
                  <w:vAlign w:val="center"/>
                </w:tcPr>
                <w:p w14:paraId="5D5E3DA9">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6747" w:type="dxa"/>
                  <w:gridSpan w:val="3"/>
                  <w:vAlign w:val="center"/>
                </w:tcPr>
                <w:p w14:paraId="07CFF941">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排放限值</w:t>
                  </w:r>
                </w:p>
              </w:tc>
            </w:tr>
            <w:tr w14:paraId="4322D4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Merge w:val="restart"/>
                  <w:vAlign w:val="center"/>
                </w:tcPr>
                <w:p w14:paraId="001B929B">
                  <w:pPr>
                    <w:pStyle w:val="74"/>
                    <w:rPr>
                      <w:rFonts w:hint="default" w:ascii="Times New Roman" w:hAnsi="Times New Roman" w:cs="Times New Roman"/>
                      <w:color w:val="auto"/>
                      <w:szCs w:val="21"/>
                      <w:highlight w:val="none"/>
                    </w:rPr>
                  </w:pPr>
                  <w:r>
                    <w:rPr>
                      <w:rStyle w:val="66"/>
                      <w:rFonts w:hint="default" w:ascii="Times New Roman" w:hAnsi="Times New Roman" w:cs="Times New Roman"/>
                      <w:color w:val="auto"/>
                      <w:sz w:val="21"/>
                      <w:szCs w:val="21"/>
                      <w:highlight w:val="none"/>
                    </w:rPr>
                    <w:t>苯并[a]芘</w:t>
                  </w:r>
                </w:p>
              </w:tc>
              <w:tc>
                <w:tcPr>
                  <w:tcW w:w="4718" w:type="dxa"/>
                  <w:gridSpan w:val="2"/>
                  <w:vAlign w:val="center"/>
                </w:tcPr>
                <w:p w14:paraId="1D7F690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无组织</w:t>
                  </w:r>
                  <w:r>
                    <w:rPr>
                      <w:rStyle w:val="66"/>
                      <w:rFonts w:hint="default" w:ascii="Times New Roman" w:hAnsi="Times New Roman" w:cs="Times New Roman"/>
                      <w:color w:val="auto"/>
                      <w:sz w:val="21"/>
                      <w:szCs w:val="21"/>
                      <w:highlight w:val="none"/>
                    </w:rPr>
                    <w:t>苯并[a]芘</w:t>
                  </w:r>
                  <w:r>
                    <w:rPr>
                      <w:rFonts w:hint="default" w:ascii="Times New Roman" w:hAnsi="Times New Roman" w:cs="Times New Roman"/>
                      <w:color w:val="auto"/>
                      <w:szCs w:val="21"/>
                      <w:highlight w:val="none"/>
                    </w:rPr>
                    <w:t>排放监控浓度限值</w:t>
                  </w:r>
                </w:p>
              </w:tc>
              <w:tc>
                <w:tcPr>
                  <w:tcW w:w="2029" w:type="dxa"/>
                  <w:vAlign w:val="center"/>
                </w:tcPr>
                <w:p w14:paraId="42CAE47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0.008μg/m</w:t>
                  </w:r>
                  <w:r>
                    <w:rPr>
                      <w:rFonts w:hint="default" w:ascii="Times New Roman" w:hAnsi="Times New Roman" w:cs="Times New Roman"/>
                      <w:color w:val="auto"/>
                      <w:szCs w:val="21"/>
                      <w:highlight w:val="none"/>
                      <w:vertAlign w:val="superscript"/>
                    </w:rPr>
                    <w:t>3</w:t>
                  </w:r>
                </w:p>
              </w:tc>
            </w:tr>
            <w:tr w14:paraId="775CE3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Merge w:val="continue"/>
                  <w:vAlign w:val="center"/>
                </w:tcPr>
                <w:p w14:paraId="1EA5FB20">
                  <w:pPr>
                    <w:pStyle w:val="74"/>
                    <w:rPr>
                      <w:rFonts w:hint="default" w:ascii="Times New Roman" w:hAnsi="Times New Roman" w:cs="Times New Roman"/>
                      <w:color w:val="auto"/>
                      <w:szCs w:val="21"/>
                      <w:highlight w:val="none"/>
                    </w:rPr>
                  </w:pPr>
                </w:p>
              </w:tc>
              <w:tc>
                <w:tcPr>
                  <w:tcW w:w="969" w:type="dxa"/>
                  <w:vMerge w:val="restart"/>
                  <w:vAlign w:val="center"/>
                </w:tcPr>
                <w:p w14:paraId="74510005">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有组织</w:t>
                  </w:r>
                </w:p>
              </w:tc>
              <w:tc>
                <w:tcPr>
                  <w:tcW w:w="3749" w:type="dxa"/>
                  <w:vAlign w:val="center"/>
                </w:tcPr>
                <w:p w14:paraId="0A3CFB8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最高允许排放浓度（</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w:t>
                  </w:r>
                </w:p>
              </w:tc>
              <w:tc>
                <w:tcPr>
                  <w:tcW w:w="2029" w:type="dxa"/>
                  <w:vAlign w:val="center"/>
                </w:tcPr>
                <w:p w14:paraId="365BBB2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p>
              </w:tc>
            </w:tr>
            <w:tr w14:paraId="1B14A9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Merge w:val="continue"/>
                  <w:vAlign w:val="center"/>
                </w:tcPr>
                <w:p w14:paraId="14492693">
                  <w:pPr>
                    <w:pStyle w:val="74"/>
                    <w:rPr>
                      <w:rFonts w:hint="default" w:ascii="Times New Roman" w:hAnsi="Times New Roman" w:cs="Times New Roman"/>
                      <w:color w:val="auto"/>
                      <w:szCs w:val="21"/>
                      <w:highlight w:val="none"/>
                    </w:rPr>
                  </w:pPr>
                </w:p>
              </w:tc>
              <w:tc>
                <w:tcPr>
                  <w:tcW w:w="969" w:type="dxa"/>
                  <w:vMerge w:val="continue"/>
                  <w:vAlign w:val="center"/>
                </w:tcPr>
                <w:p w14:paraId="18AE00E9">
                  <w:pPr>
                    <w:pStyle w:val="74"/>
                    <w:rPr>
                      <w:rFonts w:hint="default" w:ascii="Times New Roman" w:hAnsi="Times New Roman" w:cs="Times New Roman"/>
                      <w:color w:val="auto"/>
                      <w:szCs w:val="21"/>
                      <w:highlight w:val="none"/>
                    </w:rPr>
                  </w:pPr>
                </w:p>
              </w:tc>
              <w:tc>
                <w:tcPr>
                  <w:tcW w:w="3749" w:type="dxa"/>
                  <w:vAlign w:val="center"/>
                </w:tcPr>
                <w:p w14:paraId="6BC73EC8">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最高允许排放速率（</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w:t>
                  </w:r>
                </w:p>
              </w:tc>
              <w:tc>
                <w:tcPr>
                  <w:tcW w:w="2029" w:type="dxa"/>
                  <w:vAlign w:val="center"/>
                </w:tcPr>
                <w:p w14:paraId="3ED4E767">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05</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kg/h</w:t>
                  </w:r>
                </w:p>
              </w:tc>
            </w:tr>
            <w:tr w14:paraId="741449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Merge w:val="restart"/>
                  <w:vAlign w:val="center"/>
                </w:tcPr>
                <w:p w14:paraId="2BE2ACF5">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沥青烟</w:t>
                  </w:r>
                </w:p>
              </w:tc>
              <w:tc>
                <w:tcPr>
                  <w:tcW w:w="6747" w:type="dxa"/>
                  <w:gridSpan w:val="3"/>
                  <w:vAlign w:val="center"/>
                </w:tcPr>
                <w:p w14:paraId="04AFDCC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无组织排放监控浓度限值要求“生产设备不得有明显的无组织排放存在”</w:t>
                  </w:r>
                </w:p>
              </w:tc>
            </w:tr>
            <w:tr w14:paraId="0DFB1E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Merge w:val="continue"/>
                  <w:vAlign w:val="center"/>
                </w:tcPr>
                <w:p w14:paraId="3672E264">
                  <w:pPr>
                    <w:pStyle w:val="74"/>
                    <w:rPr>
                      <w:rFonts w:hint="default" w:ascii="Times New Roman" w:hAnsi="Times New Roman" w:cs="Times New Roman"/>
                      <w:color w:val="auto"/>
                      <w:szCs w:val="21"/>
                      <w:highlight w:val="none"/>
                    </w:rPr>
                  </w:pPr>
                </w:p>
              </w:tc>
              <w:tc>
                <w:tcPr>
                  <w:tcW w:w="969" w:type="dxa"/>
                  <w:vMerge w:val="restart"/>
                  <w:vAlign w:val="center"/>
                </w:tcPr>
                <w:p w14:paraId="2D0C4F65">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有组织</w:t>
                  </w:r>
                </w:p>
              </w:tc>
              <w:tc>
                <w:tcPr>
                  <w:tcW w:w="3749" w:type="dxa"/>
                  <w:vAlign w:val="center"/>
                </w:tcPr>
                <w:p w14:paraId="4D745A0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最高允许排放浓度（</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w:t>
                  </w:r>
                </w:p>
              </w:tc>
              <w:tc>
                <w:tcPr>
                  <w:tcW w:w="2029" w:type="dxa"/>
                  <w:vAlign w:val="center"/>
                </w:tcPr>
                <w:p w14:paraId="1A03FC89">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75mg/m</w:t>
                  </w:r>
                  <w:r>
                    <w:rPr>
                      <w:rFonts w:hint="default" w:ascii="Times New Roman" w:hAnsi="Times New Roman" w:cs="Times New Roman"/>
                      <w:color w:val="auto"/>
                      <w:szCs w:val="21"/>
                      <w:highlight w:val="none"/>
                      <w:vertAlign w:val="superscript"/>
                    </w:rPr>
                    <w:t>3</w:t>
                  </w:r>
                </w:p>
              </w:tc>
            </w:tr>
            <w:tr w14:paraId="27D6B0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Merge w:val="continue"/>
                  <w:vAlign w:val="center"/>
                </w:tcPr>
                <w:p w14:paraId="59902144">
                  <w:pPr>
                    <w:pStyle w:val="74"/>
                    <w:rPr>
                      <w:rFonts w:hint="default" w:ascii="Times New Roman" w:hAnsi="Times New Roman" w:cs="Times New Roman"/>
                      <w:color w:val="auto"/>
                      <w:szCs w:val="21"/>
                      <w:highlight w:val="none"/>
                    </w:rPr>
                  </w:pPr>
                </w:p>
              </w:tc>
              <w:tc>
                <w:tcPr>
                  <w:tcW w:w="969" w:type="dxa"/>
                  <w:vMerge w:val="continue"/>
                  <w:vAlign w:val="center"/>
                </w:tcPr>
                <w:p w14:paraId="5D319424">
                  <w:pPr>
                    <w:pStyle w:val="74"/>
                    <w:rPr>
                      <w:rFonts w:hint="default" w:ascii="Times New Roman" w:hAnsi="Times New Roman" w:cs="Times New Roman"/>
                      <w:color w:val="auto"/>
                      <w:szCs w:val="21"/>
                      <w:highlight w:val="none"/>
                    </w:rPr>
                  </w:pPr>
                </w:p>
              </w:tc>
              <w:tc>
                <w:tcPr>
                  <w:tcW w:w="3749" w:type="dxa"/>
                  <w:vAlign w:val="center"/>
                </w:tcPr>
                <w:p w14:paraId="1C58036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最高允许排放速率（</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w:t>
                  </w:r>
                </w:p>
              </w:tc>
              <w:tc>
                <w:tcPr>
                  <w:tcW w:w="2029" w:type="dxa"/>
                  <w:vAlign w:val="center"/>
                </w:tcPr>
                <w:p w14:paraId="5FA64585">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18</w:t>
                  </w:r>
                  <w:r>
                    <w:rPr>
                      <w:rFonts w:hint="default" w:ascii="Times New Roman" w:hAnsi="Times New Roman" w:cs="Times New Roman"/>
                      <w:color w:val="auto"/>
                      <w:szCs w:val="21"/>
                      <w:highlight w:val="none"/>
                    </w:rPr>
                    <w:t>kg/h</w:t>
                  </w:r>
                </w:p>
              </w:tc>
            </w:tr>
            <w:tr w14:paraId="1791E0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Merge w:val="restart"/>
                  <w:shd w:val="clear" w:color="auto" w:fill="auto"/>
                  <w:vAlign w:val="center"/>
                </w:tcPr>
                <w:p w14:paraId="5004BF26">
                  <w:pPr>
                    <w:pStyle w:val="74"/>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非甲烷总烃</w:t>
                  </w:r>
                </w:p>
              </w:tc>
              <w:tc>
                <w:tcPr>
                  <w:tcW w:w="4718" w:type="dxa"/>
                  <w:gridSpan w:val="2"/>
                  <w:shd w:val="clear" w:color="auto" w:fill="auto"/>
                  <w:vAlign w:val="center"/>
                </w:tcPr>
                <w:p w14:paraId="770E458C">
                  <w:pPr>
                    <w:pStyle w:val="74"/>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厂界</w:t>
                  </w:r>
                  <w:r>
                    <w:rPr>
                      <w:rFonts w:hint="default" w:ascii="Times New Roman" w:hAnsi="Times New Roman" w:cs="Times New Roman"/>
                      <w:color w:val="auto"/>
                      <w:szCs w:val="21"/>
                      <w:highlight w:val="none"/>
                    </w:rPr>
                    <w:t>无组织</w:t>
                  </w:r>
                  <w:r>
                    <w:rPr>
                      <w:rFonts w:hint="default" w:ascii="Times New Roman" w:hAnsi="Times New Roman" w:cs="Times New Roman"/>
                      <w:color w:val="auto"/>
                      <w:szCs w:val="21"/>
                      <w:highlight w:val="none"/>
                      <w:lang w:val="en-US" w:eastAsia="zh-CN"/>
                    </w:rPr>
                    <w:t>非甲烷总烃</w:t>
                  </w:r>
                  <w:r>
                    <w:rPr>
                      <w:rFonts w:hint="default" w:ascii="Times New Roman" w:hAnsi="Times New Roman" w:cs="Times New Roman"/>
                      <w:color w:val="auto"/>
                      <w:szCs w:val="21"/>
                      <w:highlight w:val="none"/>
                    </w:rPr>
                    <w:t>排放监控浓度限值</w:t>
                  </w:r>
                </w:p>
              </w:tc>
              <w:tc>
                <w:tcPr>
                  <w:tcW w:w="2029" w:type="dxa"/>
                  <w:shd w:val="clear" w:color="auto" w:fill="auto"/>
                  <w:vAlign w:val="center"/>
                </w:tcPr>
                <w:p w14:paraId="78ED20BE">
                  <w:pPr>
                    <w:pStyle w:val="74"/>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4.0</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p>
              </w:tc>
            </w:tr>
            <w:tr w14:paraId="565FB1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Merge w:val="continue"/>
                  <w:vAlign w:val="center"/>
                </w:tcPr>
                <w:p w14:paraId="78BF8D46">
                  <w:pPr>
                    <w:pStyle w:val="74"/>
                    <w:rPr>
                      <w:rFonts w:hint="default" w:ascii="Times New Roman" w:hAnsi="Times New Roman" w:cs="Times New Roman"/>
                      <w:color w:val="auto"/>
                      <w:szCs w:val="21"/>
                      <w:highlight w:val="none"/>
                    </w:rPr>
                  </w:pPr>
                </w:p>
              </w:tc>
              <w:tc>
                <w:tcPr>
                  <w:tcW w:w="969" w:type="dxa"/>
                  <w:vMerge w:val="restart"/>
                  <w:vAlign w:val="center"/>
                </w:tcPr>
                <w:p w14:paraId="73BE3C56">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有组织</w:t>
                  </w:r>
                </w:p>
              </w:tc>
              <w:tc>
                <w:tcPr>
                  <w:tcW w:w="3749" w:type="dxa"/>
                  <w:vAlign w:val="center"/>
                </w:tcPr>
                <w:p w14:paraId="0341B6CE">
                  <w:pPr>
                    <w:pStyle w:val="74"/>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最高允许排放浓度（</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w:t>
                  </w:r>
                </w:p>
              </w:tc>
              <w:tc>
                <w:tcPr>
                  <w:tcW w:w="2029" w:type="dxa"/>
                  <w:vAlign w:val="center"/>
                </w:tcPr>
                <w:p w14:paraId="408D71CE">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120</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p>
              </w:tc>
            </w:tr>
            <w:tr w14:paraId="50E6B0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Merge w:val="continue"/>
                  <w:vAlign w:val="center"/>
                </w:tcPr>
                <w:p w14:paraId="4CF5CB36">
                  <w:pPr>
                    <w:pStyle w:val="74"/>
                    <w:rPr>
                      <w:rFonts w:hint="default" w:ascii="Times New Roman" w:hAnsi="Times New Roman" w:cs="Times New Roman"/>
                      <w:color w:val="auto"/>
                      <w:szCs w:val="21"/>
                      <w:highlight w:val="none"/>
                    </w:rPr>
                  </w:pPr>
                </w:p>
              </w:tc>
              <w:tc>
                <w:tcPr>
                  <w:tcW w:w="969" w:type="dxa"/>
                  <w:vMerge w:val="continue"/>
                  <w:vAlign w:val="center"/>
                </w:tcPr>
                <w:p w14:paraId="161A180E">
                  <w:pPr>
                    <w:pStyle w:val="74"/>
                    <w:rPr>
                      <w:rFonts w:hint="default" w:ascii="Times New Roman" w:hAnsi="Times New Roman" w:cs="Times New Roman"/>
                      <w:color w:val="auto"/>
                      <w:szCs w:val="21"/>
                      <w:highlight w:val="none"/>
                    </w:rPr>
                  </w:pPr>
                </w:p>
              </w:tc>
              <w:tc>
                <w:tcPr>
                  <w:tcW w:w="3749" w:type="dxa"/>
                  <w:vAlign w:val="center"/>
                </w:tcPr>
                <w:p w14:paraId="09E99086">
                  <w:pPr>
                    <w:pStyle w:val="74"/>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最高允许排放速率（</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w:t>
                  </w:r>
                </w:p>
              </w:tc>
              <w:tc>
                <w:tcPr>
                  <w:tcW w:w="2029" w:type="dxa"/>
                  <w:vAlign w:val="center"/>
                </w:tcPr>
                <w:p w14:paraId="399424E3">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10kg/h</w:t>
                  </w:r>
                </w:p>
              </w:tc>
            </w:tr>
            <w:tr w14:paraId="025570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55" w:hRule="atLeast"/>
                <w:jc w:val="center"/>
              </w:trPr>
              <w:tc>
                <w:tcPr>
                  <w:tcW w:w="1192" w:type="dxa"/>
                  <w:vAlign w:val="center"/>
                </w:tcPr>
                <w:p w14:paraId="4AF4DB07">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颗粒物</w:t>
                  </w:r>
                </w:p>
              </w:tc>
              <w:tc>
                <w:tcPr>
                  <w:tcW w:w="4718" w:type="dxa"/>
                  <w:gridSpan w:val="2"/>
                  <w:vAlign w:val="center"/>
                </w:tcPr>
                <w:p w14:paraId="3D7C0067">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厂界</w:t>
                  </w:r>
                  <w:r>
                    <w:rPr>
                      <w:rFonts w:hint="default" w:ascii="Times New Roman" w:hAnsi="Times New Roman" w:cs="Times New Roman"/>
                      <w:color w:val="auto"/>
                      <w:szCs w:val="21"/>
                      <w:highlight w:val="none"/>
                    </w:rPr>
                    <w:t>无组织粉尘排放监控浓度限值</w:t>
                  </w:r>
                </w:p>
              </w:tc>
              <w:tc>
                <w:tcPr>
                  <w:tcW w:w="2029" w:type="dxa"/>
                  <w:vAlign w:val="center"/>
                </w:tcPr>
                <w:p w14:paraId="37EC5AE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1.0mg/m</w:t>
                  </w:r>
                  <w:r>
                    <w:rPr>
                      <w:rFonts w:hint="default" w:ascii="Times New Roman" w:hAnsi="Times New Roman" w:cs="Times New Roman"/>
                      <w:color w:val="auto"/>
                      <w:szCs w:val="21"/>
                      <w:highlight w:val="none"/>
                      <w:vertAlign w:val="superscript"/>
                    </w:rPr>
                    <w:t>3</w:t>
                  </w:r>
                </w:p>
              </w:tc>
            </w:tr>
            <w:tr w14:paraId="126BFB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84" w:hRule="atLeast"/>
                <w:jc w:val="center"/>
              </w:trPr>
              <w:tc>
                <w:tcPr>
                  <w:tcW w:w="7939" w:type="dxa"/>
                  <w:gridSpan w:val="4"/>
                  <w:vAlign w:val="center"/>
                </w:tcPr>
                <w:p w14:paraId="6FDE201C">
                  <w:pPr>
                    <w:pStyle w:val="74"/>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注：排气筒高度为15m。</w:t>
                  </w:r>
                </w:p>
              </w:tc>
            </w:tr>
          </w:tbl>
          <w:p w14:paraId="64C89E2C">
            <w:pPr>
              <w:adjustRightInd w:val="0"/>
              <w:snapToGrid w:val="0"/>
              <w:spacing w:line="500" w:lineRule="exact"/>
              <w:ind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厂区内非甲烷总烃执行《挥发性有机物无组织排放控制标准》（GB37822-2019）附录A表A1中VOCs无组织排放限值。具体标准值见下表</w:t>
            </w:r>
            <w:r>
              <w:rPr>
                <w:rFonts w:hint="default" w:ascii="Times New Roman" w:hAnsi="Times New Roman" w:cs="Times New Roman"/>
                <w:bCs/>
                <w:color w:val="auto"/>
                <w:sz w:val="24"/>
                <w:highlight w:val="none"/>
                <w:lang w:eastAsia="zh-CN"/>
              </w:rPr>
              <w:t>。</w:t>
            </w:r>
          </w:p>
          <w:p w14:paraId="231DCB96">
            <w:pPr>
              <w:adjustRightInd w:val="0"/>
              <w:snapToGrid w:val="0"/>
              <w:spacing w:line="400" w:lineRule="exact"/>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表3-</w:t>
            </w:r>
            <w:r>
              <w:rPr>
                <w:rFonts w:hint="default" w:ascii="Times New Roman" w:hAnsi="Times New Roman" w:eastAsia="黑体" w:cs="Times New Roman"/>
                <w:color w:val="auto"/>
                <w:sz w:val="24"/>
                <w:highlight w:val="none"/>
                <w:lang w:val="en-US" w:eastAsia="zh-CN"/>
              </w:rPr>
              <w:t>11</w:t>
            </w:r>
            <w:r>
              <w:rPr>
                <w:rFonts w:hint="default" w:ascii="Times New Roman" w:hAnsi="Times New Roman" w:eastAsia="黑体" w:cs="Times New Roman"/>
                <w:color w:val="auto"/>
                <w:sz w:val="24"/>
                <w:highlight w:val="none"/>
              </w:rPr>
              <w:t xml:space="preserve"> 《挥发性有机物无组织排放控制标准》（GB37822-2019）</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69"/>
              <w:gridCol w:w="2194"/>
              <w:gridCol w:w="2691"/>
            </w:tblGrid>
            <w:tr w14:paraId="77929D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90" w:type="pct"/>
                  <w:vAlign w:val="center"/>
                </w:tcPr>
                <w:p w14:paraId="7F9F331C">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1397" w:type="pct"/>
                  <w:vAlign w:val="center"/>
                </w:tcPr>
                <w:p w14:paraId="11219CB8">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排放限值</w:t>
                  </w:r>
                </w:p>
              </w:tc>
              <w:tc>
                <w:tcPr>
                  <w:tcW w:w="1713" w:type="pct"/>
                  <w:vAlign w:val="center"/>
                </w:tcPr>
                <w:p w14:paraId="169807D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限值含义</w:t>
                  </w:r>
                </w:p>
              </w:tc>
            </w:tr>
            <w:tr w14:paraId="79157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90" w:type="pct"/>
                  <w:vMerge w:val="restart"/>
                  <w:vAlign w:val="center"/>
                </w:tcPr>
                <w:p w14:paraId="309BA346">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HMHC</w:t>
                  </w:r>
                </w:p>
              </w:tc>
              <w:tc>
                <w:tcPr>
                  <w:tcW w:w="1397" w:type="pct"/>
                  <w:vAlign w:val="center"/>
                </w:tcPr>
                <w:p w14:paraId="04B050A7">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10mg/m</w:t>
                  </w:r>
                  <w:r>
                    <w:rPr>
                      <w:rFonts w:hint="default" w:ascii="Times New Roman" w:hAnsi="Times New Roman" w:cs="Times New Roman"/>
                      <w:color w:val="auto"/>
                      <w:szCs w:val="21"/>
                      <w:highlight w:val="none"/>
                      <w:vertAlign w:val="superscript"/>
                    </w:rPr>
                    <w:t>3</w:t>
                  </w:r>
                </w:p>
              </w:tc>
              <w:tc>
                <w:tcPr>
                  <w:tcW w:w="1713" w:type="pct"/>
                  <w:vAlign w:val="center"/>
                </w:tcPr>
                <w:p w14:paraId="6324965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监控点处1h平均浓度值</w:t>
                  </w:r>
                </w:p>
              </w:tc>
            </w:tr>
            <w:tr w14:paraId="2341C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90" w:type="pct"/>
                  <w:vMerge w:val="continue"/>
                  <w:vAlign w:val="center"/>
                </w:tcPr>
                <w:p w14:paraId="0AE05DA3">
                  <w:pPr>
                    <w:pStyle w:val="74"/>
                    <w:rPr>
                      <w:rFonts w:hint="default" w:ascii="Times New Roman" w:hAnsi="Times New Roman" w:cs="Times New Roman"/>
                      <w:color w:val="auto"/>
                      <w:szCs w:val="21"/>
                      <w:highlight w:val="none"/>
                    </w:rPr>
                  </w:pPr>
                </w:p>
              </w:tc>
              <w:tc>
                <w:tcPr>
                  <w:tcW w:w="1397" w:type="pct"/>
                  <w:vAlign w:val="center"/>
                </w:tcPr>
                <w:p w14:paraId="6090911C">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30mg/m</w:t>
                  </w:r>
                  <w:r>
                    <w:rPr>
                      <w:rFonts w:hint="default" w:ascii="Times New Roman" w:hAnsi="Times New Roman" w:cs="Times New Roman"/>
                      <w:color w:val="auto"/>
                      <w:szCs w:val="21"/>
                      <w:highlight w:val="none"/>
                      <w:vertAlign w:val="superscript"/>
                    </w:rPr>
                    <w:t>3</w:t>
                  </w:r>
                </w:p>
              </w:tc>
              <w:tc>
                <w:tcPr>
                  <w:tcW w:w="1713" w:type="pct"/>
                  <w:vAlign w:val="center"/>
                </w:tcPr>
                <w:p w14:paraId="7DD38E3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监控点处任意一次浓度值</w:t>
                  </w:r>
                </w:p>
              </w:tc>
            </w:tr>
          </w:tbl>
          <w:p w14:paraId="211DA871">
            <w:pPr>
              <w:adjustRightInd w:val="0"/>
              <w:snapToGrid w:val="0"/>
              <w:spacing w:line="500" w:lineRule="exact"/>
              <w:ind w:firstLine="480" w:firstLineChars="200"/>
              <w:rPr>
                <w:rFonts w:hint="default" w:ascii="Times New Roman" w:hAnsi="Times New Roman" w:cs="Times New Roman"/>
                <w:b/>
                <w:bCs/>
                <w:color w:val="auto"/>
                <w:highlight w:val="none"/>
              </w:rPr>
            </w:pPr>
            <w:r>
              <w:rPr>
                <w:rFonts w:hint="default" w:ascii="Times New Roman" w:hAnsi="Times New Roman" w:cs="Times New Roman"/>
                <w:bCs/>
                <w:color w:val="auto"/>
                <w:sz w:val="24"/>
                <w:highlight w:val="none"/>
              </w:rPr>
              <w:t>导热油炉废气参照执行《锅炉大气污染物排放标准》（GB13271-2014）表2新建锅炉大气污染物排放标准浓度限值中燃油锅炉排放限值，具体标准值见下表。</w:t>
            </w:r>
          </w:p>
          <w:p w14:paraId="38AA5873">
            <w:pPr>
              <w:adjustRightInd w:val="0"/>
              <w:snapToGrid w:val="0"/>
              <w:spacing w:line="400" w:lineRule="exact"/>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表3-</w:t>
            </w:r>
            <w:r>
              <w:rPr>
                <w:rFonts w:hint="default" w:ascii="Times New Roman" w:hAnsi="Times New Roman" w:eastAsia="黑体" w:cs="Times New Roman"/>
                <w:color w:val="auto"/>
                <w:sz w:val="24"/>
                <w:highlight w:val="none"/>
                <w:lang w:val="en-US" w:eastAsia="zh-CN"/>
              </w:rPr>
              <w:t>12</w:t>
            </w:r>
            <w:r>
              <w:rPr>
                <w:rFonts w:hint="default" w:ascii="Times New Roman" w:hAnsi="Times New Roman" w:eastAsia="黑体" w:cs="Times New Roman"/>
                <w:color w:val="auto"/>
                <w:sz w:val="24"/>
                <w:highlight w:val="none"/>
              </w:rPr>
              <w:t xml:space="preserve"> 《锅炉大气污染物排放标准》（GB13271-2014）</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66"/>
              <w:gridCol w:w="1397"/>
              <w:gridCol w:w="2691"/>
            </w:tblGrid>
            <w:tr w14:paraId="2F98B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pct"/>
                  <w:vAlign w:val="center"/>
                </w:tcPr>
                <w:p w14:paraId="76F535A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889" w:type="pct"/>
                  <w:vAlign w:val="center"/>
                </w:tcPr>
                <w:p w14:paraId="6546881B">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二级</w:t>
                  </w:r>
                </w:p>
              </w:tc>
              <w:tc>
                <w:tcPr>
                  <w:tcW w:w="1713" w:type="pct"/>
                  <w:vAlign w:val="center"/>
                </w:tcPr>
                <w:p w14:paraId="6F1D3AC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污染物排放监控位置</w:t>
                  </w:r>
                </w:p>
              </w:tc>
            </w:tr>
            <w:tr w14:paraId="15DD1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pct"/>
                  <w:vAlign w:val="center"/>
                </w:tcPr>
                <w:p w14:paraId="1BEEA8DC">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烟尘</w:t>
                  </w:r>
                </w:p>
              </w:tc>
              <w:tc>
                <w:tcPr>
                  <w:tcW w:w="889" w:type="pct"/>
                  <w:vAlign w:val="center"/>
                </w:tcPr>
                <w:p w14:paraId="3DBD9DD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30mg/m</w:t>
                  </w:r>
                  <w:r>
                    <w:rPr>
                      <w:rFonts w:hint="default" w:ascii="Times New Roman" w:hAnsi="Times New Roman" w:cs="Times New Roman"/>
                      <w:color w:val="auto"/>
                      <w:szCs w:val="21"/>
                      <w:highlight w:val="none"/>
                      <w:vertAlign w:val="superscript"/>
                    </w:rPr>
                    <w:t>3</w:t>
                  </w:r>
                </w:p>
              </w:tc>
              <w:tc>
                <w:tcPr>
                  <w:tcW w:w="1713" w:type="pct"/>
                  <w:vMerge w:val="restart"/>
                  <w:vAlign w:val="center"/>
                </w:tcPr>
                <w:p w14:paraId="566B91E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烟囱</w:t>
                  </w:r>
                </w:p>
              </w:tc>
            </w:tr>
            <w:tr w14:paraId="042461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pct"/>
                  <w:vAlign w:val="center"/>
                </w:tcPr>
                <w:p w14:paraId="7D764C36">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二氧化硫</w:t>
                  </w:r>
                </w:p>
              </w:tc>
              <w:tc>
                <w:tcPr>
                  <w:tcW w:w="889" w:type="pct"/>
                  <w:vAlign w:val="center"/>
                </w:tcPr>
                <w:p w14:paraId="62E5673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200mg/m</w:t>
                  </w:r>
                  <w:r>
                    <w:rPr>
                      <w:rFonts w:hint="default" w:ascii="Times New Roman" w:hAnsi="Times New Roman" w:cs="Times New Roman"/>
                      <w:color w:val="auto"/>
                      <w:szCs w:val="21"/>
                      <w:highlight w:val="none"/>
                      <w:vertAlign w:val="superscript"/>
                    </w:rPr>
                    <w:t>3</w:t>
                  </w:r>
                </w:p>
              </w:tc>
              <w:tc>
                <w:tcPr>
                  <w:tcW w:w="1713" w:type="pct"/>
                  <w:vMerge w:val="continue"/>
                  <w:vAlign w:val="center"/>
                </w:tcPr>
                <w:p w14:paraId="6A755224">
                  <w:pPr>
                    <w:pStyle w:val="74"/>
                    <w:rPr>
                      <w:rFonts w:hint="default" w:ascii="Times New Roman" w:hAnsi="Times New Roman" w:cs="Times New Roman"/>
                      <w:color w:val="auto"/>
                      <w:szCs w:val="21"/>
                      <w:highlight w:val="none"/>
                    </w:rPr>
                  </w:pPr>
                </w:p>
              </w:tc>
            </w:tr>
            <w:tr w14:paraId="0254A2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pct"/>
                  <w:vAlign w:val="center"/>
                </w:tcPr>
                <w:p w14:paraId="2580B319">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氮氧化物</w:t>
                  </w:r>
                </w:p>
              </w:tc>
              <w:tc>
                <w:tcPr>
                  <w:tcW w:w="889" w:type="pct"/>
                  <w:vAlign w:val="center"/>
                </w:tcPr>
                <w:p w14:paraId="0102F5B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250mg/m</w:t>
                  </w:r>
                  <w:r>
                    <w:rPr>
                      <w:rFonts w:hint="default" w:ascii="Times New Roman" w:hAnsi="Times New Roman" w:cs="Times New Roman"/>
                      <w:color w:val="auto"/>
                      <w:szCs w:val="21"/>
                      <w:highlight w:val="none"/>
                      <w:vertAlign w:val="superscript"/>
                    </w:rPr>
                    <w:t>3</w:t>
                  </w:r>
                </w:p>
              </w:tc>
              <w:tc>
                <w:tcPr>
                  <w:tcW w:w="1713" w:type="pct"/>
                  <w:vMerge w:val="continue"/>
                  <w:vAlign w:val="center"/>
                </w:tcPr>
                <w:p w14:paraId="4735757C">
                  <w:pPr>
                    <w:pStyle w:val="74"/>
                    <w:rPr>
                      <w:rFonts w:hint="default" w:ascii="Times New Roman" w:hAnsi="Times New Roman" w:cs="Times New Roman"/>
                      <w:color w:val="auto"/>
                      <w:szCs w:val="21"/>
                      <w:highlight w:val="none"/>
                    </w:rPr>
                  </w:pPr>
                </w:p>
              </w:tc>
            </w:tr>
            <w:tr w14:paraId="22D48E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pct"/>
                  <w:vAlign w:val="center"/>
                </w:tcPr>
                <w:p w14:paraId="093057E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烟气黑度（林格曼黑度，级）</w:t>
                  </w:r>
                </w:p>
              </w:tc>
              <w:tc>
                <w:tcPr>
                  <w:tcW w:w="889" w:type="pct"/>
                  <w:vAlign w:val="center"/>
                </w:tcPr>
                <w:p w14:paraId="04411C5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713" w:type="pct"/>
                  <w:vAlign w:val="center"/>
                </w:tcPr>
                <w:p w14:paraId="6715019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烟囱排放口</w:t>
                  </w:r>
                </w:p>
              </w:tc>
            </w:tr>
          </w:tbl>
          <w:p w14:paraId="611BB1B9">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燃烧器为一种将燃料与空气按比例混合后点燃，并将热能稳定输出的设备，燃烧烟气执行《工业炉窑 大气污染物排放标准》（GB 9078-1996）；根据《排污许可证申请与核发技术规范 石墨及其他非金属矿物制品制造》（HJ1119—2020），燃烧器执行更严格的排放标准《大气污染物综合排放标准》(GB16297-1996)表2中二级标准；本项目筛分工序废气执行</w:t>
            </w:r>
            <w:r>
              <w:rPr>
                <w:rFonts w:hint="default" w:ascii="Times New Roman" w:hAnsi="Times New Roman" w:cs="Times New Roman"/>
                <w:color w:val="auto"/>
                <w:sz w:val="24"/>
                <w:highlight w:val="none"/>
              </w:rPr>
              <w:t>《大气污染物综合排放标准》（GB16297-1996）表2中二级标准要求</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燃烧废气与筛分工序废气由同一根排气筒（DA001）排放，</w:t>
            </w:r>
            <w:r>
              <w:rPr>
                <w:rFonts w:hint="default" w:ascii="Times New Roman" w:hAnsi="Times New Roman" w:cs="Times New Roman"/>
                <w:b/>
                <w:bCs/>
                <w:color w:val="auto"/>
                <w:sz w:val="24"/>
                <w:highlight w:val="none"/>
                <w:lang w:val="en-US" w:eastAsia="zh-CN"/>
              </w:rPr>
              <w:t>故本项目燃烧器废气及筛分工序废气均执行</w:t>
            </w:r>
            <w:r>
              <w:rPr>
                <w:rFonts w:hint="default" w:ascii="Times New Roman" w:hAnsi="Times New Roman" w:cs="Times New Roman"/>
                <w:b/>
                <w:bCs/>
                <w:color w:val="auto"/>
                <w:sz w:val="24"/>
                <w:highlight w:val="none"/>
              </w:rPr>
              <w:t>《大气污染物综合排放标准》（GB16297-1996）表2中二级标准要求</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具体标准值见下表。</w:t>
            </w:r>
          </w:p>
          <w:p w14:paraId="3C7AEC0D">
            <w:pPr>
              <w:adjustRightInd w:val="0"/>
              <w:snapToGrid w:val="0"/>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sz w:val="24"/>
                <w:highlight w:val="none"/>
              </w:rPr>
              <w:t>表3-</w:t>
            </w:r>
            <w:r>
              <w:rPr>
                <w:rFonts w:hint="default" w:ascii="Times New Roman" w:hAnsi="Times New Roman" w:eastAsia="黑体" w:cs="Times New Roman"/>
                <w:color w:val="auto"/>
                <w:sz w:val="24"/>
                <w:highlight w:val="none"/>
                <w:lang w:val="en-US" w:eastAsia="zh-CN"/>
              </w:rPr>
              <w:t>13</w:t>
            </w:r>
            <w:r>
              <w:rPr>
                <w:rFonts w:hint="default" w:ascii="Times New Roman" w:hAnsi="Times New Roman" w:eastAsia="黑体" w:cs="Times New Roman"/>
                <w:color w:val="auto"/>
                <w:sz w:val="24"/>
                <w:highlight w:val="none"/>
              </w:rPr>
              <w:t xml:space="preserve"> 《大气污染物综合排放标准》（GB16297-1996）</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65"/>
              <w:gridCol w:w="4089"/>
            </w:tblGrid>
            <w:tr w14:paraId="650E1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pct"/>
                  <w:vAlign w:val="center"/>
                </w:tcPr>
                <w:p w14:paraId="29AA9FA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2602" w:type="pct"/>
                  <w:vAlign w:val="center"/>
                </w:tcPr>
                <w:p w14:paraId="54C057B1">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排放限值</w:t>
                  </w:r>
                </w:p>
              </w:tc>
            </w:tr>
            <w:tr w14:paraId="38EFC8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pct"/>
                  <w:vAlign w:val="center"/>
                </w:tcPr>
                <w:p w14:paraId="2BE9701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2602" w:type="pct"/>
                  <w:vAlign w:val="center"/>
                </w:tcPr>
                <w:p w14:paraId="08EB310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120mg/m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3.5</w:t>
                  </w:r>
                  <w:r>
                    <w:rPr>
                      <w:rFonts w:hint="default" w:ascii="Times New Roman" w:hAnsi="Times New Roman" w:cs="Times New Roman"/>
                      <w:color w:val="auto"/>
                      <w:szCs w:val="21"/>
                      <w:highlight w:val="none"/>
                    </w:rPr>
                    <w:t>kg/h</w:t>
                  </w:r>
                </w:p>
              </w:tc>
            </w:tr>
            <w:tr w14:paraId="7E32F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pct"/>
                  <w:vAlign w:val="center"/>
                </w:tcPr>
                <w:p w14:paraId="2CDB45A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二氧化硫</w:t>
                  </w:r>
                </w:p>
              </w:tc>
              <w:tc>
                <w:tcPr>
                  <w:tcW w:w="2602" w:type="pct"/>
                  <w:vAlign w:val="center"/>
                </w:tcPr>
                <w:p w14:paraId="1E012989">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550mg/m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2.6</w:t>
                  </w:r>
                  <w:r>
                    <w:rPr>
                      <w:rFonts w:hint="default" w:ascii="Times New Roman" w:hAnsi="Times New Roman" w:cs="Times New Roman"/>
                      <w:color w:val="auto"/>
                      <w:szCs w:val="21"/>
                      <w:highlight w:val="none"/>
                    </w:rPr>
                    <w:t>kg/h</w:t>
                  </w:r>
                </w:p>
              </w:tc>
            </w:tr>
            <w:tr w14:paraId="41E2D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pct"/>
                  <w:vAlign w:val="center"/>
                </w:tcPr>
                <w:p w14:paraId="1929A47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氮氧化物</w:t>
                  </w:r>
                </w:p>
              </w:tc>
              <w:tc>
                <w:tcPr>
                  <w:tcW w:w="2602" w:type="pct"/>
                  <w:vAlign w:val="center"/>
                </w:tcPr>
                <w:p w14:paraId="7E57189F">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240mg/m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0.77</w:t>
                  </w:r>
                  <w:r>
                    <w:rPr>
                      <w:rFonts w:hint="default" w:ascii="Times New Roman" w:hAnsi="Times New Roman" w:cs="Times New Roman"/>
                      <w:color w:val="auto"/>
                      <w:szCs w:val="21"/>
                      <w:highlight w:val="none"/>
                    </w:rPr>
                    <w:t>kg/h</w:t>
                  </w:r>
                </w:p>
              </w:tc>
            </w:tr>
            <w:tr w14:paraId="6F1917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2"/>
                  <w:vAlign w:val="center"/>
                </w:tcPr>
                <w:p w14:paraId="0CF0801B">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注：排气筒高度为15m。</w:t>
                  </w:r>
                </w:p>
              </w:tc>
            </w:tr>
          </w:tbl>
          <w:p w14:paraId="25D344D9">
            <w:pPr>
              <w:adjustRightInd w:val="0"/>
              <w:snapToGrid w:val="0"/>
              <w:ind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2、噪声</w:t>
            </w:r>
          </w:p>
          <w:p w14:paraId="7E8A7F01">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（1）施工期</w:t>
            </w:r>
          </w:p>
          <w:p w14:paraId="1EAD3925">
            <w:pPr>
              <w:pStyle w:val="111"/>
              <w:adjustRightInd w:val="0"/>
              <w:snapToGrid w:val="0"/>
              <w:spacing w:line="500" w:lineRule="exact"/>
              <w:ind w:firstLine="480" w:firstLineChars="200"/>
              <w:jc w:val="both"/>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施工期场界噪声执行《建筑施工场界环境噪声排放标准》（GB12523-2011）。排放标准值见下表。</w:t>
            </w:r>
          </w:p>
          <w:p w14:paraId="4890A102">
            <w:pPr>
              <w:pStyle w:val="110"/>
              <w:spacing w:line="4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 xml:space="preserve">4 </w:t>
            </w:r>
            <w:r>
              <w:rPr>
                <w:rFonts w:hint="default" w:ascii="Times New Roman" w:hAnsi="Times New Roman" w:cs="Times New Roman"/>
                <w:color w:val="auto"/>
                <w:highlight w:val="none"/>
              </w:rPr>
              <w:t>《建筑施工场界环境噪声排放标准》（GB12523-2011）</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27"/>
              <w:gridCol w:w="3927"/>
            </w:tblGrid>
            <w:tr w14:paraId="7E1BB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2"/>
                  <w:vAlign w:val="center"/>
                </w:tcPr>
                <w:p w14:paraId="4B8488FC">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标准值dB（A）</w:t>
                  </w:r>
                </w:p>
              </w:tc>
            </w:tr>
            <w:tr w14:paraId="2811E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14:paraId="43A841F7">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2500" w:type="pct"/>
                  <w:vAlign w:val="center"/>
                </w:tcPr>
                <w:p w14:paraId="210626C2">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r>
            <w:tr w14:paraId="000529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14:paraId="159958AE">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2500" w:type="pct"/>
                  <w:vAlign w:val="center"/>
                </w:tcPr>
                <w:p w14:paraId="3D142D9F">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55</w:t>
                  </w:r>
                </w:p>
              </w:tc>
            </w:tr>
          </w:tbl>
          <w:p w14:paraId="1529C7E5">
            <w:pPr>
              <w:adjustRightInd w:val="0"/>
              <w:snapToGrid w:val="0"/>
              <w:spacing w:line="500" w:lineRule="exact"/>
              <w:ind w:left="420" w:left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（2）运营期</w:t>
            </w:r>
          </w:p>
          <w:p w14:paraId="365CA52B">
            <w:pPr>
              <w:adjustRightInd w:val="0"/>
              <w:snapToGrid w:val="0"/>
              <w:spacing w:line="500" w:lineRule="exact"/>
              <w:ind w:firstLine="480" w:firstLineChars="200"/>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本项目厂界噪声执行《工业企业厂界环境噪声排放标准》（GB12348-2008）2类标准要求。标准值见下表。</w:t>
            </w:r>
          </w:p>
          <w:p w14:paraId="18EE6473">
            <w:pPr>
              <w:adjustRightInd w:val="0"/>
              <w:snapToGrid w:val="0"/>
              <w:jc w:val="center"/>
              <w:rPr>
                <w:rFonts w:hint="default" w:ascii="Times New Roman" w:hAnsi="Times New Roman" w:eastAsia="黑体" w:cs="Times New Roman"/>
                <w:color w:val="auto"/>
                <w:sz w:val="24"/>
                <w:highlight w:val="none"/>
              </w:rPr>
            </w:pPr>
            <w:bookmarkStart w:id="60" w:name="_Ref340733959"/>
            <w:bookmarkStart w:id="61" w:name="_Toc111800828"/>
          </w:p>
          <w:p w14:paraId="18714AA5">
            <w:pPr>
              <w:adjustRightInd w:val="0"/>
              <w:snapToGrid w:val="0"/>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w:t>
            </w:r>
            <w:bookmarkEnd w:id="60"/>
            <w:r>
              <w:rPr>
                <w:rFonts w:hint="default" w:ascii="Times New Roman" w:hAnsi="Times New Roman" w:eastAsia="黑体" w:cs="Times New Roman"/>
                <w:color w:val="auto"/>
                <w:sz w:val="24"/>
                <w:highlight w:val="none"/>
              </w:rPr>
              <w:t>3-</w:t>
            </w:r>
            <w:bookmarkEnd w:id="61"/>
            <w:r>
              <w:rPr>
                <w:rFonts w:hint="default" w:ascii="Times New Roman" w:hAnsi="Times New Roman" w:eastAsia="黑体" w:cs="Times New Roman"/>
                <w:color w:val="auto"/>
                <w:sz w:val="24"/>
                <w:highlight w:val="none"/>
              </w:rPr>
              <w:t>1</w:t>
            </w:r>
            <w:r>
              <w:rPr>
                <w:rFonts w:hint="default" w:ascii="Times New Roman" w:hAnsi="Times New Roman" w:eastAsia="黑体" w:cs="Times New Roman"/>
                <w:color w:val="auto"/>
                <w:sz w:val="24"/>
                <w:highlight w:val="none"/>
                <w:lang w:val="en-US" w:eastAsia="zh-CN"/>
              </w:rPr>
              <w:t>5</w:t>
            </w:r>
            <w:r>
              <w:rPr>
                <w:rFonts w:hint="default" w:ascii="Times New Roman" w:hAnsi="Times New Roman" w:eastAsia="黑体" w:cs="Times New Roman"/>
                <w:color w:val="auto"/>
                <w:sz w:val="24"/>
                <w:highlight w:val="none"/>
              </w:rPr>
              <w:t xml:space="preserve"> 《工业企业厂界环境噪声排放标准》（GB12348-2008）</w:t>
            </w:r>
          </w:p>
          <w:tbl>
            <w:tblPr>
              <w:tblStyle w:val="30"/>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3493"/>
              <w:gridCol w:w="2287"/>
              <w:gridCol w:w="2071"/>
            </w:tblGrid>
            <w:tr w14:paraId="1261E03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blHeader/>
                <w:jc w:val="center"/>
              </w:trPr>
              <w:tc>
                <w:tcPr>
                  <w:tcW w:w="2224" w:type="pct"/>
                  <w:vAlign w:val="center"/>
                </w:tcPr>
                <w:p w14:paraId="3E6D17B9">
                  <w:pPr>
                    <w:pStyle w:val="51"/>
                    <w:tabs>
                      <w:tab w:val="left" w:pos="1120"/>
                    </w:tabs>
                    <w:spacing w:before="24" w:after="24"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w:t>
                  </w:r>
                </w:p>
              </w:tc>
              <w:tc>
                <w:tcPr>
                  <w:tcW w:w="1456" w:type="pct"/>
                  <w:vAlign w:val="center"/>
                </w:tcPr>
                <w:p w14:paraId="75F84109">
                  <w:pPr>
                    <w:pStyle w:val="51"/>
                    <w:tabs>
                      <w:tab w:val="left" w:pos="1120"/>
                    </w:tabs>
                    <w:spacing w:before="24" w:after="24"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昼间</w:t>
                  </w:r>
                </w:p>
              </w:tc>
              <w:tc>
                <w:tcPr>
                  <w:tcW w:w="1318" w:type="pct"/>
                  <w:vAlign w:val="center"/>
                </w:tcPr>
                <w:p w14:paraId="5D8E218A">
                  <w:pPr>
                    <w:pStyle w:val="51"/>
                    <w:tabs>
                      <w:tab w:val="left" w:pos="1120"/>
                    </w:tabs>
                    <w:spacing w:before="24" w:after="24"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夜间</w:t>
                  </w:r>
                </w:p>
              </w:tc>
            </w:tr>
            <w:tr w14:paraId="60D597C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224" w:type="pct"/>
                  <w:vAlign w:val="center"/>
                </w:tcPr>
                <w:p w14:paraId="0A4862E1">
                  <w:pPr>
                    <w:pStyle w:val="51"/>
                    <w:tabs>
                      <w:tab w:val="left" w:pos="1120"/>
                    </w:tabs>
                    <w:spacing w:before="24" w:after="24"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2类</w:t>
                  </w:r>
                </w:p>
              </w:tc>
              <w:tc>
                <w:tcPr>
                  <w:tcW w:w="1456" w:type="pct"/>
                  <w:vAlign w:val="center"/>
                </w:tcPr>
                <w:p w14:paraId="5706B2E7">
                  <w:pPr>
                    <w:pStyle w:val="51"/>
                    <w:tabs>
                      <w:tab w:val="left" w:pos="1120"/>
                    </w:tabs>
                    <w:spacing w:before="24" w:after="24"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1318" w:type="pct"/>
                  <w:vAlign w:val="center"/>
                </w:tcPr>
                <w:p w14:paraId="0F43CC02">
                  <w:pPr>
                    <w:pStyle w:val="51"/>
                    <w:tabs>
                      <w:tab w:val="left" w:pos="1120"/>
                    </w:tabs>
                    <w:spacing w:before="24" w:after="24"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50</w:t>
                  </w:r>
                </w:p>
              </w:tc>
            </w:tr>
          </w:tbl>
          <w:p w14:paraId="27A07560">
            <w:pPr>
              <w:adjustRightInd w:val="0"/>
              <w:snapToGrid w:val="0"/>
              <w:ind w:firstLine="482" w:firstLineChars="200"/>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3、固体废物</w:t>
            </w:r>
          </w:p>
          <w:p w14:paraId="43F862BF">
            <w:pPr>
              <w:pStyle w:val="68"/>
              <w:spacing w:line="500" w:lineRule="exact"/>
              <w:ind w:firstLine="480"/>
              <w:rPr>
                <w:rStyle w:val="67"/>
                <w:rFonts w:hint="default" w:ascii="Times New Roman" w:hAnsi="Times New Roman" w:cs="Times New Roman"/>
                <w:color w:val="auto"/>
                <w:highlight w:val="none"/>
              </w:rPr>
            </w:pPr>
            <w:r>
              <w:rPr>
                <w:rStyle w:val="67"/>
                <w:rFonts w:hint="default" w:ascii="Times New Roman" w:hAnsi="Times New Roman" w:cs="Times New Roman"/>
                <w:color w:val="auto"/>
                <w:highlight w:val="none"/>
              </w:rPr>
              <w:t>《一般工业固体废物贮存和填埋污染控制标准》（GB18599-2020）；</w:t>
            </w:r>
          </w:p>
          <w:p w14:paraId="0350EC18">
            <w:pPr>
              <w:pStyle w:val="68"/>
              <w:adjustRightInd w:val="0"/>
              <w:spacing w:line="500" w:lineRule="exact"/>
              <w:ind w:firstLine="480"/>
              <w:rPr>
                <w:rStyle w:val="67"/>
                <w:rFonts w:hint="default" w:ascii="Times New Roman" w:hAnsi="Times New Roman" w:cs="Times New Roman"/>
                <w:color w:val="auto"/>
                <w:highlight w:val="none"/>
              </w:rPr>
            </w:pPr>
            <w:r>
              <w:rPr>
                <w:rStyle w:val="67"/>
                <w:rFonts w:hint="default" w:ascii="Times New Roman" w:hAnsi="Times New Roman" w:cs="Times New Roman"/>
                <w:color w:val="auto"/>
                <w:highlight w:val="none"/>
              </w:rPr>
              <w:t>《固体废物分类与代码目录》</w:t>
            </w:r>
            <w:r>
              <w:rPr>
                <w:rStyle w:val="67"/>
                <w:rFonts w:hint="default" w:ascii="Times New Roman" w:hAnsi="Times New Roman" w:cs="Times New Roman"/>
                <w:color w:val="auto"/>
                <w:highlight w:val="none"/>
                <w:lang w:eastAsia="zh-CN"/>
              </w:rPr>
              <w:t>（</w:t>
            </w:r>
            <w:r>
              <w:rPr>
                <w:rStyle w:val="67"/>
                <w:rFonts w:hint="default" w:ascii="Times New Roman" w:hAnsi="Times New Roman" w:cs="Times New Roman"/>
                <w:color w:val="auto"/>
                <w:highlight w:val="none"/>
                <w:lang w:val="en-US" w:eastAsia="zh-CN"/>
              </w:rPr>
              <w:t>生态环境部公告2024年第4号</w:t>
            </w:r>
            <w:r>
              <w:rPr>
                <w:rStyle w:val="67"/>
                <w:rFonts w:hint="default" w:ascii="Times New Roman" w:hAnsi="Times New Roman" w:cs="Times New Roman"/>
                <w:color w:val="auto"/>
                <w:highlight w:val="none"/>
                <w:lang w:eastAsia="zh-CN"/>
              </w:rPr>
              <w:t>）</w:t>
            </w:r>
            <w:r>
              <w:rPr>
                <w:rStyle w:val="67"/>
                <w:rFonts w:hint="default" w:ascii="Times New Roman" w:hAnsi="Times New Roman" w:cs="Times New Roman"/>
                <w:color w:val="auto"/>
                <w:highlight w:val="none"/>
              </w:rPr>
              <w:t>；</w:t>
            </w:r>
          </w:p>
          <w:p w14:paraId="79663F14">
            <w:pPr>
              <w:pStyle w:val="68"/>
              <w:adjustRightIn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《国家危险废物名录（2025版）》;</w:t>
            </w:r>
          </w:p>
          <w:p w14:paraId="0B1AF184">
            <w:pPr>
              <w:pStyle w:val="68"/>
              <w:adjustRightInd w:val="0"/>
              <w:spacing w:line="500" w:lineRule="exact"/>
              <w:ind w:firstLine="480"/>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《危险废物贮存污染控制标准》（GB18597-2023）</w:t>
            </w:r>
            <w:r>
              <w:rPr>
                <w:rFonts w:hint="default" w:ascii="Times New Roman" w:hAnsi="Times New Roman" w:cs="Times New Roman"/>
                <w:bCs/>
                <w:color w:val="auto"/>
                <w:kern w:val="2"/>
                <w:sz w:val="24"/>
                <w:highlight w:val="none"/>
              </w:rPr>
              <w:t>。</w:t>
            </w:r>
          </w:p>
        </w:tc>
      </w:tr>
      <w:tr w14:paraId="42A489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80" w:type="dxa"/>
            <w:vAlign w:val="center"/>
          </w:tcPr>
          <w:p w14:paraId="71B0F0F4">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总量</w:t>
            </w:r>
          </w:p>
          <w:p w14:paraId="54AC7F5D">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控制</w:t>
            </w:r>
          </w:p>
          <w:p w14:paraId="0026ECAF">
            <w:pPr>
              <w:jc w:val="center"/>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指标</w:t>
            </w:r>
          </w:p>
        </w:tc>
        <w:tc>
          <w:tcPr>
            <w:tcW w:w="7943" w:type="dxa"/>
            <w:vAlign w:val="center"/>
          </w:tcPr>
          <w:p w14:paraId="5B5214F1">
            <w:pPr>
              <w:pStyle w:val="61"/>
              <w:spacing w:line="400" w:lineRule="exact"/>
              <w:ind w:firstLine="480"/>
              <w:rPr>
                <w:rFonts w:hint="default" w:ascii="Times New Roman" w:hAnsi="Times New Roman"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表3-1</w:t>
            </w:r>
            <w:r>
              <w:rPr>
                <w:rFonts w:hint="default" w:ascii="Times New Roman" w:hAnsi="Times New Roman" w:cs="Times New Roman"/>
                <w:color w:val="auto"/>
                <w:kern w:val="2"/>
                <w:sz w:val="24"/>
                <w:szCs w:val="24"/>
                <w:highlight w:val="none"/>
                <w:lang w:val="en-US" w:eastAsia="zh-CN" w:bidi="ar-SA"/>
              </w:rPr>
              <w:t>6</w:t>
            </w:r>
            <w:r>
              <w:rPr>
                <w:rFonts w:hint="default" w:ascii="Times New Roman" w:hAnsi="Times New Roman" w:eastAsia="黑体" w:cs="Times New Roman"/>
                <w:color w:val="auto"/>
                <w:kern w:val="2"/>
                <w:sz w:val="24"/>
                <w:szCs w:val="24"/>
                <w:highlight w:val="none"/>
                <w:lang w:val="en-US" w:eastAsia="zh-CN" w:bidi="ar-SA"/>
              </w:rPr>
              <w:t xml:space="preserve"> 总量控制</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55"/>
              <w:gridCol w:w="2004"/>
              <w:gridCol w:w="2362"/>
              <w:gridCol w:w="2230"/>
            </w:tblGrid>
            <w:tr w14:paraId="69CDA0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075" w:type="pct"/>
                  <w:gridSpan w:val="2"/>
                  <w:shd w:val="clear" w:color="auto" w:fill="auto"/>
                  <w:vAlign w:val="center"/>
                </w:tcPr>
                <w:p w14:paraId="522F5D68">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污染物名称</w:t>
                  </w:r>
                </w:p>
              </w:tc>
              <w:tc>
                <w:tcPr>
                  <w:tcW w:w="1504" w:type="pct"/>
                  <w:shd w:val="clear" w:color="auto" w:fill="auto"/>
                  <w:vAlign w:val="center"/>
                </w:tcPr>
                <w:p w14:paraId="673249E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预测排放量（t/a）</w:t>
                  </w:r>
                </w:p>
              </w:tc>
              <w:tc>
                <w:tcPr>
                  <w:tcW w:w="1420" w:type="pct"/>
                  <w:shd w:val="clear" w:color="auto" w:fill="auto"/>
                  <w:vAlign w:val="center"/>
                </w:tcPr>
                <w:p w14:paraId="0C5F699D">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核定排放量（t/a）</w:t>
                  </w:r>
                </w:p>
              </w:tc>
            </w:tr>
            <w:tr w14:paraId="1CBC5B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9" w:type="pct"/>
                  <w:vMerge w:val="restart"/>
                  <w:shd w:val="clear" w:color="auto" w:fill="auto"/>
                  <w:vAlign w:val="center"/>
                </w:tcPr>
                <w:p w14:paraId="4290356C">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2034" w:type="dxa"/>
                  <w:shd w:val="clear" w:color="auto" w:fill="auto"/>
                  <w:vAlign w:val="center"/>
                </w:tcPr>
                <w:p w14:paraId="53502DF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颗粒物</w:t>
                  </w:r>
                </w:p>
              </w:tc>
              <w:tc>
                <w:tcPr>
                  <w:tcW w:w="2398" w:type="dxa"/>
                  <w:shd w:val="clear" w:color="auto" w:fill="auto"/>
                  <w:vAlign w:val="center"/>
                </w:tcPr>
                <w:p w14:paraId="474A7D5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0.1</w:t>
                  </w:r>
                  <w:r>
                    <w:rPr>
                      <w:rFonts w:hint="default" w:ascii="Times New Roman" w:hAnsi="Times New Roman" w:cs="Times New Roman"/>
                      <w:color w:val="auto"/>
                      <w:kern w:val="0"/>
                      <w:sz w:val="21"/>
                      <w:szCs w:val="21"/>
                      <w:highlight w:val="none"/>
                      <w:lang w:val="en-US" w:eastAsia="zh-CN" w:bidi="ar-SA"/>
                    </w:rPr>
                    <w:t>56</w:t>
                  </w:r>
                </w:p>
              </w:tc>
              <w:tc>
                <w:tcPr>
                  <w:tcW w:w="2265" w:type="dxa"/>
                  <w:shd w:val="clear" w:color="auto" w:fill="auto"/>
                  <w:vAlign w:val="center"/>
                </w:tcPr>
                <w:p w14:paraId="187CA64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2.0554</w:t>
                  </w:r>
                </w:p>
              </w:tc>
            </w:tr>
            <w:tr w14:paraId="51B404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9" w:type="pct"/>
                  <w:vMerge w:val="continue"/>
                  <w:shd w:val="clear" w:color="auto" w:fill="auto"/>
                  <w:vAlign w:val="center"/>
                </w:tcPr>
                <w:p w14:paraId="6EB745F9">
                  <w:pPr>
                    <w:pStyle w:val="90"/>
                    <w:rPr>
                      <w:rFonts w:hint="default" w:ascii="Times New Roman" w:hAnsi="Times New Roman" w:cs="Times New Roman"/>
                      <w:color w:val="auto"/>
                      <w:sz w:val="21"/>
                      <w:szCs w:val="21"/>
                      <w:highlight w:val="none"/>
                    </w:rPr>
                  </w:pPr>
                </w:p>
              </w:tc>
              <w:tc>
                <w:tcPr>
                  <w:tcW w:w="2034" w:type="dxa"/>
                  <w:shd w:val="clear" w:color="auto" w:fill="auto"/>
                  <w:vAlign w:val="center"/>
                </w:tcPr>
                <w:p w14:paraId="5767F97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二氧化硫</w:t>
                  </w:r>
                </w:p>
              </w:tc>
              <w:tc>
                <w:tcPr>
                  <w:tcW w:w="2398" w:type="dxa"/>
                  <w:shd w:val="clear" w:color="auto" w:fill="auto"/>
                  <w:vAlign w:val="center"/>
                </w:tcPr>
                <w:p w14:paraId="0A6B353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0.007</w:t>
                  </w:r>
                </w:p>
              </w:tc>
              <w:tc>
                <w:tcPr>
                  <w:tcW w:w="2265" w:type="dxa"/>
                  <w:shd w:val="clear" w:color="auto" w:fill="auto"/>
                  <w:vAlign w:val="center"/>
                </w:tcPr>
                <w:p w14:paraId="6613547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8.78</w:t>
                  </w:r>
                </w:p>
              </w:tc>
            </w:tr>
            <w:tr w14:paraId="355E79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9" w:type="pct"/>
                  <w:vMerge w:val="continue"/>
                  <w:shd w:val="clear" w:color="auto" w:fill="auto"/>
                  <w:vAlign w:val="center"/>
                </w:tcPr>
                <w:p w14:paraId="167B0F7F">
                  <w:pPr>
                    <w:pStyle w:val="90"/>
                    <w:rPr>
                      <w:rFonts w:hint="default" w:ascii="Times New Roman" w:hAnsi="Times New Roman" w:cs="Times New Roman"/>
                      <w:color w:val="auto"/>
                      <w:sz w:val="21"/>
                      <w:szCs w:val="21"/>
                      <w:highlight w:val="none"/>
                    </w:rPr>
                  </w:pPr>
                </w:p>
              </w:tc>
              <w:tc>
                <w:tcPr>
                  <w:tcW w:w="2034" w:type="dxa"/>
                  <w:shd w:val="clear" w:color="auto" w:fill="auto"/>
                  <w:vAlign w:val="center"/>
                </w:tcPr>
                <w:p w14:paraId="0857D10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氮氧化物</w:t>
                  </w:r>
                </w:p>
              </w:tc>
              <w:tc>
                <w:tcPr>
                  <w:tcW w:w="2398" w:type="dxa"/>
                  <w:shd w:val="clear" w:color="auto" w:fill="auto"/>
                  <w:vAlign w:val="center"/>
                </w:tcPr>
                <w:p w14:paraId="0CCC864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0.787</w:t>
                  </w:r>
                </w:p>
              </w:tc>
              <w:tc>
                <w:tcPr>
                  <w:tcW w:w="2265" w:type="dxa"/>
                  <w:shd w:val="clear" w:color="auto" w:fill="auto"/>
                  <w:vAlign w:val="center"/>
                </w:tcPr>
                <w:p w14:paraId="743B227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3.941</w:t>
                  </w:r>
                </w:p>
              </w:tc>
            </w:tr>
            <w:tr w14:paraId="1C5471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9" w:type="pct"/>
                  <w:vMerge w:val="continue"/>
                  <w:shd w:val="clear" w:color="auto" w:fill="auto"/>
                  <w:vAlign w:val="center"/>
                </w:tcPr>
                <w:p w14:paraId="0DAA38E1">
                  <w:pPr>
                    <w:pStyle w:val="90"/>
                    <w:rPr>
                      <w:rFonts w:hint="default" w:ascii="Times New Roman" w:hAnsi="Times New Roman" w:cs="Times New Roman"/>
                      <w:color w:val="auto"/>
                      <w:sz w:val="21"/>
                      <w:szCs w:val="21"/>
                      <w:highlight w:val="none"/>
                    </w:rPr>
                  </w:pPr>
                </w:p>
              </w:tc>
              <w:tc>
                <w:tcPr>
                  <w:tcW w:w="2034" w:type="dxa"/>
                  <w:shd w:val="clear" w:color="auto" w:fill="auto"/>
                  <w:vAlign w:val="center"/>
                </w:tcPr>
                <w:p w14:paraId="25E2F92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沥青烟</w:t>
                  </w:r>
                </w:p>
              </w:tc>
              <w:tc>
                <w:tcPr>
                  <w:tcW w:w="2398" w:type="dxa"/>
                  <w:shd w:val="clear" w:color="auto" w:fill="auto"/>
                  <w:vAlign w:val="center"/>
                </w:tcPr>
                <w:p w14:paraId="7048745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0.1191</w:t>
                  </w:r>
                </w:p>
              </w:tc>
              <w:tc>
                <w:tcPr>
                  <w:tcW w:w="2265" w:type="dxa"/>
                  <w:shd w:val="clear" w:color="auto" w:fill="auto"/>
                  <w:vAlign w:val="center"/>
                </w:tcPr>
                <w:p w14:paraId="51A8F4C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1.8201</w:t>
                  </w:r>
                </w:p>
              </w:tc>
            </w:tr>
            <w:tr w14:paraId="39273D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9" w:type="pct"/>
                  <w:vMerge w:val="continue"/>
                  <w:shd w:val="clear" w:color="auto" w:fill="auto"/>
                  <w:vAlign w:val="center"/>
                </w:tcPr>
                <w:p w14:paraId="70525746">
                  <w:pPr>
                    <w:pStyle w:val="90"/>
                    <w:rPr>
                      <w:rFonts w:hint="default" w:ascii="Times New Roman" w:hAnsi="Times New Roman" w:cs="Times New Roman"/>
                      <w:color w:val="auto"/>
                      <w:sz w:val="21"/>
                      <w:szCs w:val="21"/>
                      <w:highlight w:val="none"/>
                    </w:rPr>
                  </w:pPr>
                </w:p>
              </w:tc>
              <w:tc>
                <w:tcPr>
                  <w:tcW w:w="2034" w:type="dxa"/>
                  <w:shd w:val="clear" w:color="auto" w:fill="auto"/>
                  <w:vAlign w:val="center"/>
                </w:tcPr>
                <w:p w14:paraId="73A186D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苯并[a]芘</w:t>
                  </w:r>
                </w:p>
              </w:tc>
              <w:tc>
                <w:tcPr>
                  <w:tcW w:w="1504" w:type="pct"/>
                  <w:shd w:val="clear" w:color="auto" w:fill="auto"/>
                  <w:vAlign w:val="center"/>
                </w:tcPr>
                <w:p w14:paraId="05718251">
                  <w:pPr>
                    <w:pStyle w:val="20"/>
                    <w:tabs>
                      <w:tab w:val="right" w:leader="dot" w:pos="8720"/>
                    </w:tabs>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2.402</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w:t>
                  </w:r>
                  <w:r>
                    <w:rPr>
                      <w:rFonts w:hint="default" w:ascii="Times New Roman" w:hAnsi="Times New Roman" w:cs="Times New Roman"/>
                      <w:color w:val="auto"/>
                      <w:szCs w:val="21"/>
                      <w:highlight w:val="none"/>
                      <w:vertAlign w:val="superscript"/>
                      <w:lang w:val="en-US" w:eastAsia="zh-CN"/>
                    </w:rPr>
                    <w:t>6</w:t>
                  </w:r>
                </w:p>
              </w:tc>
              <w:tc>
                <w:tcPr>
                  <w:tcW w:w="2265" w:type="dxa"/>
                  <w:shd w:val="clear" w:color="auto" w:fill="auto"/>
                  <w:vAlign w:val="center"/>
                </w:tcPr>
                <w:p w14:paraId="4F4337B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7.602</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w:t>
                  </w:r>
                  <w:r>
                    <w:rPr>
                      <w:rFonts w:hint="default" w:ascii="Times New Roman" w:hAnsi="Times New Roman" w:cs="Times New Roman"/>
                      <w:color w:val="auto"/>
                      <w:szCs w:val="21"/>
                      <w:highlight w:val="none"/>
                      <w:vertAlign w:val="superscript"/>
                      <w:lang w:val="en-US" w:eastAsia="zh-CN"/>
                    </w:rPr>
                    <w:t>6</w:t>
                  </w:r>
                </w:p>
              </w:tc>
            </w:tr>
            <w:tr w14:paraId="69CFCD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9" w:type="pct"/>
                  <w:vMerge w:val="continue"/>
                  <w:shd w:val="clear" w:color="auto" w:fill="auto"/>
                  <w:vAlign w:val="center"/>
                </w:tcPr>
                <w:p w14:paraId="7634B5CF">
                  <w:pPr>
                    <w:pStyle w:val="90"/>
                    <w:rPr>
                      <w:rFonts w:hint="default" w:ascii="Times New Roman" w:hAnsi="Times New Roman" w:cs="Times New Roman"/>
                      <w:color w:val="auto"/>
                      <w:sz w:val="21"/>
                      <w:szCs w:val="21"/>
                      <w:highlight w:val="none"/>
                    </w:rPr>
                  </w:pPr>
                </w:p>
              </w:tc>
              <w:tc>
                <w:tcPr>
                  <w:tcW w:w="2034" w:type="dxa"/>
                  <w:shd w:val="clear" w:color="auto" w:fill="auto"/>
                  <w:vAlign w:val="center"/>
                </w:tcPr>
                <w:p w14:paraId="1A78DC2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NMHC</w:t>
                  </w:r>
                </w:p>
              </w:tc>
              <w:tc>
                <w:tcPr>
                  <w:tcW w:w="2398" w:type="dxa"/>
                  <w:shd w:val="clear" w:color="auto" w:fill="auto"/>
                  <w:vAlign w:val="center"/>
                </w:tcPr>
                <w:p w14:paraId="45C5782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w:t>
                  </w:r>
                  <w:r>
                    <w:rPr>
                      <w:rFonts w:hint="default" w:ascii="Times New Roman" w:hAnsi="Times New Roman" w:cs="Times New Roman"/>
                      <w:color w:val="auto"/>
                      <w:kern w:val="0"/>
                      <w:sz w:val="21"/>
                      <w:szCs w:val="21"/>
                      <w:highlight w:val="none"/>
                      <w:lang w:val="en-US" w:eastAsia="zh-CN" w:bidi="ar-SA"/>
                    </w:rPr>
                    <w:t>0013176</w:t>
                  </w:r>
                </w:p>
              </w:tc>
              <w:tc>
                <w:tcPr>
                  <w:tcW w:w="2265" w:type="dxa"/>
                  <w:shd w:val="clear" w:color="auto" w:fill="auto"/>
                  <w:vAlign w:val="center"/>
                </w:tcPr>
                <w:p w14:paraId="19953D1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2.8807206</w:t>
                  </w:r>
                </w:p>
              </w:tc>
            </w:tr>
            <w:tr w14:paraId="02DA43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9" w:type="pct"/>
                  <w:vMerge w:val="continue"/>
                  <w:shd w:val="clear" w:color="auto" w:fill="auto"/>
                  <w:vAlign w:val="center"/>
                </w:tcPr>
                <w:p w14:paraId="28082F68">
                  <w:pPr>
                    <w:pStyle w:val="90"/>
                    <w:rPr>
                      <w:rFonts w:hint="default" w:ascii="Times New Roman" w:hAnsi="Times New Roman" w:cs="Times New Roman"/>
                      <w:color w:val="auto"/>
                      <w:sz w:val="21"/>
                      <w:szCs w:val="21"/>
                      <w:highlight w:val="none"/>
                    </w:rPr>
                  </w:pPr>
                </w:p>
              </w:tc>
              <w:tc>
                <w:tcPr>
                  <w:tcW w:w="2034" w:type="dxa"/>
                  <w:shd w:val="clear" w:color="auto" w:fill="auto"/>
                  <w:vAlign w:val="center"/>
                </w:tcPr>
                <w:p w14:paraId="2883320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粉尘</w:t>
                  </w:r>
                </w:p>
              </w:tc>
              <w:tc>
                <w:tcPr>
                  <w:tcW w:w="2398" w:type="dxa"/>
                  <w:shd w:val="clear" w:color="auto" w:fill="auto"/>
                  <w:vAlign w:val="center"/>
                </w:tcPr>
                <w:p w14:paraId="0263F60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0.1016</w:t>
                  </w:r>
                </w:p>
              </w:tc>
              <w:tc>
                <w:tcPr>
                  <w:tcW w:w="2265" w:type="dxa"/>
                  <w:shd w:val="clear" w:color="auto" w:fill="auto"/>
                  <w:vAlign w:val="center"/>
                </w:tcPr>
                <w:p w14:paraId="4343A1F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0.1016</w:t>
                  </w:r>
                </w:p>
              </w:tc>
            </w:tr>
          </w:tbl>
          <w:p w14:paraId="461CBFE0">
            <w:pPr>
              <w:pStyle w:val="68"/>
              <w:spacing w:line="500" w:lineRule="exact"/>
              <w:ind w:firstLine="480"/>
              <w:rPr>
                <w:rFonts w:hint="default" w:ascii="Times New Roman" w:hAnsi="Times New Roman" w:eastAsia="仿宋" w:cs="Times New Roman"/>
                <w:color w:val="auto"/>
                <w:sz w:val="24"/>
                <w:highlight w:val="none"/>
              </w:rPr>
            </w:pPr>
          </w:p>
        </w:tc>
      </w:tr>
    </w:tbl>
    <w:p w14:paraId="78C53145">
      <w:pPr>
        <w:pStyle w:val="25"/>
        <w:adjustRightInd w:val="0"/>
        <w:snapToGrid w:val="0"/>
        <w:spacing w:before="0" w:beforeAutospacing="0" w:after="0" w:afterAutospacing="0" w:line="500" w:lineRule="exact"/>
        <w:outlineLvl w:val="0"/>
        <w:rPr>
          <w:rFonts w:hint="default" w:ascii="Times New Roman" w:hAnsi="Times New Roman" w:cs="Times New Roman"/>
          <w:b/>
          <w:bCs/>
          <w:snapToGrid w:val="0"/>
          <w:color w:val="auto"/>
          <w:sz w:val="30"/>
          <w:szCs w:val="30"/>
          <w:highlight w:val="none"/>
        </w:rPr>
      </w:pPr>
      <w:r>
        <w:rPr>
          <w:rFonts w:hint="default" w:ascii="Times New Roman" w:hAnsi="Times New Roman" w:eastAsia="仿宋" w:cs="Times New Roman"/>
          <w:snapToGrid w:val="0"/>
          <w:color w:val="auto"/>
          <w:sz w:val="36"/>
          <w:szCs w:val="36"/>
          <w:highlight w:val="none"/>
        </w:rPr>
        <w:br w:type="page"/>
      </w:r>
      <w:bookmarkStart w:id="62" w:name="_Toc116994883"/>
      <w:bookmarkStart w:id="63" w:name="_Toc6450"/>
      <w:r>
        <w:rPr>
          <w:rFonts w:hint="default" w:ascii="Times New Roman" w:hAnsi="Times New Roman" w:cs="Times New Roman"/>
          <w:snapToGrid w:val="0"/>
          <w:color w:val="auto"/>
          <w:sz w:val="30"/>
          <w:szCs w:val="30"/>
          <w:highlight w:val="none"/>
        </w:rPr>
        <w:t>四、主要环境影响和保护措施</w:t>
      </w:r>
      <w:bookmarkEnd w:id="62"/>
      <w:bookmarkEnd w:id="63"/>
    </w:p>
    <w:tbl>
      <w:tblPr>
        <w:tblStyle w:val="30"/>
        <w:tblW w:w="8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
        <w:gridCol w:w="7876"/>
      </w:tblGrid>
      <w:tr w14:paraId="62B9C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3" w:hRule="atLeast"/>
          <w:jc w:val="center"/>
        </w:trPr>
        <w:tc>
          <w:tcPr>
            <w:tcW w:w="411" w:type="dxa"/>
            <w:tcBorders>
              <w:tl2br w:val="nil"/>
              <w:tr2bl w:val="nil"/>
            </w:tcBorders>
            <w:tcMar>
              <w:left w:w="28" w:type="dxa"/>
              <w:right w:w="28" w:type="dxa"/>
            </w:tcMar>
            <w:vAlign w:val="center"/>
          </w:tcPr>
          <w:p w14:paraId="01BACC93">
            <w:pPr>
              <w:pStyle w:val="25"/>
              <w:adjustRightInd w:val="0"/>
              <w:snapToGrid w:val="0"/>
              <w:spacing w:before="0" w:beforeAutospacing="0" w:after="0" w:afterAutospacing="0"/>
              <w:jc w:val="center"/>
              <w:rPr>
                <w:rFonts w:hint="default" w:ascii="Times New Roman" w:hAnsi="Times New Roman" w:cs="Times New Roman"/>
                <w:b/>
                <w:color w:val="auto"/>
                <w:kern w:val="2"/>
                <w:szCs w:val="24"/>
                <w:highlight w:val="none"/>
              </w:rPr>
            </w:pPr>
            <w:r>
              <w:rPr>
                <w:rFonts w:hint="default" w:ascii="Times New Roman" w:hAnsi="Times New Roman" w:cs="Times New Roman"/>
                <w:bCs/>
                <w:color w:val="auto"/>
                <w:kern w:val="2"/>
                <w:szCs w:val="24"/>
                <w:highlight w:val="none"/>
              </w:rPr>
              <w:t>施工期环境影响和保护措施</w:t>
            </w:r>
          </w:p>
        </w:tc>
        <w:tc>
          <w:tcPr>
            <w:tcW w:w="7876" w:type="dxa"/>
            <w:tcBorders>
              <w:tl2br w:val="nil"/>
              <w:tr2bl w:val="nil"/>
            </w:tcBorders>
            <w:vAlign w:val="center"/>
          </w:tcPr>
          <w:p w14:paraId="15DDC9AF">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一、废水</w:t>
            </w:r>
          </w:p>
          <w:p w14:paraId="1F5A94F3">
            <w:pPr>
              <w:spacing w:line="500" w:lineRule="exact"/>
              <w:ind w:firstLine="480" w:firstLineChars="200"/>
              <w:rPr>
                <w:rFonts w:hint="default" w:ascii="Times New Roman" w:hAnsi="Times New Roman" w:cs="Times New Roman"/>
                <w:color w:val="auto"/>
                <w:sz w:val="24"/>
                <w:highlight w:val="none"/>
              </w:rPr>
            </w:pPr>
            <w:bookmarkStart w:id="64" w:name="_Hlk193467967"/>
            <w:r>
              <w:rPr>
                <w:rFonts w:hint="default" w:ascii="Times New Roman" w:hAnsi="Times New Roman" w:cs="Times New Roman"/>
                <w:color w:val="auto"/>
                <w:sz w:val="24"/>
                <w:highlight w:val="none"/>
              </w:rPr>
              <w:t>施工废水来源于现场</w:t>
            </w:r>
            <w:r>
              <w:rPr>
                <w:rFonts w:hint="default" w:ascii="Times New Roman" w:hAnsi="Times New Roman" w:cs="Times New Roman"/>
                <w:color w:val="auto"/>
                <w:sz w:val="24"/>
                <w:highlight w:val="none"/>
                <w:lang w:val="en-US" w:eastAsia="zh-CN"/>
              </w:rPr>
              <w:t>车辆</w:t>
            </w:r>
            <w:r>
              <w:rPr>
                <w:rFonts w:hint="default" w:ascii="Times New Roman" w:hAnsi="Times New Roman" w:cs="Times New Roman"/>
                <w:color w:val="auto"/>
                <w:sz w:val="24"/>
                <w:highlight w:val="none"/>
              </w:rPr>
              <w:t>冲洗废水和施工人员生活污水。施工</w:t>
            </w:r>
            <w:r>
              <w:rPr>
                <w:rFonts w:hint="default" w:ascii="Times New Roman" w:hAnsi="Times New Roman" w:cs="Times New Roman"/>
                <w:color w:val="auto"/>
                <w:sz w:val="24"/>
                <w:highlight w:val="none"/>
                <w:lang w:eastAsia="zh-CN"/>
              </w:rPr>
              <w:t>车辆冲洗</w:t>
            </w:r>
            <w:r>
              <w:rPr>
                <w:rFonts w:hint="default" w:ascii="Times New Roman" w:hAnsi="Times New Roman" w:cs="Times New Roman"/>
                <w:color w:val="auto"/>
                <w:sz w:val="24"/>
                <w:highlight w:val="none"/>
              </w:rPr>
              <w:t>废水排放量小，冲洗废水主要是水泥碎粒、沙土构成的泥浆废水。泥浆废水是一种含有微细颗粒的悬浮混浊液体，外观呈土灰色，比重1.20-1.46，含泥量30-50%，pH值约6-7，如果施工阶段不进行严格管理，将对施工场地产生一定影响。为减少施工期间废水的污染，施工人员</w:t>
            </w:r>
            <w:r>
              <w:rPr>
                <w:rFonts w:hint="default" w:ascii="Times New Roman" w:hAnsi="Times New Roman" w:cs="Times New Roman"/>
                <w:color w:val="auto"/>
                <w:sz w:val="24"/>
                <w:highlight w:val="none"/>
                <w:lang w:eastAsia="zh-CN"/>
              </w:rPr>
              <w:t>进入</w:t>
            </w:r>
            <w:r>
              <w:rPr>
                <w:rFonts w:hint="default" w:ascii="Times New Roman" w:hAnsi="Times New Roman" w:cs="Times New Roman"/>
                <w:color w:val="auto"/>
                <w:sz w:val="24"/>
                <w:highlight w:val="none"/>
              </w:rPr>
              <w:t>现场后，在建设临时设施后，应设置临时沉淀池处理设施。将施工废水收集进防渗沉淀池中，施工</w:t>
            </w:r>
            <w:r>
              <w:rPr>
                <w:rFonts w:hint="default" w:ascii="Times New Roman" w:hAnsi="Times New Roman" w:cs="Times New Roman"/>
                <w:color w:val="auto"/>
                <w:sz w:val="24"/>
                <w:highlight w:val="none"/>
                <w:lang w:eastAsia="zh-CN"/>
              </w:rPr>
              <w:t>车辆冲洗</w:t>
            </w:r>
            <w:r>
              <w:rPr>
                <w:rFonts w:hint="default" w:ascii="Times New Roman" w:hAnsi="Times New Roman" w:cs="Times New Roman"/>
                <w:color w:val="auto"/>
                <w:sz w:val="24"/>
                <w:highlight w:val="none"/>
              </w:rPr>
              <w:t>水经沉淀池处理后回用于洒水、降尘等，不外排。施工人员生活污水</w:t>
            </w:r>
            <w:r>
              <w:rPr>
                <w:rFonts w:hint="default" w:ascii="Times New Roman" w:hAnsi="Times New Roman" w:cs="Times New Roman"/>
                <w:color w:val="auto"/>
                <w:sz w:val="24"/>
                <w:highlight w:val="none"/>
                <w:lang w:val="en-US" w:eastAsia="zh-CN"/>
              </w:rPr>
              <w:t>排入防渗旱厕定期清运，不外排</w:t>
            </w:r>
            <w:r>
              <w:rPr>
                <w:rFonts w:hint="default" w:ascii="Times New Roman" w:hAnsi="Times New Roman" w:cs="Times New Roman"/>
                <w:color w:val="auto"/>
                <w:sz w:val="24"/>
                <w:highlight w:val="none"/>
              </w:rPr>
              <w:t>。</w:t>
            </w:r>
          </w:p>
          <w:bookmarkEnd w:id="64"/>
          <w:p w14:paraId="65252DC3">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二、废气</w:t>
            </w:r>
          </w:p>
          <w:p w14:paraId="7459B055">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（1）施工扬尘</w:t>
            </w:r>
          </w:p>
          <w:p w14:paraId="43E3174E">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在建设过程中，施工扬尘污染主要为：建筑材料如水泥、白灰、砂子以及土方在其装卸、运输、堆放等过程中，因风力作用而产生的扬尘；运输车辆来往造成地面扬尘；施工垃圾堆放及清运过程中产生的扬尘。</w:t>
            </w:r>
          </w:p>
          <w:p w14:paraId="552AC402">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施工期间产生的扬尘污染主要取决于施工作业方式、材料的堆放以及风力等因素，其受风力因素的影响最大。随风速的增大，施工扬尘产生的污染程度和超标范围也将随之增强或扩大。</w:t>
            </w:r>
          </w:p>
          <w:p w14:paraId="79C146D8">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本项目厂界距居民较近，</w:t>
            </w:r>
            <w:r>
              <w:rPr>
                <w:rFonts w:hint="default" w:ascii="Times New Roman" w:hAnsi="Times New Roman" w:cs="Times New Roman"/>
                <w:color w:val="auto"/>
                <w:sz w:val="24"/>
                <w:highlight w:val="none"/>
              </w:rPr>
              <w:t>施工现场应设置围栏或部分围栏，缩小施工扬尘扩散范围；</w:t>
            </w:r>
            <w:r>
              <w:rPr>
                <w:rFonts w:hint="default" w:ascii="Times New Roman" w:hAnsi="Times New Roman" w:cs="Times New Roman"/>
                <w:color w:val="auto"/>
                <w:sz w:val="24"/>
                <w:highlight w:val="none"/>
                <w:lang w:val="en-US" w:eastAsia="zh-CN"/>
              </w:rPr>
              <w:t>施工期应加强洒水频次；禁止大风天施工，</w:t>
            </w:r>
            <w:r>
              <w:rPr>
                <w:rFonts w:hint="default" w:ascii="Times New Roman" w:hAnsi="Times New Roman" w:cs="Times New Roman"/>
                <w:color w:val="auto"/>
                <w:sz w:val="24"/>
                <w:highlight w:val="none"/>
              </w:rPr>
              <w:t>施工过程采用商品混凝土；</w:t>
            </w:r>
            <w:r>
              <w:rPr>
                <w:rFonts w:hint="default" w:ascii="Times New Roman" w:hAnsi="Times New Roman" w:cs="Times New Roman"/>
                <w:color w:val="auto"/>
                <w:sz w:val="24"/>
                <w:highlight w:val="none"/>
                <w:lang w:val="en-US" w:eastAsia="zh-CN"/>
              </w:rPr>
              <w:t>厂内临时堆场设在远离居民处并苫布苫盖，</w:t>
            </w:r>
            <w:r>
              <w:rPr>
                <w:rFonts w:hint="default" w:ascii="Times New Roman" w:hAnsi="Times New Roman" w:cs="Times New Roman"/>
                <w:color w:val="auto"/>
                <w:sz w:val="24"/>
                <w:highlight w:val="none"/>
              </w:rPr>
              <w:t>干燥天应经常性给沙堆洒水，保持沙堆一定的湿度，减少起尘量。运输水泥、砂子等过程中应加盖苫布防止扬尘产生。</w:t>
            </w:r>
          </w:p>
          <w:p w14:paraId="67285629">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（2）车辆及施工机械尾气</w:t>
            </w:r>
          </w:p>
          <w:p w14:paraId="5BFB2963">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机械将产生含有总悬浮颗粒物、二氧化硫、一氧化碳和氮氧化物等污染物的废气，废气仅对施工区及交通道路两侧等局部地区的环境空气质量有短暂的不利影响，不会对大范围的环境空气质量产生不利影响。另外机动车辆运行过程中，所排放的尾气是流动污染源，虽然影响面大，但由于不是集中的大量排放，所以对周围环境和人群影响不大。</w:t>
            </w:r>
          </w:p>
          <w:p w14:paraId="6A76945C">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加强往返于施工区车辆的管理和维修，施工机械完好率要求在90%以上，使用有害物质量少的优质燃料，并定期对施工设备进行维护，以减少尾气排放；对尾气排放不达标的机械车辆，禁止进入施工区施工。</w:t>
            </w:r>
          </w:p>
          <w:p w14:paraId="6BF3BD95">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采取以上措施后，施工废气中颗粒物排放浓度可满足《大气污染物综合排放标准》（GB16297-1996）表2中无组织排放要求。对所在区域大气环境影响较小。</w:t>
            </w:r>
          </w:p>
          <w:p w14:paraId="148000B7">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三、噪声</w:t>
            </w:r>
          </w:p>
          <w:p w14:paraId="390F0497">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施工期间，运输车辆和各种机械都是主要的噪声源，噪声源强在75~85dB（A）。建议在施工期间采取以下相应措施降低噪声：</w:t>
            </w:r>
          </w:p>
          <w:p w14:paraId="5D7E6C9E">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①加强施工管理，合理安排作业时间，严格按照施工噪声管理的有关规定；</w:t>
            </w:r>
          </w:p>
          <w:p w14:paraId="01A1A256">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②尽量采用低噪声施工设备和噪声低的施工方法；</w:t>
            </w:r>
          </w:p>
          <w:p w14:paraId="565D8688">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③作业时在高噪声设备周围设置屏蔽；</w:t>
            </w:r>
          </w:p>
          <w:p w14:paraId="4CE43E4E">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④加强运输车辆的管理，建材等运输在白天进行，并控制车辆鸣笛，22</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00-6</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00时间段内运输和施工。</w:t>
            </w:r>
          </w:p>
          <w:p w14:paraId="316BEE58">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采取以上措施后，施工场界声环境可满足《建筑施工场界环境噪声排放标准》（GB12523-2011）中规定的标准。</w:t>
            </w:r>
          </w:p>
          <w:p w14:paraId="6A98C87D">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四、固体废物</w:t>
            </w:r>
          </w:p>
          <w:p w14:paraId="5152EE82">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本项目施工期产生的固体废物主要是施工期建筑垃圾、施工人员生活垃圾。</w:t>
            </w:r>
          </w:p>
          <w:p w14:paraId="4487822B">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（1）施工建筑垃圾</w:t>
            </w:r>
          </w:p>
          <w:p w14:paraId="45C3FEB0">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本项目建筑垃圾主要为施工剩余的建筑材料，包括石料、木料等。建筑垃圾应及时清运至指定地点处置，防止建筑垃圾对外环境的影响。</w:t>
            </w:r>
          </w:p>
          <w:p w14:paraId="30B67D3B">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（2）生活垃圾</w:t>
            </w:r>
          </w:p>
          <w:p w14:paraId="09F72047">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人员产生的生活垃圾若随意堆放，不仅影响施工区环境景观，而且影响施工区环境卫生，夏秋季易造成蚊、蝇孽生或鼠类繁殖，导致疾病流行，进而威胁施工人员身体健康。生活垃圾由市政环卫部门统一清运处理，做到日产日清。</w:t>
            </w:r>
          </w:p>
          <w:p w14:paraId="770936F3">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采取以上措施后，本项目施工期产生的固体废物均能无害化处置。</w:t>
            </w:r>
          </w:p>
          <w:p w14:paraId="1D348072">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五、水土流失</w:t>
            </w:r>
          </w:p>
          <w:p w14:paraId="7871560E">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施工期占地会产生一定的生态破坏、水土流失等影响。为防止在建设过程中造成水土流失和保护当地生态环境，要求建设单位采取以下措施：</w:t>
            </w:r>
          </w:p>
          <w:p w14:paraId="35B8FFDC">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A.在施工过程中要合理安排施工进度，施工要避开雨季和大风天，分段施工，采用挡土墙和排水措施进行防护，尽量不留疏松地面，减少风蚀导致的水土流失。</w:t>
            </w:r>
          </w:p>
          <w:p w14:paraId="27722262">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B.划定施工作业范围和路线，不得随意扩大，按规定操作。严格控制和管理运输车辆及重型机械施工作业范围，尽可能减少对土壤和林地的破坏以及由此引发的水土流失。</w:t>
            </w:r>
          </w:p>
          <w:p w14:paraId="55A5B94D">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C.废弃的砂、石、土必须运至规定的专门存放地堆放，禁止向江河、湖泊、水库和专门堆放地以外的沟渠倾倒。</w:t>
            </w:r>
          </w:p>
          <w:p w14:paraId="3FCCBBEA">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D.工程施工时注意合理分配施工时段，避开降雨集中时段，开挖的土方、开挖裸露面做好防治措施，尽量缩短暴露时间，开挖土方临时堆存场所底部采用布袋挡墙，堆土表面用无纺布覆盖，能有效减缓水土流失，工程完成后及时覆土夯实，回填表土，撒播草种，完成迹地恢复。项目产生的弃土由施工单位外运至弃土场，不得乱堆乱倒。整体来说，在施工过程中做好相应的水土保持措施后，整个施工过程不会加剧区域水土流失。</w:t>
            </w:r>
          </w:p>
          <w:p w14:paraId="561A4475">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采取以上措施，可有效控制施工期对周围生态环境的扰动，减少水土流失，措施可行。</w:t>
            </w:r>
          </w:p>
        </w:tc>
      </w:tr>
    </w:tbl>
    <w:p w14:paraId="22B54360">
      <w:pPr>
        <w:adjustRightInd w:val="0"/>
        <w:snapToGrid w:val="0"/>
        <w:jc w:val="center"/>
        <w:rPr>
          <w:rFonts w:hint="default" w:ascii="Times New Roman" w:hAnsi="Times New Roman" w:cs="Times New Roman"/>
          <w:b/>
          <w:color w:val="auto"/>
          <w:highlight w:val="none"/>
        </w:rPr>
        <w:sectPr>
          <w:pgSz w:w="11907" w:h="16840"/>
          <w:pgMar w:top="1440" w:right="1800" w:bottom="1440" w:left="1800" w:header="851" w:footer="992" w:gutter="0"/>
          <w:pgBorders>
            <w:top w:val="none" w:sz="0" w:space="0"/>
            <w:left w:val="none" w:sz="0" w:space="0"/>
            <w:bottom w:val="none" w:sz="0" w:space="0"/>
            <w:right w:val="none" w:sz="0" w:space="0"/>
          </w:pgBorders>
          <w:cols w:space="720" w:num="1"/>
          <w:docGrid w:linePitch="312" w:charSpace="0"/>
        </w:sectPr>
      </w:pPr>
    </w:p>
    <w:tbl>
      <w:tblPr>
        <w:tblStyle w:val="30"/>
        <w:tblW w:w="828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1"/>
        <w:gridCol w:w="7876"/>
      </w:tblGrid>
      <w:tr w14:paraId="1043AE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445" w:hRule="atLeast"/>
          <w:jc w:val="center"/>
        </w:trPr>
        <w:tc>
          <w:tcPr>
            <w:tcW w:w="411" w:type="dxa"/>
            <w:tcMar>
              <w:left w:w="28" w:type="dxa"/>
              <w:right w:w="28" w:type="dxa"/>
            </w:tcMar>
            <w:vAlign w:val="center"/>
          </w:tcPr>
          <w:p w14:paraId="086CE4CD">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 w:val="24"/>
                <w:highlight w:val="none"/>
              </w:rPr>
              <w:t>运营期环境影响和保护措施</w:t>
            </w:r>
          </w:p>
        </w:tc>
        <w:tc>
          <w:tcPr>
            <w:tcW w:w="7876" w:type="dxa"/>
            <w:vAlign w:val="center"/>
          </w:tcPr>
          <w:p w14:paraId="1D5923AE">
            <w:pPr>
              <w:pStyle w:val="95"/>
              <w:numPr>
                <w:ilvl w:val="0"/>
                <w:numId w:val="5"/>
              </w:numPr>
              <w:spacing w:line="500" w:lineRule="exact"/>
              <w:ind w:firstLine="482"/>
              <w:rPr>
                <w:rFonts w:hint="default" w:ascii="Times New Roman" w:hAnsi="Times New Roman" w:cs="Times New Roman"/>
                <w:b/>
                <w:bCs/>
                <w:color w:val="auto"/>
                <w:sz w:val="24"/>
                <w:highlight w:val="none"/>
              </w:rPr>
            </w:pPr>
            <w:bookmarkStart w:id="65" w:name="_Hlk84531229"/>
            <w:bookmarkStart w:id="66" w:name="_Hlk84852832"/>
            <w:r>
              <w:rPr>
                <w:rFonts w:hint="default" w:ascii="Times New Roman" w:hAnsi="Times New Roman" w:cs="Times New Roman"/>
                <w:b/>
                <w:bCs/>
                <w:color w:val="auto"/>
                <w:sz w:val="24"/>
                <w:highlight w:val="none"/>
              </w:rPr>
              <w:t>运营期大气环境影响和保护措施</w:t>
            </w:r>
          </w:p>
          <w:p w14:paraId="70FAE206">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1、主要污染物及源强</w:t>
            </w:r>
          </w:p>
          <w:p w14:paraId="47602B22">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本项目运营期排放废气主要为原料运输及原料堆场装卸粉尘、原料堆场粉尘、</w:t>
            </w:r>
            <w:r>
              <w:rPr>
                <w:rFonts w:hint="default" w:ascii="Times New Roman" w:hAnsi="Times New Roman" w:cs="Times New Roman"/>
                <w:color w:val="auto"/>
                <w:sz w:val="24"/>
                <w:highlight w:val="none"/>
                <w:lang w:val="en-US" w:eastAsia="zh-CN"/>
              </w:rPr>
              <w:t>矿粉装卸废气、</w:t>
            </w:r>
            <w:r>
              <w:rPr>
                <w:rFonts w:hint="default" w:ascii="Times New Roman" w:hAnsi="Times New Roman" w:cs="Times New Roman"/>
                <w:color w:val="auto"/>
                <w:sz w:val="24"/>
                <w:highlight w:val="none"/>
              </w:rPr>
              <w:t>冷料上料输送废气、骨料加热烘干废气、导热油炉烟气、加热沥青储罐、搅拌及出料产生的沥青烟气、导热油炉烟气、柴油储罐呼吸废气。</w:t>
            </w:r>
          </w:p>
          <w:p w14:paraId="11F93BE9">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（1）原料运输产生的粉尘</w:t>
            </w:r>
          </w:p>
          <w:p w14:paraId="245EA811">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本项目沥青由厂家直接运送至厂区沥青罐内，原料采用封闭式罐车运入厂区，原料采用汽车运输，运输车辆全部采用苫布覆盖。</w:t>
            </w:r>
            <w:r>
              <w:rPr>
                <w:rFonts w:hint="default" w:ascii="Times New Roman" w:hAnsi="Times New Roman" w:cs="Times New Roman"/>
                <w:color w:val="auto"/>
                <w:kern w:val="0"/>
                <w:sz w:val="24"/>
                <w:highlight w:val="none"/>
              </w:rPr>
              <w:t>根据《扬尘源颗粒物排放清单编制技术指南（试行）》，</w:t>
            </w:r>
            <w:r>
              <w:rPr>
                <w:rFonts w:hint="default" w:ascii="Times New Roman" w:hAnsi="Times New Roman" w:cs="Times New Roman"/>
                <w:color w:val="auto"/>
                <w:kern w:val="0"/>
                <w:sz w:val="24"/>
                <w:highlight w:val="none"/>
                <w:lang w:eastAsia="zh-CN"/>
              </w:rPr>
              <w:t>物料运输过程扬尘排放量为 0.08t/a，污染物排放满足《大气污染物综合排放标准》（GB16297-1996）表 2 中无组织排放标准限值要求</w:t>
            </w:r>
            <w:r>
              <w:rPr>
                <w:rFonts w:hint="default" w:ascii="Times New Roman" w:hAnsi="Times New Roman" w:cs="Times New Roman"/>
                <w:color w:val="auto"/>
                <w:highlight w:val="none"/>
              </w:rPr>
              <w:t>。</w:t>
            </w:r>
          </w:p>
          <w:p w14:paraId="71FF412D">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（2）原料、产品堆场粉尘</w:t>
            </w:r>
          </w:p>
          <w:p w14:paraId="42B7F844">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本项目原料外购进场到指定堆场装卸和堆存时会产生无组织粉尘。本项目堆场表面铺盖苫布，四周设置防风抑尘网，安装喷淋装置进行定期</w:t>
            </w:r>
            <w:r>
              <w:rPr>
                <w:rFonts w:hint="default" w:ascii="Times New Roman" w:hAnsi="Times New Roman" w:cs="Times New Roman"/>
                <w:color w:val="auto"/>
                <w:sz w:val="24"/>
                <w:highlight w:val="none"/>
                <w:lang w:eastAsia="zh-CN"/>
              </w:rPr>
              <w:t>喷淋降尘</w:t>
            </w:r>
            <w:r>
              <w:rPr>
                <w:rFonts w:hint="default" w:ascii="Times New Roman" w:hAnsi="Times New Roman" w:cs="Times New Roman"/>
                <w:color w:val="auto"/>
                <w:sz w:val="24"/>
                <w:highlight w:val="none"/>
              </w:rPr>
              <w:t>。</w:t>
            </w:r>
          </w:p>
          <w:p w14:paraId="346A78DC">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本项目原料堆场年暂存量约为</w:t>
            </w:r>
            <w:r>
              <w:rPr>
                <w:rFonts w:hint="default" w:ascii="Times New Roman" w:hAnsi="Times New Roman" w:cs="Times New Roman"/>
                <w:color w:val="auto"/>
                <w:sz w:val="24"/>
                <w:highlight w:val="none"/>
                <w:lang w:val="en-US" w:eastAsia="zh-CN"/>
              </w:rPr>
              <w:t>9.56</w:t>
            </w:r>
            <w:r>
              <w:rPr>
                <w:rFonts w:hint="default" w:ascii="Times New Roman" w:hAnsi="Times New Roman" w:cs="Times New Roman"/>
                <w:color w:val="auto"/>
                <w:sz w:val="24"/>
                <w:highlight w:val="none"/>
              </w:rPr>
              <w:t>万t，经计算，本项目原料堆场粉尘产生量为</w:t>
            </w:r>
            <w:r>
              <w:rPr>
                <w:rFonts w:hint="default" w:ascii="Times New Roman" w:hAnsi="Times New Roman" w:cs="Times New Roman"/>
                <w:color w:val="auto"/>
                <w:sz w:val="24"/>
                <w:highlight w:val="none"/>
                <w:lang w:val="en-US" w:eastAsia="zh-CN"/>
              </w:rPr>
              <w:t>0.01</w:t>
            </w:r>
            <w:r>
              <w:rPr>
                <w:rFonts w:hint="default" w:ascii="Times New Roman" w:hAnsi="Times New Roman" w:cs="Times New Roman"/>
                <w:color w:val="auto"/>
                <w:sz w:val="24"/>
                <w:highlight w:val="none"/>
              </w:rPr>
              <w:t>t/a，</w:t>
            </w:r>
            <w:r>
              <w:rPr>
                <w:rFonts w:hint="default" w:ascii="Times New Roman" w:hAnsi="Times New Roman" w:cs="Times New Roman"/>
                <w:color w:val="auto"/>
                <w:sz w:val="24"/>
                <w:highlight w:val="none"/>
                <w:lang w:val="en-US" w:eastAsia="zh-CN"/>
              </w:rPr>
              <w:t>0.003</w:t>
            </w:r>
            <w:r>
              <w:rPr>
                <w:rFonts w:hint="default" w:ascii="Times New Roman" w:hAnsi="Times New Roman" w:cs="Times New Roman"/>
                <w:color w:val="auto"/>
                <w:sz w:val="24"/>
                <w:highlight w:val="none"/>
              </w:rPr>
              <w:t>kg/h，</w:t>
            </w:r>
            <w:r>
              <w:rPr>
                <w:rFonts w:hint="default" w:ascii="Times New Roman" w:hAnsi="Times New Roman" w:cs="Times New Roman"/>
                <w:color w:val="auto"/>
                <w:sz w:val="24"/>
                <w:highlight w:val="none"/>
                <w:lang w:val="en-US" w:eastAsia="zh-CN"/>
              </w:rPr>
              <w:t>本项目堆场设置防风抑尘网，设置喷淋系统喷淋，则堆场</w:t>
            </w:r>
            <w:r>
              <w:rPr>
                <w:rFonts w:hint="default" w:ascii="Times New Roman" w:hAnsi="Times New Roman" w:cs="Times New Roman"/>
                <w:color w:val="auto"/>
                <w:sz w:val="24"/>
                <w:highlight w:val="none"/>
              </w:rPr>
              <w:t>排放量为0.</w:t>
            </w:r>
            <w:r>
              <w:rPr>
                <w:rFonts w:hint="default" w:ascii="Times New Roman" w:hAnsi="Times New Roman" w:cs="Times New Roman"/>
                <w:color w:val="auto"/>
                <w:sz w:val="24"/>
                <w:highlight w:val="none"/>
                <w:lang w:val="en-US" w:eastAsia="zh-CN"/>
              </w:rPr>
              <w:t>001</w:t>
            </w:r>
            <w:r>
              <w:rPr>
                <w:rFonts w:hint="default" w:ascii="Times New Roman" w:hAnsi="Times New Roman" w:cs="Times New Roman"/>
                <w:color w:val="auto"/>
                <w:sz w:val="24"/>
                <w:highlight w:val="none"/>
              </w:rPr>
              <w:t>t/a，0.0</w:t>
            </w:r>
            <w:r>
              <w:rPr>
                <w:rFonts w:hint="default" w:ascii="Times New Roman" w:hAnsi="Times New Roman" w:cs="Times New Roman"/>
                <w:color w:val="auto"/>
                <w:sz w:val="24"/>
                <w:highlight w:val="none"/>
                <w:lang w:val="en-US" w:eastAsia="zh-CN"/>
              </w:rPr>
              <w:t>003</w:t>
            </w:r>
            <w:r>
              <w:rPr>
                <w:rFonts w:hint="default" w:ascii="Times New Roman" w:hAnsi="Times New Roman" w:cs="Times New Roman"/>
                <w:color w:val="auto"/>
                <w:sz w:val="24"/>
                <w:highlight w:val="none"/>
              </w:rPr>
              <w:t>kg/h</w:t>
            </w:r>
            <w:r>
              <w:rPr>
                <w:rFonts w:hint="default" w:ascii="Times New Roman" w:hAnsi="Times New Roman" w:cs="Times New Roman"/>
                <w:color w:val="auto"/>
                <w:sz w:val="24"/>
                <w:highlight w:val="none"/>
                <w:lang w:eastAsia="zh-CN"/>
              </w:rPr>
              <w:t>，污染物满足《大气污染物综合排放标准》（GB16297-1996）表 2 中无组织排放标准要求</w:t>
            </w:r>
            <w:r>
              <w:rPr>
                <w:rFonts w:hint="default" w:ascii="Times New Roman" w:hAnsi="Times New Roman" w:cs="Times New Roman"/>
                <w:color w:val="auto"/>
                <w:sz w:val="24"/>
                <w:highlight w:val="none"/>
              </w:rPr>
              <w:t>。</w:t>
            </w:r>
          </w:p>
          <w:p w14:paraId="0659F9C1">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（3）冷料上料和输送粉尘</w:t>
            </w:r>
          </w:p>
          <w:p w14:paraId="2FB2FAA5">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冷料通过铲车、封闭皮带输送至烘干筒，过程中会产生一定量的粉尘。参照</w:t>
            </w:r>
            <w:r>
              <w:rPr>
                <w:rFonts w:hint="default" w:ascii="Times New Roman" w:hAnsi="Times New Roman" w:eastAsia="宋体" w:cs="Times New Roman"/>
                <w:b w:val="0"/>
                <w:bCs w:val="0"/>
                <w:color w:val="auto"/>
                <w:sz w:val="24"/>
                <w:szCs w:val="24"/>
                <w:highlight w:val="none"/>
                <w:lang w:val="en-US" w:eastAsia="zh-CN"/>
              </w:rPr>
              <w:t>《逸散性工业粉尘控制技术》粒料加工厂中送料上堆排放因子系数为 0.0007kg/t（进料）</w:t>
            </w:r>
            <w:r>
              <w:rPr>
                <w:rFonts w:hint="default" w:ascii="Times New Roman" w:hAnsi="Times New Roman" w:cs="Times New Roman"/>
                <w:color w:val="auto"/>
                <w:highlight w:val="none"/>
              </w:rPr>
              <w:t>，项目碎石用</w:t>
            </w:r>
            <w:r>
              <w:rPr>
                <w:rFonts w:hint="default" w:ascii="Times New Roman" w:hAnsi="Times New Roman" w:cs="Times New Roman"/>
                <w:color w:val="auto"/>
                <w:highlight w:val="none"/>
                <w:lang w:val="en-US" w:eastAsia="zh-CN"/>
              </w:rPr>
              <w:t>9.56</w:t>
            </w:r>
            <w:r>
              <w:rPr>
                <w:rFonts w:hint="default" w:ascii="Times New Roman" w:hAnsi="Times New Roman" w:cs="Times New Roman"/>
                <w:color w:val="auto"/>
                <w:highlight w:val="none"/>
              </w:rPr>
              <w:t>万t，则冷料上料、输送粉尘产生量约为</w:t>
            </w:r>
            <w:r>
              <w:rPr>
                <w:rFonts w:hint="default" w:ascii="Times New Roman" w:hAnsi="Times New Roman" w:cs="Times New Roman"/>
                <w:color w:val="auto"/>
                <w:highlight w:val="none"/>
                <w:lang w:val="en-US" w:eastAsia="zh-CN"/>
              </w:rPr>
              <w:t>0.0669</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0.02kg/h</w:t>
            </w:r>
            <w:r>
              <w:rPr>
                <w:rFonts w:hint="default" w:ascii="Times New Roman" w:hAnsi="Times New Roman" w:cs="Times New Roman"/>
                <w:color w:val="auto"/>
                <w:highlight w:val="none"/>
              </w:rPr>
              <w:t>。</w:t>
            </w:r>
          </w:p>
          <w:p w14:paraId="4F7D03C5">
            <w:pPr>
              <w:pStyle w:val="63"/>
              <w:widowControl/>
              <w:spacing w:line="500" w:lineRule="exact"/>
              <w:ind w:firstLine="480"/>
              <w:rPr>
                <w:rFonts w:hint="default" w:ascii="Times New Roman" w:hAnsi="Times New Roman" w:cs="Times New Roman"/>
                <w:color w:val="auto"/>
                <w:highlight w:val="none"/>
                <w:lang w:bidi="ar"/>
              </w:rPr>
            </w:pPr>
            <w:r>
              <w:rPr>
                <w:rFonts w:hint="default" w:ascii="Times New Roman" w:hAnsi="Times New Roman" w:cs="Times New Roman"/>
                <w:bCs/>
                <w:color w:val="auto"/>
                <w:sz w:val="24"/>
                <w:highlight w:val="none"/>
              </w:rPr>
              <w:t>冷料上料于封闭式</w:t>
            </w:r>
            <w:r>
              <w:rPr>
                <w:rFonts w:hint="default" w:ascii="Times New Roman" w:hAnsi="Times New Roman" w:cs="Times New Roman"/>
                <w:bCs/>
                <w:color w:val="auto"/>
                <w:sz w:val="24"/>
                <w:highlight w:val="none"/>
                <w:lang w:val="en-US" w:eastAsia="zh-CN"/>
              </w:rPr>
              <w:t>骨料仓</w:t>
            </w:r>
            <w:r>
              <w:rPr>
                <w:rFonts w:hint="default" w:ascii="Times New Roman" w:hAnsi="Times New Roman" w:cs="Times New Roman"/>
                <w:bCs/>
                <w:color w:val="auto"/>
                <w:sz w:val="24"/>
                <w:highlight w:val="none"/>
              </w:rPr>
              <w:t>中进行，</w:t>
            </w:r>
            <w:r>
              <w:rPr>
                <w:rFonts w:hint="default" w:ascii="Times New Roman" w:hAnsi="Times New Roman" w:cs="Times New Roman"/>
                <w:color w:val="auto"/>
                <w:highlight w:val="none"/>
                <w:lang w:bidi="ar"/>
              </w:rPr>
              <w:t>则冷料上料粉尘无组织排放量为0.0</w:t>
            </w:r>
            <w:r>
              <w:rPr>
                <w:rFonts w:hint="default" w:ascii="Times New Roman" w:hAnsi="Times New Roman" w:cs="Times New Roman"/>
                <w:color w:val="auto"/>
                <w:highlight w:val="none"/>
                <w:lang w:val="en-US" w:eastAsia="zh-CN" w:bidi="ar"/>
              </w:rPr>
              <w:t>2</w:t>
            </w:r>
            <w:r>
              <w:rPr>
                <w:rFonts w:hint="default" w:ascii="Times New Roman" w:hAnsi="Times New Roman" w:cs="Times New Roman"/>
                <w:color w:val="auto"/>
                <w:highlight w:val="none"/>
                <w:lang w:bidi="ar"/>
              </w:rPr>
              <w:t>t/a</w:t>
            </w:r>
            <w:r>
              <w:rPr>
                <w:rFonts w:hint="default" w:ascii="Times New Roman" w:hAnsi="Times New Roman" w:cs="Times New Roman"/>
                <w:color w:val="auto"/>
                <w:highlight w:val="none"/>
                <w:lang w:eastAsia="zh-CN" w:bidi="ar"/>
              </w:rPr>
              <w:t>，</w:t>
            </w:r>
            <w:r>
              <w:rPr>
                <w:rFonts w:hint="default" w:ascii="Times New Roman" w:hAnsi="Times New Roman" w:cs="Times New Roman"/>
                <w:color w:val="auto"/>
                <w:highlight w:val="none"/>
                <w:lang w:val="en-US" w:eastAsia="zh-CN" w:bidi="ar"/>
              </w:rPr>
              <w:t>0.006kg/h，</w:t>
            </w:r>
            <w:r>
              <w:rPr>
                <w:rFonts w:hint="default" w:ascii="Times New Roman" w:hAnsi="Times New Roman" w:cs="Times New Roman"/>
                <w:color w:val="auto"/>
                <w:sz w:val="24"/>
                <w:highlight w:val="none"/>
                <w:lang w:eastAsia="zh-CN"/>
              </w:rPr>
              <w:t>污染物满足《大气污染物综合排放标准》（GB16297-1996）表 2 中无组织排放标准要求</w:t>
            </w:r>
            <w:r>
              <w:rPr>
                <w:rFonts w:hint="default" w:ascii="Times New Roman" w:hAnsi="Times New Roman" w:cs="Times New Roman"/>
                <w:color w:val="auto"/>
                <w:highlight w:val="none"/>
                <w:lang w:bidi="ar"/>
              </w:rPr>
              <w:t>。</w:t>
            </w:r>
          </w:p>
          <w:p w14:paraId="37CA4F2D">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筒仓</w:t>
            </w:r>
            <w:r>
              <w:rPr>
                <w:rFonts w:hint="default" w:ascii="Times New Roman" w:hAnsi="Times New Roman" w:cs="Times New Roman"/>
                <w:color w:val="auto"/>
                <w:highlight w:val="none"/>
              </w:rPr>
              <w:t>粉尘</w:t>
            </w:r>
          </w:p>
          <w:p w14:paraId="0D66CA80">
            <w:pPr>
              <w:pStyle w:val="63"/>
              <w:widowControl/>
              <w:spacing w:line="500" w:lineRule="exact"/>
              <w:ind w:firstLine="48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本项目外购矿粉由专用罐车运输进厂，通过罐车自带的管道以负压吸入料斗，再以压缩空气（正压）通过管道吹入粉料筒仓内。依据《散逸性工业粉尘控制技术》中混凝土分批加班厂的卸料粉至高架贮仓的排放因子计算，排放因子为0.12kg/t，筒仓粉尘产生量为0.06t/a，产生速率为3.37kg/h。</w:t>
            </w:r>
          </w:p>
          <w:p w14:paraId="2E69E24D">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vertAlign w:val="baseline"/>
                <w:lang w:val="en-US" w:eastAsia="zh-CN"/>
              </w:rPr>
              <w:t>筒仓自带布袋除尘（除尘效率99%）处理后经筒仓顶端呼吸口排放。</w:t>
            </w:r>
            <w:r>
              <w:rPr>
                <w:rFonts w:hint="default" w:ascii="Times New Roman" w:hAnsi="Times New Roman" w:cs="Times New Roman"/>
                <w:color w:val="auto"/>
                <w:highlight w:val="none"/>
                <w:lang w:val="en-US" w:eastAsia="zh-CN"/>
              </w:rPr>
              <w:t>筒仓无</w:t>
            </w:r>
            <w:r>
              <w:rPr>
                <w:rFonts w:hint="default" w:ascii="Times New Roman" w:hAnsi="Times New Roman" w:cs="Times New Roman"/>
                <w:color w:val="auto"/>
                <w:highlight w:val="none"/>
              </w:rPr>
              <w:t>组织粉尘排放量为</w:t>
            </w:r>
            <w:r>
              <w:rPr>
                <w:rFonts w:hint="default" w:ascii="Times New Roman" w:hAnsi="Times New Roman" w:cs="Times New Roman"/>
                <w:color w:val="auto"/>
                <w:highlight w:val="none"/>
                <w:lang w:val="en-US" w:eastAsia="zh-CN"/>
              </w:rPr>
              <w:t>0.0006</w:t>
            </w:r>
            <w:r>
              <w:rPr>
                <w:rFonts w:hint="default" w:ascii="Times New Roman" w:hAnsi="Times New Roman" w:cs="Times New Roman"/>
                <w:color w:val="auto"/>
                <w:highlight w:val="none"/>
              </w:rPr>
              <w:t>t/a，0.</w:t>
            </w:r>
            <w:r>
              <w:rPr>
                <w:rFonts w:hint="default" w:ascii="Times New Roman" w:hAnsi="Times New Roman" w:cs="Times New Roman"/>
                <w:color w:val="auto"/>
                <w:highlight w:val="none"/>
                <w:lang w:val="en-US" w:eastAsia="zh-CN"/>
              </w:rPr>
              <w:t>0375</w:t>
            </w:r>
            <w:r>
              <w:rPr>
                <w:rFonts w:hint="default" w:ascii="Times New Roman" w:hAnsi="Times New Roman" w:cs="Times New Roman"/>
                <w:color w:val="auto"/>
                <w:highlight w:val="none"/>
              </w:rPr>
              <w:t>kg/h。</w:t>
            </w:r>
          </w:p>
          <w:p w14:paraId="1D356E69">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（5）骨料烘干工序废气</w:t>
            </w:r>
          </w:p>
          <w:p w14:paraId="55757B59">
            <w:pPr>
              <w:pStyle w:val="63"/>
              <w:widowControl/>
              <w:spacing w:line="500" w:lineRule="exact"/>
              <w:ind w:firstLine="482"/>
              <w:rPr>
                <w:rFonts w:hint="default" w:ascii="Times New Roman" w:hAnsi="Times New Roman" w:eastAsia="宋体" w:cs="Times New Roman"/>
                <w:color w:val="auto"/>
                <w:highlight w:val="none"/>
                <w:lang w:val="en-US" w:eastAsia="zh-CN"/>
              </w:rPr>
            </w:pPr>
            <w:r>
              <w:rPr>
                <w:rFonts w:hint="default" w:ascii="Times New Roman" w:hAnsi="Times New Roman" w:cs="Times New Roman"/>
                <w:b/>
                <w:bCs/>
                <w:color w:val="auto"/>
                <w:highlight w:val="none"/>
              </w:rPr>
              <w:t>粉尘：</w:t>
            </w:r>
            <w:r>
              <w:rPr>
                <w:rFonts w:hint="default" w:ascii="Times New Roman" w:hAnsi="Times New Roman" w:cs="Times New Roman"/>
                <w:color w:val="auto"/>
                <w:highlight w:val="none"/>
              </w:rPr>
              <w:t>本项目用碎石配制骨料，在骨料烘干过程中，会产生一定量的粉尘。参照</w:t>
            </w:r>
            <w:r>
              <w:rPr>
                <w:rFonts w:hint="default" w:ascii="Times New Roman" w:hAnsi="Times New Roman" w:cs="Times New Roman"/>
                <w:color w:val="auto"/>
                <w:kern w:val="0"/>
                <w:sz w:val="24"/>
                <w:highlight w:val="none"/>
              </w:rPr>
              <w:t>《《逸散性工业粉尘控制技术》中“沥青混凝土制造厂逸散尘排放因子”，骨料烘干和振动筛分产生的粉尘为0.25kg/t物料，本项目碎石用料为</w:t>
            </w:r>
            <w:r>
              <w:rPr>
                <w:rFonts w:hint="default" w:ascii="Times New Roman" w:hAnsi="Times New Roman" w:cs="Times New Roman"/>
                <w:color w:val="auto"/>
                <w:kern w:val="0"/>
                <w:sz w:val="24"/>
                <w:highlight w:val="none"/>
                <w:lang w:val="en-US" w:eastAsia="zh-CN"/>
              </w:rPr>
              <w:t>9.56</w:t>
            </w:r>
            <w:r>
              <w:rPr>
                <w:rFonts w:hint="default" w:ascii="Times New Roman" w:hAnsi="Times New Roman" w:cs="Times New Roman"/>
                <w:color w:val="auto"/>
                <w:kern w:val="0"/>
                <w:sz w:val="24"/>
                <w:highlight w:val="none"/>
              </w:rPr>
              <w:t>万t，则本项目粉尘产生量为</w:t>
            </w:r>
            <w:r>
              <w:rPr>
                <w:rFonts w:hint="default" w:ascii="Times New Roman" w:hAnsi="Times New Roman" w:cs="Times New Roman"/>
                <w:color w:val="auto"/>
                <w:highlight w:val="none"/>
                <w:lang w:val="en-US" w:eastAsia="zh-CN"/>
              </w:rPr>
              <w:t>23.9</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废气经</w:t>
            </w:r>
            <w:r>
              <w:rPr>
                <w:rFonts w:hint="default" w:ascii="Times New Roman" w:hAnsi="Times New Roman" w:cs="Times New Roman"/>
                <w:color w:val="auto"/>
                <w:sz w:val="24"/>
                <w:highlight w:val="none"/>
              </w:rPr>
              <w:t>旋风除尘器（除尘效率40%）+布袋除尘器（除尘效率99%）</w:t>
            </w:r>
            <w:r>
              <w:rPr>
                <w:rFonts w:hint="default" w:ascii="Times New Roman" w:hAnsi="Times New Roman" w:cs="Times New Roman"/>
                <w:color w:val="auto"/>
                <w:sz w:val="24"/>
                <w:highlight w:val="none"/>
                <w:lang w:val="en-US" w:eastAsia="zh-CN"/>
              </w:rPr>
              <w:t>处理后排放，排放量为0.1434t/a。</w:t>
            </w:r>
          </w:p>
          <w:p w14:paraId="28F8F936">
            <w:pPr>
              <w:pStyle w:val="95"/>
              <w:spacing w:line="500" w:lineRule="exact"/>
              <w:ind w:firstLine="482"/>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烘干燃烧器燃油烟气：</w:t>
            </w:r>
            <w:r>
              <w:rPr>
                <w:rFonts w:hint="default" w:ascii="Times New Roman" w:hAnsi="Times New Roman" w:cs="Times New Roman"/>
                <w:color w:val="auto"/>
                <w:sz w:val="24"/>
                <w:highlight w:val="none"/>
              </w:rPr>
              <w:t>本项目采用烘干燃烧器向烘干滚筒喷入火焰的方式对骨料进行加热，</w:t>
            </w:r>
            <w:r>
              <w:rPr>
                <w:rFonts w:hint="default" w:ascii="Times New Roman" w:hAnsi="Times New Roman" w:cs="Times New Roman"/>
                <w:color w:val="auto"/>
                <w:sz w:val="24"/>
                <w:highlight w:val="none"/>
                <w:lang w:val="en-US" w:eastAsia="zh-CN"/>
              </w:rPr>
              <w:t>燃烧器采用低氮燃烧，</w:t>
            </w:r>
            <w:r>
              <w:rPr>
                <w:rFonts w:hint="default" w:ascii="Times New Roman" w:hAnsi="Times New Roman" w:cs="Times New Roman"/>
                <w:color w:val="auto"/>
                <w:sz w:val="24"/>
                <w:highlight w:val="none"/>
              </w:rPr>
              <w:t>烘干燃烧器以轻质柴油为燃料，柴油燃烧会产生燃油烟气。</w:t>
            </w:r>
            <w:r>
              <w:rPr>
                <w:rFonts w:hint="default" w:ascii="Times New Roman" w:hAnsi="Times New Roman" w:cs="Times New Roman"/>
                <w:color w:val="auto"/>
                <w:kern w:val="0"/>
                <w:sz w:val="24"/>
                <w:highlight w:val="none"/>
              </w:rPr>
              <w:t>本项目骨料含水率约为</w:t>
            </w:r>
            <w:r>
              <w:rPr>
                <w:rFonts w:hint="default" w:ascii="Times New Roman" w:hAnsi="Times New Roman" w:cs="Times New Roman"/>
                <w:color w:val="auto"/>
                <w:kern w:val="0"/>
                <w:sz w:val="24"/>
                <w:highlight w:val="none"/>
                <w:lang w:val="en-US" w:eastAsia="zh-CN"/>
              </w:rPr>
              <w:t>5</w:t>
            </w:r>
            <w:r>
              <w:rPr>
                <w:rFonts w:hint="default" w:ascii="Times New Roman" w:hAnsi="Times New Roman" w:cs="Times New Roman"/>
                <w:color w:val="auto"/>
                <w:kern w:val="0"/>
                <w:sz w:val="24"/>
                <w:highlight w:val="none"/>
              </w:rPr>
              <w:t>%，水的比热容为4.2×10</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J/（kg•℃），</w:t>
            </w:r>
            <w:r>
              <w:rPr>
                <w:rFonts w:hint="default" w:ascii="Times New Roman" w:hAnsi="Times New Roman" w:cs="Times New Roman"/>
                <w:color w:val="auto"/>
                <w:sz w:val="24"/>
                <w:highlight w:val="none"/>
              </w:rPr>
              <w:t>需加热的碎石用料为</w:t>
            </w:r>
            <w:r>
              <w:rPr>
                <w:rFonts w:hint="default" w:ascii="Times New Roman" w:hAnsi="Times New Roman" w:cs="Times New Roman"/>
                <w:color w:val="auto"/>
                <w:sz w:val="24"/>
                <w:highlight w:val="none"/>
                <w:lang w:val="en-US" w:eastAsia="zh-CN"/>
              </w:rPr>
              <w:t>9.6</w:t>
            </w:r>
            <w:r>
              <w:rPr>
                <w:rFonts w:hint="default" w:ascii="Times New Roman" w:hAnsi="Times New Roman" w:cs="Times New Roman"/>
                <w:color w:val="auto"/>
                <w:sz w:val="24"/>
                <w:highlight w:val="none"/>
              </w:rPr>
              <w:t>万t，则烘干燃烧器柴油的消耗量取最大值为</w:t>
            </w:r>
            <w:r>
              <w:rPr>
                <w:rFonts w:hint="default" w:ascii="Times New Roman" w:hAnsi="Times New Roman" w:cs="Times New Roman"/>
                <w:color w:val="auto"/>
                <w:sz w:val="24"/>
                <w:highlight w:val="none"/>
                <w:lang w:val="en-US" w:eastAsia="zh-CN"/>
              </w:rPr>
              <w:t>322.86</w:t>
            </w:r>
            <w:r>
              <w:rPr>
                <w:rFonts w:hint="default" w:ascii="Times New Roman" w:hAnsi="Times New Roman" w:cs="Times New Roman"/>
                <w:color w:val="auto"/>
                <w:sz w:val="24"/>
                <w:highlight w:val="none"/>
              </w:rPr>
              <w:t>t/a。</w:t>
            </w:r>
          </w:p>
          <w:p w14:paraId="318E9403">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燃油废气与烘干、筛分粉尘形成混合气体，烘干滚筒配套燃烧器产生的燃油废气与烘干滚筒、振动筛共用一套废气处理装置，混合气体通过旋风除尘器（除尘效率40%）+布袋除尘器（除尘效率99%）处理后通过</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m排气筒DA00</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排放。</w:t>
            </w:r>
          </w:p>
          <w:p w14:paraId="47D53170">
            <w:pPr>
              <w:pStyle w:val="95"/>
              <w:spacing w:line="500" w:lineRule="exact"/>
              <w:ind w:firstLine="48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本项目排气筒DA00</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混合气体颗粒物排放量为</w:t>
            </w:r>
            <w:r>
              <w:rPr>
                <w:rFonts w:hint="default" w:ascii="Times New Roman" w:hAnsi="Times New Roman" w:cs="Times New Roman"/>
                <w:color w:val="auto"/>
                <w:sz w:val="24"/>
                <w:highlight w:val="none"/>
                <w:lang w:val="en-US" w:eastAsia="zh-CN"/>
              </w:rPr>
              <w:t>0.144</w:t>
            </w:r>
            <w:r>
              <w:rPr>
                <w:rFonts w:hint="default" w:ascii="Times New Roman" w:hAnsi="Times New Roman" w:cs="Times New Roman"/>
                <w:color w:val="auto"/>
                <w:sz w:val="24"/>
                <w:highlight w:val="none"/>
              </w:rPr>
              <w:t>t/a、</w:t>
            </w:r>
            <w:r>
              <w:rPr>
                <w:rFonts w:hint="default" w:ascii="Times New Roman" w:hAnsi="Times New Roman" w:cs="Times New Roman"/>
                <w:color w:val="auto"/>
                <w:sz w:val="24"/>
                <w:highlight w:val="none"/>
                <w:lang w:val="en-US" w:eastAsia="zh-CN"/>
              </w:rPr>
              <w:t>0.33</w:t>
            </w:r>
            <w:r>
              <w:rPr>
                <w:rFonts w:hint="default" w:ascii="Times New Roman" w:hAnsi="Times New Roman" w:cs="Times New Roman"/>
                <w:color w:val="auto"/>
                <w:sz w:val="24"/>
                <w:highlight w:val="none"/>
              </w:rPr>
              <w:t>kg/h、</w:t>
            </w:r>
            <w:r>
              <w:rPr>
                <w:rFonts w:hint="default" w:ascii="Times New Roman" w:hAnsi="Times New Roman" w:cs="Times New Roman"/>
                <w:color w:val="auto"/>
                <w:sz w:val="24"/>
                <w:highlight w:val="none"/>
                <w:lang w:val="en-US" w:eastAsia="zh-CN"/>
              </w:rPr>
              <w:t>25.05</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排放量为</w:t>
            </w:r>
            <w:r>
              <w:rPr>
                <w:rFonts w:hint="default" w:ascii="Times New Roman" w:hAnsi="Times New Roman" w:cs="Times New Roman"/>
                <w:color w:val="auto"/>
                <w:sz w:val="24"/>
                <w:highlight w:val="none"/>
                <w:lang w:val="en-US" w:eastAsia="zh-CN"/>
              </w:rPr>
              <w:t>0.006</w:t>
            </w:r>
            <w:r>
              <w:rPr>
                <w:rFonts w:hint="default" w:ascii="Times New Roman" w:hAnsi="Times New Roman" w:cs="Times New Roman"/>
                <w:color w:val="auto"/>
                <w:sz w:val="24"/>
                <w:highlight w:val="none"/>
              </w:rPr>
              <w:t>t/a、0.</w:t>
            </w:r>
            <w:r>
              <w:rPr>
                <w:rFonts w:hint="default" w:ascii="Times New Roman" w:hAnsi="Times New Roman" w:cs="Times New Roman"/>
                <w:color w:val="auto"/>
                <w:sz w:val="24"/>
                <w:highlight w:val="none"/>
                <w:lang w:val="en-US" w:eastAsia="zh-CN"/>
              </w:rPr>
              <w:t>014</w:t>
            </w:r>
            <w:r>
              <w:rPr>
                <w:rFonts w:hint="default" w:ascii="Times New Roman" w:hAnsi="Times New Roman" w:cs="Times New Roman"/>
                <w:color w:val="auto"/>
                <w:sz w:val="24"/>
                <w:highlight w:val="none"/>
              </w:rPr>
              <w:t>kg/h、</w:t>
            </w:r>
            <w:r>
              <w:rPr>
                <w:rFonts w:hint="default" w:ascii="Times New Roman" w:hAnsi="Times New Roman" w:cs="Times New Roman"/>
                <w:color w:val="auto"/>
                <w:sz w:val="24"/>
                <w:highlight w:val="none"/>
                <w:lang w:val="en-US" w:eastAsia="zh-CN"/>
              </w:rPr>
              <w:t>1.04</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，NOx排放量为0.685t/a、1.568kg/h、119.17mg/m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lang w:eastAsia="zh-CN"/>
              </w:rPr>
              <w:t>，污染物排放满足《大气污染物综合排放标准》（GB16297-1996）表 2 中二级排放标准要求</w:t>
            </w:r>
            <w:r>
              <w:rPr>
                <w:rFonts w:hint="default" w:ascii="Times New Roman" w:hAnsi="Times New Roman" w:cs="Times New Roman"/>
                <w:color w:val="auto"/>
                <w:sz w:val="24"/>
                <w:highlight w:val="none"/>
              </w:rPr>
              <w:t>。</w:t>
            </w:r>
          </w:p>
          <w:p w14:paraId="5EDAC3C8">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（6）导热油炉烟气</w:t>
            </w:r>
          </w:p>
          <w:p w14:paraId="0A37667D">
            <w:pPr>
              <w:pStyle w:val="95"/>
              <w:spacing w:line="500" w:lineRule="exact"/>
              <w:ind w:firstLine="480"/>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本项目用于加热沥青储罐的导热油炉以轻质柴油为燃料，</w:t>
            </w:r>
            <w:r>
              <w:rPr>
                <w:rFonts w:hint="default" w:ascii="Times New Roman" w:hAnsi="Times New Roman" w:cs="Times New Roman"/>
                <w:color w:val="auto"/>
                <w:sz w:val="24"/>
                <w:highlight w:val="none"/>
                <w:lang w:val="en-US" w:eastAsia="zh-CN"/>
              </w:rPr>
              <w:t>导热油炉采用低氮燃烧技术，</w:t>
            </w:r>
            <w:r>
              <w:rPr>
                <w:rFonts w:hint="default" w:ascii="Times New Roman" w:hAnsi="Times New Roman" w:cs="Times New Roman"/>
                <w:color w:val="auto"/>
                <w:sz w:val="24"/>
                <w:highlight w:val="none"/>
              </w:rPr>
              <w:t>烟气中的主要污染物为颗粒物、SO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、NO</w:t>
            </w:r>
            <w:r>
              <w:rPr>
                <w:rFonts w:hint="default" w:ascii="Times New Roman" w:hAnsi="Times New Roman" w:cs="Times New Roman"/>
                <w:color w:val="auto"/>
                <w:sz w:val="24"/>
                <w:highlight w:val="none"/>
                <w:vertAlign w:val="subscript"/>
              </w:rPr>
              <w:t>X</w:t>
            </w:r>
            <w:r>
              <w:rPr>
                <w:rFonts w:hint="default" w:ascii="Times New Roman" w:hAnsi="Times New Roman" w:cs="Times New Roman"/>
                <w:color w:val="auto"/>
                <w:sz w:val="24"/>
                <w:highlight w:val="none"/>
              </w:rPr>
              <w:t>。</w:t>
            </w:r>
            <w:r>
              <w:rPr>
                <w:rFonts w:hint="default" w:ascii="Times New Roman" w:hAnsi="Times New Roman" w:cs="Times New Roman"/>
                <w:bCs/>
                <w:color w:val="auto"/>
                <w:sz w:val="24"/>
                <w:highlight w:val="none"/>
              </w:rPr>
              <w:t>本项目导热油炉的燃料消耗量为</w:t>
            </w:r>
            <w:r>
              <w:rPr>
                <w:rFonts w:hint="default" w:ascii="Times New Roman" w:hAnsi="Times New Roman" w:cs="Times New Roman"/>
                <w:bCs/>
                <w:color w:val="auto"/>
                <w:sz w:val="24"/>
                <w:highlight w:val="none"/>
                <w:lang w:val="en-US" w:eastAsia="zh-CN"/>
              </w:rPr>
              <w:t>48.01</w:t>
            </w:r>
            <w:r>
              <w:rPr>
                <w:rFonts w:hint="default" w:ascii="Times New Roman" w:hAnsi="Times New Roman" w:cs="Times New Roman"/>
                <w:bCs/>
                <w:color w:val="auto"/>
                <w:sz w:val="24"/>
                <w:highlight w:val="none"/>
              </w:rPr>
              <w:t>t/a。</w:t>
            </w:r>
          </w:p>
          <w:p w14:paraId="11D1F410">
            <w:pPr>
              <w:pStyle w:val="95"/>
              <w:spacing w:line="500" w:lineRule="atLeas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本项目导热油炉烟气</w:t>
            </w:r>
            <w:r>
              <w:rPr>
                <w:rFonts w:hint="default"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rPr>
              <w:t>m高烟囱DA00</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排放。本项目导热油炉颗粒物排放量为0.</w:t>
            </w:r>
            <w:r>
              <w:rPr>
                <w:rFonts w:hint="default" w:ascii="Times New Roman" w:hAnsi="Times New Roman" w:cs="Times New Roman"/>
                <w:color w:val="auto"/>
                <w:sz w:val="24"/>
                <w:highlight w:val="none"/>
                <w:lang w:val="en-US" w:eastAsia="zh-CN"/>
              </w:rPr>
              <w:t>012</w:t>
            </w:r>
            <w:r>
              <w:rPr>
                <w:rFonts w:hint="default" w:ascii="Times New Roman" w:hAnsi="Times New Roman" w:cs="Times New Roman"/>
                <w:color w:val="auto"/>
                <w:sz w:val="24"/>
                <w:highlight w:val="none"/>
              </w:rPr>
              <w:t>t/a、0.</w:t>
            </w:r>
            <w:r>
              <w:rPr>
                <w:rFonts w:hint="default" w:ascii="Times New Roman" w:hAnsi="Times New Roman" w:cs="Times New Roman"/>
                <w:color w:val="auto"/>
                <w:sz w:val="24"/>
                <w:highlight w:val="none"/>
                <w:lang w:val="en-US" w:eastAsia="zh-CN"/>
              </w:rPr>
              <w:t>027</w:t>
            </w:r>
            <w:r>
              <w:rPr>
                <w:rFonts w:hint="default" w:ascii="Times New Roman" w:hAnsi="Times New Roman" w:cs="Times New Roman"/>
                <w:color w:val="auto"/>
                <w:sz w:val="24"/>
                <w:highlight w:val="none"/>
              </w:rPr>
              <w:t>kg/h、</w:t>
            </w:r>
            <w:r>
              <w:rPr>
                <w:rFonts w:hint="default" w:ascii="Times New Roman" w:hAnsi="Times New Roman" w:cs="Times New Roman"/>
                <w:color w:val="auto"/>
                <w:sz w:val="24"/>
                <w:highlight w:val="none"/>
                <w:lang w:val="en-US" w:eastAsia="zh-CN"/>
              </w:rPr>
              <w:t>14.04</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排放量为0.0</w:t>
            </w:r>
            <w:r>
              <w:rPr>
                <w:rFonts w:hint="default" w:ascii="Times New Roman" w:hAnsi="Times New Roman" w:cs="Times New Roman"/>
                <w:color w:val="auto"/>
                <w:sz w:val="24"/>
                <w:highlight w:val="none"/>
                <w:lang w:val="en-US" w:eastAsia="zh-CN"/>
              </w:rPr>
              <w:t>01</w:t>
            </w:r>
            <w:r>
              <w:rPr>
                <w:rFonts w:hint="default" w:ascii="Times New Roman" w:hAnsi="Times New Roman" w:cs="Times New Roman"/>
                <w:color w:val="auto"/>
                <w:sz w:val="24"/>
                <w:highlight w:val="none"/>
              </w:rPr>
              <w:t>t/a、0.</w:t>
            </w:r>
            <w:r>
              <w:rPr>
                <w:rFonts w:hint="default" w:ascii="Times New Roman" w:hAnsi="Times New Roman" w:cs="Times New Roman"/>
                <w:color w:val="auto"/>
                <w:sz w:val="24"/>
                <w:highlight w:val="none"/>
                <w:lang w:val="en-US" w:eastAsia="zh-CN"/>
              </w:rPr>
              <w:t>002</w:t>
            </w:r>
            <w:r>
              <w:rPr>
                <w:rFonts w:hint="default" w:ascii="Times New Roman" w:hAnsi="Times New Roman" w:cs="Times New Roman"/>
                <w:color w:val="auto"/>
                <w:sz w:val="24"/>
                <w:highlight w:val="none"/>
              </w:rPr>
              <w:t>kg/h、</w:t>
            </w:r>
            <w:r>
              <w:rPr>
                <w:rFonts w:hint="default" w:ascii="Times New Roman" w:hAnsi="Times New Roman" w:cs="Times New Roman"/>
                <w:color w:val="auto"/>
                <w:sz w:val="24"/>
                <w:highlight w:val="none"/>
                <w:lang w:val="en-US" w:eastAsia="zh-CN"/>
              </w:rPr>
              <w:t>1.17</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，NOx排放量为</w:t>
            </w:r>
            <w:r>
              <w:rPr>
                <w:rFonts w:hint="default" w:ascii="Times New Roman" w:hAnsi="Times New Roman" w:cs="Times New Roman"/>
                <w:color w:val="auto"/>
                <w:sz w:val="24"/>
                <w:highlight w:val="none"/>
                <w:lang w:val="en-US" w:eastAsia="zh-CN"/>
              </w:rPr>
              <w:t>0.102</w:t>
            </w:r>
            <w:r>
              <w:rPr>
                <w:rFonts w:hint="default" w:ascii="Times New Roman" w:hAnsi="Times New Roman" w:cs="Times New Roman"/>
                <w:color w:val="auto"/>
                <w:sz w:val="24"/>
                <w:highlight w:val="none"/>
              </w:rPr>
              <w:t>t/a、</w:t>
            </w:r>
            <w:r>
              <w:rPr>
                <w:rFonts w:hint="default" w:ascii="Times New Roman" w:hAnsi="Times New Roman" w:cs="Times New Roman"/>
                <w:color w:val="auto"/>
                <w:sz w:val="24"/>
                <w:highlight w:val="none"/>
                <w:lang w:val="en-US" w:eastAsia="zh-CN"/>
              </w:rPr>
              <w:t>0.231</w:t>
            </w:r>
            <w:r>
              <w:rPr>
                <w:rFonts w:hint="default" w:ascii="Times New Roman" w:hAnsi="Times New Roman" w:cs="Times New Roman"/>
                <w:color w:val="auto"/>
                <w:sz w:val="24"/>
                <w:highlight w:val="none"/>
              </w:rPr>
              <w:t>kg/h、</w:t>
            </w:r>
            <w:r>
              <w:rPr>
                <w:rFonts w:hint="default" w:ascii="Times New Roman" w:hAnsi="Times New Roman" w:cs="Times New Roman"/>
                <w:color w:val="auto"/>
                <w:sz w:val="24"/>
                <w:highlight w:val="none"/>
                <w:lang w:val="en-US" w:eastAsia="zh-CN"/>
              </w:rPr>
              <w:t>119.33</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，污染物排放满足《锅炉大气污染物排放标准》（GB13271-2014）表 2 新建锅炉大气污染物排放浓度限值要求。</w:t>
            </w:r>
          </w:p>
          <w:p w14:paraId="6F2AC5CC">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（7）加热沥青储罐、搅拌及出料产生的沥青烟气</w:t>
            </w:r>
          </w:p>
          <w:p w14:paraId="1F1FE04A">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sz w:val="24"/>
                <w:szCs w:val="24"/>
                <w:highlight w:val="none"/>
                <w:vertAlign w:val="baseline"/>
                <w:lang w:val="en-US" w:eastAsia="zh-CN"/>
              </w:rPr>
              <w:t>本项目配置的沥青混合料搅拌生产线为全自动密闭装置，生产过程基本无沥青烟产生。项目营运期沥青烟产生点为：一处为沥青储罐加热过程沥青储罐呼吸口；二处为搅拌器成品出料过程产生，成品沥青混合料利用高位差，自动落入外运汽车的接料槽内时会产生沥青烟；三为乳化沥青搅拌产生的搅拌废气。项目成品外运装卸区设置有成品外运装卸房， 汽车进入装卸工位装卸成品时，装卸房完全密闭</w:t>
            </w:r>
            <w:r>
              <w:rPr>
                <w:rFonts w:hint="default" w:ascii="Times New Roman" w:hAnsi="Times New Roman" w:cs="Times New Roman"/>
                <w:color w:val="auto"/>
                <w:highlight w:val="none"/>
              </w:rPr>
              <w:t>。</w:t>
            </w:r>
            <w:r>
              <w:rPr>
                <w:rFonts w:hint="default" w:ascii="Times New Roman" w:hAnsi="Times New Roman" w:cs="Times New Roman"/>
                <w:color w:val="auto"/>
                <w:kern w:val="0"/>
                <w:sz w:val="24"/>
                <w:szCs w:val="24"/>
                <w:highlight w:val="none"/>
                <w:lang w:eastAsia="zh-CN"/>
              </w:rPr>
              <w:t>本项目采取分散收集统一处理的方式，生产期间沥青烟、苯并[a]芘经一套</w:t>
            </w:r>
            <w:r>
              <w:rPr>
                <w:rFonts w:hint="default" w:ascii="Times New Roman" w:hAnsi="Times New Roman" w:cs="Times New Roman"/>
                <w:color w:val="auto"/>
                <w:kern w:val="0"/>
                <w:sz w:val="24"/>
                <w:szCs w:val="24"/>
                <w:highlight w:val="none"/>
                <w:lang w:val="en-US" w:eastAsia="zh-CN"/>
              </w:rPr>
              <w:t>电捕焦油器+</w:t>
            </w:r>
            <w:r>
              <w:rPr>
                <w:rFonts w:hint="default" w:ascii="Times New Roman" w:hAnsi="Times New Roman" w:cs="Times New Roman"/>
                <w:color w:val="auto"/>
                <w:kern w:val="0"/>
                <w:sz w:val="24"/>
                <w:szCs w:val="24"/>
                <w:highlight w:val="none"/>
                <w:lang w:eastAsia="zh-CN"/>
              </w:rPr>
              <w:t>活性炭吸附装置处理。</w:t>
            </w:r>
            <w:r>
              <w:rPr>
                <w:rFonts w:hint="default" w:ascii="Times New Roman" w:hAnsi="Times New Roman" w:cs="Times New Roman"/>
                <w:color w:val="auto"/>
                <w:kern w:val="0"/>
                <w:sz w:val="24"/>
                <w:szCs w:val="24"/>
                <w:highlight w:val="none"/>
                <w:lang w:val="en-US" w:eastAsia="zh-CN"/>
              </w:rPr>
              <w:t>该工序废气产生量</w:t>
            </w:r>
            <w:r>
              <w:rPr>
                <w:rFonts w:hint="default" w:ascii="Times New Roman" w:hAnsi="Times New Roman" w:eastAsia="宋体" w:cs="Times New Roman"/>
                <w:color w:val="auto"/>
                <w:sz w:val="24"/>
                <w:szCs w:val="24"/>
                <w:highlight w:val="none"/>
                <w:vertAlign w:val="baseline"/>
                <w:lang w:val="en-US" w:eastAsia="zh-CN"/>
              </w:rPr>
              <w:t>参考研究论文《沥青烟产生机理研究》（期刊《石油沥青》第 29 卷第 5 期，2015 年 10 月）中数据，沥青烟在沥青加热、搅拌过程中的产生量约为 250mg/kg</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eastAsia="宋体" w:cs="Times New Roman"/>
                <w:color w:val="auto"/>
                <w:sz w:val="24"/>
                <w:szCs w:val="24"/>
                <w:highlight w:val="none"/>
                <w:vertAlign w:val="baseline"/>
                <w:lang w:val="en-US" w:eastAsia="zh-CN"/>
              </w:rPr>
              <w:t>根据金相灿主编的《有机化合物污染化学》(清华大学出版社，1990年8月出版）中提供数据，沥青烟中苯并[a]芘含量约 0.01~0.02‰，每吨石油沥青在加热(150℃~170℃)过程中可产生非甲烷总烃气体0.1g~0.15g，取其</w:t>
            </w:r>
            <w:r>
              <w:rPr>
                <w:rFonts w:hint="default" w:ascii="Times New Roman" w:hAnsi="Times New Roman" w:cs="Times New Roman"/>
                <w:color w:val="auto"/>
                <w:sz w:val="24"/>
                <w:szCs w:val="24"/>
                <w:highlight w:val="none"/>
                <w:vertAlign w:val="baseline"/>
                <w:lang w:val="en-US" w:eastAsia="zh-CN"/>
              </w:rPr>
              <w:t>最大值</w:t>
            </w:r>
            <w:r>
              <w:rPr>
                <w:rFonts w:hint="default" w:ascii="Times New Roman" w:hAnsi="Times New Roman" w:eastAsia="宋体" w:cs="Times New Roman"/>
                <w:color w:val="auto"/>
                <w:sz w:val="24"/>
                <w:szCs w:val="24"/>
                <w:highlight w:val="none"/>
                <w:vertAlign w:val="baseline"/>
                <w:lang w:val="en-US" w:eastAsia="zh-CN"/>
              </w:rPr>
              <w:t>0.15g</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eastAsia="宋体" w:cs="Times New Roman"/>
                <w:color w:val="auto"/>
                <w:sz w:val="24"/>
                <w:szCs w:val="24"/>
                <w:highlight w:val="none"/>
                <w:vertAlign w:val="baseline"/>
                <w:lang w:val="en-US" w:eastAsia="zh-CN"/>
              </w:rPr>
              <w:t xml:space="preserve">本项目乳化沥青及沥青混凝土生产线沥青使用总量为 </w:t>
            </w:r>
            <w:r>
              <w:rPr>
                <w:rFonts w:hint="default" w:ascii="Times New Roman" w:hAnsi="Times New Roman" w:cs="Times New Roman"/>
                <w:color w:val="auto"/>
                <w:sz w:val="24"/>
                <w:szCs w:val="24"/>
                <w:highlight w:val="none"/>
                <w:vertAlign w:val="baseline"/>
                <w:lang w:val="en-US" w:eastAsia="zh-CN"/>
              </w:rPr>
              <w:t>4020</w:t>
            </w:r>
            <w:r>
              <w:rPr>
                <w:rFonts w:hint="default" w:ascii="Times New Roman" w:hAnsi="Times New Roman" w:eastAsia="宋体" w:cs="Times New Roman"/>
                <w:color w:val="auto"/>
                <w:sz w:val="24"/>
                <w:szCs w:val="24"/>
                <w:highlight w:val="none"/>
                <w:vertAlign w:val="baseline"/>
                <w:lang w:val="en-US" w:eastAsia="zh-CN"/>
              </w:rPr>
              <w:t>t/a。</w:t>
            </w:r>
            <w:r>
              <w:rPr>
                <w:rFonts w:hint="default" w:ascii="Times New Roman" w:hAnsi="Times New Roman" w:cs="Times New Roman"/>
                <w:color w:val="auto"/>
                <w:kern w:val="0"/>
                <w:sz w:val="24"/>
                <w:szCs w:val="24"/>
                <w:highlight w:val="none"/>
                <w:lang w:eastAsia="zh-CN"/>
              </w:rPr>
              <w:t>沥青罐呼吸废气及乳化沥青搅拌</w:t>
            </w:r>
            <w:r>
              <w:rPr>
                <w:rFonts w:hint="default" w:ascii="Times New Roman" w:hAnsi="Times New Roman" w:cs="Times New Roman"/>
                <w:color w:val="auto"/>
                <w:kern w:val="0"/>
                <w:sz w:val="24"/>
                <w:szCs w:val="24"/>
                <w:highlight w:val="none"/>
                <w:lang w:val="en-US" w:eastAsia="zh-CN"/>
              </w:rPr>
              <w:t>工序</w:t>
            </w:r>
            <w:r>
              <w:rPr>
                <w:rFonts w:hint="default" w:ascii="Times New Roman" w:hAnsi="Times New Roman" w:cs="Times New Roman"/>
                <w:color w:val="auto"/>
                <w:kern w:val="0"/>
                <w:sz w:val="24"/>
                <w:szCs w:val="24"/>
                <w:highlight w:val="none"/>
                <w:lang w:eastAsia="zh-CN"/>
              </w:rPr>
              <w:t>，沥青烟产生量为 1.005t/a，苯并[a]芘产生量为 0.0000201t/a</w:t>
            </w:r>
            <w:r>
              <w:rPr>
                <w:rFonts w:hint="default" w:ascii="Times New Roman" w:hAnsi="Times New Roman" w:cs="Times New Roman"/>
                <w:color w:val="auto"/>
                <w:sz w:val="24"/>
                <w:szCs w:val="24"/>
                <w:highlight w:val="none"/>
                <w:vertAlign w:val="baseline"/>
                <w:lang w:val="en-US" w:eastAsia="zh-CN"/>
              </w:rPr>
              <w:t>，非甲烷总烃产生量为0.00603t</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成品出料工序</w:t>
            </w:r>
            <w:r>
              <w:rPr>
                <w:rFonts w:hint="default" w:ascii="Times New Roman" w:hAnsi="Times New Roman" w:cs="Times New Roman"/>
                <w:color w:val="auto"/>
                <w:kern w:val="0"/>
                <w:sz w:val="24"/>
                <w:szCs w:val="24"/>
                <w:highlight w:val="none"/>
                <w:lang w:eastAsia="zh-CN"/>
              </w:rPr>
              <w:t>沥青烟产生量为 1.005t/a，苯并[a]芘产生量为 0.0000201t/a</w:t>
            </w:r>
            <w:r>
              <w:rPr>
                <w:rFonts w:hint="default" w:ascii="Times New Roman" w:hAnsi="Times New Roman" w:cs="Times New Roman"/>
                <w:color w:val="auto"/>
                <w:sz w:val="24"/>
                <w:szCs w:val="24"/>
                <w:highlight w:val="none"/>
                <w:vertAlign w:val="baseline"/>
                <w:lang w:val="en-US" w:eastAsia="zh-CN"/>
              </w:rPr>
              <w:t>，非甲烷总烃产生量为0.00603t</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则</w:t>
            </w:r>
            <w:r>
              <w:rPr>
                <w:rFonts w:hint="default" w:ascii="Times New Roman" w:hAnsi="Times New Roman" w:cs="Times New Roman"/>
                <w:color w:val="auto"/>
                <w:kern w:val="0"/>
                <w:sz w:val="24"/>
                <w:szCs w:val="24"/>
                <w:highlight w:val="none"/>
                <w:lang w:eastAsia="zh-CN"/>
              </w:rPr>
              <w:t>加热沥青储罐、搅拌及出料产生的沥青烟气</w:t>
            </w:r>
            <w:r>
              <w:rPr>
                <w:rFonts w:hint="default" w:ascii="Times New Roman" w:hAnsi="Times New Roman" w:cs="Times New Roman"/>
                <w:color w:val="auto"/>
                <w:kern w:val="0"/>
                <w:sz w:val="24"/>
                <w:szCs w:val="24"/>
                <w:highlight w:val="none"/>
                <w:lang w:val="en-US" w:eastAsia="zh-CN"/>
              </w:rPr>
              <w:t>产污环节</w:t>
            </w:r>
            <w:r>
              <w:rPr>
                <w:rFonts w:hint="default" w:ascii="Times New Roman" w:hAnsi="Times New Roman" w:cs="Times New Roman"/>
                <w:color w:val="auto"/>
                <w:highlight w:val="none"/>
              </w:rPr>
              <w:t>沥青烟</w:t>
            </w:r>
            <w:r>
              <w:rPr>
                <w:rFonts w:hint="default" w:ascii="Times New Roman" w:hAnsi="Times New Roman" w:cs="Times New Roman"/>
                <w:color w:val="auto"/>
                <w:highlight w:val="none"/>
                <w:lang w:val="en-US" w:eastAsia="zh-CN"/>
              </w:rPr>
              <w:t>总</w:t>
            </w:r>
            <w:r>
              <w:rPr>
                <w:rFonts w:hint="default" w:ascii="Times New Roman" w:hAnsi="Times New Roman" w:cs="Times New Roman"/>
                <w:color w:val="auto"/>
                <w:highlight w:val="none"/>
              </w:rPr>
              <w:t>产生量为</w:t>
            </w:r>
            <w:r>
              <w:rPr>
                <w:rFonts w:hint="default" w:ascii="Times New Roman" w:hAnsi="Times New Roman" w:cs="Times New Roman"/>
                <w:color w:val="auto"/>
                <w:highlight w:val="none"/>
                <w:lang w:val="en-US" w:eastAsia="zh-CN"/>
              </w:rPr>
              <w:t>2.01</w:t>
            </w:r>
            <w:r>
              <w:rPr>
                <w:rFonts w:hint="default" w:ascii="Times New Roman" w:hAnsi="Times New Roman" w:cs="Times New Roman"/>
                <w:color w:val="auto"/>
                <w:highlight w:val="none"/>
              </w:rPr>
              <w:t>t/a，苯并[a]芘</w:t>
            </w:r>
            <w:r>
              <w:rPr>
                <w:rFonts w:hint="default" w:ascii="Times New Roman" w:hAnsi="Times New Roman" w:cs="Times New Roman"/>
                <w:color w:val="auto"/>
                <w:highlight w:val="none"/>
                <w:lang w:val="en-US" w:eastAsia="zh-CN"/>
              </w:rPr>
              <w:t>总</w:t>
            </w:r>
            <w:r>
              <w:rPr>
                <w:rFonts w:hint="default" w:ascii="Times New Roman" w:hAnsi="Times New Roman" w:cs="Times New Roman"/>
                <w:color w:val="auto"/>
                <w:highlight w:val="none"/>
              </w:rPr>
              <w:t>产生量为</w:t>
            </w:r>
            <w:r>
              <w:rPr>
                <w:rFonts w:hint="default" w:ascii="Times New Roman" w:hAnsi="Times New Roman" w:eastAsia="宋体" w:cs="Times New Roman"/>
                <w:color w:val="auto"/>
                <w:sz w:val="24"/>
                <w:szCs w:val="24"/>
                <w:highlight w:val="none"/>
                <w:vertAlign w:val="baseline"/>
                <w:lang w:val="en-US" w:eastAsia="zh-CN"/>
              </w:rPr>
              <w:t>0.0000</w:t>
            </w:r>
            <w:r>
              <w:rPr>
                <w:rFonts w:hint="default" w:ascii="Times New Roman" w:hAnsi="Times New Roman" w:cs="Times New Roman"/>
                <w:color w:val="auto"/>
                <w:sz w:val="24"/>
                <w:szCs w:val="24"/>
                <w:highlight w:val="none"/>
                <w:vertAlign w:val="baseline"/>
                <w:lang w:val="en-US" w:eastAsia="zh-CN"/>
              </w:rPr>
              <w:t>402</w:t>
            </w:r>
            <w:r>
              <w:rPr>
                <w:rFonts w:hint="default" w:ascii="Times New Roman" w:hAnsi="Times New Roman" w:eastAsia="宋体" w:cs="Times New Roman"/>
                <w:color w:val="auto"/>
                <w:sz w:val="24"/>
                <w:szCs w:val="24"/>
                <w:highlight w:val="none"/>
                <w:vertAlign w:val="baseline"/>
                <w:lang w:val="en-US" w:eastAsia="zh-CN"/>
              </w:rPr>
              <w:t>t/a</w:t>
            </w:r>
            <w:r>
              <w:rPr>
                <w:rFonts w:hint="default" w:ascii="Times New Roman" w:hAnsi="Times New Roman" w:cs="Times New Roman"/>
                <w:color w:val="auto"/>
                <w:highlight w:val="none"/>
              </w:rPr>
              <w:t>t/a</w:t>
            </w:r>
            <w:r>
              <w:rPr>
                <w:rFonts w:hint="default" w:ascii="Times New Roman" w:hAnsi="Times New Roman" w:cs="Times New Roman"/>
                <w:color w:val="auto"/>
                <w:sz w:val="24"/>
                <w:szCs w:val="24"/>
                <w:highlight w:val="none"/>
                <w:vertAlign w:val="baseline"/>
                <w:lang w:val="en-US" w:eastAsia="zh-CN"/>
              </w:rPr>
              <w:t>，非甲烷总烃产生量为0.01206t</w:t>
            </w:r>
            <w:r>
              <w:rPr>
                <w:rFonts w:hint="default" w:ascii="Times New Roman" w:hAnsi="Times New Roman" w:cs="Times New Roman"/>
                <w:color w:val="auto"/>
                <w:highlight w:val="none"/>
              </w:rPr>
              <w:t>。</w:t>
            </w:r>
          </w:p>
          <w:p w14:paraId="6775B173">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本项目设置负压抽风废气整体收集系统，沥青储罐通过集气管收集沥青烟气、出料区设置自动升降门及集气管，密闭收集沥青烟气，沥青烟气基本可做到完全收集，沥青烟气通过引风机（设计风量20000m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/h）经负压收集后经电捕焦油器+活性炭吸附装置处理后通过</w:t>
            </w:r>
            <w:r>
              <w:rPr>
                <w:rFonts w:hint="default" w:ascii="Times New Roman" w:hAnsi="Times New Roman" w:cs="Times New Roman"/>
                <w:color w:val="auto"/>
                <w:highlight w:val="none"/>
                <w:lang w:eastAsia="zh-CN"/>
              </w:rPr>
              <w:t>15m</w:t>
            </w:r>
            <w:r>
              <w:rPr>
                <w:rFonts w:hint="default" w:ascii="Times New Roman" w:hAnsi="Times New Roman" w:cs="Times New Roman"/>
                <w:color w:val="auto"/>
                <w:highlight w:val="none"/>
              </w:rPr>
              <w:t>烟囱DA00</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排放。</w:t>
            </w:r>
          </w:p>
          <w:p w14:paraId="65682EBD">
            <w:pPr>
              <w:pStyle w:val="63"/>
              <w:widowControl/>
              <w:spacing w:line="500" w:lineRule="exact"/>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沥青烟有组织</w:t>
            </w:r>
            <w:r>
              <w:rPr>
                <w:rFonts w:hint="default" w:ascii="Times New Roman" w:hAnsi="Times New Roman" w:cs="Times New Roman"/>
                <w:color w:val="auto"/>
                <w:highlight w:val="none"/>
                <w:lang w:val="en-US" w:eastAsia="zh-CN"/>
              </w:rPr>
              <w:t>产生</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1.9899</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1.658</w:t>
            </w:r>
            <w:r>
              <w:rPr>
                <w:rFonts w:hint="default" w:ascii="Times New Roman" w:hAnsi="Times New Roman" w:cs="Times New Roman"/>
                <w:color w:val="auto"/>
                <w:highlight w:val="none"/>
              </w:rPr>
              <w:t>kg/h，</w:t>
            </w:r>
            <w:r>
              <w:rPr>
                <w:rFonts w:hint="default" w:ascii="Times New Roman" w:hAnsi="Times New Roman" w:cs="Times New Roman"/>
                <w:color w:val="auto"/>
                <w:highlight w:val="none"/>
                <w:lang w:val="en-US" w:eastAsia="zh-CN"/>
              </w:rPr>
              <w:t>82.9</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；苯并[a]芘有组织</w:t>
            </w:r>
            <w:r>
              <w:rPr>
                <w:rFonts w:hint="default" w:ascii="Times New Roman" w:hAnsi="Times New Roman" w:cs="Times New Roman"/>
                <w:color w:val="auto"/>
                <w:highlight w:val="none"/>
                <w:lang w:val="en-US" w:eastAsia="zh-CN"/>
              </w:rPr>
              <w:t>产生</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0.00004</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0.000033</w:t>
            </w:r>
            <w:r>
              <w:rPr>
                <w:rFonts w:hint="default" w:ascii="Times New Roman" w:hAnsi="Times New Roman" w:cs="Times New Roman"/>
                <w:color w:val="auto"/>
                <w:highlight w:val="none"/>
              </w:rPr>
              <w:t>kg/h，</w:t>
            </w:r>
            <w:r>
              <w:rPr>
                <w:rFonts w:hint="default" w:ascii="Times New Roman" w:hAnsi="Times New Roman" w:cs="Times New Roman"/>
                <w:color w:val="auto"/>
                <w:highlight w:val="none"/>
                <w:lang w:val="en-US" w:eastAsia="zh-CN"/>
              </w:rPr>
              <w:t>0.0017</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非甲烷总烃</w:t>
            </w:r>
            <w:r>
              <w:rPr>
                <w:rFonts w:hint="default" w:ascii="Times New Roman" w:hAnsi="Times New Roman" w:cs="Times New Roman"/>
                <w:color w:val="auto"/>
                <w:highlight w:val="none"/>
              </w:rPr>
              <w:t>有组织</w:t>
            </w:r>
            <w:r>
              <w:rPr>
                <w:rFonts w:hint="default" w:ascii="Times New Roman" w:hAnsi="Times New Roman" w:cs="Times New Roman"/>
                <w:color w:val="auto"/>
                <w:highlight w:val="none"/>
                <w:lang w:val="en-US" w:eastAsia="zh-CN"/>
              </w:rPr>
              <w:t>产生</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0.011939</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0.00995</w:t>
            </w:r>
            <w:r>
              <w:rPr>
                <w:rFonts w:hint="default" w:ascii="Times New Roman" w:hAnsi="Times New Roman" w:cs="Times New Roman"/>
                <w:color w:val="auto"/>
                <w:highlight w:val="none"/>
              </w:rPr>
              <w:t>kg/h，</w:t>
            </w:r>
            <w:r>
              <w:rPr>
                <w:rFonts w:hint="default" w:ascii="Times New Roman" w:hAnsi="Times New Roman" w:cs="Times New Roman"/>
                <w:color w:val="auto"/>
                <w:highlight w:val="none"/>
                <w:lang w:val="en-US" w:eastAsia="zh-CN"/>
              </w:rPr>
              <w:t>0.4975</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经电捕焦油器+活性炭吸附装置处理后，</w:t>
            </w:r>
            <w:r>
              <w:rPr>
                <w:rFonts w:hint="default" w:ascii="Times New Roman" w:hAnsi="Times New Roman" w:cs="Times New Roman"/>
                <w:color w:val="auto"/>
                <w:highlight w:val="none"/>
              </w:rPr>
              <w:t>沥青烟有组织</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0.099</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0.083</w:t>
            </w:r>
            <w:r>
              <w:rPr>
                <w:rFonts w:hint="default" w:ascii="Times New Roman" w:hAnsi="Times New Roman" w:cs="Times New Roman"/>
                <w:color w:val="auto"/>
                <w:highlight w:val="none"/>
              </w:rPr>
              <w:t>kg/h，</w:t>
            </w:r>
            <w:r>
              <w:rPr>
                <w:rFonts w:hint="default" w:ascii="Times New Roman" w:hAnsi="Times New Roman" w:cs="Times New Roman"/>
                <w:color w:val="auto"/>
                <w:highlight w:val="none"/>
                <w:lang w:val="en-US" w:eastAsia="zh-CN"/>
              </w:rPr>
              <w:t>4.15</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 苯并[a]芘有组织</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0.000002</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0.000002</w:t>
            </w:r>
            <w:r>
              <w:rPr>
                <w:rFonts w:hint="default" w:ascii="Times New Roman" w:hAnsi="Times New Roman" w:cs="Times New Roman"/>
                <w:color w:val="auto"/>
                <w:highlight w:val="none"/>
              </w:rPr>
              <w:t>kg/h，</w:t>
            </w:r>
            <w:r>
              <w:rPr>
                <w:rFonts w:hint="default" w:ascii="Times New Roman" w:hAnsi="Times New Roman" w:cs="Times New Roman"/>
                <w:color w:val="auto"/>
                <w:highlight w:val="none"/>
                <w:lang w:val="en-US" w:eastAsia="zh-CN"/>
              </w:rPr>
              <w:t>0.0001</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非甲烷总烃</w:t>
            </w:r>
            <w:r>
              <w:rPr>
                <w:rFonts w:hint="default" w:ascii="Times New Roman" w:hAnsi="Times New Roman" w:cs="Times New Roman"/>
                <w:color w:val="auto"/>
                <w:highlight w:val="none"/>
              </w:rPr>
              <w:t>有组织</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0.000597</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0.000498</w:t>
            </w:r>
            <w:r>
              <w:rPr>
                <w:rFonts w:hint="default" w:ascii="Times New Roman" w:hAnsi="Times New Roman" w:cs="Times New Roman"/>
                <w:color w:val="auto"/>
                <w:highlight w:val="none"/>
              </w:rPr>
              <w:t>kg/h，</w:t>
            </w:r>
            <w:r>
              <w:rPr>
                <w:rFonts w:hint="default" w:ascii="Times New Roman" w:hAnsi="Times New Roman" w:cs="Times New Roman"/>
                <w:color w:val="auto"/>
                <w:highlight w:val="none"/>
                <w:lang w:val="en-US" w:eastAsia="zh-CN"/>
              </w:rPr>
              <w:t>0.0249</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eastAsia="zh-CN"/>
              </w:rPr>
              <w:t>。</w:t>
            </w:r>
          </w:p>
          <w:p w14:paraId="554E764F">
            <w:pPr>
              <w:pStyle w:val="63"/>
              <w:widowControl/>
              <w:spacing w:line="500" w:lineRule="exact"/>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沥青烟</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rPr>
              <w:t>组织</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0.0201</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0.00558</w:t>
            </w:r>
            <w:r>
              <w:rPr>
                <w:rFonts w:hint="default" w:ascii="Times New Roman" w:hAnsi="Times New Roman" w:cs="Times New Roman"/>
                <w:color w:val="auto"/>
                <w:highlight w:val="none"/>
              </w:rPr>
              <w:t>kg/h；苯并[a]芘</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rPr>
              <w:t>组织</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4.02×10</w:t>
            </w:r>
            <w:r>
              <w:rPr>
                <w:rFonts w:hint="default" w:ascii="Times New Roman" w:hAnsi="Times New Roman" w:cs="Times New Roman"/>
                <w:color w:val="auto"/>
                <w:highlight w:val="none"/>
                <w:vertAlign w:val="superscript"/>
                <w:lang w:val="en-US" w:eastAsia="zh-CN"/>
              </w:rPr>
              <w:t>-7</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0.0000001</w:t>
            </w:r>
            <w:r>
              <w:rPr>
                <w:rFonts w:hint="default" w:ascii="Times New Roman" w:hAnsi="Times New Roman" w:cs="Times New Roman"/>
                <w:color w:val="auto"/>
                <w:highlight w:val="none"/>
              </w:rPr>
              <w:t>kg/h</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非甲烷总烃无</w:t>
            </w:r>
            <w:r>
              <w:rPr>
                <w:rFonts w:hint="default" w:ascii="Times New Roman" w:hAnsi="Times New Roman" w:cs="Times New Roman"/>
                <w:color w:val="auto"/>
                <w:highlight w:val="none"/>
              </w:rPr>
              <w:t>组织</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量为</w:t>
            </w:r>
            <w:r>
              <w:rPr>
                <w:rFonts w:hint="default" w:ascii="Times New Roman" w:hAnsi="Times New Roman" w:cs="Times New Roman"/>
                <w:color w:val="auto"/>
                <w:highlight w:val="none"/>
                <w:lang w:val="en-US" w:eastAsia="zh-CN"/>
              </w:rPr>
              <w:t>0.0001206</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0.00003</w:t>
            </w:r>
            <w:r>
              <w:rPr>
                <w:rFonts w:hint="default" w:ascii="Times New Roman" w:hAnsi="Times New Roman" w:cs="Times New Roman"/>
                <w:color w:val="auto"/>
                <w:highlight w:val="none"/>
              </w:rPr>
              <w:t>kg/h</w:t>
            </w:r>
            <w:r>
              <w:rPr>
                <w:rFonts w:hint="default" w:ascii="Times New Roman" w:hAnsi="Times New Roman" w:cs="Times New Roman"/>
                <w:color w:val="auto"/>
                <w:highlight w:val="none"/>
                <w:lang w:eastAsia="zh-CN"/>
              </w:rPr>
              <w:t>，</w:t>
            </w:r>
            <w:r>
              <w:rPr>
                <w:rFonts w:hint="default" w:ascii="Times New Roman" w:hAnsi="Times New Roman" w:cs="Times New Roman"/>
                <w:color w:val="auto"/>
                <w:kern w:val="0"/>
                <w:sz w:val="24"/>
                <w:szCs w:val="24"/>
                <w:highlight w:val="none"/>
                <w:lang w:eastAsia="zh-CN"/>
              </w:rPr>
              <w:t>污染物排放满足《大气污染物综合排放标准》（GB16297-1996）表 2 中二级标准及无组织排放标准要求。</w:t>
            </w:r>
          </w:p>
          <w:p w14:paraId="7C0D0536">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（8）柴油储罐废气</w:t>
            </w:r>
          </w:p>
          <w:p w14:paraId="3D52DCE5">
            <w:pPr>
              <w:pStyle w:val="63"/>
              <w:widowControl/>
              <w:spacing w:line="500" w:lineRule="exact"/>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本项目共设置2个柴油罐（分别为50m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和10m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本项目年使用轻质柴油共</w:t>
            </w:r>
            <w:r>
              <w:rPr>
                <w:rFonts w:hint="default" w:ascii="Times New Roman" w:hAnsi="Times New Roman" w:cs="Times New Roman"/>
                <w:color w:val="auto"/>
                <w:highlight w:val="none"/>
                <w:lang w:val="en-US" w:eastAsia="zh-CN"/>
              </w:rPr>
              <w:t>370.87</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其中50m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柴油罐年贮存柴油322.86t，10m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柴油罐年贮存柴油48.01t。</w:t>
            </w:r>
            <w:r>
              <w:rPr>
                <w:rFonts w:hint="default" w:ascii="Times New Roman" w:hAnsi="Times New Roman" w:cs="Times New Roman"/>
                <w:color w:val="auto"/>
                <w:highlight w:val="none"/>
              </w:rPr>
              <w:t>本项目使用燃料油挥发性较差，采用碳钢材质封闭柴油储罐储存。经核算，</w:t>
            </w:r>
            <w:r>
              <w:rPr>
                <w:rFonts w:hint="default" w:ascii="Times New Roman" w:hAnsi="Times New Roman" w:cs="Times New Roman"/>
                <w:color w:val="auto"/>
                <w:sz w:val="24"/>
                <w:szCs w:val="32"/>
                <w:highlight w:val="none"/>
              </w:rPr>
              <w:t>本项目运营期</w:t>
            </w:r>
            <w:r>
              <w:rPr>
                <w:rFonts w:hint="default" w:ascii="Times New Roman" w:hAnsi="Times New Roman" w:cs="Times New Roman"/>
                <w:color w:val="auto"/>
                <w:sz w:val="24"/>
                <w:szCs w:val="32"/>
                <w:highlight w:val="none"/>
                <w:lang w:val="en-US" w:eastAsia="zh-CN"/>
              </w:rPr>
              <w:t>50m</w:t>
            </w:r>
            <w:r>
              <w:rPr>
                <w:rFonts w:hint="default" w:ascii="Times New Roman" w:hAnsi="Times New Roman" w:cs="Times New Roman"/>
                <w:color w:val="auto"/>
                <w:sz w:val="24"/>
                <w:szCs w:val="32"/>
                <w:highlight w:val="none"/>
                <w:vertAlign w:val="superscript"/>
                <w:lang w:val="en-US" w:eastAsia="zh-CN"/>
              </w:rPr>
              <w:t>3</w:t>
            </w:r>
            <w:r>
              <w:rPr>
                <w:rFonts w:hint="default" w:ascii="Times New Roman" w:hAnsi="Times New Roman" w:cs="Times New Roman"/>
                <w:color w:val="auto"/>
                <w:sz w:val="24"/>
                <w:szCs w:val="32"/>
                <w:highlight w:val="none"/>
                <w:lang w:val="en-US" w:eastAsia="zh-CN"/>
              </w:rPr>
              <w:t>储罐</w:t>
            </w:r>
            <w:r>
              <w:rPr>
                <w:rFonts w:hint="default" w:ascii="Times New Roman" w:hAnsi="Times New Roman" w:cs="Times New Roman"/>
                <w:color w:val="auto"/>
                <w:sz w:val="24"/>
                <w:szCs w:val="32"/>
                <w:highlight w:val="none"/>
              </w:rPr>
              <w:t>非甲烷总烃</w:t>
            </w:r>
            <w:r>
              <w:rPr>
                <w:rFonts w:hint="default" w:ascii="Times New Roman" w:hAnsi="Times New Roman" w:cs="Times New Roman"/>
                <w:color w:val="auto"/>
                <w:sz w:val="24"/>
                <w:szCs w:val="32"/>
                <w:highlight w:val="none"/>
                <w:lang w:val="en-US" w:eastAsia="zh-CN"/>
              </w:rPr>
              <w:t>大小呼吸</w:t>
            </w:r>
            <w:r>
              <w:rPr>
                <w:rFonts w:hint="default" w:ascii="Times New Roman" w:hAnsi="Times New Roman" w:cs="Times New Roman"/>
                <w:color w:val="auto"/>
                <w:sz w:val="24"/>
                <w:szCs w:val="32"/>
                <w:highlight w:val="none"/>
              </w:rPr>
              <w:t>排放量为</w:t>
            </w:r>
            <w:r>
              <w:rPr>
                <w:rFonts w:hint="default" w:ascii="Times New Roman" w:hAnsi="Times New Roman" w:cs="Times New Roman"/>
                <w:color w:val="auto"/>
                <w:sz w:val="24"/>
                <w:szCs w:val="32"/>
                <w:highlight w:val="none"/>
                <w:lang w:val="en-US" w:eastAsia="zh-CN"/>
              </w:rPr>
              <w:t>0.0005</w:t>
            </w:r>
            <w:r>
              <w:rPr>
                <w:rFonts w:hint="default" w:ascii="Times New Roman" w:hAnsi="Times New Roman" w:cs="Times New Roman"/>
                <w:color w:val="auto"/>
                <w:sz w:val="24"/>
                <w:szCs w:val="32"/>
                <w:highlight w:val="none"/>
              </w:rPr>
              <w:t>t/a，无组织排放速率为0.00</w:t>
            </w:r>
            <w:r>
              <w:rPr>
                <w:rFonts w:hint="default" w:ascii="Times New Roman" w:hAnsi="Times New Roman" w:cs="Times New Roman"/>
                <w:color w:val="auto"/>
                <w:sz w:val="24"/>
                <w:szCs w:val="32"/>
                <w:highlight w:val="none"/>
                <w:lang w:val="en-US" w:eastAsia="zh-CN"/>
              </w:rPr>
              <w:t>014</w:t>
            </w:r>
            <w:r>
              <w:rPr>
                <w:rFonts w:hint="default" w:ascii="Times New Roman" w:hAnsi="Times New Roman" w:cs="Times New Roman"/>
                <w:color w:val="auto"/>
                <w:sz w:val="24"/>
                <w:szCs w:val="32"/>
                <w:highlight w:val="none"/>
              </w:rPr>
              <w:t>kg/h，</w:t>
            </w:r>
            <w:r>
              <w:rPr>
                <w:rFonts w:hint="default" w:ascii="Times New Roman" w:hAnsi="Times New Roman" w:cs="Times New Roman"/>
                <w:color w:val="auto"/>
                <w:sz w:val="24"/>
                <w:szCs w:val="32"/>
                <w:highlight w:val="none"/>
                <w:lang w:val="en-US" w:eastAsia="zh-CN"/>
              </w:rPr>
              <w:t>10m</w:t>
            </w:r>
            <w:r>
              <w:rPr>
                <w:rFonts w:hint="default" w:ascii="Times New Roman" w:hAnsi="Times New Roman" w:cs="Times New Roman"/>
                <w:color w:val="auto"/>
                <w:sz w:val="24"/>
                <w:szCs w:val="32"/>
                <w:highlight w:val="none"/>
                <w:vertAlign w:val="superscript"/>
                <w:lang w:val="en-US" w:eastAsia="zh-CN"/>
              </w:rPr>
              <w:t>3</w:t>
            </w:r>
            <w:r>
              <w:rPr>
                <w:rFonts w:hint="default" w:ascii="Times New Roman" w:hAnsi="Times New Roman" w:cs="Times New Roman"/>
                <w:color w:val="auto"/>
                <w:sz w:val="24"/>
                <w:szCs w:val="32"/>
                <w:highlight w:val="none"/>
                <w:lang w:val="en-US" w:eastAsia="zh-CN"/>
              </w:rPr>
              <w:t>储罐</w:t>
            </w:r>
            <w:r>
              <w:rPr>
                <w:rFonts w:hint="default" w:ascii="Times New Roman" w:hAnsi="Times New Roman" w:cs="Times New Roman"/>
                <w:color w:val="auto"/>
                <w:sz w:val="24"/>
                <w:szCs w:val="32"/>
                <w:highlight w:val="none"/>
              </w:rPr>
              <w:t>非甲烷总烃</w:t>
            </w:r>
            <w:r>
              <w:rPr>
                <w:rFonts w:hint="default" w:ascii="Times New Roman" w:hAnsi="Times New Roman" w:cs="Times New Roman"/>
                <w:color w:val="auto"/>
                <w:sz w:val="24"/>
                <w:szCs w:val="32"/>
                <w:highlight w:val="none"/>
                <w:lang w:val="en-US" w:eastAsia="zh-CN"/>
              </w:rPr>
              <w:t>大小呼吸</w:t>
            </w:r>
            <w:r>
              <w:rPr>
                <w:rFonts w:hint="default" w:ascii="Times New Roman" w:hAnsi="Times New Roman" w:cs="Times New Roman"/>
                <w:color w:val="auto"/>
                <w:sz w:val="24"/>
                <w:szCs w:val="32"/>
                <w:highlight w:val="none"/>
              </w:rPr>
              <w:t>排放量为</w:t>
            </w:r>
            <w:r>
              <w:rPr>
                <w:rFonts w:hint="default" w:ascii="Times New Roman" w:hAnsi="Times New Roman" w:cs="Times New Roman"/>
                <w:color w:val="auto"/>
                <w:sz w:val="24"/>
                <w:szCs w:val="32"/>
                <w:highlight w:val="none"/>
                <w:lang w:val="en-US" w:eastAsia="zh-CN"/>
              </w:rPr>
              <w:t>0.0001</w:t>
            </w:r>
            <w:r>
              <w:rPr>
                <w:rFonts w:hint="default" w:ascii="Times New Roman" w:hAnsi="Times New Roman" w:cs="Times New Roman"/>
                <w:color w:val="auto"/>
                <w:sz w:val="24"/>
                <w:szCs w:val="32"/>
                <w:highlight w:val="none"/>
              </w:rPr>
              <w:t>t/a，无组织排放速率为0.00</w:t>
            </w:r>
            <w:r>
              <w:rPr>
                <w:rFonts w:hint="default" w:ascii="Times New Roman" w:hAnsi="Times New Roman" w:cs="Times New Roman"/>
                <w:color w:val="auto"/>
                <w:sz w:val="24"/>
                <w:szCs w:val="32"/>
                <w:highlight w:val="none"/>
                <w:lang w:val="en-US" w:eastAsia="zh-CN"/>
              </w:rPr>
              <w:t>003</w:t>
            </w:r>
            <w:r>
              <w:rPr>
                <w:rFonts w:hint="default" w:ascii="Times New Roman" w:hAnsi="Times New Roman" w:cs="Times New Roman"/>
                <w:color w:val="auto"/>
                <w:sz w:val="24"/>
                <w:szCs w:val="32"/>
                <w:highlight w:val="none"/>
              </w:rPr>
              <w:t>kg/h</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szCs w:val="32"/>
                <w:highlight w:val="none"/>
              </w:rPr>
              <w:t>厂界和厂内非甲烷总烃可满足《大气污染物综合排放标准》（GB16297-1996）表2中规定的标准浓度限值和《挥发性有机物无组织排放控制标准》（GB37822-2019）中附录A限值要求，对外环境影响较小</w:t>
            </w:r>
            <w:r>
              <w:rPr>
                <w:rFonts w:hint="default" w:ascii="Times New Roman" w:hAnsi="Times New Roman" w:cs="Times New Roman"/>
                <w:color w:val="auto"/>
                <w:sz w:val="24"/>
                <w:szCs w:val="32"/>
                <w:highlight w:val="none"/>
                <w:lang w:eastAsia="zh-CN"/>
              </w:rPr>
              <w:t>。</w:t>
            </w:r>
          </w:p>
          <w:p w14:paraId="5DA52A5D">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其他大气环境影响和保护措施具体分析内容详见大气环境影响专项评价。</w:t>
            </w:r>
          </w:p>
          <w:p w14:paraId="45657BB7">
            <w:pPr>
              <w:pStyle w:val="68"/>
              <w:spacing w:line="500" w:lineRule="exact"/>
              <w:ind w:firstLine="480"/>
              <w:rPr>
                <w:rFonts w:hint="default" w:ascii="Times New Roman" w:hAnsi="Times New Roman" w:cs="Times New Roman"/>
                <w:b/>
                <w:bCs/>
                <w:color w:val="auto"/>
                <w:sz w:val="24"/>
                <w:highlight w:val="none"/>
              </w:rPr>
            </w:pPr>
            <w:r>
              <w:rPr>
                <w:rFonts w:hint="default" w:ascii="Times New Roman" w:hAnsi="Times New Roman" w:cs="Times New Roman"/>
                <w:color w:val="auto"/>
                <w:sz w:val="24"/>
                <w:highlight w:val="none"/>
              </w:rPr>
              <w:t>二</w:t>
            </w:r>
            <w:r>
              <w:rPr>
                <w:rFonts w:hint="default" w:ascii="Times New Roman" w:hAnsi="Times New Roman" w:cs="Times New Roman"/>
                <w:b/>
                <w:bCs/>
                <w:color w:val="auto"/>
                <w:sz w:val="24"/>
                <w:highlight w:val="none"/>
              </w:rPr>
              <w:t>、废水环境影响和保护措施</w:t>
            </w:r>
          </w:p>
          <w:p w14:paraId="414EF638">
            <w:pPr>
              <w:pStyle w:val="101"/>
              <w:spacing w:line="500" w:lineRule="exact"/>
              <w:rPr>
                <w:rFonts w:hint="default" w:ascii="Times New Roman" w:hAnsi="Times New Roman" w:cs="Times New Roman"/>
                <w:bCs/>
                <w:color w:val="auto"/>
                <w:kern w:val="2"/>
                <w:sz w:val="24"/>
                <w:szCs w:val="24"/>
                <w:highlight w:val="none"/>
              </w:rPr>
            </w:pPr>
            <w:r>
              <w:rPr>
                <w:rFonts w:hint="default" w:ascii="Times New Roman" w:hAnsi="Times New Roman" w:cs="Times New Roman"/>
                <w:color w:val="auto"/>
                <w:kern w:val="2"/>
                <w:sz w:val="24"/>
                <w:szCs w:val="24"/>
                <w:highlight w:val="none"/>
              </w:rPr>
              <w:t>（一）污染源分析</w:t>
            </w:r>
          </w:p>
          <w:p w14:paraId="26EBAA76">
            <w:pPr>
              <w:pStyle w:val="101"/>
              <w:spacing w:line="50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（1）生活污水</w:t>
            </w:r>
            <w:bookmarkStart w:id="67" w:name="_Hlk112233021"/>
          </w:p>
          <w:bookmarkEnd w:id="67"/>
          <w:p w14:paraId="0D151E1C">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本项目无生产废水</w:t>
            </w:r>
            <w:r>
              <w:rPr>
                <w:rFonts w:hint="default" w:ascii="Times New Roman" w:hAnsi="Times New Roman" w:cs="Times New Roman"/>
                <w:color w:val="auto"/>
                <w:sz w:val="24"/>
                <w:highlight w:val="none"/>
                <w:lang w:val="en-US" w:eastAsia="zh-CN"/>
              </w:rPr>
              <w:t>排放</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冲洗废水经沉淀隔油处理后回用，不外排。</w:t>
            </w:r>
            <w:r>
              <w:rPr>
                <w:rFonts w:hint="default" w:ascii="Times New Roman" w:hAnsi="Times New Roman" w:cs="Times New Roman"/>
                <w:color w:val="auto"/>
                <w:sz w:val="24"/>
                <w:highlight w:val="none"/>
              </w:rPr>
              <w:t>废水主要为生活污水，员工生活污水的排水量按产生量的80%计，生活污水产生量为</w:t>
            </w:r>
            <w:r>
              <w:rPr>
                <w:rFonts w:hint="default" w:ascii="Times New Roman" w:hAnsi="Times New Roman" w:cs="Times New Roman"/>
                <w:color w:val="auto"/>
                <w:sz w:val="24"/>
                <w:highlight w:val="none"/>
                <w:lang w:val="en-US" w:eastAsia="zh-CN"/>
              </w:rPr>
              <w:t>144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生活污水中污染物主要为COD300mg/L、BOD</w:t>
            </w:r>
            <w:r>
              <w:rPr>
                <w:rFonts w:hint="default" w:ascii="Times New Roman" w:hAnsi="Times New Roman" w:cs="Times New Roman"/>
                <w:color w:val="auto"/>
                <w:sz w:val="24"/>
                <w:highlight w:val="none"/>
                <w:vertAlign w:val="subscript"/>
              </w:rPr>
              <w:t>5</w:t>
            </w:r>
            <w:r>
              <w:rPr>
                <w:rFonts w:hint="default" w:ascii="Times New Roman" w:hAnsi="Times New Roman" w:cs="Times New Roman"/>
                <w:color w:val="auto"/>
                <w:sz w:val="24"/>
                <w:highlight w:val="none"/>
              </w:rPr>
              <w:t>200mg/L、SS200mg/L、NH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-N25mg/L。本项目</w:t>
            </w:r>
            <w:r>
              <w:rPr>
                <w:rFonts w:hint="default" w:ascii="Times New Roman" w:hAnsi="Times New Roman" w:cs="Times New Roman"/>
                <w:color w:val="auto"/>
                <w:sz w:val="24"/>
                <w:highlight w:val="none"/>
                <w:lang w:val="en-US" w:eastAsia="zh-CN"/>
              </w:rPr>
              <w:t>生活污水</w:t>
            </w:r>
            <w:r>
              <w:rPr>
                <w:rFonts w:hint="default" w:ascii="Times New Roman" w:hAnsi="Times New Roman" w:cs="Times New Roman"/>
                <w:color w:val="auto"/>
                <w:sz w:val="24"/>
                <w:highlight w:val="none"/>
              </w:rPr>
              <w:t>的污染源源强核算见</w:t>
            </w:r>
            <w:r>
              <w:rPr>
                <w:rFonts w:hint="default" w:ascii="Times New Roman" w:hAnsi="Times New Roman" w:cs="Times New Roman"/>
                <w:color w:val="auto"/>
                <w:sz w:val="24"/>
                <w:highlight w:val="none"/>
                <w:lang w:val="en-US" w:eastAsia="zh-CN"/>
              </w:rPr>
              <w:t>下表</w:t>
            </w:r>
            <w:r>
              <w:rPr>
                <w:rFonts w:hint="default" w:ascii="Times New Roman" w:hAnsi="Times New Roman" w:cs="Times New Roman"/>
                <w:color w:val="auto"/>
                <w:sz w:val="24"/>
                <w:highlight w:val="none"/>
              </w:rPr>
              <w:t>。</w:t>
            </w:r>
          </w:p>
          <w:p w14:paraId="2E8F24A1">
            <w:pPr>
              <w:pStyle w:val="119"/>
              <w:spacing w:line="40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表4-1 废水污染源源强核算结果及相关参数一览表</w:t>
            </w:r>
          </w:p>
          <w:tbl>
            <w:tblPr>
              <w:tblStyle w:val="30"/>
              <w:tblW w:w="781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31"/>
              <w:gridCol w:w="437"/>
              <w:gridCol w:w="553"/>
              <w:gridCol w:w="279"/>
              <w:gridCol w:w="760"/>
              <w:gridCol w:w="684"/>
              <w:gridCol w:w="781"/>
              <w:gridCol w:w="1022"/>
              <w:gridCol w:w="279"/>
              <w:gridCol w:w="760"/>
              <w:gridCol w:w="684"/>
              <w:gridCol w:w="532"/>
              <w:gridCol w:w="609"/>
            </w:tblGrid>
            <w:tr w14:paraId="46404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31" w:type="dxa"/>
                  <w:vMerge w:val="restart"/>
                  <w:shd w:val="clear" w:color="auto" w:fill="auto"/>
                  <w:vAlign w:val="center"/>
                </w:tcPr>
                <w:p w14:paraId="700BA300">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工序/生产线</w:t>
                  </w:r>
                </w:p>
              </w:tc>
              <w:tc>
                <w:tcPr>
                  <w:tcW w:w="437" w:type="dxa"/>
                  <w:vMerge w:val="restart"/>
                  <w:shd w:val="clear" w:color="auto" w:fill="auto"/>
                  <w:vAlign w:val="center"/>
                </w:tcPr>
                <w:p w14:paraId="2C75638E">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c>
                <w:tcPr>
                  <w:tcW w:w="553" w:type="dxa"/>
                  <w:vMerge w:val="restart"/>
                  <w:shd w:val="clear" w:color="auto" w:fill="auto"/>
                  <w:vAlign w:val="center"/>
                </w:tcPr>
                <w:p w14:paraId="7D14FF29">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2504" w:type="dxa"/>
                  <w:gridSpan w:val="4"/>
                  <w:shd w:val="clear" w:color="auto" w:fill="auto"/>
                  <w:vAlign w:val="center"/>
                </w:tcPr>
                <w:p w14:paraId="3B6BCD28">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污染物产生</w:t>
                  </w:r>
                </w:p>
              </w:tc>
              <w:tc>
                <w:tcPr>
                  <w:tcW w:w="1022" w:type="dxa"/>
                  <w:vMerge w:val="restart"/>
                  <w:shd w:val="clear" w:color="auto" w:fill="auto"/>
                  <w:vAlign w:val="center"/>
                </w:tcPr>
                <w:p w14:paraId="502C4F3E">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治理措施</w:t>
                  </w:r>
                </w:p>
              </w:tc>
              <w:tc>
                <w:tcPr>
                  <w:tcW w:w="2255" w:type="dxa"/>
                  <w:gridSpan w:val="4"/>
                  <w:shd w:val="clear" w:color="auto" w:fill="auto"/>
                  <w:vAlign w:val="center"/>
                </w:tcPr>
                <w:p w14:paraId="3C3B5AEA">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w:t>
                  </w:r>
                </w:p>
              </w:tc>
              <w:tc>
                <w:tcPr>
                  <w:tcW w:w="609" w:type="dxa"/>
                  <w:vMerge w:val="restart"/>
                  <w:shd w:val="clear" w:color="auto" w:fill="auto"/>
                  <w:vAlign w:val="center"/>
                </w:tcPr>
                <w:p w14:paraId="73AC8E0B">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排放时间（h）</w:t>
                  </w:r>
                </w:p>
              </w:tc>
            </w:tr>
            <w:tr w14:paraId="72942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31" w:type="dxa"/>
                  <w:vMerge w:val="continue"/>
                  <w:shd w:val="clear" w:color="auto" w:fill="auto"/>
                  <w:vAlign w:val="center"/>
                </w:tcPr>
                <w:p w14:paraId="6699EF63">
                  <w:pPr>
                    <w:pStyle w:val="117"/>
                    <w:rPr>
                      <w:rFonts w:hint="default" w:ascii="Times New Roman" w:hAnsi="Times New Roman" w:cs="Times New Roman"/>
                      <w:color w:val="auto"/>
                      <w:highlight w:val="none"/>
                    </w:rPr>
                  </w:pPr>
                </w:p>
              </w:tc>
              <w:tc>
                <w:tcPr>
                  <w:tcW w:w="437" w:type="dxa"/>
                  <w:vMerge w:val="continue"/>
                  <w:shd w:val="clear" w:color="auto" w:fill="auto"/>
                  <w:vAlign w:val="center"/>
                </w:tcPr>
                <w:p w14:paraId="53A5AD1E">
                  <w:pPr>
                    <w:pStyle w:val="117"/>
                    <w:rPr>
                      <w:rFonts w:hint="default" w:ascii="Times New Roman" w:hAnsi="Times New Roman" w:cs="Times New Roman"/>
                      <w:color w:val="auto"/>
                      <w:highlight w:val="none"/>
                    </w:rPr>
                  </w:pPr>
                </w:p>
              </w:tc>
              <w:tc>
                <w:tcPr>
                  <w:tcW w:w="553" w:type="dxa"/>
                  <w:vMerge w:val="continue"/>
                  <w:shd w:val="clear" w:color="auto" w:fill="auto"/>
                  <w:vAlign w:val="center"/>
                </w:tcPr>
                <w:p w14:paraId="7AD30190">
                  <w:pPr>
                    <w:pStyle w:val="117"/>
                    <w:rPr>
                      <w:rFonts w:hint="default" w:ascii="Times New Roman" w:hAnsi="Times New Roman" w:cs="Times New Roman"/>
                      <w:color w:val="auto"/>
                      <w:highlight w:val="none"/>
                    </w:rPr>
                  </w:pPr>
                </w:p>
              </w:tc>
              <w:tc>
                <w:tcPr>
                  <w:tcW w:w="279" w:type="dxa"/>
                  <w:shd w:val="clear" w:color="auto" w:fill="auto"/>
                  <w:vAlign w:val="center"/>
                </w:tcPr>
                <w:p w14:paraId="5D027307">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核算方法</w:t>
                  </w:r>
                </w:p>
              </w:tc>
              <w:tc>
                <w:tcPr>
                  <w:tcW w:w="760" w:type="dxa"/>
                  <w:shd w:val="clear" w:color="auto" w:fill="auto"/>
                  <w:vAlign w:val="center"/>
                </w:tcPr>
                <w:p w14:paraId="14D35773">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产生废水量（t/a）</w:t>
                  </w:r>
                </w:p>
              </w:tc>
              <w:tc>
                <w:tcPr>
                  <w:tcW w:w="684" w:type="dxa"/>
                  <w:shd w:val="clear" w:color="auto" w:fill="auto"/>
                  <w:vAlign w:val="center"/>
                </w:tcPr>
                <w:p w14:paraId="2C11F49E">
                  <w:pPr>
                    <w:pStyle w:val="117"/>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产生浓度</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mg/L</w:t>
                  </w:r>
                  <w:r>
                    <w:rPr>
                      <w:rFonts w:hint="default" w:ascii="Times New Roman" w:hAnsi="Times New Roman" w:cs="Times New Roman"/>
                      <w:color w:val="auto"/>
                      <w:highlight w:val="none"/>
                      <w:lang w:val="en-US" w:eastAsia="zh-CN"/>
                    </w:rPr>
                    <w:t>)</w:t>
                  </w:r>
                </w:p>
              </w:tc>
              <w:tc>
                <w:tcPr>
                  <w:tcW w:w="781" w:type="dxa"/>
                  <w:shd w:val="clear" w:color="auto" w:fill="auto"/>
                  <w:vAlign w:val="center"/>
                </w:tcPr>
                <w:p w14:paraId="5D8A85D6">
                  <w:pPr>
                    <w:pStyle w:val="117"/>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产生量</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w:t>
                  </w:r>
                </w:p>
              </w:tc>
              <w:tc>
                <w:tcPr>
                  <w:tcW w:w="1022" w:type="dxa"/>
                  <w:vMerge w:val="continue"/>
                  <w:shd w:val="clear" w:color="auto" w:fill="auto"/>
                  <w:vAlign w:val="center"/>
                </w:tcPr>
                <w:p w14:paraId="28157E5A">
                  <w:pPr>
                    <w:pStyle w:val="117"/>
                    <w:rPr>
                      <w:rFonts w:hint="default" w:ascii="Times New Roman" w:hAnsi="Times New Roman" w:cs="Times New Roman"/>
                      <w:color w:val="auto"/>
                      <w:highlight w:val="none"/>
                    </w:rPr>
                  </w:pPr>
                </w:p>
              </w:tc>
              <w:tc>
                <w:tcPr>
                  <w:tcW w:w="279" w:type="dxa"/>
                  <w:shd w:val="clear" w:color="auto" w:fill="auto"/>
                  <w:vAlign w:val="center"/>
                </w:tcPr>
                <w:p w14:paraId="26BB1480">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核算方法</w:t>
                  </w:r>
                </w:p>
              </w:tc>
              <w:tc>
                <w:tcPr>
                  <w:tcW w:w="760" w:type="dxa"/>
                  <w:shd w:val="clear" w:color="auto" w:fill="auto"/>
                  <w:vAlign w:val="center"/>
                </w:tcPr>
                <w:p w14:paraId="033A791F">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排放废水量（t/a）</w:t>
                  </w:r>
                </w:p>
              </w:tc>
              <w:tc>
                <w:tcPr>
                  <w:tcW w:w="684" w:type="dxa"/>
                  <w:shd w:val="clear" w:color="auto" w:fill="auto"/>
                  <w:vAlign w:val="center"/>
                </w:tcPr>
                <w:p w14:paraId="188075E9">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排放浓度（mg/L）</w:t>
                  </w:r>
                </w:p>
              </w:tc>
              <w:tc>
                <w:tcPr>
                  <w:tcW w:w="532" w:type="dxa"/>
                  <w:shd w:val="clear" w:color="auto" w:fill="auto"/>
                  <w:vAlign w:val="center"/>
                </w:tcPr>
                <w:p w14:paraId="074D2F22">
                  <w:pPr>
                    <w:pStyle w:val="117"/>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排放量（t/a）</w:t>
                  </w:r>
                </w:p>
              </w:tc>
              <w:tc>
                <w:tcPr>
                  <w:tcW w:w="609" w:type="dxa"/>
                  <w:vMerge w:val="continue"/>
                  <w:shd w:val="clear" w:color="auto" w:fill="auto"/>
                  <w:vAlign w:val="center"/>
                </w:tcPr>
                <w:p w14:paraId="78FD45EB">
                  <w:pPr>
                    <w:pStyle w:val="117"/>
                    <w:rPr>
                      <w:rFonts w:hint="default" w:ascii="Times New Roman" w:hAnsi="Times New Roman" w:cs="Times New Roman"/>
                      <w:color w:val="auto"/>
                      <w:highlight w:val="none"/>
                    </w:rPr>
                  </w:pPr>
                </w:p>
              </w:tc>
            </w:tr>
            <w:tr w14:paraId="54FD5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31" w:type="dxa"/>
                  <w:vMerge w:val="restart"/>
                  <w:shd w:val="clear" w:color="auto" w:fill="auto"/>
                  <w:vAlign w:val="center"/>
                </w:tcPr>
                <w:p w14:paraId="1318C31F">
                  <w:pPr>
                    <w:pStyle w:val="117"/>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职工生活</w:t>
                  </w:r>
                </w:p>
              </w:tc>
              <w:tc>
                <w:tcPr>
                  <w:tcW w:w="437" w:type="dxa"/>
                  <w:vMerge w:val="restart"/>
                  <w:shd w:val="clear" w:color="auto" w:fill="auto"/>
                  <w:vAlign w:val="center"/>
                </w:tcPr>
                <w:p w14:paraId="4F7B7D67">
                  <w:pPr>
                    <w:pStyle w:val="117"/>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w:t>
                  </w:r>
                </w:p>
              </w:tc>
              <w:tc>
                <w:tcPr>
                  <w:tcW w:w="553" w:type="dxa"/>
                  <w:shd w:val="clear" w:color="auto" w:fill="auto"/>
                  <w:vAlign w:val="center"/>
                </w:tcPr>
                <w:p w14:paraId="11559635">
                  <w:pPr>
                    <w:pStyle w:val="117"/>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279" w:type="dxa"/>
                  <w:vMerge w:val="restart"/>
                  <w:shd w:val="clear" w:color="auto" w:fill="auto"/>
                  <w:vAlign w:val="center"/>
                </w:tcPr>
                <w:p w14:paraId="08EE420A">
                  <w:pPr>
                    <w:pStyle w:val="117"/>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类比法</w:t>
                  </w:r>
                </w:p>
              </w:tc>
              <w:tc>
                <w:tcPr>
                  <w:tcW w:w="760" w:type="dxa"/>
                  <w:vMerge w:val="restart"/>
                  <w:shd w:val="clear" w:color="auto" w:fill="auto"/>
                  <w:vAlign w:val="center"/>
                </w:tcPr>
                <w:p w14:paraId="5AD43F63">
                  <w:pPr>
                    <w:pStyle w:val="117"/>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144</w:t>
                  </w:r>
                </w:p>
              </w:tc>
              <w:tc>
                <w:tcPr>
                  <w:tcW w:w="684" w:type="dxa"/>
                  <w:shd w:val="clear" w:color="auto" w:fill="auto"/>
                  <w:vAlign w:val="center"/>
                </w:tcPr>
                <w:p w14:paraId="4BB6CC0A">
                  <w:pPr>
                    <w:pStyle w:val="117"/>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300</w:t>
                  </w:r>
                </w:p>
              </w:tc>
              <w:tc>
                <w:tcPr>
                  <w:tcW w:w="781" w:type="dxa"/>
                  <w:shd w:val="clear" w:color="auto" w:fill="auto"/>
                  <w:vAlign w:val="center"/>
                </w:tcPr>
                <w:p w14:paraId="058F2357">
                  <w:pPr>
                    <w:pStyle w:val="117"/>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0432</w:t>
                  </w:r>
                </w:p>
              </w:tc>
              <w:tc>
                <w:tcPr>
                  <w:tcW w:w="1022" w:type="dxa"/>
                  <w:vMerge w:val="restart"/>
                  <w:shd w:val="clear" w:color="auto" w:fill="auto"/>
                  <w:vAlign w:val="center"/>
                </w:tcPr>
                <w:p w14:paraId="6EE7AB48">
                  <w:pPr>
                    <w:pStyle w:val="117"/>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highlight w:val="none"/>
                    </w:rPr>
                    <w:t>生活污水排入防渗旱厕，定期清掏外运堆肥</w:t>
                  </w:r>
                </w:p>
              </w:tc>
              <w:tc>
                <w:tcPr>
                  <w:tcW w:w="279" w:type="dxa"/>
                  <w:vMerge w:val="restart"/>
                  <w:shd w:val="clear" w:color="auto" w:fill="auto"/>
                  <w:vAlign w:val="center"/>
                </w:tcPr>
                <w:p w14:paraId="2D9F42DB">
                  <w:pPr>
                    <w:pStyle w:val="117"/>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60" w:type="dxa"/>
                  <w:vMerge w:val="restart"/>
                  <w:shd w:val="clear" w:color="auto" w:fill="auto"/>
                  <w:vAlign w:val="center"/>
                </w:tcPr>
                <w:p w14:paraId="28336B3F">
                  <w:pPr>
                    <w:pStyle w:val="117"/>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684" w:type="dxa"/>
                  <w:shd w:val="clear" w:color="auto" w:fill="auto"/>
                  <w:vAlign w:val="center"/>
                </w:tcPr>
                <w:p w14:paraId="4DA1ED3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532" w:type="dxa"/>
                  <w:shd w:val="clear" w:color="auto" w:fill="auto"/>
                  <w:vAlign w:val="center"/>
                </w:tcPr>
                <w:p w14:paraId="35D39AA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609" w:type="dxa"/>
                  <w:vMerge w:val="restart"/>
                  <w:shd w:val="clear" w:color="auto" w:fill="auto"/>
                  <w:vAlign w:val="center"/>
                </w:tcPr>
                <w:p w14:paraId="61C6E363">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lang w:val="en-US" w:eastAsia="zh-CN"/>
                    </w:rPr>
                    <w:t>-</w:t>
                  </w:r>
                </w:p>
              </w:tc>
            </w:tr>
            <w:tr w14:paraId="4A7EDB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31" w:type="dxa"/>
                  <w:vMerge w:val="continue"/>
                  <w:shd w:val="clear" w:color="auto" w:fill="auto"/>
                  <w:vAlign w:val="center"/>
                </w:tcPr>
                <w:p w14:paraId="236D7ACA">
                  <w:pPr>
                    <w:pStyle w:val="117"/>
                    <w:jc w:val="center"/>
                    <w:rPr>
                      <w:rFonts w:hint="default" w:ascii="Times New Roman" w:hAnsi="Times New Roman" w:cs="Times New Roman"/>
                      <w:color w:val="auto"/>
                      <w:highlight w:val="none"/>
                    </w:rPr>
                  </w:pPr>
                </w:p>
              </w:tc>
              <w:tc>
                <w:tcPr>
                  <w:tcW w:w="437" w:type="dxa"/>
                  <w:vMerge w:val="continue"/>
                  <w:shd w:val="clear" w:color="auto" w:fill="auto"/>
                  <w:vAlign w:val="center"/>
                </w:tcPr>
                <w:p w14:paraId="57D273A9">
                  <w:pPr>
                    <w:pStyle w:val="117"/>
                    <w:jc w:val="center"/>
                    <w:rPr>
                      <w:rFonts w:hint="default" w:ascii="Times New Roman" w:hAnsi="Times New Roman" w:cs="Times New Roman"/>
                      <w:color w:val="auto"/>
                      <w:highlight w:val="none"/>
                    </w:rPr>
                  </w:pPr>
                </w:p>
              </w:tc>
              <w:tc>
                <w:tcPr>
                  <w:tcW w:w="553" w:type="dxa"/>
                  <w:shd w:val="clear" w:color="auto" w:fill="auto"/>
                  <w:vAlign w:val="center"/>
                </w:tcPr>
                <w:p w14:paraId="1F5DF09D">
                  <w:pPr>
                    <w:pStyle w:val="117"/>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279" w:type="dxa"/>
                  <w:vMerge w:val="continue"/>
                  <w:shd w:val="clear" w:color="auto" w:fill="auto"/>
                  <w:vAlign w:val="center"/>
                </w:tcPr>
                <w:p w14:paraId="2397BF6A">
                  <w:pPr>
                    <w:pStyle w:val="117"/>
                    <w:jc w:val="center"/>
                    <w:rPr>
                      <w:rFonts w:hint="default" w:ascii="Times New Roman" w:hAnsi="Times New Roman" w:cs="Times New Roman"/>
                      <w:color w:val="auto"/>
                      <w:highlight w:val="none"/>
                    </w:rPr>
                  </w:pPr>
                </w:p>
              </w:tc>
              <w:tc>
                <w:tcPr>
                  <w:tcW w:w="760" w:type="dxa"/>
                  <w:vMerge w:val="continue"/>
                  <w:shd w:val="clear" w:color="auto" w:fill="auto"/>
                  <w:vAlign w:val="center"/>
                </w:tcPr>
                <w:p w14:paraId="39ECBC20">
                  <w:pPr>
                    <w:pStyle w:val="117"/>
                    <w:jc w:val="center"/>
                    <w:rPr>
                      <w:rFonts w:hint="default" w:ascii="Times New Roman" w:hAnsi="Times New Roman" w:cs="Times New Roman"/>
                      <w:color w:val="auto"/>
                      <w:highlight w:val="none"/>
                    </w:rPr>
                  </w:pPr>
                </w:p>
              </w:tc>
              <w:tc>
                <w:tcPr>
                  <w:tcW w:w="684" w:type="dxa"/>
                  <w:shd w:val="clear" w:color="auto" w:fill="auto"/>
                  <w:vAlign w:val="center"/>
                </w:tcPr>
                <w:p w14:paraId="7423F476">
                  <w:pPr>
                    <w:pStyle w:val="117"/>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w:t>
                  </w:r>
                </w:p>
              </w:tc>
              <w:tc>
                <w:tcPr>
                  <w:tcW w:w="781" w:type="dxa"/>
                  <w:shd w:val="clear" w:color="auto" w:fill="auto"/>
                  <w:vAlign w:val="center"/>
                </w:tcPr>
                <w:p w14:paraId="1F24E386">
                  <w:pPr>
                    <w:pStyle w:val="117"/>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0288</w:t>
                  </w:r>
                </w:p>
              </w:tc>
              <w:tc>
                <w:tcPr>
                  <w:tcW w:w="1022" w:type="dxa"/>
                  <w:vMerge w:val="continue"/>
                  <w:shd w:val="clear" w:color="auto" w:fill="auto"/>
                  <w:vAlign w:val="center"/>
                </w:tcPr>
                <w:p w14:paraId="5527685A">
                  <w:pPr>
                    <w:pStyle w:val="117"/>
                    <w:jc w:val="center"/>
                    <w:rPr>
                      <w:rFonts w:hint="default" w:ascii="Times New Roman" w:hAnsi="Times New Roman" w:cs="Times New Roman"/>
                      <w:color w:val="auto"/>
                      <w:szCs w:val="21"/>
                      <w:highlight w:val="none"/>
                    </w:rPr>
                  </w:pPr>
                </w:p>
              </w:tc>
              <w:tc>
                <w:tcPr>
                  <w:tcW w:w="279" w:type="dxa"/>
                  <w:vMerge w:val="continue"/>
                  <w:shd w:val="clear" w:color="auto" w:fill="auto"/>
                  <w:vAlign w:val="center"/>
                </w:tcPr>
                <w:p w14:paraId="5D81CB09">
                  <w:pPr>
                    <w:pStyle w:val="117"/>
                    <w:jc w:val="center"/>
                    <w:rPr>
                      <w:rFonts w:hint="default" w:ascii="Times New Roman" w:hAnsi="Times New Roman" w:cs="Times New Roman"/>
                      <w:color w:val="auto"/>
                      <w:szCs w:val="21"/>
                      <w:highlight w:val="none"/>
                    </w:rPr>
                  </w:pPr>
                </w:p>
              </w:tc>
              <w:tc>
                <w:tcPr>
                  <w:tcW w:w="760" w:type="dxa"/>
                  <w:vMerge w:val="continue"/>
                  <w:shd w:val="clear" w:color="auto" w:fill="auto"/>
                  <w:vAlign w:val="center"/>
                </w:tcPr>
                <w:p w14:paraId="16979F3B">
                  <w:pPr>
                    <w:pStyle w:val="117"/>
                    <w:jc w:val="center"/>
                    <w:rPr>
                      <w:rFonts w:hint="default" w:ascii="Times New Roman" w:hAnsi="Times New Roman" w:cs="Times New Roman"/>
                      <w:color w:val="auto"/>
                      <w:szCs w:val="21"/>
                      <w:highlight w:val="none"/>
                    </w:rPr>
                  </w:pPr>
                </w:p>
              </w:tc>
              <w:tc>
                <w:tcPr>
                  <w:tcW w:w="684" w:type="dxa"/>
                  <w:shd w:val="clear" w:color="auto" w:fill="auto"/>
                  <w:vAlign w:val="center"/>
                </w:tcPr>
                <w:p w14:paraId="604FF24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532" w:type="dxa"/>
                  <w:shd w:val="clear" w:color="auto" w:fill="auto"/>
                  <w:vAlign w:val="center"/>
                </w:tcPr>
                <w:p w14:paraId="336C36B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609" w:type="dxa"/>
                  <w:vMerge w:val="continue"/>
                  <w:shd w:val="clear" w:color="auto" w:fill="auto"/>
                  <w:vAlign w:val="center"/>
                </w:tcPr>
                <w:p w14:paraId="1A6E8B58">
                  <w:pPr>
                    <w:pStyle w:val="117"/>
                    <w:jc w:val="center"/>
                    <w:rPr>
                      <w:rFonts w:hint="default" w:ascii="Times New Roman" w:hAnsi="Times New Roman" w:cs="Times New Roman"/>
                      <w:color w:val="auto"/>
                      <w:highlight w:val="none"/>
                    </w:rPr>
                  </w:pPr>
                </w:p>
              </w:tc>
            </w:tr>
            <w:tr w14:paraId="469848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31" w:type="dxa"/>
                  <w:vMerge w:val="continue"/>
                  <w:shd w:val="clear" w:color="auto" w:fill="auto"/>
                  <w:vAlign w:val="center"/>
                </w:tcPr>
                <w:p w14:paraId="5CE88BBD">
                  <w:pPr>
                    <w:pStyle w:val="117"/>
                    <w:jc w:val="center"/>
                    <w:rPr>
                      <w:rFonts w:hint="default" w:ascii="Times New Roman" w:hAnsi="Times New Roman" w:cs="Times New Roman"/>
                      <w:color w:val="auto"/>
                      <w:highlight w:val="none"/>
                    </w:rPr>
                  </w:pPr>
                </w:p>
              </w:tc>
              <w:tc>
                <w:tcPr>
                  <w:tcW w:w="437" w:type="dxa"/>
                  <w:vMerge w:val="continue"/>
                  <w:shd w:val="clear" w:color="auto" w:fill="auto"/>
                  <w:vAlign w:val="center"/>
                </w:tcPr>
                <w:p w14:paraId="33299B80">
                  <w:pPr>
                    <w:pStyle w:val="117"/>
                    <w:jc w:val="center"/>
                    <w:rPr>
                      <w:rFonts w:hint="default" w:ascii="Times New Roman" w:hAnsi="Times New Roman" w:cs="Times New Roman"/>
                      <w:color w:val="auto"/>
                      <w:highlight w:val="none"/>
                    </w:rPr>
                  </w:pPr>
                </w:p>
              </w:tc>
              <w:tc>
                <w:tcPr>
                  <w:tcW w:w="553" w:type="dxa"/>
                  <w:shd w:val="clear" w:color="auto" w:fill="auto"/>
                  <w:vAlign w:val="center"/>
                </w:tcPr>
                <w:p w14:paraId="287E2701">
                  <w:pPr>
                    <w:pStyle w:val="117"/>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279" w:type="dxa"/>
                  <w:vMerge w:val="continue"/>
                  <w:shd w:val="clear" w:color="auto" w:fill="auto"/>
                  <w:vAlign w:val="center"/>
                </w:tcPr>
                <w:p w14:paraId="5F895FCA">
                  <w:pPr>
                    <w:pStyle w:val="117"/>
                    <w:jc w:val="center"/>
                    <w:rPr>
                      <w:rFonts w:hint="default" w:ascii="Times New Roman" w:hAnsi="Times New Roman" w:cs="Times New Roman"/>
                      <w:color w:val="auto"/>
                      <w:highlight w:val="none"/>
                    </w:rPr>
                  </w:pPr>
                </w:p>
              </w:tc>
              <w:tc>
                <w:tcPr>
                  <w:tcW w:w="760" w:type="dxa"/>
                  <w:vMerge w:val="continue"/>
                  <w:shd w:val="clear" w:color="auto" w:fill="auto"/>
                  <w:vAlign w:val="center"/>
                </w:tcPr>
                <w:p w14:paraId="33B99111">
                  <w:pPr>
                    <w:pStyle w:val="117"/>
                    <w:jc w:val="center"/>
                    <w:rPr>
                      <w:rFonts w:hint="default" w:ascii="Times New Roman" w:hAnsi="Times New Roman" w:cs="Times New Roman"/>
                      <w:color w:val="auto"/>
                      <w:highlight w:val="none"/>
                    </w:rPr>
                  </w:pPr>
                </w:p>
              </w:tc>
              <w:tc>
                <w:tcPr>
                  <w:tcW w:w="684" w:type="dxa"/>
                  <w:shd w:val="clear" w:color="auto" w:fill="auto"/>
                  <w:vAlign w:val="center"/>
                </w:tcPr>
                <w:p w14:paraId="0078B309">
                  <w:pPr>
                    <w:pStyle w:val="117"/>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w:t>
                  </w:r>
                </w:p>
              </w:tc>
              <w:tc>
                <w:tcPr>
                  <w:tcW w:w="781" w:type="dxa"/>
                  <w:shd w:val="clear" w:color="auto" w:fill="auto"/>
                  <w:vAlign w:val="center"/>
                </w:tcPr>
                <w:p w14:paraId="2401983B">
                  <w:pPr>
                    <w:pStyle w:val="117"/>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0288</w:t>
                  </w:r>
                </w:p>
              </w:tc>
              <w:tc>
                <w:tcPr>
                  <w:tcW w:w="1022" w:type="dxa"/>
                  <w:vMerge w:val="continue"/>
                  <w:shd w:val="clear" w:color="auto" w:fill="auto"/>
                  <w:vAlign w:val="center"/>
                </w:tcPr>
                <w:p w14:paraId="599AB0B5">
                  <w:pPr>
                    <w:pStyle w:val="117"/>
                    <w:jc w:val="center"/>
                    <w:rPr>
                      <w:rFonts w:hint="default" w:ascii="Times New Roman" w:hAnsi="Times New Roman" w:cs="Times New Roman"/>
                      <w:color w:val="auto"/>
                      <w:szCs w:val="21"/>
                      <w:highlight w:val="none"/>
                    </w:rPr>
                  </w:pPr>
                </w:p>
              </w:tc>
              <w:tc>
                <w:tcPr>
                  <w:tcW w:w="279" w:type="dxa"/>
                  <w:vMerge w:val="continue"/>
                  <w:shd w:val="clear" w:color="auto" w:fill="auto"/>
                  <w:vAlign w:val="center"/>
                </w:tcPr>
                <w:p w14:paraId="05F6ED11">
                  <w:pPr>
                    <w:pStyle w:val="117"/>
                    <w:jc w:val="center"/>
                    <w:rPr>
                      <w:rFonts w:hint="default" w:ascii="Times New Roman" w:hAnsi="Times New Roman" w:cs="Times New Roman"/>
                      <w:color w:val="auto"/>
                      <w:szCs w:val="21"/>
                      <w:highlight w:val="none"/>
                    </w:rPr>
                  </w:pPr>
                </w:p>
              </w:tc>
              <w:tc>
                <w:tcPr>
                  <w:tcW w:w="760" w:type="dxa"/>
                  <w:vMerge w:val="continue"/>
                  <w:shd w:val="clear" w:color="auto" w:fill="auto"/>
                  <w:vAlign w:val="center"/>
                </w:tcPr>
                <w:p w14:paraId="5418A42D">
                  <w:pPr>
                    <w:pStyle w:val="117"/>
                    <w:jc w:val="center"/>
                    <w:rPr>
                      <w:rFonts w:hint="default" w:ascii="Times New Roman" w:hAnsi="Times New Roman" w:cs="Times New Roman"/>
                      <w:color w:val="auto"/>
                      <w:szCs w:val="21"/>
                      <w:highlight w:val="none"/>
                    </w:rPr>
                  </w:pPr>
                </w:p>
              </w:tc>
              <w:tc>
                <w:tcPr>
                  <w:tcW w:w="684" w:type="dxa"/>
                  <w:shd w:val="clear" w:color="auto" w:fill="auto"/>
                  <w:vAlign w:val="center"/>
                </w:tcPr>
                <w:p w14:paraId="01B42F2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532" w:type="dxa"/>
                  <w:shd w:val="clear" w:color="auto" w:fill="auto"/>
                  <w:vAlign w:val="center"/>
                </w:tcPr>
                <w:p w14:paraId="3F6184C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609" w:type="dxa"/>
                  <w:vMerge w:val="continue"/>
                  <w:shd w:val="clear" w:color="auto" w:fill="auto"/>
                  <w:vAlign w:val="center"/>
                </w:tcPr>
                <w:p w14:paraId="64F77802">
                  <w:pPr>
                    <w:pStyle w:val="117"/>
                    <w:jc w:val="center"/>
                    <w:rPr>
                      <w:rFonts w:hint="default" w:ascii="Times New Roman" w:hAnsi="Times New Roman" w:cs="Times New Roman"/>
                      <w:color w:val="auto"/>
                      <w:highlight w:val="none"/>
                    </w:rPr>
                  </w:pPr>
                </w:p>
              </w:tc>
            </w:tr>
            <w:tr w14:paraId="7515B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31" w:type="dxa"/>
                  <w:vMerge w:val="continue"/>
                  <w:shd w:val="clear" w:color="auto" w:fill="auto"/>
                  <w:vAlign w:val="center"/>
                </w:tcPr>
                <w:p w14:paraId="6C744856">
                  <w:pPr>
                    <w:pStyle w:val="117"/>
                    <w:jc w:val="center"/>
                    <w:rPr>
                      <w:rFonts w:hint="default" w:ascii="Times New Roman" w:hAnsi="Times New Roman" w:cs="Times New Roman"/>
                      <w:color w:val="auto"/>
                      <w:highlight w:val="none"/>
                    </w:rPr>
                  </w:pPr>
                </w:p>
              </w:tc>
              <w:tc>
                <w:tcPr>
                  <w:tcW w:w="437" w:type="dxa"/>
                  <w:vMerge w:val="continue"/>
                  <w:shd w:val="clear" w:color="auto" w:fill="auto"/>
                  <w:vAlign w:val="center"/>
                </w:tcPr>
                <w:p w14:paraId="18D9F13C">
                  <w:pPr>
                    <w:pStyle w:val="117"/>
                    <w:jc w:val="center"/>
                    <w:rPr>
                      <w:rFonts w:hint="default" w:ascii="Times New Roman" w:hAnsi="Times New Roman" w:cs="Times New Roman"/>
                      <w:color w:val="auto"/>
                      <w:highlight w:val="none"/>
                    </w:rPr>
                  </w:pPr>
                </w:p>
              </w:tc>
              <w:tc>
                <w:tcPr>
                  <w:tcW w:w="553" w:type="dxa"/>
                  <w:shd w:val="clear" w:color="auto" w:fill="auto"/>
                  <w:vAlign w:val="center"/>
                </w:tcPr>
                <w:p w14:paraId="5E5B48C1">
                  <w:pPr>
                    <w:pStyle w:val="117"/>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279" w:type="dxa"/>
                  <w:vMerge w:val="continue"/>
                  <w:shd w:val="clear" w:color="auto" w:fill="auto"/>
                  <w:vAlign w:val="center"/>
                </w:tcPr>
                <w:p w14:paraId="7CDF8AC3">
                  <w:pPr>
                    <w:pStyle w:val="117"/>
                    <w:jc w:val="center"/>
                    <w:rPr>
                      <w:rFonts w:hint="default" w:ascii="Times New Roman" w:hAnsi="Times New Roman" w:cs="Times New Roman"/>
                      <w:color w:val="auto"/>
                      <w:highlight w:val="none"/>
                    </w:rPr>
                  </w:pPr>
                </w:p>
              </w:tc>
              <w:tc>
                <w:tcPr>
                  <w:tcW w:w="760" w:type="dxa"/>
                  <w:vMerge w:val="continue"/>
                  <w:shd w:val="clear" w:color="auto" w:fill="auto"/>
                  <w:vAlign w:val="center"/>
                </w:tcPr>
                <w:p w14:paraId="75F728D7">
                  <w:pPr>
                    <w:pStyle w:val="117"/>
                    <w:jc w:val="center"/>
                    <w:rPr>
                      <w:rFonts w:hint="default" w:ascii="Times New Roman" w:hAnsi="Times New Roman" w:cs="Times New Roman"/>
                      <w:color w:val="auto"/>
                      <w:highlight w:val="none"/>
                    </w:rPr>
                  </w:pPr>
                </w:p>
              </w:tc>
              <w:tc>
                <w:tcPr>
                  <w:tcW w:w="684" w:type="dxa"/>
                  <w:shd w:val="clear" w:color="auto" w:fill="auto"/>
                  <w:vAlign w:val="center"/>
                </w:tcPr>
                <w:p w14:paraId="64786703">
                  <w:pPr>
                    <w:pStyle w:val="117"/>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25</w:t>
                  </w:r>
                </w:p>
              </w:tc>
              <w:tc>
                <w:tcPr>
                  <w:tcW w:w="781" w:type="dxa"/>
                  <w:shd w:val="clear" w:color="auto" w:fill="auto"/>
                  <w:vAlign w:val="center"/>
                </w:tcPr>
                <w:p w14:paraId="18D5A93D">
                  <w:pPr>
                    <w:pStyle w:val="117"/>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0.0</w:t>
                  </w:r>
                  <w:r>
                    <w:rPr>
                      <w:rFonts w:hint="default" w:ascii="Times New Roman" w:hAnsi="Times New Roman" w:cs="Times New Roman"/>
                      <w:color w:val="auto"/>
                      <w:szCs w:val="21"/>
                      <w:highlight w:val="none"/>
                      <w:lang w:val="en-US" w:eastAsia="zh-CN"/>
                    </w:rPr>
                    <w:t>036</w:t>
                  </w:r>
                </w:p>
              </w:tc>
              <w:tc>
                <w:tcPr>
                  <w:tcW w:w="1022" w:type="dxa"/>
                  <w:vMerge w:val="continue"/>
                  <w:shd w:val="clear" w:color="auto" w:fill="auto"/>
                  <w:vAlign w:val="center"/>
                </w:tcPr>
                <w:p w14:paraId="0E265AEC">
                  <w:pPr>
                    <w:pStyle w:val="117"/>
                    <w:jc w:val="center"/>
                    <w:rPr>
                      <w:rFonts w:hint="default" w:ascii="Times New Roman" w:hAnsi="Times New Roman" w:cs="Times New Roman"/>
                      <w:color w:val="auto"/>
                      <w:szCs w:val="21"/>
                      <w:highlight w:val="none"/>
                    </w:rPr>
                  </w:pPr>
                </w:p>
              </w:tc>
              <w:tc>
                <w:tcPr>
                  <w:tcW w:w="279" w:type="dxa"/>
                  <w:vMerge w:val="continue"/>
                  <w:shd w:val="clear" w:color="auto" w:fill="auto"/>
                  <w:vAlign w:val="center"/>
                </w:tcPr>
                <w:p w14:paraId="4D9CCCCF">
                  <w:pPr>
                    <w:pStyle w:val="117"/>
                    <w:jc w:val="center"/>
                    <w:rPr>
                      <w:rFonts w:hint="default" w:ascii="Times New Roman" w:hAnsi="Times New Roman" w:cs="Times New Roman"/>
                      <w:color w:val="auto"/>
                      <w:szCs w:val="21"/>
                      <w:highlight w:val="none"/>
                    </w:rPr>
                  </w:pPr>
                </w:p>
              </w:tc>
              <w:tc>
                <w:tcPr>
                  <w:tcW w:w="760" w:type="dxa"/>
                  <w:vMerge w:val="continue"/>
                  <w:shd w:val="clear" w:color="auto" w:fill="auto"/>
                  <w:vAlign w:val="center"/>
                </w:tcPr>
                <w:p w14:paraId="106B4283">
                  <w:pPr>
                    <w:pStyle w:val="117"/>
                    <w:jc w:val="center"/>
                    <w:rPr>
                      <w:rFonts w:hint="default" w:ascii="Times New Roman" w:hAnsi="Times New Roman" w:cs="Times New Roman"/>
                      <w:color w:val="auto"/>
                      <w:szCs w:val="21"/>
                      <w:highlight w:val="none"/>
                    </w:rPr>
                  </w:pPr>
                </w:p>
              </w:tc>
              <w:tc>
                <w:tcPr>
                  <w:tcW w:w="684" w:type="dxa"/>
                  <w:shd w:val="clear" w:color="auto" w:fill="auto"/>
                  <w:vAlign w:val="center"/>
                </w:tcPr>
                <w:p w14:paraId="04CAFF8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532" w:type="dxa"/>
                  <w:shd w:val="clear" w:color="auto" w:fill="auto"/>
                  <w:vAlign w:val="center"/>
                </w:tcPr>
                <w:p w14:paraId="2656732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609" w:type="dxa"/>
                  <w:vMerge w:val="continue"/>
                  <w:shd w:val="clear" w:color="auto" w:fill="auto"/>
                  <w:vAlign w:val="center"/>
                </w:tcPr>
                <w:p w14:paraId="6D882DFE">
                  <w:pPr>
                    <w:pStyle w:val="117"/>
                    <w:jc w:val="center"/>
                    <w:rPr>
                      <w:rFonts w:hint="default" w:ascii="Times New Roman" w:hAnsi="Times New Roman" w:cs="Times New Roman"/>
                      <w:color w:val="auto"/>
                      <w:highlight w:val="none"/>
                    </w:rPr>
                  </w:pPr>
                </w:p>
              </w:tc>
            </w:tr>
          </w:tbl>
          <w:p w14:paraId="79F5E3AD">
            <w:pPr>
              <w:pStyle w:val="68"/>
              <w:adjustRightInd w:val="0"/>
              <w:snapToGrid w:val="0"/>
              <w:spacing w:line="500" w:lineRule="exact"/>
              <w:ind w:left="420" w:leftChars="200" w:firstLine="0" w:firstLineChars="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（2）初期雨水</w:t>
            </w:r>
          </w:p>
          <w:p w14:paraId="6533E33E">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本项目初期雨水汇水面积约为</w:t>
            </w:r>
            <w:r>
              <w:rPr>
                <w:rFonts w:hint="default" w:ascii="Times New Roman" w:hAnsi="Times New Roman" w:cs="Times New Roman"/>
                <w:color w:val="auto"/>
                <w:sz w:val="24"/>
                <w:highlight w:val="none"/>
                <w:lang w:val="en-US" w:eastAsia="zh-CN"/>
              </w:rPr>
              <w:t>1.09ha</w:t>
            </w:r>
            <w:r>
              <w:rPr>
                <w:rFonts w:hint="default" w:ascii="Times New Roman" w:hAnsi="Times New Roman" w:cs="Times New Roman"/>
                <w:color w:val="auto"/>
                <w:sz w:val="24"/>
                <w:highlight w:val="none"/>
              </w:rPr>
              <w:t>，以暴雨量的15min余量作为初期雨水量计算，初期雨水量为</w:t>
            </w:r>
            <w:r>
              <w:rPr>
                <w:rFonts w:hint="default" w:ascii="Times New Roman" w:hAnsi="Times New Roman" w:cs="Times New Roman"/>
                <w:color w:val="auto"/>
                <w:sz w:val="24"/>
                <w:highlight w:val="none"/>
                <w:lang w:val="en-US" w:eastAsia="zh-CN"/>
              </w:rPr>
              <w:t>151</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14:paraId="5CCB42FF">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初期雨水经四周排水沟收集汇入厂区一座</w:t>
            </w:r>
            <w:r>
              <w:rPr>
                <w:rFonts w:hint="default" w:ascii="Times New Roman" w:hAnsi="Times New Roman" w:cs="Times New Roman"/>
                <w:color w:val="auto"/>
                <w:sz w:val="24"/>
                <w:highlight w:val="none"/>
                <w:lang w:eastAsia="zh-CN"/>
              </w:rPr>
              <w:t>160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初期雨水收集池，收集后回用于厂区喷淋降尘，不外排。</w:t>
            </w:r>
          </w:p>
          <w:p w14:paraId="5733E77C">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（二）可行性分析</w:t>
            </w:r>
          </w:p>
          <w:p w14:paraId="3415EB7A">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本项目无生产废水产生，</w:t>
            </w:r>
            <w:r>
              <w:rPr>
                <w:rFonts w:hint="default" w:ascii="Times New Roman" w:hAnsi="Times New Roman" w:cs="Times New Roman"/>
                <w:color w:val="auto"/>
                <w:sz w:val="24"/>
                <w:highlight w:val="none"/>
                <w:lang w:val="en-US" w:eastAsia="zh-CN"/>
              </w:rPr>
              <w:t>冲洗废水经沉淀隔油处理后回用，不外排。</w:t>
            </w:r>
            <w:r>
              <w:rPr>
                <w:rFonts w:hint="default" w:ascii="Times New Roman" w:hAnsi="Times New Roman" w:cs="Times New Roman"/>
                <w:color w:val="auto"/>
                <w:sz w:val="24"/>
                <w:highlight w:val="none"/>
              </w:rPr>
              <w:t>废水主要为生活污水。生活污水排入防渗旱厕,定期清掏外运堆肥，不外排。</w:t>
            </w:r>
            <w:r>
              <w:rPr>
                <w:rFonts w:hint="default" w:ascii="Times New Roman" w:hAnsi="Times New Roman" w:cs="Times New Roman"/>
                <w:color w:val="auto"/>
                <w:sz w:val="24"/>
                <w:highlight w:val="none"/>
                <w:lang w:val="en-US" w:eastAsia="zh-CN"/>
              </w:rPr>
              <w:t>初期雨水经</w:t>
            </w:r>
            <w:r>
              <w:rPr>
                <w:rFonts w:hint="default" w:ascii="Times New Roman" w:hAnsi="Times New Roman" w:cs="Times New Roman"/>
                <w:color w:val="auto"/>
                <w:sz w:val="24"/>
                <w:highlight w:val="none"/>
              </w:rPr>
              <w:t>收集后回用于厂区喷淋降尘，不外排</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因此本项目建设是可行的。</w:t>
            </w:r>
          </w:p>
          <w:p w14:paraId="3A5CCB11">
            <w:pPr>
              <w:pStyle w:val="68"/>
              <w:adjustRightInd w:val="0"/>
              <w:snapToGrid w:val="0"/>
              <w:spacing w:line="500" w:lineRule="exact"/>
              <w:ind w:firstLine="482"/>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三、噪声环境影响和保护措施</w:t>
            </w:r>
          </w:p>
          <w:p w14:paraId="3DD3CA7E">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（一）噪声源强</w:t>
            </w:r>
          </w:p>
          <w:p w14:paraId="2EBF2D6A">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本项目的噪声主要为生产设备、相关配套设备噪声及运输车辆等噪声，根据《环境影响评价技术导则 声环境》（HJ2.4-2021）源强获取方法中对于拟建项目噪声源强可通过声源类比测量或引用有效资料来确定，设备噪声源强70~85dB（A），噪声源强见下表。</w:t>
            </w:r>
          </w:p>
          <w:p w14:paraId="0A957A85">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表4-2 室内噪声源强一览表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4"/>
              <w:gridCol w:w="466"/>
              <w:gridCol w:w="707"/>
              <w:gridCol w:w="697"/>
              <w:gridCol w:w="431"/>
              <w:gridCol w:w="545"/>
              <w:gridCol w:w="586"/>
              <w:gridCol w:w="409"/>
              <w:gridCol w:w="505"/>
              <w:gridCol w:w="695"/>
              <w:gridCol w:w="423"/>
              <w:gridCol w:w="709"/>
              <w:gridCol w:w="648"/>
              <w:gridCol w:w="435"/>
            </w:tblGrid>
            <w:tr w14:paraId="446F16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4" w:type="dxa"/>
                  <w:vMerge w:val="restart"/>
                  <w:shd w:val="clear" w:color="auto" w:fill="auto"/>
                  <w:vAlign w:val="center"/>
                </w:tcPr>
                <w:p w14:paraId="0AD0B52C">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序号</w:t>
                  </w:r>
                </w:p>
              </w:tc>
              <w:tc>
                <w:tcPr>
                  <w:tcW w:w="466" w:type="dxa"/>
                  <w:vMerge w:val="restart"/>
                  <w:shd w:val="clear" w:color="auto" w:fill="auto"/>
                  <w:vAlign w:val="center"/>
                </w:tcPr>
                <w:p w14:paraId="20EB31FF">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建筑物名称</w:t>
                  </w:r>
                </w:p>
              </w:tc>
              <w:tc>
                <w:tcPr>
                  <w:tcW w:w="707" w:type="dxa"/>
                  <w:vMerge w:val="restart"/>
                  <w:shd w:val="clear" w:color="auto" w:fill="auto"/>
                  <w:vAlign w:val="center"/>
                </w:tcPr>
                <w:p w14:paraId="1CD0A25F">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声源名称</w:t>
                  </w:r>
                </w:p>
              </w:tc>
              <w:tc>
                <w:tcPr>
                  <w:tcW w:w="697" w:type="dxa"/>
                  <w:shd w:val="clear" w:color="auto" w:fill="auto"/>
                  <w:vAlign w:val="center"/>
                </w:tcPr>
                <w:p w14:paraId="55450882">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声源源强</w:t>
                  </w:r>
                </w:p>
              </w:tc>
              <w:tc>
                <w:tcPr>
                  <w:tcW w:w="431" w:type="dxa"/>
                  <w:vMerge w:val="restart"/>
                  <w:shd w:val="clear" w:color="auto" w:fill="auto"/>
                  <w:vAlign w:val="center"/>
                </w:tcPr>
                <w:p w14:paraId="034570B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声源控制措施</w:t>
                  </w:r>
                </w:p>
              </w:tc>
              <w:tc>
                <w:tcPr>
                  <w:tcW w:w="1540" w:type="dxa"/>
                  <w:gridSpan w:val="3"/>
                  <w:shd w:val="clear" w:color="auto" w:fill="auto"/>
                  <w:vAlign w:val="center"/>
                </w:tcPr>
                <w:p w14:paraId="56236AF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空间相对位置/m</w:t>
                  </w:r>
                </w:p>
              </w:tc>
              <w:tc>
                <w:tcPr>
                  <w:tcW w:w="505" w:type="dxa"/>
                  <w:vMerge w:val="restart"/>
                  <w:shd w:val="clear" w:color="auto" w:fill="auto"/>
                  <w:vAlign w:val="center"/>
                </w:tcPr>
                <w:p w14:paraId="4EAE870A">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距室内边界距离/m</w:t>
                  </w:r>
                </w:p>
              </w:tc>
              <w:tc>
                <w:tcPr>
                  <w:tcW w:w="695" w:type="dxa"/>
                  <w:vMerge w:val="restart"/>
                  <w:shd w:val="clear" w:color="auto" w:fill="auto"/>
                  <w:vAlign w:val="center"/>
                </w:tcPr>
                <w:p w14:paraId="20964F0C">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室内边界声级/dB</w:t>
                  </w:r>
                </w:p>
                <w:p w14:paraId="0DA10A3F">
                  <w:pPr>
                    <w:widowControl/>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A</w:t>
                  </w:r>
                  <w:r>
                    <w:rPr>
                      <w:rFonts w:hint="default" w:ascii="Times New Roman" w:hAnsi="Times New Roman" w:cs="Times New Roman"/>
                      <w:color w:val="auto"/>
                      <w:kern w:val="0"/>
                      <w:szCs w:val="21"/>
                      <w:highlight w:val="none"/>
                      <w:lang w:val="en-US" w:eastAsia="zh-CN"/>
                    </w:rPr>
                    <w:t>)</w:t>
                  </w:r>
                </w:p>
              </w:tc>
              <w:tc>
                <w:tcPr>
                  <w:tcW w:w="423" w:type="dxa"/>
                  <w:vMerge w:val="restart"/>
                  <w:shd w:val="clear" w:color="auto" w:fill="auto"/>
                  <w:vAlign w:val="center"/>
                </w:tcPr>
                <w:p w14:paraId="35ADE5CC">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运行时段</w:t>
                  </w:r>
                </w:p>
              </w:tc>
              <w:tc>
                <w:tcPr>
                  <w:tcW w:w="709" w:type="dxa"/>
                  <w:vMerge w:val="restart"/>
                  <w:shd w:val="clear" w:color="auto" w:fill="auto"/>
                  <w:vAlign w:val="center"/>
                </w:tcPr>
                <w:p w14:paraId="2E177021">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建筑物插入损失/dB（A）</w:t>
                  </w:r>
                </w:p>
              </w:tc>
              <w:tc>
                <w:tcPr>
                  <w:tcW w:w="1083" w:type="dxa"/>
                  <w:gridSpan w:val="2"/>
                  <w:shd w:val="clear" w:color="auto" w:fill="auto"/>
                  <w:vAlign w:val="center"/>
                </w:tcPr>
                <w:p w14:paraId="4D4DE111">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建筑物外噪声</w:t>
                  </w:r>
                </w:p>
              </w:tc>
            </w:tr>
            <w:tr w14:paraId="2B1B43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4" w:type="dxa"/>
                  <w:vMerge w:val="continue"/>
                  <w:vAlign w:val="center"/>
                </w:tcPr>
                <w:p w14:paraId="5432D761">
                  <w:pPr>
                    <w:widowControl/>
                    <w:jc w:val="center"/>
                    <w:rPr>
                      <w:rFonts w:hint="default" w:ascii="Times New Roman" w:hAnsi="Times New Roman" w:cs="Times New Roman"/>
                      <w:color w:val="auto"/>
                      <w:kern w:val="0"/>
                      <w:szCs w:val="21"/>
                      <w:highlight w:val="none"/>
                    </w:rPr>
                  </w:pPr>
                </w:p>
              </w:tc>
              <w:tc>
                <w:tcPr>
                  <w:tcW w:w="466" w:type="dxa"/>
                  <w:vMerge w:val="continue"/>
                  <w:vAlign w:val="center"/>
                </w:tcPr>
                <w:p w14:paraId="30FAEB44">
                  <w:pPr>
                    <w:widowControl/>
                    <w:jc w:val="center"/>
                    <w:rPr>
                      <w:rFonts w:hint="default" w:ascii="Times New Roman" w:hAnsi="Times New Roman" w:cs="Times New Roman"/>
                      <w:color w:val="auto"/>
                      <w:kern w:val="0"/>
                      <w:szCs w:val="21"/>
                      <w:highlight w:val="none"/>
                    </w:rPr>
                  </w:pPr>
                </w:p>
              </w:tc>
              <w:tc>
                <w:tcPr>
                  <w:tcW w:w="707" w:type="dxa"/>
                  <w:vMerge w:val="continue"/>
                  <w:vAlign w:val="center"/>
                </w:tcPr>
                <w:p w14:paraId="43788052">
                  <w:pPr>
                    <w:widowControl/>
                    <w:jc w:val="center"/>
                    <w:rPr>
                      <w:rFonts w:hint="default" w:ascii="Times New Roman" w:hAnsi="Times New Roman" w:cs="Times New Roman"/>
                      <w:color w:val="auto"/>
                      <w:kern w:val="0"/>
                      <w:szCs w:val="21"/>
                      <w:highlight w:val="none"/>
                    </w:rPr>
                  </w:pPr>
                </w:p>
              </w:tc>
              <w:tc>
                <w:tcPr>
                  <w:tcW w:w="697" w:type="dxa"/>
                  <w:shd w:val="clear" w:color="auto" w:fill="auto"/>
                  <w:vAlign w:val="center"/>
                </w:tcPr>
                <w:p w14:paraId="7D18CEC9">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声功率级/dB（A）</w:t>
                  </w:r>
                </w:p>
              </w:tc>
              <w:tc>
                <w:tcPr>
                  <w:tcW w:w="431" w:type="dxa"/>
                  <w:vMerge w:val="continue"/>
                  <w:vAlign w:val="center"/>
                </w:tcPr>
                <w:p w14:paraId="54B1BBB1">
                  <w:pPr>
                    <w:widowControl/>
                    <w:jc w:val="center"/>
                    <w:rPr>
                      <w:rFonts w:hint="default" w:ascii="Times New Roman" w:hAnsi="Times New Roman" w:cs="Times New Roman"/>
                      <w:color w:val="auto"/>
                      <w:kern w:val="0"/>
                      <w:szCs w:val="21"/>
                      <w:highlight w:val="none"/>
                    </w:rPr>
                  </w:pPr>
                </w:p>
              </w:tc>
              <w:tc>
                <w:tcPr>
                  <w:tcW w:w="545" w:type="dxa"/>
                  <w:shd w:val="clear" w:color="auto" w:fill="auto"/>
                  <w:vAlign w:val="center"/>
                </w:tcPr>
                <w:p w14:paraId="7A0D315B">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X</w:t>
                  </w:r>
                </w:p>
              </w:tc>
              <w:tc>
                <w:tcPr>
                  <w:tcW w:w="586" w:type="dxa"/>
                  <w:shd w:val="clear" w:color="auto" w:fill="auto"/>
                  <w:vAlign w:val="center"/>
                </w:tcPr>
                <w:p w14:paraId="65435E9B">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Y</w:t>
                  </w:r>
                </w:p>
              </w:tc>
              <w:tc>
                <w:tcPr>
                  <w:tcW w:w="409" w:type="dxa"/>
                  <w:shd w:val="clear" w:color="auto" w:fill="auto"/>
                  <w:vAlign w:val="center"/>
                </w:tcPr>
                <w:p w14:paraId="41DCF3A9">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Z</w:t>
                  </w:r>
                </w:p>
              </w:tc>
              <w:tc>
                <w:tcPr>
                  <w:tcW w:w="505" w:type="dxa"/>
                  <w:vMerge w:val="continue"/>
                  <w:vAlign w:val="center"/>
                </w:tcPr>
                <w:p w14:paraId="4076C687">
                  <w:pPr>
                    <w:widowControl/>
                    <w:jc w:val="center"/>
                    <w:rPr>
                      <w:rFonts w:hint="default" w:ascii="Times New Roman" w:hAnsi="Times New Roman" w:cs="Times New Roman"/>
                      <w:color w:val="auto"/>
                      <w:kern w:val="0"/>
                      <w:szCs w:val="21"/>
                      <w:highlight w:val="none"/>
                    </w:rPr>
                  </w:pPr>
                </w:p>
              </w:tc>
              <w:tc>
                <w:tcPr>
                  <w:tcW w:w="695" w:type="dxa"/>
                  <w:vMerge w:val="continue"/>
                  <w:vAlign w:val="center"/>
                </w:tcPr>
                <w:p w14:paraId="210CCAE6">
                  <w:pPr>
                    <w:widowControl/>
                    <w:jc w:val="center"/>
                    <w:rPr>
                      <w:rFonts w:hint="default" w:ascii="Times New Roman" w:hAnsi="Times New Roman" w:cs="Times New Roman"/>
                      <w:color w:val="auto"/>
                      <w:kern w:val="0"/>
                      <w:szCs w:val="21"/>
                      <w:highlight w:val="none"/>
                    </w:rPr>
                  </w:pPr>
                </w:p>
              </w:tc>
              <w:tc>
                <w:tcPr>
                  <w:tcW w:w="423" w:type="dxa"/>
                  <w:vMerge w:val="continue"/>
                  <w:vAlign w:val="center"/>
                </w:tcPr>
                <w:p w14:paraId="3D4A4375">
                  <w:pPr>
                    <w:widowControl/>
                    <w:jc w:val="center"/>
                    <w:rPr>
                      <w:rFonts w:hint="default" w:ascii="Times New Roman" w:hAnsi="Times New Roman" w:cs="Times New Roman"/>
                      <w:color w:val="auto"/>
                      <w:kern w:val="0"/>
                      <w:szCs w:val="21"/>
                      <w:highlight w:val="none"/>
                    </w:rPr>
                  </w:pPr>
                </w:p>
              </w:tc>
              <w:tc>
                <w:tcPr>
                  <w:tcW w:w="709" w:type="dxa"/>
                  <w:vMerge w:val="continue"/>
                  <w:vAlign w:val="center"/>
                </w:tcPr>
                <w:p w14:paraId="7E079283">
                  <w:pPr>
                    <w:widowControl/>
                    <w:jc w:val="center"/>
                    <w:rPr>
                      <w:rFonts w:hint="default" w:ascii="Times New Roman" w:hAnsi="Times New Roman" w:cs="Times New Roman"/>
                      <w:color w:val="auto"/>
                      <w:kern w:val="0"/>
                      <w:szCs w:val="21"/>
                      <w:highlight w:val="none"/>
                    </w:rPr>
                  </w:pPr>
                </w:p>
              </w:tc>
              <w:tc>
                <w:tcPr>
                  <w:tcW w:w="648" w:type="dxa"/>
                  <w:shd w:val="clear" w:color="auto" w:fill="auto"/>
                  <w:vAlign w:val="center"/>
                </w:tcPr>
                <w:p w14:paraId="10CC282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声压级/dB</w:t>
                  </w:r>
                </w:p>
                <w:p w14:paraId="693E18EF">
                  <w:pPr>
                    <w:widowControl/>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A</w:t>
                  </w:r>
                  <w:r>
                    <w:rPr>
                      <w:rFonts w:hint="default" w:ascii="Times New Roman" w:hAnsi="Times New Roman" w:cs="Times New Roman"/>
                      <w:color w:val="auto"/>
                      <w:kern w:val="0"/>
                      <w:szCs w:val="21"/>
                      <w:highlight w:val="none"/>
                      <w:lang w:val="en-US" w:eastAsia="zh-CN"/>
                    </w:rPr>
                    <w:t>)</w:t>
                  </w:r>
                </w:p>
              </w:tc>
              <w:tc>
                <w:tcPr>
                  <w:tcW w:w="435" w:type="dxa"/>
                  <w:shd w:val="clear" w:color="auto" w:fill="auto"/>
                  <w:vAlign w:val="center"/>
                </w:tcPr>
                <w:p w14:paraId="75B76002">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建筑物外距离</w:t>
                  </w:r>
                </w:p>
              </w:tc>
            </w:tr>
            <w:tr w14:paraId="25052D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4" w:type="dxa"/>
                  <w:shd w:val="clear" w:color="auto" w:fill="auto"/>
                  <w:vAlign w:val="center"/>
                </w:tcPr>
                <w:p w14:paraId="3EA20FCF">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466" w:type="dxa"/>
                  <w:vMerge w:val="restart"/>
                  <w:shd w:val="clear" w:color="auto" w:fill="auto"/>
                  <w:vAlign w:val="center"/>
                </w:tcPr>
                <w:p w14:paraId="6DA7AFC2">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沥青混凝土拌合站</w:t>
                  </w:r>
                </w:p>
              </w:tc>
              <w:tc>
                <w:tcPr>
                  <w:tcW w:w="707" w:type="dxa"/>
                  <w:shd w:val="clear" w:color="auto" w:fill="auto"/>
                  <w:vAlign w:val="center"/>
                </w:tcPr>
                <w:p w14:paraId="4BF59661">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筛分机</w:t>
                  </w:r>
                </w:p>
              </w:tc>
              <w:tc>
                <w:tcPr>
                  <w:tcW w:w="697" w:type="dxa"/>
                  <w:shd w:val="clear" w:color="auto" w:fill="auto"/>
                  <w:vAlign w:val="center"/>
                </w:tcPr>
                <w:p w14:paraId="51DEF91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85</w:t>
                  </w:r>
                </w:p>
              </w:tc>
              <w:tc>
                <w:tcPr>
                  <w:tcW w:w="431" w:type="dxa"/>
                  <w:vMerge w:val="restart"/>
                  <w:shd w:val="clear" w:color="auto" w:fill="auto"/>
                  <w:vAlign w:val="center"/>
                </w:tcPr>
                <w:p w14:paraId="2F940269">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选用低噪设备，房屋密闭、减振、隔声处理</w:t>
                  </w:r>
                </w:p>
              </w:tc>
              <w:tc>
                <w:tcPr>
                  <w:tcW w:w="545" w:type="dxa"/>
                  <w:shd w:val="clear" w:color="auto" w:fill="auto"/>
                  <w:vAlign w:val="center"/>
                </w:tcPr>
                <w:p w14:paraId="5E284D8C">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90</w:t>
                  </w:r>
                </w:p>
              </w:tc>
              <w:tc>
                <w:tcPr>
                  <w:tcW w:w="586" w:type="dxa"/>
                  <w:shd w:val="clear" w:color="auto" w:fill="auto"/>
                  <w:vAlign w:val="center"/>
                </w:tcPr>
                <w:p w14:paraId="513DDB68">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171</w:t>
                  </w:r>
                </w:p>
              </w:tc>
              <w:tc>
                <w:tcPr>
                  <w:tcW w:w="409" w:type="dxa"/>
                  <w:shd w:val="clear" w:color="auto" w:fill="auto"/>
                  <w:vAlign w:val="center"/>
                </w:tcPr>
                <w:p w14:paraId="62024930">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505" w:type="dxa"/>
                  <w:shd w:val="clear" w:color="auto" w:fill="auto"/>
                  <w:vAlign w:val="center"/>
                </w:tcPr>
                <w:p w14:paraId="182FAE18">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6</w:t>
                  </w:r>
                </w:p>
              </w:tc>
              <w:tc>
                <w:tcPr>
                  <w:tcW w:w="695" w:type="dxa"/>
                  <w:shd w:val="clear" w:color="auto" w:fill="auto"/>
                  <w:vAlign w:val="center"/>
                </w:tcPr>
                <w:p w14:paraId="35BBA3BA">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85</w:t>
                  </w:r>
                </w:p>
              </w:tc>
              <w:tc>
                <w:tcPr>
                  <w:tcW w:w="423" w:type="dxa"/>
                  <w:vMerge w:val="restart"/>
                  <w:shd w:val="clear" w:color="auto" w:fill="auto"/>
                  <w:vAlign w:val="center"/>
                </w:tcPr>
                <w:p w14:paraId="71DDEA49">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1200</w:t>
                  </w:r>
                </w:p>
              </w:tc>
              <w:tc>
                <w:tcPr>
                  <w:tcW w:w="709" w:type="dxa"/>
                  <w:shd w:val="clear" w:color="auto" w:fill="auto"/>
                  <w:vAlign w:val="center"/>
                </w:tcPr>
                <w:p w14:paraId="76701224">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648" w:type="dxa"/>
                  <w:shd w:val="clear" w:color="auto" w:fill="auto"/>
                  <w:vAlign w:val="center"/>
                </w:tcPr>
                <w:p w14:paraId="155F7CEC">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65</w:t>
                  </w:r>
                </w:p>
              </w:tc>
              <w:tc>
                <w:tcPr>
                  <w:tcW w:w="435" w:type="dxa"/>
                  <w:shd w:val="clear" w:color="auto" w:fill="auto"/>
                  <w:vAlign w:val="center"/>
                </w:tcPr>
                <w:p w14:paraId="48C8F378">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r>
            <w:tr w14:paraId="75466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4" w:type="dxa"/>
                  <w:shd w:val="clear" w:color="auto" w:fill="auto"/>
                  <w:vAlign w:val="center"/>
                </w:tcPr>
                <w:p w14:paraId="7FE57F6A">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w:t>
                  </w:r>
                </w:p>
              </w:tc>
              <w:tc>
                <w:tcPr>
                  <w:tcW w:w="466" w:type="dxa"/>
                  <w:vMerge w:val="continue"/>
                  <w:vAlign w:val="center"/>
                </w:tcPr>
                <w:p w14:paraId="3877F6CD">
                  <w:pPr>
                    <w:widowControl/>
                    <w:jc w:val="center"/>
                    <w:rPr>
                      <w:rFonts w:hint="default" w:ascii="Times New Roman" w:hAnsi="Times New Roman" w:cs="Times New Roman"/>
                      <w:color w:val="auto"/>
                      <w:kern w:val="0"/>
                      <w:szCs w:val="21"/>
                      <w:highlight w:val="none"/>
                    </w:rPr>
                  </w:pPr>
                </w:p>
              </w:tc>
              <w:tc>
                <w:tcPr>
                  <w:tcW w:w="707" w:type="dxa"/>
                  <w:shd w:val="clear" w:color="auto" w:fill="auto"/>
                  <w:vAlign w:val="center"/>
                </w:tcPr>
                <w:p w14:paraId="1E2A6D48">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石料烘干滚筒</w:t>
                  </w:r>
                </w:p>
              </w:tc>
              <w:tc>
                <w:tcPr>
                  <w:tcW w:w="697" w:type="dxa"/>
                  <w:shd w:val="clear" w:color="auto" w:fill="auto"/>
                  <w:vAlign w:val="center"/>
                </w:tcPr>
                <w:p w14:paraId="5A2BC0BF">
                  <w:pPr>
                    <w:widowControl/>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szCs w:val="21"/>
                      <w:highlight w:val="none"/>
                    </w:rPr>
                    <w:t>8</w:t>
                  </w:r>
                  <w:r>
                    <w:rPr>
                      <w:rFonts w:hint="default" w:ascii="Times New Roman" w:hAnsi="Times New Roman" w:cs="Times New Roman"/>
                      <w:color w:val="auto"/>
                      <w:szCs w:val="21"/>
                      <w:highlight w:val="none"/>
                      <w:lang w:val="en-US" w:eastAsia="zh-CN"/>
                    </w:rPr>
                    <w:t>0</w:t>
                  </w:r>
                </w:p>
              </w:tc>
              <w:tc>
                <w:tcPr>
                  <w:tcW w:w="431" w:type="dxa"/>
                  <w:vMerge w:val="continue"/>
                  <w:vAlign w:val="center"/>
                </w:tcPr>
                <w:p w14:paraId="37BC5183">
                  <w:pPr>
                    <w:widowControl/>
                    <w:jc w:val="center"/>
                    <w:rPr>
                      <w:rFonts w:hint="default" w:ascii="Times New Roman" w:hAnsi="Times New Roman" w:cs="Times New Roman"/>
                      <w:color w:val="auto"/>
                      <w:kern w:val="0"/>
                      <w:szCs w:val="21"/>
                      <w:highlight w:val="none"/>
                    </w:rPr>
                  </w:pPr>
                </w:p>
              </w:tc>
              <w:tc>
                <w:tcPr>
                  <w:tcW w:w="545" w:type="dxa"/>
                  <w:shd w:val="clear" w:color="auto" w:fill="auto"/>
                  <w:vAlign w:val="center"/>
                </w:tcPr>
                <w:p w14:paraId="0C9162CE">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94</w:t>
                  </w:r>
                </w:p>
              </w:tc>
              <w:tc>
                <w:tcPr>
                  <w:tcW w:w="586" w:type="dxa"/>
                  <w:shd w:val="clear" w:color="auto" w:fill="auto"/>
                  <w:vAlign w:val="center"/>
                </w:tcPr>
                <w:p w14:paraId="7D291532">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159</w:t>
                  </w:r>
                </w:p>
              </w:tc>
              <w:tc>
                <w:tcPr>
                  <w:tcW w:w="409" w:type="dxa"/>
                  <w:shd w:val="clear" w:color="auto" w:fill="auto"/>
                  <w:vAlign w:val="center"/>
                </w:tcPr>
                <w:p w14:paraId="1200CD0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505" w:type="dxa"/>
                  <w:shd w:val="clear" w:color="auto" w:fill="auto"/>
                  <w:vAlign w:val="center"/>
                </w:tcPr>
                <w:p w14:paraId="54D22D25">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7</w:t>
                  </w:r>
                </w:p>
              </w:tc>
              <w:tc>
                <w:tcPr>
                  <w:tcW w:w="695" w:type="dxa"/>
                  <w:shd w:val="clear" w:color="auto" w:fill="auto"/>
                  <w:vAlign w:val="center"/>
                </w:tcPr>
                <w:p w14:paraId="279258C1">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85</w:t>
                  </w:r>
                </w:p>
              </w:tc>
              <w:tc>
                <w:tcPr>
                  <w:tcW w:w="423" w:type="dxa"/>
                  <w:vMerge w:val="continue"/>
                  <w:vAlign w:val="center"/>
                </w:tcPr>
                <w:p w14:paraId="3D75D7A6">
                  <w:pPr>
                    <w:widowControl/>
                    <w:jc w:val="center"/>
                    <w:rPr>
                      <w:rFonts w:hint="default" w:ascii="Times New Roman" w:hAnsi="Times New Roman" w:cs="Times New Roman"/>
                      <w:color w:val="auto"/>
                      <w:kern w:val="0"/>
                      <w:szCs w:val="21"/>
                      <w:highlight w:val="none"/>
                    </w:rPr>
                  </w:pPr>
                </w:p>
              </w:tc>
              <w:tc>
                <w:tcPr>
                  <w:tcW w:w="709" w:type="dxa"/>
                  <w:shd w:val="clear" w:color="auto" w:fill="auto"/>
                  <w:vAlign w:val="center"/>
                </w:tcPr>
                <w:p w14:paraId="2CEDDBE2">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648" w:type="dxa"/>
                  <w:shd w:val="clear" w:color="auto" w:fill="auto"/>
                  <w:vAlign w:val="center"/>
                </w:tcPr>
                <w:p w14:paraId="7CD13A16">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65</w:t>
                  </w:r>
                </w:p>
              </w:tc>
              <w:tc>
                <w:tcPr>
                  <w:tcW w:w="435" w:type="dxa"/>
                  <w:shd w:val="clear" w:color="auto" w:fill="auto"/>
                  <w:vAlign w:val="center"/>
                </w:tcPr>
                <w:p w14:paraId="2CC11896">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r>
            <w:tr w14:paraId="63A9F5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4" w:hRule="atLeast"/>
                <w:jc w:val="center"/>
              </w:trPr>
              <w:tc>
                <w:tcPr>
                  <w:tcW w:w="404" w:type="dxa"/>
                  <w:vAlign w:val="center"/>
                </w:tcPr>
                <w:p w14:paraId="7041EFA2">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w:t>
                  </w:r>
                </w:p>
              </w:tc>
              <w:tc>
                <w:tcPr>
                  <w:tcW w:w="466" w:type="dxa"/>
                  <w:vMerge w:val="continue"/>
                  <w:vAlign w:val="center"/>
                </w:tcPr>
                <w:p w14:paraId="2221CB67">
                  <w:pPr>
                    <w:widowControl/>
                    <w:jc w:val="center"/>
                    <w:rPr>
                      <w:rFonts w:hint="default" w:ascii="Times New Roman" w:hAnsi="Times New Roman" w:cs="Times New Roman"/>
                      <w:color w:val="auto"/>
                      <w:kern w:val="0"/>
                      <w:szCs w:val="21"/>
                      <w:highlight w:val="none"/>
                    </w:rPr>
                  </w:pPr>
                </w:p>
              </w:tc>
              <w:tc>
                <w:tcPr>
                  <w:tcW w:w="707" w:type="dxa"/>
                  <w:shd w:val="clear" w:color="auto" w:fill="auto"/>
                  <w:vAlign w:val="center"/>
                </w:tcPr>
                <w:p w14:paraId="06553D4A">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烘干燃烧器</w:t>
                  </w:r>
                </w:p>
              </w:tc>
              <w:tc>
                <w:tcPr>
                  <w:tcW w:w="697" w:type="dxa"/>
                  <w:shd w:val="clear" w:color="auto" w:fill="auto"/>
                  <w:vAlign w:val="center"/>
                </w:tcPr>
                <w:p w14:paraId="535502B4">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80</w:t>
                  </w:r>
                </w:p>
              </w:tc>
              <w:tc>
                <w:tcPr>
                  <w:tcW w:w="431" w:type="dxa"/>
                  <w:vMerge w:val="continue"/>
                  <w:vAlign w:val="center"/>
                </w:tcPr>
                <w:p w14:paraId="79BB1B72">
                  <w:pPr>
                    <w:widowControl/>
                    <w:jc w:val="center"/>
                    <w:rPr>
                      <w:rFonts w:hint="default" w:ascii="Times New Roman" w:hAnsi="Times New Roman" w:cs="Times New Roman"/>
                      <w:color w:val="auto"/>
                      <w:kern w:val="0"/>
                      <w:szCs w:val="21"/>
                      <w:highlight w:val="none"/>
                    </w:rPr>
                  </w:pPr>
                </w:p>
              </w:tc>
              <w:tc>
                <w:tcPr>
                  <w:tcW w:w="545" w:type="dxa"/>
                  <w:shd w:val="clear" w:color="auto" w:fill="auto"/>
                  <w:vAlign w:val="center"/>
                </w:tcPr>
                <w:p w14:paraId="6D13A00C">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91</w:t>
                  </w:r>
                </w:p>
              </w:tc>
              <w:tc>
                <w:tcPr>
                  <w:tcW w:w="586" w:type="dxa"/>
                  <w:shd w:val="clear" w:color="auto" w:fill="auto"/>
                  <w:vAlign w:val="center"/>
                </w:tcPr>
                <w:p w14:paraId="10FD2AED">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163</w:t>
                  </w:r>
                </w:p>
              </w:tc>
              <w:tc>
                <w:tcPr>
                  <w:tcW w:w="409" w:type="dxa"/>
                  <w:shd w:val="clear" w:color="auto" w:fill="auto"/>
                  <w:vAlign w:val="center"/>
                </w:tcPr>
                <w:p w14:paraId="534DD718">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505" w:type="dxa"/>
                  <w:shd w:val="clear" w:color="auto" w:fill="auto"/>
                  <w:vAlign w:val="center"/>
                </w:tcPr>
                <w:p w14:paraId="3E1EEAEB">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7</w:t>
                  </w:r>
                </w:p>
              </w:tc>
              <w:tc>
                <w:tcPr>
                  <w:tcW w:w="695" w:type="dxa"/>
                  <w:shd w:val="clear" w:color="auto" w:fill="auto"/>
                  <w:vAlign w:val="center"/>
                </w:tcPr>
                <w:p w14:paraId="664E921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80</w:t>
                  </w:r>
                </w:p>
              </w:tc>
              <w:tc>
                <w:tcPr>
                  <w:tcW w:w="423" w:type="dxa"/>
                  <w:vMerge w:val="continue"/>
                  <w:vAlign w:val="center"/>
                </w:tcPr>
                <w:p w14:paraId="49CAB214">
                  <w:pPr>
                    <w:widowControl/>
                    <w:jc w:val="center"/>
                    <w:rPr>
                      <w:rFonts w:hint="default" w:ascii="Times New Roman" w:hAnsi="Times New Roman" w:cs="Times New Roman"/>
                      <w:color w:val="auto"/>
                      <w:kern w:val="0"/>
                      <w:szCs w:val="21"/>
                      <w:highlight w:val="none"/>
                    </w:rPr>
                  </w:pPr>
                </w:p>
              </w:tc>
              <w:tc>
                <w:tcPr>
                  <w:tcW w:w="709" w:type="dxa"/>
                  <w:shd w:val="clear" w:color="auto" w:fill="auto"/>
                  <w:vAlign w:val="center"/>
                </w:tcPr>
                <w:p w14:paraId="3DD7C390">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648" w:type="dxa"/>
                  <w:shd w:val="clear" w:color="auto" w:fill="auto"/>
                  <w:vAlign w:val="center"/>
                </w:tcPr>
                <w:p w14:paraId="1A8729D3">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435" w:type="dxa"/>
                  <w:shd w:val="clear" w:color="auto" w:fill="auto"/>
                  <w:vAlign w:val="center"/>
                </w:tcPr>
                <w:p w14:paraId="32C41865">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r>
            <w:tr w14:paraId="4CC19B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4" w:type="dxa"/>
                  <w:vAlign w:val="center"/>
                </w:tcPr>
                <w:p w14:paraId="51DFF40C">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w:t>
                  </w:r>
                </w:p>
              </w:tc>
              <w:tc>
                <w:tcPr>
                  <w:tcW w:w="466" w:type="dxa"/>
                  <w:vMerge w:val="continue"/>
                  <w:vAlign w:val="center"/>
                </w:tcPr>
                <w:p w14:paraId="18755130">
                  <w:pPr>
                    <w:widowControl/>
                    <w:jc w:val="center"/>
                    <w:rPr>
                      <w:rFonts w:hint="default" w:ascii="Times New Roman" w:hAnsi="Times New Roman" w:cs="Times New Roman"/>
                      <w:color w:val="auto"/>
                      <w:kern w:val="0"/>
                      <w:szCs w:val="21"/>
                      <w:highlight w:val="none"/>
                    </w:rPr>
                  </w:pPr>
                </w:p>
              </w:tc>
              <w:tc>
                <w:tcPr>
                  <w:tcW w:w="707" w:type="dxa"/>
                  <w:shd w:val="clear" w:color="auto" w:fill="auto"/>
                  <w:vAlign w:val="center"/>
                </w:tcPr>
                <w:p w14:paraId="3B1084D4">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矿粉提升机</w:t>
                  </w:r>
                </w:p>
              </w:tc>
              <w:tc>
                <w:tcPr>
                  <w:tcW w:w="697" w:type="dxa"/>
                  <w:shd w:val="clear" w:color="auto" w:fill="auto"/>
                  <w:vAlign w:val="center"/>
                </w:tcPr>
                <w:p w14:paraId="505B059A">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431" w:type="dxa"/>
                  <w:vMerge w:val="continue"/>
                  <w:vAlign w:val="center"/>
                </w:tcPr>
                <w:p w14:paraId="11553B3F">
                  <w:pPr>
                    <w:widowControl/>
                    <w:jc w:val="center"/>
                    <w:rPr>
                      <w:rFonts w:hint="default" w:ascii="Times New Roman" w:hAnsi="Times New Roman" w:cs="Times New Roman"/>
                      <w:color w:val="auto"/>
                      <w:kern w:val="0"/>
                      <w:szCs w:val="21"/>
                      <w:highlight w:val="none"/>
                    </w:rPr>
                  </w:pPr>
                </w:p>
              </w:tc>
              <w:tc>
                <w:tcPr>
                  <w:tcW w:w="545" w:type="dxa"/>
                  <w:shd w:val="clear" w:color="auto" w:fill="auto"/>
                  <w:vAlign w:val="center"/>
                </w:tcPr>
                <w:p w14:paraId="34654E4F">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113</w:t>
                  </w:r>
                </w:p>
              </w:tc>
              <w:tc>
                <w:tcPr>
                  <w:tcW w:w="586" w:type="dxa"/>
                  <w:shd w:val="clear" w:color="auto" w:fill="auto"/>
                  <w:vAlign w:val="center"/>
                </w:tcPr>
                <w:p w14:paraId="7C22AF07">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171</w:t>
                  </w:r>
                </w:p>
              </w:tc>
              <w:tc>
                <w:tcPr>
                  <w:tcW w:w="409" w:type="dxa"/>
                  <w:shd w:val="clear" w:color="auto" w:fill="auto"/>
                  <w:vAlign w:val="center"/>
                </w:tcPr>
                <w:p w14:paraId="44C3AA9E">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505" w:type="dxa"/>
                  <w:shd w:val="clear" w:color="auto" w:fill="auto"/>
                  <w:vAlign w:val="center"/>
                </w:tcPr>
                <w:p w14:paraId="36F59722">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w:t>
                  </w:r>
                </w:p>
              </w:tc>
              <w:tc>
                <w:tcPr>
                  <w:tcW w:w="695" w:type="dxa"/>
                  <w:shd w:val="clear" w:color="auto" w:fill="auto"/>
                  <w:vAlign w:val="center"/>
                </w:tcPr>
                <w:p w14:paraId="1DFCF844">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423" w:type="dxa"/>
                  <w:vMerge w:val="continue"/>
                  <w:vAlign w:val="center"/>
                </w:tcPr>
                <w:p w14:paraId="69828F7C">
                  <w:pPr>
                    <w:widowControl/>
                    <w:jc w:val="center"/>
                    <w:rPr>
                      <w:rFonts w:hint="default" w:ascii="Times New Roman" w:hAnsi="Times New Roman" w:cs="Times New Roman"/>
                      <w:color w:val="auto"/>
                      <w:kern w:val="0"/>
                      <w:szCs w:val="21"/>
                      <w:highlight w:val="none"/>
                    </w:rPr>
                  </w:pPr>
                </w:p>
              </w:tc>
              <w:tc>
                <w:tcPr>
                  <w:tcW w:w="709" w:type="dxa"/>
                  <w:shd w:val="clear" w:color="auto" w:fill="auto"/>
                  <w:vAlign w:val="center"/>
                </w:tcPr>
                <w:p w14:paraId="25033DE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648" w:type="dxa"/>
                  <w:shd w:val="clear" w:color="auto" w:fill="auto"/>
                  <w:vAlign w:val="center"/>
                </w:tcPr>
                <w:p w14:paraId="41CD7541">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55</w:t>
                  </w:r>
                </w:p>
              </w:tc>
              <w:tc>
                <w:tcPr>
                  <w:tcW w:w="435" w:type="dxa"/>
                  <w:shd w:val="clear" w:color="auto" w:fill="auto"/>
                  <w:vAlign w:val="center"/>
                </w:tcPr>
                <w:p w14:paraId="730F18F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r>
            <w:tr w14:paraId="3A8BB0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4" w:type="dxa"/>
                  <w:vAlign w:val="center"/>
                </w:tcPr>
                <w:p w14:paraId="5FC31784">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w:t>
                  </w:r>
                </w:p>
              </w:tc>
              <w:tc>
                <w:tcPr>
                  <w:tcW w:w="466" w:type="dxa"/>
                  <w:vMerge w:val="continue"/>
                  <w:vAlign w:val="center"/>
                </w:tcPr>
                <w:p w14:paraId="5F64B3E6">
                  <w:pPr>
                    <w:widowControl/>
                    <w:jc w:val="center"/>
                    <w:rPr>
                      <w:rFonts w:hint="default" w:ascii="Times New Roman" w:hAnsi="Times New Roman" w:cs="Times New Roman"/>
                      <w:color w:val="auto"/>
                      <w:kern w:val="0"/>
                      <w:szCs w:val="21"/>
                      <w:highlight w:val="none"/>
                    </w:rPr>
                  </w:pPr>
                </w:p>
              </w:tc>
              <w:tc>
                <w:tcPr>
                  <w:tcW w:w="707" w:type="dxa"/>
                  <w:shd w:val="clear" w:color="auto" w:fill="auto"/>
                  <w:vAlign w:val="center"/>
                </w:tcPr>
                <w:p w14:paraId="6935579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热石料提升机</w:t>
                  </w:r>
                </w:p>
              </w:tc>
              <w:tc>
                <w:tcPr>
                  <w:tcW w:w="697" w:type="dxa"/>
                  <w:shd w:val="clear" w:color="auto" w:fill="auto"/>
                  <w:vAlign w:val="center"/>
                </w:tcPr>
                <w:p w14:paraId="0AE25F9F">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431" w:type="dxa"/>
                  <w:vMerge w:val="continue"/>
                  <w:vAlign w:val="center"/>
                </w:tcPr>
                <w:p w14:paraId="340F2DBF">
                  <w:pPr>
                    <w:widowControl/>
                    <w:jc w:val="center"/>
                    <w:rPr>
                      <w:rFonts w:hint="default" w:ascii="Times New Roman" w:hAnsi="Times New Roman" w:cs="Times New Roman"/>
                      <w:color w:val="auto"/>
                      <w:kern w:val="0"/>
                      <w:szCs w:val="21"/>
                      <w:highlight w:val="none"/>
                    </w:rPr>
                  </w:pPr>
                </w:p>
              </w:tc>
              <w:tc>
                <w:tcPr>
                  <w:tcW w:w="545" w:type="dxa"/>
                  <w:shd w:val="clear" w:color="auto" w:fill="auto"/>
                  <w:vAlign w:val="center"/>
                </w:tcPr>
                <w:p w14:paraId="1DF43E3B">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97</w:t>
                  </w:r>
                </w:p>
              </w:tc>
              <w:tc>
                <w:tcPr>
                  <w:tcW w:w="586" w:type="dxa"/>
                  <w:shd w:val="clear" w:color="auto" w:fill="auto"/>
                  <w:vAlign w:val="center"/>
                </w:tcPr>
                <w:p w14:paraId="1DE7D3DF">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165</w:t>
                  </w:r>
                </w:p>
              </w:tc>
              <w:tc>
                <w:tcPr>
                  <w:tcW w:w="409" w:type="dxa"/>
                  <w:shd w:val="clear" w:color="auto" w:fill="auto"/>
                  <w:vAlign w:val="center"/>
                </w:tcPr>
                <w:p w14:paraId="7E86A07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505" w:type="dxa"/>
                  <w:shd w:val="clear" w:color="auto" w:fill="auto"/>
                  <w:vAlign w:val="center"/>
                </w:tcPr>
                <w:p w14:paraId="28A8A02E">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w:t>
                  </w:r>
                </w:p>
              </w:tc>
              <w:tc>
                <w:tcPr>
                  <w:tcW w:w="695" w:type="dxa"/>
                  <w:shd w:val="clear" w:color="auto" w:fill="auto"/>
                  <w:vAlign w:val="center"/>
                </w:tcPr>
                <w:p w14:paraId="4E9D80DF">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423" w:type="dxa"/>
                  <w:vMerge w:val="continue"/>
                  <w:vAlign w:val="center"/>
                </w:tcPr>
                <w:p w14:paraId="7234EBEE">
                  <w:pPr>
                    <w:widowControl/>
                    <w:jc w:val="center"/>
                    <w:rPr>
                      <w:rFonts w:hint="default" w:ascii="Times New Roman" w:hAnsi="Times New Roman" w:cs="Times New Roman"/>
                      <w:color w:val="auto"/>
                      <w:kern w:val="0"/>
                      <w:szCs w:val="21"/>
                      <w:highlight w:val="none"/>
                    </w:rPr>
                  </w:pPr>
                </w:p>
              </w:tc>
              <w:tc>
                <w:tcPr>
                  <w:tcW w:w="709" w:type="dxa"/>
                  <w:shd w:val="clear" w:color="auto" w:fill="auto"/>
                  <w:vAlign w:val="center"/>
                </w:tcPr>
                <w:p w14:paraId="4B147B3B">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648" w:type="dxa"/>
                  <w:shd w:val="clear" w:color="auto" w:fill="auto"/>
                  <w:vAlign w:val="center"/>
                </w:tcPr>
                <w:p w14:paraId="53E3A01D">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55</w:t>
                  </w:r>
                </w:p>
              </w:tc>
              <w:tc>
                <w:tcPr>
                  <w:tcW w:w="435" w:type="dxa"/>
                  <w:shd w:val="clear" w:color="auto" w:fill="auto"/>
                  <w:vAlign w:val="center"/>
                </w:tcPr>
                <w:p w14:paraId="3D6D8E8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r>
            <w:tr w14:paraId="68BDD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4" w:type="dxa"/>
                  <w:vAlign w:val="center"/>
                </w:tcPr>
                <w:p w14:paraId="0132375F">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w:t>
                  </w:r>
                </w:p>
              </w:tc>
              <w:tc>
                <w:tcPr>
                  <w:tcW w:w="466" w:type="dxa"/>
                  <w:vMerge w:val="continue"/>
                  <w:vAlign w:val="center"/>
                </w:tcPr>
                <w:p w14:paraId="59923CB9">
                  <w:pPr>
                    <w:widowControl/>
                    <w:jc w:val="center"/>
                    <w:rPr>
                      <w:rFonts w:hint="default" w:ascii="Times New Roman" w:hAnsi="Times New Roman" w:cs="Times New Roman"/>
                      <w:color w:val="auto"/>
                      <w:kern w:val="0"/>
                      <w:szCs w:val="21"/>
                      <w:highlight w:val="none"/>
                    </w:rPr>
                  </w:pPr>
                </w:p>
              </w:tc>
              <w:tc>
                <w:tcPr>
                  <w:tcW w:w="707" w:type="dxa"/>
                  <w:shd w:val="clear" w:color="auto" w:fill="auto"/>
                  <w:vAlign w:val="center"/>
                </w:tcPr>
                <w:p w14:paraId="1CBE0D9D">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振动式封闭筛选机</w:t>
                  </w:r>
                </w:p>
              </w:tc>
              <w:tc>
                <w:tcPr>
                  <w:tcW w:w="697" w:type="dxa"/>
                  <w:shd w:val="clear" w:color="auto" w:fill="auto"/>
                  <w:vAlign w:val="center"/>
                </w:tcPr>
                <w:p w14:paraId="4B5598D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431" w:type="dxa"/>
                  <w:vMerge w:val="continue"/>
                  <w:vAlign w:val="center"/>
                </w:tcPr>
                <w:p w14:paraId="6004FB2A">
                  <w:pPr>
                    <w:widowControl/>
                    <w:jc w:val="center"/>
                    <w:rPr>
                      <w:rFonts w:hint="default" w:ascii="Times New Roman" w:hAnsi="Times New Roman" w:cs="Times New Roman"/>
                      <w:color w:val="auto"/>
                      <w:kern w:val="0"/>
                      <w:szCs w:val="21"/>
                      <w:highlight w:val="none"/>
                    </w:rPr>
                  </w:pPr>
                </w:p>
              </w:tc>
              <w:tc>
                <w:tcPr>
                  <w:tcW w:w="545" w:type="dxa"/>
                  <w:shd w:val="clear" w:color="auto" w:fill="auto"/>
                  <w:vAlign w:val="center"/>
                </w:tcPr>
                <w:p w14:paraId="11C07B3A">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104</w:t>
                  </w:r>
                </w:p>
              </w:tc>
              <w:tc>
                <w:tcPr>
                  <w:tcW w:w="586" w:type="dxa"/>
                  <w:shd w:val="clear" w:color="auto" w:fill="auto"/>
                  <w:vAlign w:val="center"/>
                </w:tcPr>
                <w:p w14:paraId="79EA4A18">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160</w:t>
                  </w:r>
                </w:p>
              </w:tc>
              <w:tc>
                <w:tcPr>
                  <w:tcW w:w="409" w:type="dxa"/>
                  <w:shd w:val="clear" w:color="auto" w:fill="auto"/>
                  <w:vAlign w:val="center"/>
                </w:tcPr>
                <w:p w14:paraId="08F838A5">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505" w:type="dxa"/>
                  <w:shd w:val="clear" w:color="auto" w:fill="auto"/>
                  <w:vAlign w:val="center"/>
                </w:tcPr>
                <w:p w14:paraId="4C1AB567">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w:t>
                  </w:r>
                </w:p>
              </w:tc>
              <w:tc>
                <w:tcPr>
                  <w:tcW w:w="695" w:type="dxa"/>
                  <w:shd w:val="clear" w:color="auto" w:fill="auto"/>
                  <w:vAlign w:val="center"/>
                </w:tcPr>
                <w:p w14:paraId="704FF674">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423" w:type="dxa"/>
                  <w:vMerge w:val="continue"/>
                  <w:vAlign w:val="center"/>
                </w:tcPr>
                <w:p w14:paraId="3664CEBC">
                  <w:pPr>
                    <w:widowControl/>
                    <w:jc w:val="center"/>
                    <w:rPr>
                      <w:rFonts w:hint="default" w:ascii="Times New Roman" w:hAnsi="Times New Roman" w:cs="Times New Roman"/>
                      <w:color w:val="auto"/>
                      <w:kern w:val="0"/>
                      <w:szCs w:val="21"/>
                      <w:highlight w:val="none"/>
                    </w:rPr>
                  </w:pPr>
                </w:p>
              </w:tc>
              <w:tc>
                <w:tcPr>
                  <w:tcW w:w="709" w:type="dxa"/>
                  <w:shd w:val="clear" w:color="auto" w:fill="auto"/>
                  <w:vAlign w:val="center"/>
                </w:tcPr>
                <w:p w14:paraId="40B1DB64">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648" w:type="dxa"/>
                  <w:shd w:val="clear" w:color="auto" w:fill="auto"/>
                  <w:vAlign w:val="center"/>
                </w:tcPr>
                <w:p w14:paraId="204106A3">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55</w:t>
                  </w:r>
                </w:p>
              </w:tc>
              <w:tc>
                <w:tcPr>
                  <w:tcW w:w="435" w:type="dxa"/>
                  <w:shd w:val="clear" w:color="auto" w:fill="auto"/>
                  <w:vAlign w:val="center"/>
                </w:tcPr>
                <w:p w14:paraId="5F5DFC79">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r>
            <w:tr w14:paraId="5AEA2E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4" w:type="dxa"/>
                  <w:vAlign w:val="center"/>
                </w:tcPr>
                <w:p w14:paraId="41A45495">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w:t>
                  </w:r>
                </w:p>
              </w:tc>
              <w:tc>
                <w:tcPr>
                  <w:tcW w:w="466" w:type="dxa"/>
                  <w:vMerge w:val="continue"/>
                  <w:vAlign w:val="center"/>
                </w:tcPr>
                <w:p w14:paraId="507D7AE8">
                  <w:pPr>
                    <w:widowControl/>
                    <w:jc w:val="center"/>
                    <w:rPr>
                      <w:rFonts w:hint="default" w:ascii="Times New Roman" w:hAnsi="Times New Roman" w:cs="Times New Roman"/>
                      <w:color w:val="auto"/>
                      <w:kern w:val="0"/>
                      <w:szCs w:val="21"/>
                      <w:highlight w:val="none"/>
                    </w:rPr>
                  </w:pPr>
                </w:p>
              </w:tc>
              <w:tc>
                <w:tcPr>
                  <w:tcW w:w="707" w:type="dxa"/>
                  <w:shd w:val="clear" w:color="auto" w:fill="auto"/>
                  <w:vAlign w:val="center"/>
                </w:tcPr>
                <w:p w14:paraId="1C01BA1C">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搅拌主机</w:t>
                  </w:r>
                </w:p>
              </w:tc>
              <w:tc>
                <w:tcPr>
                  <w:tcW w:w="697" w:type="dxa"/>
                  <w:shd w:val="clear" w:color="auto" w:fill="auto"/>
                  <w:vAlign w:val="center"/>
                </w:tcPr>
                <w:p w14:paraId="52959046">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431" w:type="dxa"/>
                  <w:vMerge w:val="continue"/>
                  <w:vAlign w:val="center"/>
                </w:tcPr>
                <w:p w14:paraId="7BB389E2">
                  <w:pPr>
                    <w:widowControl/>
                    <w:jc w:val="center"/>
                    <w:rPr>
                      <w:rFonts w:hint="default" w:ascii="Times New Roman" w:hAnsi="Times New Roman" w:cs="Times New Roman"/>
                      <w:color w:val="auto"/>
                      <w:kern w:val="0"/>
                      <w:szCs w:val="21"/>
                      <w:highlight w:val="none"/>
                    </w:rPr>
                  </w:pPr>
                </w:p>
              </w:tc>
              <w:tc>
                <w:tcPr>
                  <w:tcW w:w="545" w:type="dxa"/>
                  <w:shd w:val="clear" w:color="auto" w:fill="auto"/>
                  <w:vAlign w:val="center"/>
                </w:tcPr>
                <w:p w14:paraId="68827B70">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104</w:t>
                  </w:r>
                </w:p>
              </w:tc>
              <w:tc>
                <w:tcPr>
                  <w:tcW w:w="586" w:type="dxa"/>
                  <w:shd w:val="clear" w:color="auto" w:fill="auto"/>
                  <w:vAlign w:val="center"/>
                </w:tcPr>
                <w:p w14:paraId="2087FD05">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175</w:t>
                  </w:r>
                </w:p>
              </w:tc>
              <w:tc>
                <w:tcPr>
                  <w:tcW w:w="409" w:type="dxa"/>
                  <w:shd w:val="clear" w:color="auto" w:fill="auto"/>
                  <w:vAlign w:val="center"/>
                </w:tcPr>
                <w:p w14:paraId="79182967">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505" w:type="dxa"/>
                  <w:shd w:val="clear" w:color="auto" w:fill="auto"/>
                  <w:vAlign w:val="center"/>
                </w:tcPr>
                <w:p w14:paraId="33E9D966">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w:t>
                  </w:r>
                </w:p>
              </w:tc>
              <w:tc>
                <w:tcPr>
                  <w:tcW w:w="695" w:type="dxa"/>
                  <w:shd w:val="clear" w:color="auto" w:fill="auto"/>
                  <w:vAlign w:val="center"/>
                </w:tcPr>
                <w:p w14:paraId="6BE17C72">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423" w:type="dxa"/>
                  <w:vMerge w:val="continue"/>
                  <w:vAlign w:val="center"/>
                </w:tcPr>
                <w:p w14:paraId="42481BA8">
                  <w:pPr>
                    <w:widowControl/>
                    <w:jc w:val="center"/>
                    <w:rPr>
                      <w:rFonts w:hint="default" w:ascii="Times New Roman" w:hAnsi="Times New Roman" w:cs="Times New Roman"/>
                      <w:color w:val="auto"/>
                      <w:kern w:val="0"/>
                      <w:szCs w:val="21"/>
                      <w:highlight w:val="none"/>
                    </w:rPr>
                  </w:pPr>
                </w:p>
              </w:tc>
              <w:tc>
                <w:tcPr>
                  <w:tcW w:w="709" w:type="dxa"/>
                  <w:shd w:val="clear" w:color="auto" w:fill="auto"/>
                  <w:vAlign w:val="center"/>
                </w:tcPr>
                <w:p w14:paraId="58BC3C99">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648" w:type="dxa"/>
                  <w:shd w:val="clear" w:color="auto" w:fill="auto"/>
                  <w:vAlign w:val="center"/>
                </w:tcPr>
                <w:p w14:paraId="1F428EF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55</w:t>
                  </w:r>
                </w:p>
              </w:tc>
              <w:tc>
                <w:tcPr>
                  <w:tcW w:w="435" w:type="dxa"/>
                  <w:shd w:val="clear" w:color="auto" w:fill="auto"/>
                  <w:vAlign w:val="center"/>
                </w:tcPr>
                <w:p w14:paraId="759556C3">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r>
            <w:tr w14:paraId="6D9CC8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4" w:hRule="atLeast"/>
                <w:jc w:val="center"/>
              </w:trPr>
              <w:tc>
                <w:tcPr>
                  <w:tcW w:w="404" w:type="dxa"/>
                  <w:vAlign w:val="center"/>
                </w:tcPr>
                <w:p w14:paraId="0B0818D3">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w:t>
                  </w:r>
                </w:p>
              </w:tc>
              <w:tc>
                <w:tcPr>
                  <w:tcW w:w="466" w:type="dxa"/>
                  <w:vAlign w:val="center"/>
                </w:tcPr>
                <w:p w14:paraId="1AE48FB2">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乳化沥青</w:t>
                  </w:r>
                </w:p>
              </w:tc>
              <w:tc>
                <w:tcPr>
                  <w:tcW w:w="707" w:type="dxa"/>
                  <w:shd w:val="clear" w:color="auto" w:fill="auto"/>
                  <w:vAlign w:val="center"/>
                </w:tcPr>
                <w:p w14:paraId="7CB2C2AF">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乳化沥青搅拌机</w:t>
                  </w:r>
                </w:p>
              </w:tc>
              <w:tc>
                <w:tcPr>
                  <w:tcW w:w="697" w:type="dxa"/>
                  <w:shd w:val="clear" w:color="auto" w:fill="auto"/>
                  <w:vAlign w:val="center"/>
                </w:tcPr>
                <w:p w14:paraId="4A9F5D16">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75</w:t>
                  </w:r>
                </w:p>
              </w:tc>
              <w:tc>
                <w:tcPr>
                  <w:tcW w:w="431" w:type="dxa"/>
                  <w:vMerge w:val="continue"/>
                  <w:vAlign w:val="center"/>
                </w:tcPr>
                <w:p w14:paraId="78CEC7BF">
                  <w:pPr>
                    <w:widowControl/>
                    <w:jc w:val="center"/>
                    <w:rPr>
                      <w:rFonts w:hint="default" w:ascii="Times New Roman" w:hAnsi="Times New Roman" w:cs="Times New Roman"/>
                      <w:color w:val="auto"/>
                      <w:kern w:val="0"/>
                      <w:szCs w:val="21"/>
                      <w:highlight w:val="none"/>
                    </w:rPr>
                  </w:pPr>
                </w:p>
              </w:tc>
              <w:tc>
                <w:tcPr>
                  <w:tcW w:w="545" w:type="dxa"/>
                  <w:shd w:val="clear" w:color="auto" w:fill="auto"/>
                  <w:vAlign w:val="center"/>
                </w:tcPr>
                <w:p w14:paraId="019BEBFB">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113</w:t>
                  </w:r>
                </w:p>
              </w:tc>
              <w:tc>
                <w:tcPr>
                  <w:tcW w:w="586" w:type="dxa"/>
                  <w:shd w:val="clear" w:color="auto" w:fill="auto"/>
                  <w:vAlign w:val="center"/>
                </w:tcPr>
                <w:p w14:paraId="2D22A54E">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152</w:t>
                  </w:r>
                </w:p>
              </w:tc>
              <w:tc>
                <w:tcPr>
                  <w:tcW w:w="409" w:type="dxa"/>
                  <w:shd w:val="clear" w:color="auto" w:fill="auto"/>
                  <w:vAlign w:val="center"/>
                </w:tcPr>
                <w:p w14:paraId="0E36A5B6">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w:t>
                  </w:r>
                </w:p>
              </w:tc>
              <w:tc>
                <w:tcPr>
                  <w:tcW w:w="505" w:type="dxa"/>
                  <w:shd w:val="clear" w:color="auto" w:fill="auto"/>
                  <w:vAlign w:val="center"/>
                </w:tcPr>
                <w:p w14:paraId="544B5393">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w:t>
                  </w:r>
                </w:p>
              </w:tc>
              <w:tc>
                <w:tcPr>
                  <w:tcW w:w="695" w:type="dxa"/>
                  <w:shd w:val="clear" w:color="auto" w:fill="auto"/>
                  <w:vAlign w:val="center"/>
                </w:tcPr>
                <w:p w14:paraId="38B187F7">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423" w:type="dxa"/>
                  <w:vMerge w:val="continue"/>
                  <w:vAlign w:val="center"/>
                </w:tcPr>
                <w:p w14:paraId="00DD32C5">
                  <w:pPr>
                    <w:widowControl/>
                    <w:jc w:val="center"/>
                    <w:rPr>
                      <w:rFonts w:hint="default" w:ascii="Times New Roman" w:hAnsi="Times New Roman" w:cs="Times New Roman"/>
                      <w:color w:val="auto"/>
                      <w:kern w:val="0"/>
                      <w:szCs w:val="21"/>
                      <w:highlight w:val="none"/>
                    </w:rPr>
                  </w:pPr>
                </w:p>
              </w:tc>
              <w:tc>
                <w:tcPr>
                  <w:tcW w:w="709" w:type="dxa"/>
                  <w:shd w:val="clear" w:color="auto" w:fill="auto"/>
                  <w:vAlign w:val="center"/>
                </w:tcPr>
                <w:p w14:paraId="2879616F">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648" w:type="dxa"/>
                  <w:shd w:val="clear" w:color="auto" w:fill="auto"/>
                  <w:vAlign w:val="center"/>
                </w:tcPr>
                <w:p w14:paraId="7AB8F8EC">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55</w:t>
                  </w:r>
                </w:p>
              </w:tc>
              <w:tc>
                <w:tcPr>
                  <w:tcW w:w="435" w:type="dxa"/>
                  <w:shd w:val="clear" w:color="auto" w:fill="auto"/>
                  <w:vAlign w:val="center"/>
                </w:tcPr>
                <w:p w14:paraId="2F8B8E26">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r>
          </w:tbl>
          <w:p w14:paraId="7E5716C9">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p>
          <w:p w14:paraId="070F5886">
            <w:pPr>
              <w:adjustRightInd w:val="0"/>
              <w:snapToGrid w:val="0"/>
              <w:ind w:firstLine="448"/>
              <w:jc w:val="center"/>
              <w:rPr>
                <w:rFonts w:hint="default" w:ascii="Times New Roman" w:hAnsi="Times New Roman" w:cs="Times New Roman"/>
                <w:b/>
                <w:bCs/>
                <w:color w:val="auto"/>
                <w:spacing w:val="-8"/>
                <w:sz w:val="24"/>
                <w:highlight w:val="none"/>
              </w:rPr>
            </w:pPr>
            <w:r>
              <w:rPr>
                <w:rFonts w:hint="default" w:ascii="Times New Roman" w:hAnsi="Times New Roman" w:eastAsia="黑体" w:cs="Times New Roman"/>
                <w:bCs/>
                <w:color w:val="auto"/>
                <w:kern w:val="0"/>
                <w:sz w:val="24"/>
                <w:highlight w:val="none"/>
              </w:rPr>
              <w:t>表4-3 室外噪声源强一览表</w:t>
            </w:r>
            <w:r>
              <w:rPr>
                <w:rFonts w:hint="default" w:ascii="Times New Roman" w:hAnsi="Times New Roman" w:cs="Times New Roman"/>
                <w:b/>
                <w:bCs/>
                <w:color w:val="auto"/>
                <w:spacing w:val="-8"/>
                <w:sz w:val="24"/>
                <w:highlight w:val="none"/>
              </w:rPr>
              <w:t>本项目噪声污染源强调查清单（室外声源）</w:t>
            </w:r>
          </w:p>
          <w:tbl>
            <w:tblPr>
              <w:tblStyle w:val="30"/>
              <w:tblpPr w:leftFromText="180" w:rightFromText="180" w:vertAnchor="text" w:tblpXSpec="center" w:tblpY="1"/>
              <w:tblOverlap w:val="never"/>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1"/>
              <w:gridCol w:w="1222"/>
              <w:gridCol w:w="686"/>
              <w:gridCol w:w="686"/>
              <w:gridCol w:w="687"/>
              <w:gridCol w:w="978"/>
              <w:gridCol w:w="1040"/>
              <w:gridCol w:w="1045"/>
              <w:gridCol w:w="776"/>
            </w:tblGrid>
            <w:tr w14:paraId="0282AB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vMerge w:val="restart"/>
                  <w:noWrap w:val="0"/>
                  <w:vAlign w:val="center"/>
                </w:tcPr>
                <w:p w14:paraId="5BE79466">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798" w:type="pct"/>
                  <w:vMerge w:val="restart"/>
                  <w:noWrap w:val="0"/>
                  <w:vAlign w:val="center"/>
                </w:tcPr>
                <w:p w14:paraId="075C9108">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声源名称</w:t>
                  </w:r>
                </w:p>
              </w:tc>
              <w:tc>
                <w:tcPr>
                  <w:tcW w:w="1345" w:type="pct"/>
                  <w:gridSpan w:val="3"/>
                  <w:noWrap w:val="0"/>
                  <w:vAlign w:val="center"/>
                </w:tcPr>
                <w:p w14:paraId="6D54969B">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空间相对位置m</w:t>
                  </w:r>
                </w:p>
              </w:tc>
              <w:tc>
                <w:tcPr>
                  <w:tcW w:w="639" w:type="pct"/>
                  <w:vMerge w:val="restart"/>
                  <w:noWrap w:val="0"/>
                  <w:vAlign w:val="center"/>
                </w:tcPr>
                <w:p w14:paraId="674B9FD4">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声源源强/dB(A)</w:t>
                  </w:r>
                </w:p>
              </w:tc>
              <w:tc>
                <w:tcPr>
                  <w:tcW w:w="679" w:type="pct"/>
                  <w:vMerge w:val="restart"/>
                  <w:noWrap w:val="0"/>
                  <w:vAlign w:val="center"/>
                </w:tcPr>
                <w:p w14:paraId="3FCE22F1">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声源控制措施</w:t>
                  </w:r>
                </w:p>
              </w:tc>
              <w:tc>
                <w:tcPr>
                  <w:tcW w:w="682" w:type="pct"/>
                  <w:vMerge w:val="restart"/>
                  <w:noWrap w:val="0"/>
                  <w:vAlign w:val="center"/>
                </w:tcPr>
                <w:p w14:paraId="1214752E">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排放强度/dB(A)</w:t>
                  </w:r>
                </w:p>
              </w:tc>
              <w:tc>
                <w:tcPr>
                  <w:tcW w:w="507" w:type="pct"/>
                  <w:vMerge w:val="restart"/>
                  <w:noWrap w:val="0"/>
                  <w:vAlign w:val="center"/>
                </w:tcPr>
                <w:p w14:paraId="7853ABE3">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运行时段</w:t>
                  </w:r>
                  <w:r>
                    <w:rPr>
                      <w:rFonts w:hint="default" w:ascii="Times New Roman" w:hAnsi="Times New Roman" w:cs="Times New Roman"/>
                      <w:color w:val="auto"/>
                      <w:szCs w:val="21"/>
                      <w:highlight w:val="none"/>
                    </w:rPr>
                    <w:t>/h</w:t>
                  </w:r>
                </w:p>
              </w:tc>
            </w:tr>
            <w:tr w14:paraId="702C03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vMerge w:val="continue"/>
                  <w:noWrap w:val="0"/>
                  <w:vAlign w:val="center"/>
                </w:tcPr>
                <w:p w14:paraId="3C8B6726">
                  <w:pPr>
                    <w:contextualSpacing/>
                    <w:jc w:val="center"/>
                    <w:rPr>
                      <w:rFonts w:hint="default" w:ascii="Times New Roman" w:hAnsi="Times New Roman" w:cs="Times New Roman"/>
                      <w:color w:val="auto"/>
                      <w:szCs w:val="21"/>
                      <w:highlight w:val="none"/>
                    </w:rPr>
                  </w:pPr>
                </w:p>
              </w:tc>
              <w:tc>
                <w:tcPr>
                  <w:tcW w:w="798" w:type="pct"/>
                  <w:vMerge w:val="continue"/>
                  <w:noWrap w:val="0"/>
                  <w:vAlign w:val="center"/>
                </w:tcPr>
                <w:p w14:paraId="2A91FCAA">
                  <w:pPr>
                    <w:contextualSpacing/>
                    <w:jc w:val="center"/>
                    <w:rPr>
                      <w:rFonts w:hint="default" w:ascii="Times New Roman" w:hAnsi="Times New Roman" w:cs="Times New Roman"/>
                      <w:color w:val="auto"/>
                      <w:szCs w:val="21"/>
                      <w:highlight w:val="none"/>
                    </w:rPr>
                  </w:pPr>
                </w:p>
              </w:tc>
              <w:tc>
                <w:tcPr>
                  <w:tcW w:w="448" w:type="pct"/>
                  <w:noWrap w:val="0"/>
                  <w:vAlign w:val="center"/>
                </w:tcPr>
                <w:p w14:paraId="03FD32B6">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X</w:t>
                  </w:r>
                </w:p>
              </w:tc>
              <w:tc>
                <w:tcPr>
                  <w:tcW w:w="448" w:type="pct"/>
                  <w:noWrap w:val="0"/>
                  <w:vAlign w:val="center"/>
                </w:tcPr>
                <w:p w14:paraId="773C2291">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Y</w:t>
                  </w:r>
                </w:p>
              </w:tc>
              <w:tc>
                <w:tcPr>
                  <w:tcW w:w="448" w:type="pct"/>
                  <w:noWrap w:val="0"/>
                  <w:vAlign w:val="center"/>
                </w:tcPr>
                <w:p w14:paraId="03B186DE">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Z</w:t>
                  </w:r>
                </w:p>
              </w:tc>
              <w:tc>
                <w:tcPr>
                  <w:tcW w:w="639" w:type="pct"/>
                  <w:vMerge w:val="continue"/>
                  <w:noWrap w:val="0"/>
                  <w:vAlign w:val="center"/>
                </w:tcPr>
                <w:p w14:paraId="0B9E570D">
                  <w:pPr>
                    <w:contextualSpacing/>
                    <w:jc w:val="center"/>
                    <w:rPr>
                      <w:rFonts w:hint="default" w:ascii="Times New Roman" w:hAnsi="Times New Roman" w:cs="Times New Roman"/>
                      <w:color w:val="auto"/>
                      <w:szCs w:val="21"/>
                      <w:highlight w:val="none"/>
                    </w:rPr>
                  </w:pPr>
                </w:p>
              </w:tc>
              <w:tc>
                <w:tcPr>
                  <w:tcW w:w="679" w:type="pct"/>
                  <w:vMerge w:val="continue"/>
                  <w:noWrap w:val="0"/>
                  <w:vAlign w:val="center"/>
                </w:tcPr>
                <w:p w14:paraId="7CCE2652">
                  <w:pPr>
                    <w:contextualSpacing/>
                    <w:jc w:val="center"/>
                    <w:rPr>
                      <w:rFonts w:hint="default" w:ascii="Times New Roman" w:hAnsi="Times New Roman" w:cs="Times New Roman"/>
                      <w:color w:val="auto"/>
                      <w:szCs w:val="21"/>
                      <w:highlight w:val="none"/>
                    </w:rPr>
                  </w:pPr>
                </w:p>
              </w:tc>
              <w:tc>
                <w:tcPr>
                  <w:tcW w:w="682" w:type="pct"/>
                  <w:vMerge w:val="continue"/>
                  <w:noWrap w:val="0"/>
                  <w:vAlign w:val="center"/>
                </w:tcPr>
                <w:p w14:paraId="111E96F8">
                  <w:pPr>
                    <w:contextualSpacing/>
                    <w:jc w:val="center"/>
                    <w:rPr>
                      <w:rFonts w:hint="default" w:ascii="Times New Roman" w:hAnsi="Times New Roman" w:cs="Times New Roman"/>
                      <w:color w:val="auto"/>
                      <w:szCs w:val="21"/>
                      <w:highlight w:val="none"/>
                    </w:rPr>
                  </w:pPr>
                </w:p>
              </w:tc>
              <w:tc>
                <w:tcPr>
                  <w:tcW w:w="507" w:type="pct"/>
                  <w:vMerge w:val="continue"/>
                  <w:noWrap w:val="0"/>
                  <w:vAlign w:val="center"/>
                </w:tcPr>
                <w:p w14:paraId="44815A95">
                  <w:pPr>
                    <w:contextualSpacing/>
                    <w:jc w:val="center"/>
                    <w:rPr>
                      <w:rFonts w:hint="default" w:ascii="Times New Roman" w:hAnsi="Times New Roman" w:cs="Times New Roman"/>
                      <w:color w:val="auto"/>
                      <w:szCs w:val="21"/>
                      <w:highlight w:val="none"/>
                    </w:rPr>
                  </w:pPr>
                </w:p>
              </w:tc>
            </w:tr>
            <w:tr w14:paraId="17CC66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noWrap w:val="0"/>
                  <w:vAlign w:val="center"/>
                </w:tcPr>
                <w:p w14:paraId="1B6C40CC">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798" w:type="pct"/>
                  <w:noWrap w:val="0"/>
                  <w:vAlign w:val="center"/>
                </w:tcPr>
                <w:p w14:paraId="76F4B0B6">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装载机</w:t>
                  </w:r>
                </w:p>
              </w:tc>
              <w:tc>
                <w:tcPr>
                  <w:tcW w:w="448" w:type="pct"/>
                  <w:noWrap w:val="0"/>
                  <w:vAlign w:val="center"/>
                </w:tcPr>
                <w:p w14:paraId="19940EAB">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187</w:t>
                  </w:r>
                </w:p>
              </w:tc>
              <w:tc>
                <w:tcPr>
                  <w:tcW w:w="448" w:type="pct"/>
                  <w:noWrap w:val="0"/>
                  <w:vAlign w:val="center"/>
                </w:tcPr>
                <w:p w14:paraId="7E70A79F">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144</w:t>
                  </w:r>
                </w:p>
              </w:tc>
              <w:tc>
                <w:tcPr>
                  <w:tcW w:w="448" w:type="pct"/>
                  <w:noWrap w:val="0"/>
                  <w:vAlign w:val="center"/>
                </w:tcPr>
                <w:p w14:paraId="5B9740D8">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39" w:type="pct"/>
                  <w:noWrap w:val="0"/>
                  <w:vAlign w:val="center"/>
                </w:tcPr>
                <w:p w14:paraId="350E3F2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80</w:t>
                  </w:r>
                </w:p>
              </w:tc>
              <w:tc>
                <w:tcPr>
                  <w:tcW w:w="679" w:type="pct"/>
                  <w:vMerge w:val="restart"/>
                  <w:noWrap w:val="0"/>
                  <w:vAlign w:val="center"/>
                </w:tcPr>
                <w:p w14:paraId="48E02B94">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定期检查设备的运行状况，更换磨损严重的部件，定期对设备进行清洁和维护</w:t>
                  </w:r>
                </w:p>
              </w:tc>
              <w:tc>
                <w:tcPr>
                  <w:tcW w:w="682" w:type="pct"/>
                  <w:noWrap w:val="0"/>
                  <w:vAlign w:val="center"/>
                </w:tcPr>
                <w:p w14:paraId="2F3B8B24">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507" w:type="pct"/>
                  <w:noWrap w:val="0"/>
                  <w:vAlign w:val="center"/>
                </w:tcPr>
                <w:p w14:paraId="602A08A8">
                  <w:pPr>
                    <w:contextualSpacing/>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1200</w:t>
                  </w:r>
                </w:p>
              </w:tc>
            </w:tr>
            <w:tr w14:paraId="3861A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shd w:val="clear" w:color="auto" w:fill="auto"/>
                  <w:noWrap w:val="0"/>
                  <w:vAlign w:val="center"/>
                </w:tcPr>
                <w:p w14:paraId="61B1A353">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2</w:t>
                  </w:r>
                </w:p>
              </w:tc>
              <w:tc>
                <w:tcPr>
                  <w:tcW w:w="798" w:type="pct"/>
                  <w:noWrap w:val="0"/>
                  <w:vAlign w:val="center"/>
                </w:tcPr>
                <w:p w14:paraId="098C5836">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装载机</w:t>
                  </w:r>
                </w:p>
              </w:tc>
              <w:tc>
                <w:tcPr>
                  <w:tcW w:w="448" w:type="pct"/>
                  <w:noWrap w:val="0"/>
                  <w:vAlign w:val="center"/>
                </w:tcPr>
                <w:p w14:paraId="4D32AF0A">
                  <w:pPr>
                    <w:widowControl/>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191</w:t>
                  </w:r>
                </w:p>
              </w:tc>
              <w:tc>
                <w:tcPr>
                  <w:tcW w:w="448" w:type="pct"/>
                  <w:noWrap w:val="0"/>
                  <w:vAlign w:val="center"/>
                </w:tcPr>
                <w:p w14:paraId="2F1D11E2">
                  <w:pPr>
                    <w:widowControl/>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149</w:t>
                  </w:r>
                </w:p>
              </w:tc>
              <w:tc>
                <w:tcPr>
                  <w:tcW w:w="448" w:type="pct"/>
                  <w:noWrap w:val="0"/>
                  <w:vAlign w:val="center"/>
                </w:tcPr>
                <w:p w14:paraId="181D4AFF">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639" w:type="pct"/>
                  <w:noWrap w:val="0"/>
                  <w:vAlign w:val="center"/>
                </w:tcPr>
                <w:p w14:paraId="40585F1B">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80</w:t>
                  </w:r>
                </w:p>
              </w:tc>
              <w:tc>
                <w:tcPr>
                  <w:tcW w:w="679" w:type="pct"/>
                  <w:vMerge w:val="continue"/>
                  <w:noWrap w:val="0"/>
                  <w:vAlign w:val="center"/>
                </w:tcPr>
                <w:p w14:paraId="137E9C39">
                  <w:pPr>
                    <w:contextualSpacing/>
                    <w:jc w:val="center"/>
                    <w:rPr>
                      <w:rFonts w:hint="default" w:ascii="Times New Roman" w:hAnsi="Times New Roman" w:cs="Times New Roman"/>
                      <w:color w:val="auto"/>
                      <w:szCs w:val="21"/>
                      <w:highlight w:val="none"/>
                    </w:rPr>
                  </w:pPr>
                </w:p>
              </w:tc>
              <w:tc>
                <w:tcPr>
                  <w:tcW w:w="1045" w:type="dxa"/>
                  <w:noWrap w:val="0"/>
                  <w:vAlign w:val="center"/>
                </w:tcPr>
                <w:p w14:paraId="34E50DD4">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776" w:type="dxa"/>
                  <w:noWrap w:val="0"/>
                  <w:vAlign w:val="center"/>
                </w:tcPr>
                <w:p w14:paraId="1EDE8888">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1200</w:t>
                  </w:r>
                </w:p>
              </w:tc>
            </w:tr>
            <w:tr w14:paraId="34290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shd w:val="clear" w:color="auto" w:fill="auto"/>
                  <w:noWrap w:val="0"/>
                  <w:vAlign w:val="center"/>
                </w:tcPr>
                <w:p w14:paraId="3C1249C5">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3</w:t>
                  </w:r>
                </w:p>
              </w:tc>
              <w:tc>
                <w:tcPr>
                  <w:tcW w:w="798" w:type="pct"/>
                  <w:noWrap w:val="0"/>
                  <w:vAlign w:val="center"/>
                </w:tcPr>
                <w:p w14:paraId="0BE20589">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集料皮带输送机</w:t>
                  </w:r>
                </w:p>
              </w:tc>
              <w:tc>
                <w:tcPr>
                  <w:tcW w:w="448" w:type="pct"/>
                  <w:noWrap w:val="0"/>
                  <w:vAlign w:val="center"/>
                </w:tcPr>
                <w:p w14:paraId="0ED559E5">
                  <w:pPr>
                    <w:widowControl/>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210</w:t>
                  </w:r>
                </w:p>
              </w:tc>
              <w:tc>
                <w:tcPr>
                  <w:tcW w:w="448" w:type="pct"/>
                  <w:noWrap w:val="0"/>
                  <w:vAlign w:val="center"/>
                </w:tcPr>
                <w:p w14:paraId="0CEF5149">
                  <w:pPr>
                    <w:widowControl/>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150</w:t>
                  </w:r>
                </w:p>
              </w:tc>
              <w:tc>
                <w:tcPr>
                  <w:tcW w:w="448" w:type="pct"/>
                  <w:noWrap w:val="0"/>
                  <w:vAlign w:val="center"/>
                </w:tcPr>
                <w:p w14:paraId="389C761C">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639" w:type="pct"/>
                  <w:noWrap w:val="0"/>
                  <w:vAlign w:val="center"/>
                </w:tcPr>
                <w:p w14:paraId="46A8930B">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75</w:t>
                  </w:r>
                </w:p>
              </w:tc>
              <w:tc>
                <w:tcPr>
                  <w:tcW w:w="679" w:type="pct"/>
                  <w:vMerge w:val="continue"/>
                  <w:noWrap w:val="0"/>
                  <w:vAlign w:val="center"/>
                </w:tcPr>
                <w:p w14:paraId="6A03BDAC">
                  <w:pPr>
                    <w:contextualSpacing/>
                    <w:jc w:val="center"/>
                    <w:rPr>
                      <w:rFonts w:hint="default" w:ascii="Times New Roman" w:hAnsi="Times New Roman" w:cs="Times New Roman"/>
                      <w:color w:val="auto"/>
                      <w:szCs w:val="21"/>
                      <w:highlight w:val="none"/>
                    </w:rPr>
                  </w:pPr>
                </w:p>
              </w:tc>
              <w:tc>
                <w:tcPr>
                  <w:tcW w:w="1045" w:type="dxa"/>
                  <w:noWrap w:val="0"/>
                  <w:vAlign w:val="center"/>
                </w:tcPr>
                <w:p w14:paraId="3AE61A69">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776" w:type="dxa"/>
                  <w:noWrap w:val="0"/>
                  <w:vAlign w:val="center"/>
                </w:tcPr>
                <w:p w14:paraId="7D4D8107">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1200</w:t>
                  </w:r>
                </w:p>
              </w:tc>
            </w:tr>
            <w:tr w14:paraId="2D5691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shd w:val="clear" w:color="auto" w:fill="auto"/>
                  <w:noWrap w:val="0"/>
                  <w:vAlign w:val="center"/>
                </w:tcPr>
                <w:p w14:paraId="4C09689A">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4</w:t>
                  </w:r>
                </w:p>
              </w:tc>
              <w:tc>
                <w:tcPr>
                  <w:tcW w:w="798" w:type="pct"/>
                  <w:noWrap w:val="0"/>
                  <w:vAlign w:val="center"/>
                </w:tcPr>
                <w:p w14:paraId="1A8BE6E2">
                  <w:pPr>
                    <w:widowControl/>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集料皮带输送机</w:t>
                  </w:r>
                </w:p>
              </w:tc>
              <w:tc>
                <w:tcPr>
                  <w:tcW w:w="448" w:type="pct"/>
                  <w:noWrap w:val="0"/>
                  <w:vAlign w:val="center"/>
                </w:tcPr>
                <w:p w14:paraId="3FA04EB6">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209</w:t>
                  </w:r>
                </w:p>
              </w:tc>
              <w:tc>
                <w:tcPr>
                  <w:tcW w:w="448" w:type="pct"/>
                  <w:noWrap w:val="0"/>
                  <w:vAlign w:val="center"/>
                </w:tcPr>
                <w:p w14:paraId="6D8847C3">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155</w:t>
                  </w:r>
                </w:p>
              </w:tc>
              <w:tc>
                <w:tcPr>
                  <w:tcW w:w="448" w:type="pct"/>
                  <w:noWrap w:val="0"/>
                  <w:vAlign w:val="center"/>
                </w:tcPr>
                <w:p w14:paraId="50EDEEAA">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39" w:type="pct"/>
                  <w:noWrap w:val="0"/>
                  <w:vAlign w:val="center"/>
                </w:tcPr>
                <w:p w14:paraId="650981D4">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75</w:t>
                  </w:r>
                </w:p>
              </w:tc>
              <w:tc>
                <w:tcPr>
                  <w:tcW w:w="679" w:type="pct"/>
                  <w:vMerge w:val="continue"/>
                  <w:noWrap w:val="0"/>
                  <w:vAlign w:val="center"/>
                </w:tcPr>
                <w:p w14:paraId="64001F7D">
                  <w:pPr>
                    <w:contextualSpacing/>
                    <w:jc w:val="center"/>
                    <w:rPr>
                      <w:rFonts w:hint="default" w:ascii="Times New Roman" w:hAnsi="Times New Roman" w:cs="Times New Roman"/>
                      <w:color w:val="auto"/>
                      <w:highlight w:val="none"/>
                    </w:rPr>
                  </w:pPr>
                </w:p>
              </w:tc>
              <w:tc>
                <w:tcPr>
                  <w:tcW w:w="682" w:type="pct"/>
                  <w:noWrap w:val="0"/>
                  <w:vAlign w:val="center"/>
                </w:tcPr>
                <w:p w14:paraId="43B0EE5A">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507" w:type="pct"/>
                  <w:noWrap w:val="0"/>
                  <w:vAlign w:val="center"/>
                </w:tcPr>
                <w:p w14:paraId="2F74A369">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1200</w:t>
                  </w:r>
                </w:p>
              </w:tc>
            </w:tr>
            <w:tr w14:paraId="31736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shd w:val="clear" w:color="auto" w:fill="auto"/>
                  <w:noWrap w:val="0"/>
                  <w:vAlign w:val="center"/>
                </w:tcPr>
                <w:p w14:paraId="2A0FFA4C">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5</w:t>
                  </w:r>
                </w:p>
              </w:tc>
              <w:tc>
                <w:tcPr>
                  <w:tcW w:w="798" w:type="pct"/>
                  <w:noWrap w:val="0"/>
                  <w:vAlign w:val="center"/>
                </w:tcPr>
                <w:p w14:paraId="07B096DF">
                  <w:pPr>
                    <w:widowControl/>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上料皮带输送机</w:t>
                  </w:r>
                </w:p>
              </w:tc>
              <w:tc>
                <w:tcPr>
                  <w:tcW w:w="448" w:type="pct"/>
                  <w:noWrap w:val="0"/>
                  <w:vAlign w:val="center"/>
                </w:tcPr>
                <w:p w14:paraId="5FE2170A">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227</w:t>
                  </w:r>
                </w:p>
              </w:tc>
              <w:tc>
                <w:tcPr>
                  <w:tcW w:w="448" w:type="pct"/>
                  <w:noWrap w:val="0"/>
                  <w:vAlign w:val="center"/>
                </w:tcPr>
                <w:p w14:paraId="1711F21C">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159</w:t>
                  </w:r>
                </w:p>
              </w:tc>
              <w:tc>
                <w:tcPr>
                  <w:tcW w:w="448" w:type="pct"/>
                  <w:noWrap w:val="0"/>
                  <w:vAlign w:val="center"/>
                </w:tcPr>
                <w:p w14:paraId="4A24A3E0">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39" w:type="pct"/>
                  <w:noWrap w:val="0"/>
                  <w:vAlign w:val="center"/>
                </w:tcPr>
                <w:p w14:paraId="14567FD7">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75</w:t>
                  </w:r>
                </w:p>
              </w:tc>
              <w:tc>
                <w:tcPr>
                  <w:tcW w:w="679" w:type="pct"/>
                  <w:vMerge w:val="continue"/>
                  <w:noWrap w:val="0"/>
                  <w:vAlign w:val="center"/>
                </w:tcPr>
                <w:p w14:paraId="46696EE6">
                  <w:pPr>
                    <w:contextualSpacing/>
                    <w:jc w:val="center"/>
                    <w:rPr>
                      <w:rFonts w:hint="default" w:ascii="Times New Roman" w:hAnsi="Times New Roman" w:cs="Times New Roman"/>
                      <w:color w:val="auto"/>
                      <w:highlight w:val="none"/>
                    </w:rPr>
                  </w:pPr>
                </w:p>
              </w:tc>
              <w:tc>
                <w:tcPr>
                  <w:tcW w:w="682" w:type="pct"/>
                  <w:noWrap w:val="0"/>
                  <w:vAlign w:val="center"/>
                </w:tcPr>
                <w:p w14:paraId="34C08B7B">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507" w:type="pct"/>
                  <w:noWrap w:val="0"/>
                  <w:vAlign w:val="center"/>
                </w:tcPr>
                <w:p w14:paraId="47B22449">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1200</w:t>
                  </w:r>
                </w:p>
              </w:tc>
            </w:tr>
            <w:tr w14:paraId="38A7E7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shd w:val="clear" w:color="auto" w:fill="auto"/>
                  <w:noWrap w:val="0"/>
                  <w:vAlign w:val="center"/>
                </w:tcPr>
                <w:p w14:paraId="1927BE4D">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6</w:t>
                  </w:r>
                </w:p>
              </w:tc>
              <w:tc>
                <w:tcPr>
                  <w:tcW w:w="798" w:type="pct"/>
                  <w:noWrap w:val="0"/>
                  <w:vAlign w:val="center"/>
                </w:tcPr>
                <w:p w14:paraId="05192871">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沥青输送系统</w:t>
                  </w:r>
                </w:p>
              </w:tc>
              <w:tc>
                <w:tcPr>
                  <w:tcW w:w="448" w:type="pct"/>
                  <w:noWrap w:val="0"/>
                  <w:vAlign w:val="center"/>
                </w:tcPr>
                <w:p w14:paraId="77AF170E">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lang w:val="en-US" w:eastAsia="zh-CN"/>
                    </w:rPr>
                    <w:t>131</w:t>
                  </w:r>
                </w:p>
              </w:tc>
              <w:tc>
                <w:tcPr>
                  <w:tcW w:w="448" w:type="pct"/>
                  <w:noWrap w:val="0"/>
                  <w:vAlign w:val="center"/>
                </w:tcPr>
                <w:p w14:paraId="30B4A249">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lang w:val="en-US" w:eastAsia="zh-CN"/>
                    </w:rPr>
                    <w:t>147</w:t>
                  </w:r>
                </w:p>
              </w:tc>
              <w:tc>
                <w:tcPr>
                  <w:tcW w:w="448" w:type="pct"/>
                  <w:noWrap w:val="0"/>
                  <w:vAlign w:val="center"/>
                </w:tcPr>
                <w:p w14:paraId="531CE75E">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rPr>
                    <w:t>1</w:t>
                  </w:r>
                </w:p>
              </w:tc>
              <w:tc>
                <w:tcPr>
                  <w:tcW w:w="639" w:type="pct"/>
                  <w:noWrap w:val="0"/>
                  <w:vAlign w:val="center"/>
                </w:tcPr>
                <w:p w14:paraId="7A77AAD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75</w:t>
                  </w:r>
                </w:p>
              </w:tc>
              <w:tc>
                <w:tcPr>
                  <w:tcW w:w="679" w:type="pct"/>
                  <w:vMerge w:val="continue"/>
                  <w:noWrap w:val="0"/>
                  <w:vAlign w:val="center"/>
                </w:tcPr>
                <w:p w14:paraId="7B910319">
                  <w:pPr>
                    <w:contextualSpacing/>
                    <w:jc w:val="center"/>
                    <w:rPr>
                      <w:rFonts w:hint="default" w:ascii="Times New Roman" w:hAnsi="Times New Roman" w:cs="Times New Roman"/>
                      <w:color w:val="auto"/>
                      <w:highlight w:val="none"/>
                    </w:rPr>
                  </w:pPr>
                </w:p>
              </w:tc>
              <w:tc>
                <w:tcPr>
                  <w:tcW w:w="682" w:type="pct"/>
                  <w:noWrap w:val="0"/>
                  <w:vAlign w:val="center"/>
                </w:tcPr>
                <w:p w14:paraId="7764DA51">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507" w:type="pct"/>
                  <w:noWrap w:val="0"/>
                  <w:vAlign w:val="center"/>
                </w:tcPr>
                <w:p w14:paraId="10B5B7FA">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1200</w:t>
                  </w:r>
                </w:p>
              </w:tc>
            </w:tr>
            <w:tr w14:paraId="1CED64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shd w:val="clear" w:color="auto" w:fill="auto"/>
                  <w:noWrap w:val="0"/>
                  <w:vAlign w:val="center"/>
                </w:tcPr>
                <w:p w14:paraId="3FD28FEB">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7</w:t>
                  </w:r>
                </w:p>
              </w:tc>
              <w:tc>
                <w:tcPr>
                  <w:tcW w:w="798" w:type="pct"/>
                  <w:noWrap w:val="0"/>
                  <w:vAlign w:val="center"/>
                </w:tcPr>
                <w:p w14:paraId="52C23B3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风机1#</w:t>
                  </w:r>
                </w:p>
              </w:tc>
              <w:tc>
                <w:tcPr>
                  <w:tcW w:w="448" w:type="pct"/>
                  <w:noWrap w:val="0"/>
                  <w:vAlign w:val="center"/>
                </w:tcPr>
                <w:p w14:paraId="6B944639">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lang w:val="en-US" w:eastAsia="zh-CN"/>
                    </w:rPr>
                    <w:t>119</w:t>
                  </w:r>
                </w:p>
              </w:tc>
              <w:tc>
                <w:tcPr>
                  <w:tcW w:w="448" w:type="pct"/>
                  <w:noWrap w:val="0"/>
                  <w:vAlign w:val="center"/>
                </w:tcPr>
                <w:p w14:paraId="4CE32239">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lang w:val="en-US" w:eastAsia="zh-CN"/>
                    </w:rPr>
                    <w:t>161</w:t>
                  </w:r>
                </w:p>
              </w:tc>
              <w:tc>
                <w:tcPr>
                  <w:tcW w:w="448" w:type="pct"/>
                  <w:noWrap w:val="0"/>
                  <w:vAlign w:val="center"/>
                </w:tcPr>
                <w:p w14:paraId="3560163E">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rPr>
                    <w:t>1</w:t>
                  </w:r>
                </w:p>
              </w:tc>
              <w:tc>
                <w:tcPr>
                  <w:tcW w:w="639" w:type="pct"/>
                  <w:noWrap w:val="0"/>
                  <w:vAlign w:val="center"/>
                </w:tcPr>
                <w:p w14:paraId="69F1F758">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70</w:t>
                  </w:r>
                </w:p>
              </w:tc>
              <w:tc>
                <w:tcPr>
                  <w:tcW w:w="679" w:type="pct"/>
                  <w:vMerge w:val="continue"/>
                  <w:noWrap w:val="0"/>
                  <w:vAlign w:val="center"/>
                </w:tcPr>
                <w:p w14:paraId="16B8FA00">
                  <w:pPr>
                    <w:contextualSpacing/>
                    <w:jc w:val="center"/>
                    <w:rPr>
                      <w:rFonts w:hint="default" w:ascii="Times New Roman" w:hAnsi="Times New Roman" w:cs="Times New Roman"/>
                      <w:color w:val="auto"/>
                      <w:highlight w:val="none"/>
                    </w:rPr>
                  </w:pPr>
                </w:p>
              </w:tc>
              <w:tc>
                <w:tcPr>
                  <w:tcW w:w="682" w:type="pct"/>
                  <w:noWrap w:val="0"/>
                  <w:vAlign w:val="center"/>
                </w:tcPr>
                <w:p w14:paraId="018E3BE0">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507" w:type="pct"/>
                  <w:noWrap w:val="0"/>
                  <w:vAlign w:val="center"/>
                </w:tcPr>
                <w:p w14:paraId="77D838D5">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1200</w:t>
                  </w:r>
                </w:p>
              </w:tc>
            </w:tr>
            <w:tr w14:paraId="05ED39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7" w:type="pct"/>
                  <w:shd w:val="clear" w:color="auto" w:fill="auto"/>
                  <w:noWrap w:val="0"/>
                  <w:vAlign w:val="center"/>
                </w:tcPr>
                <w:p w14:paraId="751BEF7C">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8</w:t>
                  </w:r>
                </w:p>
              </w:tc>
              <w:tc>
                <w:tcPr>
                  <w:tcW w:w="798" w:type="pct"/>
                  <w:noWrap w:val="0"/>
                  <w:vAlign w:val="center"/>
                </w:tcPr>
                <w:p w14:paraId="50A0D722">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风机2#</w:t>
                  </w:r>
                </w:p>
              </w:tc>
              <w:tc>
                <w:tcPr>
                  <w:tcW w:w="448" w:type="pct"/>
                  <w:noWrap w:val="0"/>
                  <w:vAlign w:val="center"/>
                </w:tcPr>
                <w:p w14:paraId="13CCDB4E">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lang w:val="en-US" w:eastAsia="zh-CN"/>
                    </w:rPr>
                    <w:t>117</w:t>
                  </w:r>
                </w:p>
              </w:tc>
              <w:tc>
                <w:tcPr>
                  <w:tcW w:w="448" w:type="pct"/>
                  <w:noWrap w:val="0"/>
                  <w:vAlign w:val="center"/>
                </w:tcPr>
                <w:p w14:paraId="26BBAC0E">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lang w:val="en-US" w:eastAsia="zh-CN"/>
                    </w:rPr>
                    <w:t>160</w:t>
                  </w:r>
                </w:p>
              </w:tc>
              <w:tc>
                <w:tcPr>
                  <w:tcW w:w="448" w:type="pct"/>
                  <w:noWrap w:val="0"/>
                  <w:vAlign w:val="center"/>
                </w:tcPr>
                <w:p w14:paraId="7F523995">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rPr>
                    <w:t>1</w:t>
                  </w:r>
                </w:p>
              </w:tc>
              <w:tc>
                <w:tcPr>
                  <w:tcW w:w="639" w:type="pct"/>
                  <w:noWrap w:val="0"/>
                  <w:vAlign w:val="center"/>
                </w:tcPr>
                <w:p w14:paraId="7A6DC05C">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70</w:t>
                  </w:r>
                </w:p>
              </w:tc>
              <w:tc>
                <w:tcPr>
                  <w:tcW w:w="679" w:type="pct"/>
                  <w:vMerge w:val="continue"/>
                  <w:noWrap w:val="0"/>
                  <w:vAlign w:val="center"/>
                </w:tcPr>
                <w:p w14:paraId="1EF16242">
                  <w:pPr>
                    <w:contextualSpacing/>
                    <w:jc w:val="center"/>
                    <w:rPr>
                      <w:rFonts w:hint="default" w:ascii="Times New Roman" w:hAnsi="Times New Roman" w:cs="Times New Roman"/>
                      <w:color w:val="auto"/>
                      <w:highlight w:val="none"/>
                    </w:rPr>
                  </w:pPr>
                </w:p>
              </w:tc>
              <w:tc>
                <w:tcPr>
                  <w:tcW w:w="682" w:type="pct"/>
                  <w:noWrap w:val="0"/>
                  <w:vAlign w:val="center"/>
                </w:tcPr>
                <w:p w14:paraId="358503A3">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507" w:type="pct"/>
                  <w:noWrap w:val="0"/>
                  <w:vAlign w:val="center"/>
                </w:tcPr>
                <w:p w14:paraId="26673206">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1200</w:t>
                  </w:r>
                </w:p>
              </w:tc>
            </w:tr>
            <w:tr w14:paraId="041C0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rPr>
              <w:tc>
                <w:tcPr>
                  <w:tcW w:w="347" w:type="pct"/>
                  <w:noWrap w:val="0"/>
                  <w:vAlign w:val="center"/>
                </w:tcPr>
                <w:p w14:paraId="710F3EE4">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9</w:t>
                  </w:r>
                </w:p>
              </w:tc>
              <w:tc>
                <w:tcPr>
                  <w:tcW w:w="798" w:type="pct"/>
                  <w:noWrap w:val="0"/>
                  <w:vAlign w:val="center"/>
                </w:tcPr>
                <w:p w14:paraId="11D48892">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喷淋系统1#</w:t>
                  </w:r>
                </w:p>
              </w:tc>
              <w:tc>
                <w:tcPr>
                  <w:tcW w:w="448" w:type="pct"/>
                  <w:noWrap w:val="0"/>
                  <w:vAlign w:val="center"/>
                </w:tcPr>
                <w:p w14:paraId="280259EA">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lang w:val="en-US" w:eastAsia="zh-CN"/>
                    </w:rPr>
                    <w:t>223</w:t>
                  </w:r>
                </w:p>
              </w:tc>
              <w:tc>
                <w:tcPr>
                  <w:tcW w:w="448" w:type="pct"/>
                  <w:noWrap w:val="0"/>
                  <w:vAlign w:val="center"/>
                </w:tcPr>
                <w:p w14:paraId="65989387">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lang w:val="en-US" w:eastAsia="zh-CN"/>
                    </w:rPr>
                    <w:t>150</w:t>
                  </w:r>
                </w:p>
              </w:tc>
              <w:tc>
                <w:tcPr>
                  <w:tcW w:w="448" w:type="pct"/>
                  <w:noWrap w:val="0"/>
                  <w:vAlign w:val="center"/>
                </w:tcPr>
                <w:p w14:paraId="70CEDAFF">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Cs w:val="21"/>
                      <w:highlight w:val="none"/>
                    </w:rPr>
                    <w:t>1</w:t>
                  </w:r>
                </w:p>
              </w:tc>
              <w:tc>
                <w:tcPr>
                  <w:tcW w:w="639" w:type="pct"/>
                  <w:noWrap w:val="0"/>
                  <w:vAlign w:val="center"/>
                </w:tcPr>
                <w:p w14:paraId="5136E1B9">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70</w:t>
                  </w:r>
                </w:p>
              </w:tc>
              <w:tc>
                <w:tcPr>
                  <w:tcW w:w="679" w:type="pct"/>
                  <w:vMerge w:val="continue"/>
                  <w:noWrap w:val="0"/>
                  <w:vAlign w:val="center"/>
                </w:tcPr>
                <w:p w14:paraId="311C4673">
                  <w:pPr>
                    <w:contextualSpacing/>
                    <w:jc w:val="center"/>
                    <w:rPr>
                      <w:rFonts w:hint="default" w:ascii="Times New Roman" w:hAnsi="Times New Roman" w:cs="Times New Roman"/>
                      <w:color w:val="auto"/>
                      <w:highlight w:val="none"/>
                    </w:rPr>
                  </w:pPr>
                </w:p>
              </w:tc>
              <w:tc>
                <w:tcPr>
                  <w:tcW w:w="682" w:type="pct"/>
                  <w:noWrap w:val="0"/>
                  <w:vAlign w:val="center"/>
                </w:tcPr>
                <w:p w14:paraId="1D425E3C">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507" w:type="pct"/>
                  <w:noWrap w:val="0"/>
                  <w:vAlign w:val="center"/>
                </w:tcPr>
                <w:p w14:paraId="66760A70">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1200</w:t>
                  </w:r>
                </w:p>
              </w:tc>
            </w:tr>
            <w:tr w14:paraId="04B4EA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rPr>
              <w:tc>
                <w:tcPr>
                  <w:tcW w:w="347" w:type="pct"/>
                  <w:noWrap w:val="0"/>
                  <w:vAlign w:val="center"/>
                </w:tcPr>
                <w:p w14:paraId="454C0E60">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c>
                <w:tcPr>
                  <w:tcW w:w="798" w:type="pct"/>
                  <w:noWrap w:val="0"/>
                  <w:vAlign w:val="center"/>
                </w:tcPr>
                <w:p w14:paraId="0DDD9201">
                  <w:pPr>
                    <w:widowControl/>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运输、装载车辆</w:t>
                  </w:r>
                </w:p>
              </w:tc>
              <w:tc>
                <w:tcPr>
                  <w:tcW w:w="448" w:type="pct"/>
                  <w:noWrap w:val="0"/>
                  <w:vAlign w:val="center"/>
                </w:tcPr>
                <w:p w14:paraId="4BBB6A34">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48" w:type="pct"/>
                  <w:noWrap w:val="0"/>
                  <w:vAlign w:val="center"/>
                </w:tcPr>
                <w:p w14:paraId="2230871F">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48" w:type="pct"/>
                  <w:noWrap w:val="0"/>
                  <w:vAlign w:val="center"/>
                </w:tcPr>
                <w:p w14:paraId="2A961C1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639" w:type="pct"/>
                  <w:noWrap w:val="0"/>
                  <w:vAlign w:val="center"/>
                </w:tcPr>
                <w:p w14:paraId="6F50EF85">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70</w:t>
                  </w:r>
                </w:p>
              </w:tc>
              <w:tc>
                <w:tcPr>
                  <w:tcW w:w="679" w:type="pct"/>
                  <w:vMerge w:val="continue"/>
                  <w:noWrap w:val="0"/>
                  <w:vAlign w:val="center"/>
                </w:tcPr>
                <w:p w14:paraId="4F64F495">
                  <w:pPr>
                    <w:contextualSpacing/>
                    <w:jc w:val="center"/>
                    <w:rPr>
                      <w:rFonts w:hint="default" w:ascii="Times New Roman" w:hAnsi="Times New Roman" w:cs="Times New Roman"/>
                      <w:color w:val="auto"/>
                      <w:highlight w:val="none"/>
                    </w:rPr>
                  </w:pPr>
                </w:p>
              </w:tc>
              <w:tc>
                <w:tcPr>
                  <w:tcW w:w="682" w:type="pct"/>
                  <w:noWrap w:val="0"/>
                  <w:vAlign w:val="center"/>
                </w:tcPr>
                <w:p w14:paraId="3A2A43DA">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65</w:t>
                  </w:r>
                </w:p>
              </w:tc>
              <w:tc>
                <w:tcPr>
                  <w:tcW w:w="507" w:type="pct"/>
                  <w:noWrap w:val="0"/>
                  <w:vAlign w:val="center"/>
                </w:tcPr>
                <w:p w14:paraId="1D6D28BC">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1200</w:t>
                  </w:r>
                </w:p>
              </w:tc>
            </w:tr>
          </w:tbl>
          <w:p w14:paraId="0D82A494">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（2）环境影响和保护措施</w:t>
            </w:r>
          </w:p>
          <w:p w14:paraId="496A8916">
            <w:pPr>
              <w:pStyle w:val="68"/>
              <w:spacing w:line="500" w:lineRule="exact"/>
              <w:ind w:firstLine="48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工程选用低噪声设备，经减振、消声、隔声处理等降噪措施后，厂界噪声可满足《工业企业厂界环境噪声排放标准》（GB12348-2008）中2类标准要求。本项目产生的噪声经隔声及距离衰减后可达标排放，对周围声环境影响较小</w:t>
            </w:r>
            <w:r>
              <w:rPr>
                <w:rFonts w:hint="default" w:ascii="Times New Roman" w:hAnsi="Times New Roman" w:cs="Times New Roman"/>
                <w:color w:val="auto"/>
                <w:sz w:val="24"/>
                <w:highlight w:val="none"/>
                <w:lang w:eastAsia="zh-CN"/>
              </w:rPr>
              <w:t>。</w:t>
            </w:r>
          </w:p>
          <w:p w14:paraId="71B40DF2">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（3）声环境影响分析</w:t>
            </w:r>
          </w:p>
          <w:p w14:paraId="14FC17D9">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1）噪声源分析</w:t>
            </w:r>
          </w:p>
          <w:p w14:paraId="43D17C01">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本项目噪声污染源主要为生产设备、相关配套设备噪声及运输车辆等噪声。各主要设备噪声源详见前表。</w:t>
            </w:r>
          </w:p>
          <w:p w14:paraId="29F27096">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①预测方法</w:t>
            </w:r>
          </w:p>
          <w:p w14:paraId="38BDC15D">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噪声通过建筑外墙的平均衰减量是考虑了室内发声源所发出的噪声主要频率在透过墙体、门、窗时的不同衰减，噪声在室外空间的传播衰减只考虑噪声随距离的衰减。</w:t>
            </w:r>
          </w:p>
          <w:p w14:paraId="602C7141">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②预测内容</w:t>
            </w:r>
          </w:p>
          <w:p w14:paraId="00D7191B">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预测噪声源对厂界的影响程度。</w:t>
            </w:r>
          </w:p>
          <w:p w14:paraId="59C7FF00">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③预测点位</w:t>
            </w:r>
          </w:p>
          <w:p w14:paraId="0EDA8194">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厂界噪声预测点为噪声监测点—东侧厂界、南侧厂界、西侧厂界、北侧厂界，总计</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个预测点。</w:t>
            </w:r>
          </w:p>
          <w:p w14:paraId="3ABD4A05">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④评价标准</w:t>
            </w:r>
          </w:p>
          <w:p w14:paraId="1AE5C961">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厂界噪声采用《工业企业厂界环境噪声排放标准》（GB12348-2008）表1中2类标准。</w:t>
            </w:r>
          </w:p>
          <w:p w14:paraId="1F4F029C">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⑤预测工具</w:t>
            </w:r>
          </w:p>
          <w:p w14:paraId="77F954E2">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采用《环境影响评价技术导则 声环境》（HJ2.4-2021）设计的声环境影响预测模型进行预测。</w:t>
            </w:r>
          </w:p>
          <w:p w14:paraId="428C0021">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2）预测结果</w:t>
            </w:r>
          </w:p>
          <w:p w14:paraId="01ED8B8E">
            <w:pPr>
              <w:pStyle w:val="68"/>
              <w:spacing w:line="500" w:lineRule="exact"/>
              <w:ind w:firstLine="48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项目实施后厂界噪声贡献值及敏感点噪声预测值预测结果见下表</w:t>
            </w:r>
            <w:r>
              <w:rPr>
                <w:rFonts w:hint="default" w:ascii="Times New Roman" w:hAnsi="Times New Roman" w:cs="Times New Roman"/>
                <w:color w:val="auto"/>
                <w:sz w:val="24"/>
                <w:highlight w:val="none"/>
                <w:lang w:eastAsia="zh-CN"/>
              </w:rPr>
              <w:t>。</w:t>
            </w:r>
          </w:p>
          <w:p w14:paraId="506DC38C">
            <w:pPr>
              <w:pStyle w:val="61"/>
              <w:spacing w:line="240" w:lineRule="auto"/>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表4-</w:t>
            </w:r>
            <w:r>
              <w:rPr>
                <w:rFonts w:hint="default" w:ascii="Times New Roman" w:hAnsi="Times New Roman" w:eastAsia="宋体" w:cs="Times New Roman"/>
                <w:b/>
                <w:color w:val="auto"/>
                <w:kern w:val="2"/>
                <w:sz w:val="24"/>
                <w:szCs w:val="24"/>
                <w:highlight w:val="none"/>
                <w:lang w:val="en-US" w:eastAsia="zh-CN"/>
              </w:rPr>
              <w:t>4</w:t>
            </w:r>
            <w:r>
              <w:rPr>
                <w:rFonts w:hint="default" w:ascii="Times New Roman" w:hAnsi="Times New Roman" w:eastAsia="宋体" w:cs="Times New Roman"/>
                <w:b/>
                <w:color w:val="auto"/>
                <w:kern w:val="2"/>
                <w:sz w:val="24"/>
                <w:szCs w:val="24"/>
                <w:highlight w:val="none"/>
              </w:rPr>
              <w:t>噪声影响预测结果  单位：dB(A)</w:t>
            </w:r>
          </w:p>
          <w:tbl>
            <w:tblPr>
              <w:tblStyle w:val="30"/>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1480"/>
              <w:gridCol w:w="887"/>
              <w:gridCol w:w="859"/>
              <w:gridCol w:w="872"/>
              <w:gridCol w:w="682"/>
              <w:gridCol w:w="778"/>
              <w:gridCol w:w="859"/>
            </w:tblGrid>
            <w:tr w14:paraId="539B2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07" w:type="pct"/>
                  <w:noWrap w:val="0"/>
                  <w:vAlign w:val="center"/>
                </w:tcPr>
                <w:p w14:paraId="52D22993">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预测点</w:t>
                  </w:r>
                </w:p>
              </w:tc>
              <w:tc>
                <w:tcPr>
                  <w:tcW w:w="966" w:type="pct"/>
                  <w:noWrap w:val="0"/>
                  <w:vAlign w:val="center"/>
                </w:tcPr>
                <w:p w14:paraId="5760B3B6">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空间相对位置（X/Y/Z）</w:t>
                  </w:r>
                </w:p>
              </w:tc>
              <w:tc>
                <w:tcPr>
                  <w:tcW w:w="579" w:type="pct"/>
                  <w:noWrap w:val="0"/>
                  <w:vAlign w:val="center"/>
                </w:tcPr>
                <w:p w14:paraId="288C0B7D">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本项目贡献值(昼间)</w:t>
                  </w:r>
                </w:p>
              </w:tc>
              <w:tc>
                <w:tcPr>
                  <w:tcW w:w="561" w:type="pct"/>
                  <w:noWrap w:val="0"/>
                  <w:vAlign w:val="center"/>
                </w:tcPr>
                <w:p w14:paraId="6F10C045">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背景值</w:t>
                  </w:r>
                </w:p>
                <w:p w14:paraId="349A8415">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(昼间)</w:t>
                  </w:r>
                </w:p>
              </w:tc>
              <w:tc>
                <w:tcPr>
                  <w:tcW w:w="569" w:type="pct"/>
                  <w:noWrap w:val="0"/>
                  <w:vAlign w:val="center"/>
                </w:tcPr>
                <w:p w14:paraId="2C406499">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预测值</w:t>
                  </w:r>
                </w:p>
                <w:p w14:paraId="75664478">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(昼间)</w:t>
                  </w:r>
                </w:p>
              </w:tc>
              <w:tc>
                <w:tcPr>
                  <w:tcW w:w="445" w:type="pct"/>
                  <w:noWrap w:val="0"/>
                  <w:vAlign w:val="center"/>
                </w:tcPr>
                <w:p w14:paraId="05F1AB23">
                  <w:pPr>
                    <w:pStyle w:val="163"/>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较现状增量</w:t>
                  </w:r>
                </w:p>
              </w:tc>
              <w:tc>
                <w:tcPr>
                  <w:tcW w:w="508" w:type="pct"/>
                  <w:noWrap w:val="0"/>
                  <w:vAlign w:val="center"/>
                </w:tcPr>
                <w:p w14:paraId="19380408">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标准值</w:t>
                  </w:r>
                </w:p>
                <w:p w14:paraId="711CC18E">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(昼间)</w:t>
                  </w:r>
                </w:p>
              </w:tc>
              <w:tc>
                <w:tcPr>
                  <w:tcW w:w="561" w:type="pct"/>
                  <w:noWrap w:val="0"/>
                  <w:vAlign w:val="center"/>
                </w:tcPr>
                <w:p w14:paraId="2523A5A3">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达标</w:t>
                  </w:r>
                </w:p>
                <w:p w14:paraId="33000928">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情况</w:t>
                  </w:r>
                </w:p>
                <w:p w14:paraId="1A42B7AC">
                  <w:pPr>
                    <w:pStyle w:val="163"/>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(昼间)</w:t>
                  </w:r>
                </w:p>
              </w:tc>
            </w:tr>
            <w:tr w14:paraId="44F24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07" w:type="pct"/>
                  <w:noWrap w:val="0"/>
                  <w:vAlign w:val="center"/>
                </w:tcPr>
                <w:p w14:paraId="09537F3B">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东侧厂界</w:t>
                  </w:r>
                </w:p>
              </w:tc>
              <w:tc>
                <w:tcPr>
                  <w:tcW w:w="966" w:type="pct"/>
                  <w:noWrap w:val="0"/>
                  <w:vAlign w:val="center"/>
                </w:tcPr>
                <w:p w14:paraId="0C77C250">
                  <w:pPr>
                    <w:pStyle w:val="16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148</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179</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1.2</w:t>
                  </w:r>
                </w:p>
              </w:tc>
              <w:tc>
                <w:tcPr>
                  <w:tcW w:w="579" w:type="pct"/>
                  <w:noWrap w:val="0"/>
                  <w:vAlign w:val="center"/>
                </w:tcPr>
                <w:p w14:paraId="3059246A">
                  <w:pPr>
                    <w:pStyle w:val="16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34</w:t>
                  </w:r>
                </w:p>
              </w:tc>
              <w:tc>
                <w:tcPr>
                  <w:tcW w:w="561" w:type="pct"/>
                  <w:noWrap w:val="0"/>
                  <w:vAlign w:val="center"/>
                </w:tcPr>
                <w:p w14:paraId="2EE97E95">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569" w:type="pct"/>
                  <w:noWrap w:val="0"/>
                  <w:vAlign w:val="center"/>
                </w:tcPr>
                <w:p w14:paraId="34587E1A">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445" w:type="pct"/>
                  <w:noWrap w:val="0"/>
                  <w:vAlign w:val="center"/>
                </w:tcPr>
                <w:p w14:paraId="1507D475">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508" w:type="pct"/>
                  <w:noWrap w:val="0"/>
                  <w:vAlign w:val="center"/>
                </w:tcPr>
                <w:p w14:paraId="08B30B84">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561" w:type="pct"/>
                  <w:noWrap w:val="0"/>
                  <w:vAlign w:val="center"/>
                </w:tcPr>
                <w:p w14:paraId="0690B456">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达标</w:t>
                  </w:r>
                </w:p>
              </w:tc>
            </w:tr>
            <w:tr w14:paraId="2DF29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07" w:type="pct"/>
                  <w:noWrap w:val="0"/>
                  <w:vAlign w:val="center"/>
                </w:tcPr>
                <w:p w14:paraId="01AA03CA">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西侧厂界</w:t>
                  </w:r>
                </w:p>
              </w:tc>
              <w:tc>
                <w:tcPr>
                  <w:tcW w:w="966" w:type="pct"/>
                  <w:noWrap w:val="0"/>
                  <w:vAlign w:val="center"/>
                </w:tcPr>
                <w:p w14:paraId="0F4690ED">
                  <w:pPr>
                    <w:pStyle w:val="16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74</w:t>
                  </w:r>
                  <w:r>
                    <w:rPr>
                      <w:rFonts w:hint="default" w:ascii="Times New Roman" w:hAnsi="Times New Roman" w:cs="Times New Roman"/>
                      <w:bCs/>
                      <w:color w:val="auto"/>
                      <w:szCs w:val="21"/>
                      <w:highlight w:val="none"/>
                    </w:rPr>
                    <w:t>/1</w:t>
                  </w:r>
                  <w:r>
                    <w:rPr>
                      <w:rFonts w:hint="default" w:ascii="Times New Roman" w:hAnsi="Times New Roman" w:cs="Times New Roman"/>
                      <w:bCs/>
                      <w:color w:val="auto"/>
                      <w:szCs w:val="21"/>
                      <w:highlight w:val="none"/>
                      <w:lang w:val="en-US" w:eastAsia="zh-CN"/>
                    </w:rPr>
                    <w:t>46</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1.2</w:t>
                  </w:r>
                </w:p>
              </w:tc>
              <w:tc>
                <w:tcPr>
                  <w:tcW w:w="579" w:type="pct"/>
                  <w:noWrap w:val="0"/>
                  <w:vAlign w:val="center"/>
                </w:tcPr>
                <w:p w14:paraId="7698028E">
                  <w:pPr>
                    <w:pStyle w:val="16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41</w:t>
                  </w:r>
                </w:p>
              </w:tc>
              <w:tc>
                <w:tcPr>
                  <w:tcW w:w="561" w:type="pct"/>
                  <w:noWrap w:val="0"/>
                  <w:vAlign w:val="center"/>
                </w:tcPr>
                <w:p w14:paraId="082AC173">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569" w:type="pct"/>
                  <w:noWrap w:val="0"/>
                  <w:vAlign w:val="center"/>
                </w:tcPr>
                <w:p w14:paraId="42BC3463">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445" w:type="pct"/>
                  <w:noWrap w:val="0"/>
                  <w:vAlign w:val="center"/>
                </w:tcPr>
                <w:p w14:paraId="7F18CD35">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508" w:type="pct"/>
                  <w:noWrap w:val="0"/>
                  <w:vAlign w:val="center"/>
                </w:tcPr>
                <w:p w14:paraId="5F110A6A">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561" w:type="pct"/>
                  <w:noWrap w:val="0"/>
                  <w:vAlign w:val="center"/>
                </w:tcPr>
                <w:p w14:paraId="61E56EFD">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达标</w:t>
                  </w:r>
                </w:p>
              </w:tc>
            </w:tr>
            <w:tr w14:paraId="43F392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07" w:type="pct"/>
                  <w:noWrap w:val="0"/>
                  <w:vAlign w:val="center"/>
                </w:tcPr>
                <w:p w14:paraId="57FD42FE">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南侧厂界</w:t>
                  </w:r>
                </w:p>
              </w:tc>
              <w:tc>
                <w:tcPr>
                  <w:tcW w:w="966" w:type="pct"/>
                  <w:noWrap w:val="0"/>
                  <w:vAlign w:val="center"/>
                </w:tcPr>
                <w:p w14:paraId="703C2722">
                  <w:pPr>
                    <w:pStyle w:val="16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130</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131</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1.2</w:t>
                  </w:r>
                </w:p>
              </w:tc>
              <w:tc>
                <w:tcPr>
                  <w:tcW w:w="579" w:type="pct"/>
                  <w:noWrap w:val="0"/>
                  <w:vAlign w:val="center"/>
                </w:tcPr>
                <w:p w14:paraId="04DC3596">
                  <w:pPr>
                    <w:pStyle w:val="16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36</w:t>
                  </w:r>
                </w:p>
              </w:tc>
              <w:tc>
                <w:tcPr>
                  <w:tcW w:w="561" w:type="pct"/>
                  <w:noWrap w:val="0"/>
                  <w:vAlign w:val="center"/>
                </w:tcPr>
                <w:p w14:paraId="1C38AD51">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569" w:type="pct"/>
                  <w:noWrap w:val="0"/>
                  <w:vAlign w:val="center"/>
                </w:tcPr>
                <w:p w14:paraId="372ED634">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445" w:type="pct"/>
                  <w:noWrap w:val="0"/>
                  <w:vAlign w:val="center"/>
                </w:tcPr>
                <w:p w14:paraId="6DC83485">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508" w:type="pct"/>
                  <w:noWrap w:val="0"/>
                  <w:vAlign w:val="center"/>
                </w:tcPr>
                <w:p w14:paraId="5EBDF3F4">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561" w:type="pct"/>
                  <w:noWrap w:val="0"/>
                  <w:vAlign w:val="center"/>
                </w:tcPr>
                <w:p w14:paraId="1A6C193E">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达标</w:t>
                  </w:r>
                </w:p>
              </w:tc>
            </w:tr>
            <w:tr w14:paraId="27202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07" w:type="pct"/>
                  <w:noWrap w:val="0"/>
                  <w:vAlign w:val="center"/>
                </w:tcPr>
                <w:p w14:paraId="3E96A8D3">
                  <w:pPr>
                    <w:pStyle w:val="163"/>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北侧厂界</w:t>
                  </w:r>
                </w:p>
              </w:tc>
              <w:tc>
                <w:tcPr>
                  <w:tcW w:w="966" w:type="pct"/>
                  <w:noWrap w:val="0"/>
                  <w:vAlign w:val="center"/>
                </w:tcPr>
                <w:p w14:paraId="7E32A87D">
                  <w:pPr>
                    <w:pStyle w:val="16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88</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186</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1.2</w:t>
                  </w:r>
                </w:p>
              </w:tc>
              <w:tc>
                <w:tcPr>
                  <w:tcW w:w="579" w:type="pct"/>
                  <w:noWrap w:val="0"/>
                  <w:vAlign w:val="center"/>
                </w:tcPr>
                <w:p w14:paraId="37AFC974">
                  <w:pPr>
                    <w:pStyle w:val="16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43</w:t>
                  </w:r>
                </w:p>
              </w:tc>
              <w:tc>
                <w:tcPr>
                  <w:tcW w:w="561" w:type="pct"/>
                  <w:noWrap w:val="0"/>
                  <w:vAlign w:val="center"/>
                </w:tcPr>
                <w:p w14:paraId="4D57B590">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569" w:type="pct"/>
                  <w:noWrap w:val="0"/>
                  <w:vAlign w:val="center"/>
                </w:tcPr>
                <w:p w14:paraId="7D3F5A36">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445" w:type="pct"/>
                  <w:noWrap w:val="0"/>
                  <w:vAlign w:val="center"/>
                </w:tcPr>
                <w:p w14:paraId="2AFC80B7">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p>
              </w:tc>
              <w:tc>
                <w:tcPr>
                  <w:tcW w:w="508" w:type="pct"/>
                  <w:noWrap w:val="0"/>
                  <w:vAlign w:val="center"/>
                </w:tcPr>
                <w:p w14:paraId="25D73209">
                  <w:pPr>
                    <w:pStyle w:val="16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60</w:t>
                  </w:r>
                </w:p>
              </w:tc>
              <w:tc>
                <w:tcPr>
                  <w:tcW w:w="561" w:type="pct"/>
                  <w:noWrap w:val="0"/>
                  <w:vAlign w:val="center"/>
                </w:tcPr>
                <w:p w14:paraId="03A52C5C">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达标</w:t>
                  </w:r>
                </w:p>
              </w:tc>
            </w:tr>
          </w:tbl>
          <w:p w14:paraId="616635B6">
            <w:pPr>
              <w:pStyle w:val="68"/>
              <w:spacing w:line="240" w:lineRule="auto"/>
              <w:ind w:left="0" w:leftChars="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注：1、项目夜间不生产</w:t>
            </w:r>
          </w:p>
          <w:p w14:paraId="5B47710C">
            <w:pPr>
              <w:pStyle w:val="68"/>
              <w:spacing w:line="500" w:lineRule="exact"/>
              <w:ind w:left="0" w:lef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（3）噪声影响评价结论</w:t>
            </w:r>
          </w:p>
          <w:p w14:paraId="36D71033">
            <w:pPr>
              <w:pStyle w:val="68"/>
              <w:spacing w:line="500" w:lineRule="exact"/>
              <w:ind w:left="0" w:lef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根据预测可知，在采取相应的隔声减振措施后，本项目运营时厂界噪声均满足《工业企业厂界环境噪声排放标准》（GB12348-2008）表2中的2类标准。因此，在采取相应措施后，本项目的建设对周围声环境产生影响较小</w:t>
            </w:r>
            <w:r>
              <w:rPr>
                <w:rFonts w:hint="default" w:ascii="Times New Roman" w:hAnsi="Times New Roman" w:cs="Times New Roman"/>
                <w:color w:val="auto"/>
                <w:sz w:val="24"/>
                <w:highlight w:val="none"/>
                <w:lang w:eastAsia="zh-CN"/>
              </w:rPr>
              <w:t>。</w:t>
            </w:r>
          </w:p>
          <w:p w14:paraId="6D559AE6">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2、降噪措施</w:t>
            </w:r>
          </w:p>
          <w:p w14:paraId="7297493E">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本项目运营期采取如下降噪措施。</w:t>
            </w:r>
          </w:p>
          <w:p w14:paraId="32E84FDC">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选用低噪声设备，厂房采取隔声、降噪措施，振动较大的设备采取独立基础，设置减振器等措施；应将运营时间安排在昼间或正常生活作息时间之内，禁止晚间或凌晨时段操作。</w:t>
            </w:r>
          </w:p>
          <w:p w14:paraId="450F0B53">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控制输送设备产生的噪声要保证输送设备正常运行，应加强对皮带输送机的日常维护和管理，定期检查设备的运行状况，及时更换磨损严重的部件，定期对设备进行清洁和润滑，保持设备的良好状态，以减少设备运行时的摩擦和</w:t>
            </w:r>
            <w:r>
              <w:rPr>
                <w:rFonts w:hint="default" w:ascii="Times New Roman" w:hAnsi="Times New Roman" w:cs="Times New Roman"/>
                <w:color w:val="auto"/>
                <w:sz w:val="24"/>
                <w:highlight w:val="none"/>
                <w:lang w:eastAsia="zh-CN"/>
              </w:rPr>
              <w:t>噪声</w:t>
            </w:r>
            <w:r>
              <w:rPr>
                <w:rFonts w:hint="default" w:ascii="Times New Roman" w:hAnsi="Times New Roman" w:cs="Times New Roman"/>
                <w:color w:val="auto"/>
                <w:sz w:val="24"/>
                <w:highlight w:val="none"/>
              </w:rPr>
              <w:t>。输送设备正常运行</w:t>
            </w:r>
            <w:r>
              <w:rPr>
                <w:rFonts w:hint="default" w:ascii="Times New Roman" w:hAnsi="Times New Roman" w:cs="Times New Roman"/>
                <w:color w:val="auto"/>
                <w:sz w:val="24"/>
                <w:highlight w:val="none"/>
                <w:lang w:eastAsia="zh-CN"/>
              </w:rPr>
              <w:t>噪声</w:t>
            </w:r>
            <w:r>
              <w:rPr>
                <w:rFonts w:hint="default" w:ascii="Times New Roman" w:hAnsi="Times New Roman" w:cs="Times New Roman"/>
                <w:color w:val="auto"/>
                <w:sz w:val="24"/>
                <w:highlight w:val="none"/>
              </w:rPr>
              <w:t>过大时可以调整皮带的张紧度、改善物料在皮带上的分布，此外还可以在皮带输送机的关键部位安装减振垫或弹簧等</w:t>
            </w:r>
            <w:r>
              <w:rPr>
                <w:rFonts w:hint="default" w:ascii="Times New Roman" w:hAnsi="Times New Roman" w:cs="Times New Roman"/>
                <w:color w:val="auto"/>
                <w:sz w:val="24"/>
                <w:highlight w:val="none"/>
                <w:lang w:eastAsia="zh-CN"/>
              </w:rPr>
              <w:t>减振</w:t>
            </w:r>
            <w:r>
              <w:rPr>
                <w:rFonts w:hint="default" w:ascii="Times New Roman" w:hAnsi="Times New Roman" w:cs="Times New Roman"/>
                <w:color w:val="auto"/>
                <w:sz w:val="24"/>
                <w:highlight w:val="none"/>
              </w:rPr>
              <w:t>装置，吸收振动以减少冲击产生的</w:t>
            </w:r>
            <w:r>
              <w:rPr>
                <w:rFonts w:hint="default" w:ascii="Times New Roman" w:hAnsi="Times New Roman" w:cs="Times New Roman"/>
                <w:color w:val="auto"/>
                <w:sz w:val="24"/>
                <w:highlight w:val="none"/>
                <w:lang w:eastAsia="zh-CN"/>
              </w:rPr>
              <w:t>噪声</w:t>
            </w:r>
            <w:r>
              <w:rPr>
                <w:rFonts w:hint="default" w:ascii="Times New Roman" w:hAnsi="Times New Roman" w:cs="Times New Roman"/>
                <w:color w:val="auto"/>
                <w:sz w:val="24"/>
                <w:highlight w:val="none"/>
              </w:rPr>
              <w:t>。</w:t>
            </w:r>
          </w:p>
          <w:p w14:paraId="0B0D3FC2">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运输车辆在行驶过程中会对周边环境造成一定的影响，运输车辆应实行减速、禁鸣制度，减小噪声源，同时控制施工运输车辆的行驶时间和路线，运输路线尽量远离居民区，避免夜间运输，可最大程度减小运输造成的噪声影响，对周边环境及敏感点影响较小。</w:t>
            </w:r>
          </w:p>
          <w:p w14:paraId="27EC4BBB">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严格落实环保措施后，本项目厂界噪声满足《工业企业厂界环境噪声排放标准》（GB12348-2008）2类标准要求。</w:t>
            </w:r>
          </w:p>
          <w:p w14:paraId="5622771D">
            <w:pPr>
              <w:pStyle w:val="95"/>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本项目产生的噪声经隔声及距离衰减后可达标排放，对周围声环境影响较小。</w:t>
            </w:r>
          </w:p>
          <w:p w14:paraId="6F7943AD">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3、噪声自行监测</w:t>
            </w:r>
          </w:p>
          <w:p w14:paraId="016D202D">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根据《排污单位自行监测技术指南 总则》（HJ819-2017）、《排污单位自行监测技术指南 火力发电及锅炉》（HJ820-2017）</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《排污许可证申请与核发技术规范 石墨及其他非金属矿物制品制造》（HJ119-2020）</w:t>
            </w:r>
            <w:r>
              <w:rPr>
                <w:rFonts w:hint="default" w:ascii="Times New Roman" w:hAnsi="Times New Roman" w:cs="Times New Roman"/>
                <w:color w:val="auto"/>
                <w:sz w:val="24"/>
                <w:highlight w:val="none"/>
                <w:lang w:val="en-US" w:eastAsia="zh-CN"/>
              </w:rPr>
              <w:t>以及《排污许可证申请与核发技术规范 工业噪声》(HJ1301-2023)</w:t>
            </w:r>
            <w:r>
              <w:rPr>
                <w:rFonts w:hint="default" w:ascii="Times New Roman" w:hAnsi="Times New Roman" w:cs="Times New Roman"/>
                <w:color w:val="auto"/>
                <w:sz w:val="24"/>
                <w:highlight w:val="none"/>
              </w:rPr>
              <w:t>要求，确定本项目噪声污染源监测计划，监测计划见下表。</w:t>
            </w:r>
          </w:p>
          <w:p w14:paraId="65D648B0">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表4-</w:t>
            </w:r>
            <w:r>
              <w:rPr>
                <w:rFonts w:hint="default" w:ascii="Times New Roman" w:hAnsi="Times New Roman" w:eastAsia="黑体" w:cs="Times New Roman"/>
                <w:bCs/>
                <w:color w:val="auto"/>
                <w:kern w:val="0"/>
                <w:sz w:val="24"/>
                <w:highlight w:val="none"/>
                <w:lang w:val="en-US" w:eastAsia="zh-CN"/>
              </w:rPr>
              <w:t>5</w:t>
            </w:r>
            <w:r>
              <w:rPr>
                <w:rFonts w:hint="default" w:ascii="Times New Roman" w:hAnsi="Times New Roman" w:eastAsia="黑体" w:cs="Times New Roman"/>
                <w:bCs/>
                <w:color w:val="auto"/>
                <w:kern w:val="0"/>
                <w:sz w:val="24"/>
                <w:highlight w:val="none"/>
              </w:rPr>
              <w:t xml:space="preserve"> 污染源自行监测计划一览表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9"/>
              <w:gridCol w:w="2744"/>
              <w:gridCol w:w="2813"/>
              <w:gridCol w:w="1231"/>
            </w:tblGrid>
            <w:tr w14:paraId="083AC6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67" w:type="pct"/>
                  <w:vAlign w:val="center"/>
                </w:tcPr>
                <w:p w14:paraId="1B0A1A8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类别</w:t>
                  </w:r>
                </w:p>
              </w:tc>
              <w:tc>
                <w:tcPr>
                  <w:tcW w:w="1791" w:type="pct"/>
                  <w:vAlign w:val="center"/>
                </w:tcPr>
                <w:p w14:paraId="1878F55F">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监测项目</w:t>
                  </w:r>
                </w:p>
              </w:tc>
              <w:tc>
                <w:tcPr>
                  <w:tcW w:w="1836" w:type="pct"/>
                  <w:vAlign w:val="center"/>
                </w:tcPr>
                <w:p w14:paraId="218E0B40">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监测点位</w:t>
                  </w:r>
                </w:p>
              </w:tc>
              <w:tc>
                <w:tcPr>
                  <w:tcW w:w="804" w:type="pct"/>
                  <w:vAlign w:val="center"/>
                </w:tcPr>
                <w:p w14:paraId="4F8466E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监测频率</w:t>
                  </w:r>
                </w:p>
              </w:tc>
            </w:tr>
            <w:tr w14:paraId="4FB89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67" w:type="pct"/>
                  <w:vAlign w:val="center"/>
                </w:tcPr>
                <w:p w14:paraId="0DA4625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1791" w:type="pct"/>
                  <w:vAlign w:val="center"/>
                </w:tcPr>
                <w:p w14:paraId="2810D76C">
                  <w:pPr>
                    <w:pStyle w:val="112"/>
                    <w:spacing w:line="280" w:lineRule="exact"/>
                    <w:rPr>
                      <w:rFonts w:hint="default" w:ascii="Times New Roman" w:hAnsi="Times New Roman" w:cs="Times New Roman"/>
                      <w:color w:val="auto"/>
                      <w:szCs w:val="21"/>
                      <w:highlight w:val="none"/>
                    </w:rPr>
                  </w:pPr>
                  <w:r>
                    <w:rPr>
                      <w:rFonts w:hint="default" w:ascii="Times New Roman" w:hAnsi="Times New Roman" w:eastAsia="宋体" w:cs="Times New Roman"/>
                      <w:b w:val="0"/>
                      <w:color w:val="auto"/>
                      <w:kern w:val="2"/>
                      <w:sz w:val="21"/>
                      <w:szCs w:val="21"/>
                      <w:highlight w:val="none"/>
                      <w:lang w:val="en-US" w:eastAsia="zh-CN" w:bidi="ar-SA"/>
                    </w:rPr>
                    <w:t>昼、夜间噪声等效A声级</w:t>
                  </w:r>
                </w:p>
              </w:tc>
              <w:tc>
                <w:tcPr>
                  <w:tcW w:w="1836" w:type="pct"/>
                  <w:vAlign w:val="center"/>
                </w:tcPr>
                <w:p w14:paraId="0D9B7950">
                  <w:pPr>
                    <w:pStyle w:val="112"/>
                    <w:spacing w:line="280" w:lineRule="exact"/>
                    <w:rPr>
                      <w:rFonts w:hint="default" w:ascii="Times New Roman" w:hAnsi="Times New Roman" w:cs="Times New Roman"/>
                      <w:color w:val="auto"/>
                      <w:szCs w:val="21"/>
                      <w:highlight w:val="none"/>
                    </w:rPr>
                  </w:pPr>
                  <w:r>
                    <w:rPr>
                      <w:rFonts w:hint="default" w:ascii="Times New Roman" w:hAnsi="Times New Roman" w:eastAsia="宋体" w:cs="Times New Roman"/>
                      <w:b w:val="0"/>
                      <w:color w:val="auto"/>
                      <w:kern w:val="2"/>
                      <w:sz w:val="21"/>
                      <w:szCs w:val="21"/>
                      <w:highlight w:val="none"/>
                      <w:lang w:val="en-US" w:eastAsia="zh-CN" w:bidi="ar-SA"/>
                    </w:rPr>
                    <w:t>厂界外1m东南西北</w:t>
                  </w:r>
                </w:p>
              </w:tc>
              <w:tc>
                <w:tcPr>
                  <w:tcW w:w="804" w:type="pct"/>
                  <w:vAlign w:val="center"/>
                </w:tcPr>
                <w:p w14:paraId="7AEA5047">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1次/季度</w:t>
                  </w:r>
                </w:p>
              </w:tc>
            </w:tr>
          </w:tbl>
          <w:p w14:paraId="58AFE6F0">
            <w:pPr>
              <w:pStyle w:val="68"/>
              <w:spacing w:line="500" w:lineRule="exact"/>
              <w:ind w:firstLine="482"/>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四、固体废物环境影响和保护措施</w:t>
            </w:r>
          </w:p>
          <w:p w14:paraId="1C79B8D9">
            <w:pPr>
              <w:pStyle w:val="68"/>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项目投入营运后项目固体废物产生及处置情况见下表。</w:t>
            </w:r>
          </w:p>
          <w:p w14:paraId="7BC80FD4">
            <w:pPr>
              <w:pStyle w:val="106"/>
              <w:adjustRightInd w:val="0"/>
              <w:spacing w:before="0" w:after="0" w:line="240" w:lineRule="auto"/>
              <w:rPr>
                <w:rFonts w:hint="default" w:ascii="Times New Roman" w:hAnsi="Times New Roman" w:eastAsia="黑体" w:cs="Times New Roman"/>
                <w:b w:val="0"/>
                <w:bCs/>
                <w:color w:val="auto"/>
                <w:spacing w:val="0"/>
                <w:kern w:val="0"/>
                <w:sz w:val="24"/>
                <w:szCs w:val="24"/>
                <w:highlight w:val="none"/>
                <w:lang w:val="en-US" w:eastAsia="zh-CN" w:bidi="ar-SA"/>
              </w:rPr>
            </w:pPr>
          </w:p>
          <w:p w14:paraId="0AD17578">
            <w:pPr>
              <w:pStyle w:val="106"/>
              <w:adjustRightInd w:val="0"/>
              <w:spacing w:before="0" w:after="0" w:line="240" w:lineRule="auto"/>
              <w:rPr>
                <w:rFonts w:hint="default" w:ascii="Times New Roman" w:hAnsi="Times New Roman" w:eastAsia="黑体" w:cs="Times New Roman"/>
                <w:b w:val="0"/>
                <w:bCs/>
                <w:color w:val="auto"/>
                <w:spacing w:val="0"/>
                <w:kern w:val="0"/>
                <w:sz w:val="24"/>
                <w:szCs w:val="24"/>
                <w:highlight w:val="none"/>
                <w:lang w:val="en-US" w:eastAsia="zh-CN" w:bidi="ar-SA"/>
              </w:rPr>
            </w:pPr>
            <w:r>
              <w:rPr>
                <w:rFonts w:hint="default" w:ascii="Times New Roman" w:hAnsi="Times New Roman" w:eastAsia="黑体" w:cs="Times New Roman"/>
                <w:b w:val="0"/>
                <w:bCs/>
                <w:color w:val="auto"/>
                <w:spacing w:val="0"/>
                <w:kern w:val="0"/>
                <w:sz w:val="24"/>
                <w:szCs w:val="24"/>
                <w:highlight w:val="none"/>
                <w:lang w:val="en-US" w:eastAsia="zh-CN" w:bidi="ar-SA"/>
              </w:rPr>
              <w:t>表4-</w:t>
            </w:r>
            <w:r>
              <w:rPr>
                <w:rFonts w:hint="default" w:ascii="Times New Roman" w:hAnsi="Times New Roman" w:cs="Times New Roman"/>
                <w:b w:val="0"/>
                <w:bCs/>
                <w:color w:val="auto"/>
                <w:spacing w:val="0"/>
                <w:kern w:val="0"/>
                <w:sz w:val="24"/>
                <w:szCs w:val="24"/>
                <w:highlight w:val="none"/>
                <w:lang w:val="en-US" w:eastAsia="zh-CN" w:bidi="ar-SA"/>
              </w:rPr>
              <w:t>6</w:t>
            </w:r>
            <w:r>
              <w:rPr>
                <w:rFonts w:hint="default" w:ascii="Times New Roman" w:hAnsi="Times New Roman" w:eastAsia="黑体" w:cs="Times New Roman"/>
                <w:b w:val="0"/>
                <w:bCs/>
                <w:color w:val="auto"/>
                <w:spacing w:val="0"/>
                <w:kern w:val="0"/>
                <w:sz w:val="24"/>
                <w:szCs w:val="24"/>
                <w:highlight w:val="none"/>
                <w:lang w:val="en-US" w:eastAsia="zh-CN" w:bidi="ar-SA"/>
              </w:rPr>
              <w:t xml:space="preserve"> 危险废物汇总</w:t>
            </w:r>
          </w:p>
          <w:tbl>
            <w:tblPr>
              <w:tblStyle w:val="30"/>
              <w:tblW w:w="766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4"/>
              <w:gridCol w:w="638"/>
              <w:gridCol w:w="785"/>
              <w:gridCol w:w="758"/>
              <w:gridCol w:w="742"/>
              <w:gridCol w:w="838"/>
              <w:gridCol w:w="497"/>
              <w:gridCol w:w="726"/>
              <w:gridCol w:w="714"/>
              <w:gridCol w:w="660"/>
              <w:gridCol w:w="1050"/>
            </w:tblGrid>
            <w:tr w14:paraId="49C1E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10" w:hRule="atLeast"/>
                <w:jc w:val="center"/>
              </w:trPr>
              <w:tc>
                <w:tcPr>
                  <w:tcW w:w="165" w:type="pct"/>
                  <w:noWrap w:val="0"/>
                  <w:vAlign w:val="center"/>
                </w:tcPr>
                <w:p w14:paraId="3A87DDF1">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序号</w:t>
                  </w:r>
                </w:p>
              </w:tc>
              <w:tc>
                <w:tcPr>
                  <w:tcW w:w="416" w:type="pct"/>
                  <w:noWrap w:val="0"/>
                  <w:vAlign w:val="center"/>
                </w:tcPr>
                <w:p w14:paraId="27C1ED39">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危险废物名称</w:t>
                  </w:r>
                </w:p>
              </w:tc>
              <w:tc>
                <w:tcPr>
                  <w:tcW w:w="512" w:type="pct"/>
                  <w:noWrap w:val="0"/>
                  <w:vAlign w:val="center"/>
                </w:tcPr>
                <w:p w14:paraId="0CF259F1">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危险废物类别</w:t>
                  </w:r>
                </w:p>
              </w:tc>
              <w:tc>
                <w:tcPr>
                  <w:tcW w:w="494" w:type="pct"/>
                  <w:noWrap w:val="0"/>
                  <w:vAlign w:val="center"/>
                </w:tcPr>
                <w:p w14:paraId="473CAFC8">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危险废物代码</w:t>
                  </w:r>
                </w:p>
              </w:tc>
              <w:tc>
                <w:tcPr>
                  <w:tcW w:w="484" w:type="pct"/>
                  <w:noWrap w:val="0"/>
                  <w:vAlign w:val="center"/>
                </w:tcPr>
                <w:p w14:paraId="667751C4">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产生量(t/a)</w:t>
                  </w:r>
                </w:p>
              </w:tc>
              <w:tc>
                <w:tcPr>
                  <w:tcW w:w="546" w:type="pct"/>
                  <w:noWrap w:val="0"/>
                  <w:vAlign w:val="center"/>
                </w:tcPr>
                <w:p w14:paraId="3035AE58">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产生工序</w:t>
                  </w:r>
                </w:p>
              </w:tc>
              <w:tc>
                <w:tcPr>
                  <w:tcW w:w="324" w:type="pct"/>
                  <w:noWrap w:val="0"/>
                  <w:vAlign w:val="center"/>
                </w:tcPr>
                <w:p w14:paraId="1B0C841A">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形态</w:t>
                  </w:r>
                </w:p>
              </w:tc>
              <w:tc>
                <w:tcPr>
                  <w:tcW w:w="473" w:type="pct"/>
                  <w:noWrap w:val="0"/>
                  <w:vAlign w:val="center"/>
                </w:tcPr>
                <w:p w14:paraId="5E705100">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有害成分</w:t>
                  </w:r>
                </w:p>
              </w:tc>
              <w:tc>
                <w:tcPr>
                  <w:tcW w:w="465" w:type="pct"/>
                  <w:noWrap w:val="0"/>
                  <w:vAlign w:val="center"/>
                </w:tcPr>
                <w:p w14:paraId="7AEA7148">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产废周期</w:t>
                  </w:r>
                </w:p>
              </w:tc>
              <w:tc>
                <w:tcPr>
                  <w:tcW w:w="430" w:type="pct"/>
                  <w:noWrap w:val="0"/>
                  <w:vAlign w:val="center"/>
                </w:tcPr>
                <w:p w14:paraId="41C3E577">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危险</w:t>
                  </w:r>
                </w:p>
                <w:p w14:paraId="47F53228">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特性</w:t>
                  </w:r>
                </w:p>
              </w:tc>
              <w:tc>
                <w:tcPr>
                  <w:tcW w:w="685" w:type="pct"/>
                  <w:noWrap w:val="0"/>
                  <w:vAlign w:val="center"/>
                </w:tcPr>
                <w:p w14:paraId="13B08891">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污染防治</w:t>
                  </w:r>
                </w:p>
                <w:p w14:paraId="2E16C219">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措施</w:t>
                  </w:r>
                </w:p>
              </w:tc>
            </w:tr>
            <w:tr w14:paraId="4FF80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5" w:type="pct"/>
                  <w:noWrap w:val="0"/>
                  <w:vAlign w:val="center"/>
                </w:tcPr>
                <w:p w14:paraId="1F473C1A">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416" w:type="pct"/>
                  <w:noWrap w:val="0"/>
                  <w:vAlign w:val="center"/>
                </w:tcPr>
                <w:p w14:paraId="089A113E">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snapToGrid w:val="0"/>
                      <w:color w:val="auto"/>
                      <w:sz w:val="18"/>
                      <w:szCs w:val="18"/>
                      <w:highlight w:val="none"/>
                    </w:rPr>
                    <w:t>废活性炭</w:t>
                  </w:r>
                </w:p>
              </w:tc>
              <w:tc>
                <w:tcPr>
                  <w:tcW w:w="512" w:type="pct"/>
                  <w:noWrap w:val="0"/>
                  <w:vAlign w:val="center"/>
                </w:tcPr>
                <w:p w14:paraId="79CB595C">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HW49其他废物</w:t>
                  </w:r>
                </w:p>
              </w:tc>
              <w:tc>
                <w:tcPr>
                  <w:tcW w:w="494" w:type="pct"/>
                  <w:noWrap w:val="0"/>
                  <w:vAlign w:val="center"/>
                </w:tcPr>
                <w:p w14:paraId="77230CEE">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900-041-49</w:t>
                  </w:r>
                </w:p>
              </w:tc>
              <w:tc>
                <w:tcPr>
                  <w:tcW w:w="484" w:type="pct"/>
                  <w:noWrap w:val="0"/>
                  <w:vAlign w:val="center"/>
                </w:tcPr>
                <w:p w14:paraId="0B8ED692">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9.5115</w:t>
                  </w:r>
                </w:p>
              </w:tc>
              <w:tc>
                <w:tcPr>
                  <w:tcW w:w="546" w:type="pct"/>
                  <w:noWrap w:val="0"/>
                  <w:vAlign w:val="center"/>
                </w:tcPr>
                <w:p w14:paraId="37F7A6CB">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活性炭吸附装置</w:t>
                  </w:r>
                </w:p>
              </w:tc>
              <w:tc>
                <w:tcPr>
                  <w:tcW w:w="324" w:type="pct"/>
                  <w:noWrap w:val="0"/>
                  <w:vAlign w:val="center"/>
                </w:tcPr>
                <w:p w14:paraId="2ED90CBA">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固态</w:t>
                  </w:r>
                </w:p>
              </w:tc>
              <w:tc>
                <w:tcPr>
                  <w:tcW w:w="473" w:type="pct"/>
                  <w:noWrap w:val="0"/>
                  <w:vAlign w:val="center"/>
                </w:tcPr>
                <w:p w14:paraId="2FE6E2C0">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废活性炭</w:t>
                  </w:r>
                </w:p>
              </w:tc>
              <w:tc>
                <w:tcPr>
                  <w:tcW w:w="465" w:type="pct"/>
                  <w:noWrap w:val="0"/>
                  <w:vAlign w:val="center"/>
                </w:tcPr>
                <w:p w14:paraId="04F855B6">
                  <w:pPr>
                    <w:adjustRightInd w:val="0"/>
                    <w:snapToGrid w:val="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月</w:t>
                  </w:r>
                </w:p>
              </w:tc>
              <w:tc>
                <w:tcPr>
                  <w:tcW w:w="430" w:type="pct"/>
                  <w:noWrap w:val="0"/>
                  <w:vAlign w:val="center"/>
                </w:tcPr>
                <w:p w14:paraId="11C49356">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T/In</w:t>
                  </w:r>
                </w:p>
              </w:tc>
              <w:tc>
                <w:tcPr>
                  <w:tcW w:w="685" w:type="pct"/>
                  <w:vMerge w:val="restart"/>
                  <w:noWrap w:val="0"/>
                  <w:vAlign w:val="center"/>
                </w:tcPr>
                <w:p w14:paraId="710B1AFA">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分类、分区包装并按照《危险废物贮存污染控制标准》（GB18597-2023）的要求进行管理</w:t>
                  </w:r>
                </w:p>
              </w:tc>
            </w:tr>
            <w:tr w14:paraId="19C79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5" w:type="pct"/>
                  <w:noWrap w:val="0"/>
                  <w:vAlign w:val="center"/>
                </w:tcPr>
                <w:p w14:paraId="31CBDD27">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416" w:type="pct"/>
                  <w:noWrap w:val="0"/>
                  <w:vAlign w:val="center"/>
                </w:tcPr>
                <w:p w14:paraId="40CA76AE">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snapToGrid w:val="0"/>
                      <w:color w:val="auto"/>
                      <w:sz w:val="18"/>
                      <w:szCs w:val="18"/>
                      <w:highlight w:val="none"/>
                    </w:rPr>
                    <w:t>废导热油</w:t>
                  </w:r>
                </w:p>
              </w:tc>
              <w:tc>
                <w:tcPr>
                  <w:tcW w:w="512" w:type="pct"/>
                  <w:noWrap w:val="0"/>
                  <w:vAlign w:val="center"/>
                </w:tcPr>
                <w:p w14:paraId="2A164AA9">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HW08</w:t>
                  </w:r>
                </w:p>
                <w:p w14:paraId="662BDA70">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废矿物油与含矿物油废物</w:t>
                  </w:r>
                </w:p>
              </w:tc>
              <w:tc>
                <w:tcPr>
                  <w:tcW w:w="494" w:type="pct"/>
                  <w:noWrap w:val="0"/>
                  <w:vAlign w:val="center"/>
                </w:tcPr>
                <w:p w14:paraId="73D27A05">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900-249-08</w:t>
                  </w:r>
                </w:p>
              </w:tc>
              <w:tc>
                <w:tcPr>
                  <w:tcW w:w="484" w:type="pct"/>
                  <w:noWrap w:val="0"/>
                  <w:vAlign w:val="center"/>
                </w:tcPr>
                <w:p w14:paraId="1D15623C">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w:t>
                  </w:r>
                  <w:r>
                    <w:rPr>
                      <w:rFonts w:hint="default" w:ascii="Times New Roman" w:hAnsi="Times New Roman" w:cs="Times New Roman"/>
                      <w:color w:val="auto"/>
                      <w:kern w:val="2"/>
                      <w:sz w:val="18"/>
                      <w:szCs w:val="18"/>
                      <w:highlight w:val="none"/>
                      <w:lang w:val="en-US" w:eastAsia="zh-CN" w:bidi="ar-SA"/>
                    </w:rPr>
                    <w:t>3</w:t>
                  </w:r>
                </w:p>
              </w:tc>
              <w:tc>
                <w:tcPr>
                  <w:tcW w:w="546" w:type="pct"/>
                  <w:noWrap w:val="0"/>
                  <w:vAlign w:val="center"/>
                </w:tcPr>
                <w:p w14:paraId="4279C103">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导热油炉</w:t>
                  </w:r>
                </w:p>
              </w:tc>
              <w:tc>
                <w:tcPr>
                  <w:tcW w:w="324" w:type="pct"/>
                  <w:noWrap w:val="0"/>
                  <w:vAlign w:val="center"/>
                </w:tcPr>
                <w:p w14:paraId="2EAA32B3">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液</w:t>
                  </w:r>
                  <w:r>
                    <w:rPr>
                      <w:rFonts w:hint="default" w:ascii="Times New Roman" w:hAnsi="Times New Roman" w:cs="Times New Roman"/>
                      <w:color w:val="auto"/>
                      <w:sz w:val="18"/>
                      <w:szCs w:val="18"/>
                      <w:highlight w:val="none"/>
                    </w:rPr>
                    <w:t>态</w:t>
                  </w:r>
                </w:p>
              </w:tc>
              <w:tc>
                <w:tcPr>
                  <w:tcW w:w="473" w:type="pct"/>
                  <w:noWrap w:val="0"/>
                  <w:vAlign w:val="center"/>
                </w:tcPr>
                <w:p w14:paraId="73306A6F">
                  <w:pPr>
                    <w:pStyle w:val="107"/>
                    <w:snapToGrid w:val="0"/>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废导热油</w:t>
                  </w:r>
                </w:p>
              </w:tc>
              <w:tc>
                <w:tcPr>
                  <w:tcW w:w="465" w:type="pct"/>
                  <w:noWrap w:val="0"/>
                  <w:vAlign w:val="center"/>
                </w:tcPr>
                <w:p w14:paraId="1D1DFD1B">
                  <w:pPr>
                    <w:adjustRightInd w:val="0"/>
                    <w:snapToGrid w:val="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w:t>
                  </w:r>
                </w:p>
              </w:tc>
              <w:tc>
                <w:tcPr>
                  <w:tcW w:w="430" w:type="pct"/>
                  <w:noWrap w:val="0"/>
                  <w:vAlign w:val="center"/>
                </w:tcPr>
                <w:p w14:paraId="432498F7">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T，I</w:t>
                  </w:r>
                </w:p>
              </w:tc>
              <w:tc>
                <w:tcPr>
                  <w:tcW w:w="685" w:type="pct"/>
                  <w:vMerge w:val="continue"/>
                  <w:noWrap w:val="0"/>
                  <w:vAlign w:val="center"/>
                </w:tcPr>
                <w:p w14:paraId="3425F87A">
                  <w:pPr>
                    <w:pStyle w:val="107"/>
                    <w:snapToGrid w:val="0"/>
                    <w:spacing w:line="240" w:lineRule="auto"/>
                    <w:rPr>
                      <w:rFonts w:hint="default" w:ascii="Times New Roman" w:hAnsi="Times New Roman" w:cs="Times New Roman"/>
                      <w:color w:val="auto"/>
                      <w:sz w:val="18"/>
                      <w:szCs w:val="18"/>
                      <w:highlight w:val="none"/>
                    </w:rPr>
                  </w:pPr>
                </w:p>
              </w:tc>
            </w:tr>
            <w:tr w14:paraId="48B074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5" w:type="pct"/>
                  <w:noWrap w:val="0"/>
                  <w:vAlign w:val="center"/>
                </w:tcPr>
                <w:p w14:paraId="389DAC59">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w:t>
                  </w:r>
                </w:p>
              </w:tc>
              <w:tc>
                <w:tcPr>
                  <w:tcW w:w="416" w:type="pct"/>
                  <w:noWrap w:val="0"/>
                  <w:vAlign w:val="center"/>
                </w:tcPr>
                <w:p w14:paraId="05C40519">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snapToGrid w:val="0"/>
                      <w:color w:val="auto"/>
                      <w:sz w:val="18"/>
                      <w:szCs w:val="18"/>
                      <w:highlight w:val="none"/>
                    </w:rPr>
                    <w:t>废焦油</w:t>
                  </w:r>
                </w:p>
              </w:tc>
              <w:tc>
                <w:tcPr>
                  <w:tcW w:w="512" w:type="pct"/>
                  <w:vMerge w:val="restart"/>
                  <w:noWrap w:val="0"/>
                  <w:vAlign w:val="center"/>
                </w:tcPr>
                <w:p w14:paraId="7C63C6AA">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HW08</w:t>
                  </w:r>
                </w:p>
                <w:p w14:paraId="3826DBEC">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废矿物油与含矿物油废物</w:t>
                  </w:r>
                </w:p>
              </w:tc>
              <w:tc>
                <w:tcPr>
                  <w:tcW w:w="494" w:type="pct"/>
                  <w:noWrap w:val="0"/>
                  <w:vAlign w:val="center"/>
                </w:tcPr>
                <w:p w14:paraId="4EB7C221">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900-249-08</w:t>
                  </w:r>
                </w:p>
              </w:tc>
              <w:tc>
                <w:tcPr>
                  <w:tcW w:w="484" w:type="pct"/>
                  <w:noWrap w:val="0"/>
                  <w:vAlign w:val="center"/>
                </w:tcPr>
                <w:p w14:paraId="24948F55">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w:t>
                  </w:r>
                  <w:r>
                    <w:rPr>
                      <w:rFonts w:hint="default" w:ascii="Times New Roman" w:hAnsi="Times New Roman" w:cs="Times New Roman"/>
                      <w:color w:val="auto"/>
                      <w:kern w:val="2"/>
                      <w:sz w:val="18"/>
                      <w:szCs w:val="18"/>
                      <w:highlight w:val="none"/>
                      <w:lang w:val="en-US" w:eastAsia="zh-CN" w:bidi="ar-SA"/>
                    </w:rPr>
                    <w:t>1</w:t>
                  </w:r>
                </w:p>
              </w:tc>
              <w:tc>
                <w:tcPr>
                  <w:tcW w:w="546" w:type="pct"/>
                  <w:noWrap w:val="0"/>
                  <w:vAlign w:val="center"/>
                </w:tcPr>
                <w:p w14:paraId="679A48F6">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电捕焦油器</w:t>
                  </w:r>
                </w:p>
              </w:tc>
              <w:tc>
                <w:tcPr>
                  <w:tcW w:w="324" w:type="pct"/>
                  <w:noWrap w:val="0"/>
                  <w:vAlign w:val="center"/>
                </w:tcPr>
                <w:p w14:paraId="33829DCA">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固态</w:t>
                  </w:r>
                </w:p>
              </w:tc>
              <w:tc>
                <w:tcPr>
                  <w:tcW w:w="473" w:type="pct"/>
                  <w:noWrap w:val="0"/>
                  <w:vAlign w:val="center"/>
                </w:tcPr>
                <w:p w14:paraId="6854793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snapToGrid w:val="0"/>
                      <w:color w:val="auto"/>
                      <w:sz w:val="18"/>
                      <w:szCs w:val="18"/>
                      <w:highlight w:val="none"/>
                    </w:rPr>
                    <w:t>废焦油</w:t>
                  </w:r>
                </w:p>
              </w:tc>
              <w:tc>
                <w:tcPr>
                  <w:tcW w:w="465" w:type="pct"/>
                  <w:noWrap w:val="0"/>
                  <w:vAlign w:val="center"/>
                </w:tcPr>
                <w:p w14:paraId="528502C8">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w:t>
                  </w:r>
                </w:p>
              </w:tc>
              <w:tc>
                <w:tcPr>
                  <w:tcW w:w="430" w:type="pct"/>
                  <w:noWrap w:val="0"/>
                  <w:vAlign w:val="center"/>
                </w:tcPr>
                <w:p w14:paraId="6FB53711">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T，I</w:t>
                  </w:r>
                </w:p>
              </w:tc>
              <w:tc>
                <w:tcPr>
                  <w:tcW w:w="685" w:type="pct"/>
                  <w:vMerge w:val="continue"/>
                  <w:noWrap w:val="0"/>
                  <w:vAlign w:val="center"/>
                </w:tcPr>
                <w:p w14:paraId="42AC1ADA">
                  <w:pPr>
                    <w:pStyle w:val="107"/>
                    <w:snapToGrid w:val="0"/>
                    <w:spacing w:line="240" w:lineRule="auto"/>
                    <w:rPr>
                      <w:rFonts w:hint="default" w:ascii="Times New Roman" w:hAnsi="Times New Roman" w:cs="Times New Roman"/>
                      <w:color w:val="auto"/>
                      <w:sz w:val="18"/>
                      <w:szCs w:val="18"/>
                      <w:highlight w:val="none"/>
                    </w:rPr>
                  </w:pPr>
                </w:p>
              </w:tc>
            </w:tr>
            <w:tr w14:paraId="247893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5" w:type="pct"/>
                  <w:noWrap w:val="0"/>
                  <w:vAlign w:val="center"/>
                </w:tcPr>
                <w:p w14:paraId="4F4DA05E">
                  <w:pPr>
                    <w:pStyle w:val="107"/>
                    <w:snapToGrid w:val="0"/>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4</w:t>
                  </w:r>
                </w:p>
              </w:tc>
              <w:tc>
                <w:tcPr>
                  <w:tcW w:w="416" w:type="pct"/>
                  <w:noWrap w:val="0"/>
                  <w:vAlign w:val="center"/>
                </w:tcPr>
                <w:p w14:paraId="4BE9BA63">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snapToGrid w:val="0"/>
                      <w:color w:val="auto"/>
                      <w:sz w:val="18"/>
                      <w:szCs w:val="18"/>
                      <w:highlight w:val="none"/>
                    </w:rPr>
                    <w:t>废机油</w:t>
                  </w:r>
                </w:p>
              </w:tc>
              <w:tc>
                <w:tcPr>
                  <w:tcW w:w="512" w:type="pct"/>
                  <w:vMerge w:val="continue"/>
                  <w:noWrap w:val="0"/>
                  <w:vAlign w:val="center"/>
                </w:tcPr>
                <w:p w14:paraId="7CAAAFF0">
                  <w:pPr>
                    <w:pStyle w:val="107"/>
                    <w:snapToGrid w:val="0"/>
                    <w:spacing w:line="240" w:lineRule="auto"/>
                    <w:rPr>
                      <w:rFonts w:hint="default" w:ascii="Times New Roman" w:hAnsi="Times New Roman" w:cs="Times New Roman"/>
                      <w:color w:val="auto"/>
                      <w:sz w:val="18"/>
                      <w:szCs w:val="18"/>
                      <w:highlight w:val="none"/>
                    </w:rPr>
                  </w:pPr>
                </w:p>
              </w:tc>
              <w:tc>
                <w:tcPr>
                  <w:tcW w:w="494" w:type="pct"/>
                  <w:noWrap w:val="0"/>
                  <w:vAlign w:val="center"/>
                </w:tcPr>
                <w:p w14:paraId="026B921A">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900-</w:t>
                  </w:r>
                </w:p>
                <w:p w14:paraId="6E677208">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209-08</w:t>
                  </w:r>
                </w:p>
              </w:tc>
              <w:tc>
                <w:tcPr>
                  <w:tcW w:w="484" w:type="pct"/>
                  <w:noWrap w:val="0"/>
                  <w:vAlign w:val="center"/>
                </w:tcPr>
                <w:p w14:paraId="417D8D28">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0.05</w:t>
                  </w:r>
                </w:p>
              </w:tc>
              <w:tc>
                <w:tcPr>
                  <w:tcW w:w="546" w:type="pct"/>
                  <w:noWrap w:val="0"/>
                  <w:vAlign w:val="center"/>
                </w:tcPr>
                <w:p w14:paraId="1AE31565">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机械设备维修</w:t>
                  </w:r>
                </w:p>
              </w:tc>
              <w:tc>
                <w:tcPr>
                  <w:tcW w:w="324" w:type="pct"/>
                  <w:noWrap w:val="0"/>
                  <w:vAlign w:val="center"/>
                </w:tcPr>
                <w:p w14:paraId="25C9A684">
                  <w:pPr>
                    <w:pStyle w:val="107"/>
                    <w:snapToGrid w:val="0"/>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液态</w:t>
                  </w:r>
                </w:p>
              </w:tc>
              <w:tc>
                <w:tcPr>
                  <w:tcW w:w="473" w:type="pct"/>
                  <w:noWrap w:val="0"/>
                  <w:vAlign w:val="center"/>
                </w:tcPr>
                <w:p w14:paraId="0936E3BC">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snapToGrid w:val="0"/>
                      <w:color w:val="auto"/>
                      <w:sz w:val="18"/>
                      <w:szCs w:val="18"/>
                      <w:highlight w:val="none"/>
                    </w:rPr>
                    <w:t>废机油</w:t>
                  </w:r>
                </w:p>
              </w:tc>
              <w:tc>
                <w:tcPr>
                  <w:tcW w:w="465" w:type="pct"/>
                  <w:noWrap w:val="0"/>
                  <w:vAlign w:val="center"/>
                </w:tcPr>
                <w:p w14:paraId="766B6BE3">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半</w:t>
                  </w:r>
                  <w:r>
                    <w:rPr>
                      <w:rFonts w:hint="default" w:ascii="Times New Roman" w:hAnsi="Times New Roman" w:cs="Times New Roman"/>
                      <w:color w:val="auto"/>
                      <w:sz w:val="18"/>
                      <w:szCs w:val="18"/>
                      <w:highlight w:val="none"/>
                    </w:rPr>
                    <w:t>年</w:t>
                  </w:r>
                </w:p>
              </w:tc>
              <w:tc>
                <w:tcPr>
                  <w:tcW w:w="430" w:type="pct"/>
                  <w:noWrap w:val="0"/>
                  <w:vAlign w:val="center"/>
                </w:tcPr>
                <w:p w14:paraId="60E46934">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T，I</w:t>
                  </w:r>
                </w:p>
              </w:tc>
              <w:tc>
                <w:tcPr>
                  <w:tcW w:w="685" w:type="pct"/>
                  <w:vMerge w:val="continue"/>
                  <w:noWrap w:val="0"/>
                  <w:vAlign w:val="center"/>
                </w:tcPr>
                <w:p w14:paraId="573FD034">
                  <w:pPr>
                    <w:pStyle w:val="107"/>
                    <w:snapToGrid w:val="0"/>
                    <w:spacing w:line="240" w:lineRule="auto"/>
                    <w:rPr>
                      <w:rFonts w:hint="default" w:ascii="Times New Roman" w:hAnsi="Times New Roman" w:cs="Times New Roman"/>
                      <w:color w:val="auto"/>
                      <w:sz w:val="18"/>
                      <w:szCs w:val="18"/>
                      <w:highlight w:val="none"/>
                    </w:rPr>
                  </w:pPr>
                </w:p>
              </w:tc>
            </w:tr>
            <w:tr w14:paraId="5892FB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65" w:type="pct"/>
                  <w:vMerge w:val="restart"/>
                  <w:noWrap w:val="0"/>
                  <w:vAlign w:val="center"/>
                </w:tcPr>
                <w:p w14:paraId="3F4F0922">
                  <w:pPr>
                    <w:pStyle w:val="107"/>
                    <w:snapToGrid w:val="0"/>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w:t>
                  </w:r>
                </w:p>
              </w:tc>
              <w:tc>
                <w:tcPr>
                  <w:tcW w:w="416" w:type="pct"/>
                  <w:vMerge w:val="restart"/>
                  <w:noWrap w:val="0"/>
                  <w:vAlign w:val="center"/>
                </w:tcPr>
                <w:p w14:paraId="1684CA1D">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snapToGrid w:val="0"/>
                      <w:color w:val="auto"/>
                      <w:sz w:val="18"/>
                      <w:szCs w:val="18"/>
                      <w:highlight w:val="none"/>
                      <w:lang w:val="en-US" w:eastAsia="zh-CN"/>
                    </w:rPr>
                    <w:t>油泥</w:t>
                  </w:r>
                </w:p>
              </w:tc>
              <w:tc>
                <w:tcPr>
                  <w:tcW w:w="512" w:type="pct"/>
                  <w:vMerge w:val="continue"/>
                  <w:noWrap w:val="0"/>
                  <w:vAlign w:val="center"/>
                </w:tcPr>
                <w:p w14:paraId="6A0BEFDE">
                  <w:pPr>
                    <w:pStyle w:val="107"/>
                    <w:snapToGrid w:val="0"/>
                    <w:spacing w:line="240" w:lineRule="auto"/>
                    <w:rPr>
                      <w:rFonts w:hint="default" w:ascii="Times New Roman" w:hAnsi="Times New Roman" w:cs="Times New Roman"/>
                      <w:color w:val="auto"/>
                      <w:sz w:val="18"/>
                      <w:szCs w:val="18"/>
                      <w:highlight w:val="none"/>
                    </w:rPr>
                  </w:pPr>
                </w:p>
              </w:tc>
              <w:tc>
                <w:tcPr>
                  <w:tcW w:w="494" w:type="pct"/>
                  <w:vMerge w:val="restart"/>
                  <w:noWrap w:val="0"/>
                  <w:vAlign w:val="center"/>
                </w:tcPr>
                <w:p w14:paraId="6EA15C14">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900-221-08</w:t>
                  </w:r>
                </w:p>
              </w:tc>
              <w:tc>
                <w:tcPr>
                  <w:tcW w:w="484" w:type="pct"/>
                  <w:vMerge w:val="restart"/>
                  <w:noWrap w:val="0"/>
                  <w:vAlign w:val="center"/>
                </w:tcPr>
                <w:p w14:paraId="125563A2">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0.1t/5a</w:t>
                  </w:r>
                </w:p>
              </w:tc>
              <w:tc>
                <w:tcPr>
                  <w:tcW w:w="546" w:type="pct"/>
                  <w:noWrap w:val="0"/>
                  <w:vAlign w:val="center"/>
                </w:tcPr>
                <w:p w14:paraId="5EEA49B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柴油罐</w:t>
                  </w:r>
                </w:p>
              </w:tc>
              <w:tc>
                <w:tcPr>
                  <w:tcW w:w="324" w:type="pct"/>
                  <w:vMerge w:val="restart"/>
                  <w:noWrap w:val="0"/>
                  <w:vAlign w:val="center"/>
                </w:tcPr>
                <w:p w14:paraId="13810E96">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固</w:t>
                  </w:r>
                  <w:r>
                    <w:rPr>
                      <w:rFonts w:hint="default" w:ascii="Times New Roman" w:hAnsi="Times New Roman" w:cs="Times New Roman"/>
                      <w:color w:val="auto"/>
                      <w:sz w:val="18"/>
                      <w:szCs w:val="18"/>
                      <w:highlight w:val="none"/>
                    </w:rPr>
                    <w:t>体</w:t>
                  </w:r>
                </w:p>
              </w:tc>
              <w:tc>
                <w:tcPr>
                  <w:tcW w:w="473" w:type="pct"/>
                  <w:vMerge w:val="restart"/>
                  <w:noWrap w:val="0"/>
                  <w:vAlign w:val="center"/>
                </w:tcPr>
                <w:p w14:paraId="23AB2CE0">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snapToGrid w:val="0"/>
                      <w:color w:val="auto"/>
                      <w:sz w:val="18"/>
                      <w:szCs w:val="18"/>
                      <w:highlight w:val="none"/>
                      <w:lang w:val="en-US" w:eastAsia="zh-CN"/>
                    </w:rPr>
                    <w:t>油泥</w:t>
                  </w:r>
                </w:p>
              </w:tc>
              <w:tc>
                <w:tcPr>
                  <w:tcW w:w="465" w:type="pct"/>
                  <w:noWrap w:val="0"/>
                  <w:vAlign w:val="center"/>
                </w:tcPr>
                <w:p w14:paraId="6D07EA49">
                  <w:pPr>
                    <w:pStyle w:val="107"/>
                    <w:snapToGrid w:val="0"/>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5年</w:t>
                  </w:r>
                </w:p>
              </w:tc>
              <w:tc>
                <w:tcPr>
                  <w:tcW w:w="430" w:type="pct"/>
                  <w:vMerge w:val="restart"/>
                  <w:noWrap w:val="0"/>
                  <w:vAlign w:val="center"/>
                </w:tcPr>
                <w:p w14:paraId="47173E95">
                  <w:pPr>
                    <w:pStyle w:val="107"/>
                    <w:snapToGrid w:val="0"/>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T，I</w:t>
                  </w:r>
                </w:p>
              </w:tc>
              <w:tc>
                <w:tcPr>
                  <w:tcW w:w="685" w:type="pct"/>
                  <w:vMerge w:val="continue"/>
                  <w:noWrap w:val="0"/>
                  <w:vAlign w:val="center"/>
                </w:tcPr>
                <w:p w14:paraId="11F8E054">
                  <w:pPr>
                    <w:pStyle w:val="107"/>
                    <w:snapToGrid w:val="0"/>
                    <w:spacing w:line="240" w:lineRule="auto"/>
                    <w:rPr>
                      <w:rFonts w:hint="default" w:ascii="Times New Roman" w:hAnsi="Times New Roman" w:cs="Times New Roman"/>
                      <w:color w:val="auto"/>
                      <w:sz w:val="18"/>
                      <w:szCs w:val="18"/>
                      <w:highlight w:val="none"/>
                    </w:rPr>
                  </w:pPr>
                </w:p>
              </w:tc>
            </w:tr>
            <w:tr w14:paraId="434282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5" w:type="pct"/>
                  <w:vMerge w:val="continue"/>
                  <w:noWrap w:val="0"/>
                  <w:vAlign w:val="center"/>
                </w:tcPr>
                <w:p w14:paraId="35796FF2">
                  <w:pPr>
                    <w:pStyle w:val="107"/>
                    <w:snapToGrid w:val="0"/>
                    <w:spacing w:line="240" w:lineRule="auto"/>
                    <w:rPr>
                      <w:rFonts w:hint="default" w:ascii="Times New Roman" w:hAnsi="Times New Roman" w:cs="Times New Roman"/>
                      <w:color w:val="auto"/>
                      <w:sz w:val="18"/>
                      <w:szCs w:val="18"/>
                      <w:highlight w:val="none"/>
                      <w:lang w:val="en-US" w:eastAsia="zh-CN"/>
                    </w:rPr>
                  </w:pPr>
                </w:p>
              </w:tc>
              <w:tc>
                <w:tcPr>
                  <w:tcW w:w="416" w:type="pct"/>
                  <w:vMerge w:val="continue"/>
                  <w:noWrap w:val="0"/>
                  <w:vAlign w:val="center"/>
                </w:tcPr>
                <w:p w14:paraId="3B8DC5A1">
                  <w:pPr>
                    <w:adjustRightInd w:val="0"/>
                    <w:snapToGrid w:val="0"/>
                    <w:jc w:val="center"/>
                    <w:rPr>
                      <w:rFonts w:hint="default" w:ascii="Times New Roman" w:hAnsi="Times New Roman" w:cs="Times New Roman"/>
                      <w:snapToGrid w:val="0"/>
                      <w:color w:val="auto"/>
                      <w:sz w:val="18"/>
                      <w:szCs w:val="18"/>
                      <w:highlight w:val="none"/>
                      <w:lang w:val="en-US" w:eastAsia="zh-CN"/>
                    </w:rPr>
                  </w:pPr>
                </w:p>
              </w:tc>
              <w:tc>
                <w:tcPr>
                  <w:tcW w:w="512" w:type="pct"/>
                  <w:vMerge w:val="continue"/>
                  <w:noWrap w:val="0"/>
                  <w:vAlign w:val="center"/>
                </w:tcPr>
                <w:p w14:paraId="1D1B9EB6">
                  <w:pPr>
                    <w:pStyle w:val="107"/>
                    <w:snapToGrid w:val="0"/>
                    <w:spacing w:line="240" w:lineRule="auto"/>
                    <w:rPr>
                      <w:rFonts w:hint="default" w:ascii="Times New Roman" w:hAnsi="Times New Roman" w:cs="Times New Roman"/>
                      <w:color w:val="auto"/>
                      <w:sz w:val="18"/>
                      <w:szCs w:val="18"/>
                      <w:highlight w:val="none"/>
                    </w:rPr>
                  </w:pPr>
                </w:p>
              </w:tc>
              <w:tc>
                <w:tcPr>
                  <w:tcW w:w="494" w:type="pct"/>
                  <w:vMerge w:val="continue"/>
                  <w:noWrap w:val="0"/>
                  <w:vAlign w:val="center"/>
                </w:tcPr>
                <w:p w14:paraId="73D596EE">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p>
              </w:tc>
              <w:tc>
                <w:tcPr>
                  <w:tcW w:w="484" w:type="pct"/>
                  <w:vMerge w:val="continue"/>
                  <w:noWrap w:val="0"/>
                  <w:vAlign w:val="center"/>
                </w:tcPr>
                <w:p w14:paraId="367E10D5">
                  <w:pPr>
                    <w:adjustRightInd w:val="0"/>
                    <w:snapToGrid w:val="0"/>
                    <w:jc w:val="center"/>
                    <w:rPr>
                      <w:rFonts w:hint="default" w:ascii="Times New Roman" w:hAnsi="Times New Roman" w:cs="Times New Roman"/>
                      <w:color w:val="auto"/>
                      <w:kern w:val="2"/>
                      <w:sz w:val="18"/>
                      <w:szCs w:val="18"/>
                      <w:highlight w:val="none"/>
                      <w:lang w:val="en-US" w:eastAsia="zh-CN" w:bidi="ar-SA"/>
                    </w:rPr>
                  </w:pPr>
                </w:p>
              </w:tc>
              <w:tc>
                <w:tcPr>
                  <w:tcW w:w="546" w:type="pct"/>
                  <w:noWrap w:val="0"/>
                  <w:vAlign w:val="center"/>
                </w:tcPr>
                <w:p w14:paraId="5ACD1C7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隔油沉淀池</w:t>
                  </w:r>
                </w:p>
              </w:tc>
              <w:tc>
                <w:tcPr>
                  <w:tcW w:w="324" w:type="pct"/>
                  <w:vMerge w:val="continue"/>
                  <w:noWrap w:val="0"/>
                  <w:vAlign w:val="center"/>
                </w:tcPr>
                <w:p w14:paraId="31F754B7">
                  <w:pPr>
                    <w:pStyle w:val="107"/>
                    <w:snapToGrid w:val="0"/>
                    <w:spacing w:line="240" w:lineRule="auto"/>
                    <w:rPr>
                      <w:rFonts w:hint="default" w:ascii="Times New Roman" w:hAnsi="Times New Roman" w:cs="Times New Roman"/>
                      <w:color w:val="auto"/>
                      <w:sz w:val="18"/>
                      <w:szCs w:val="18"/>
                      <w:highlight w:val="none"/>
                      <w:lang w:val="en-US" w:eastAsia="zh-CN"/>
                    </w:rPr>
                  </w:pPr>
                </w:p>
              </w:tc>
              <w:tc>
                <w:tcPr>
                  <w:tcW w:w="473" w:type="pct"/>
                  <w:vMerge w:val="continue"/>
                  <w:noWrap w:val="0"/>
                  <w:vAlign w:val="center"/>
                </w:tcPr>
                <w:p w14:paraId="130E504A">
                  <w:pPr>
                    <w:adjustRightInd w:val="0"/>
                    <w:snapToGrid w:val="0"/>
                    <w:jc w:val="center"/>
                    <w:rPr>
                      <w:rFonts w:hint="default" w:ascii="Times New Roman" w:hAnsi="Times New Roman" w:cs="Times New Roman"/>
                      <w:snapToGrid w:val="0"/>
                      <w:color w:val="auto"/>
                      <w:sz w:val="18"/>
                      <w:szCs w:val="18"/>
                      <w:highlight w:val="none"/>
                      <w:lang w:val="en-US" w:eastAsia="zh-CN"/>
                    </w:rPr>
                  </w:pPr>
                </w:p>
              </w:tc>
              <w:tc>
                <w:tcPr>
                  <w:tcW w:w="465" w:type="pct"/>
                  <w:noWrap w:val="0"/>
                  <w:vAlign w:val="center"/>
                </w:tcPr>
                <w:p w14:paraId="4D128069">
                  <w:pPr>
                    <w:pStyle w:val="107"/>
                    <w:snapToGrid w:val="0"/>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年</w:t>
                  </w:r>
                </w:p>
              </w:tc>
              <w:tc>
                <w:tcPr>
                  <w:tcW w:w="430" w:type="pct"/>
                  <w:vMerge w:val="continue"/>
                  <w:noWrap w:val="0"/>
                  <w:vAlign w:val="center"/>
                </w:tcPr>
                <w:p w14:paraId="25516217">
                  <w:pPr>
                    <w:pStyle w:val="107"/>
                    <w:snapToGrid w:val="0"/>
                    <w:spacing w:line="240" w:lineRule="auto"/>
                    <w:rPr>
                      <w:rFonts w:hint="default" w:ascii="Times New Roman" w:hAnsi="Times New Roman" w:cs="Times New Roman"/>
                      <w:color w:val="auto"/>
                      <w:sz w:val="18"/>
                      <w:szCs w:val="18"/>
                      <w:highlight w:val="none"/>
                    </w:rPr>
                  </w:pPr>
                </w:p>
              </w:tc>
              <w:tc>
                <w:tcPr>
                  <w:tcW w:w="685" w:type="pct"/>
                  <w:vMerge w:val="continue"/>
                  <w:noWrap w:val="0"/>
                  <w:vAlign w:val="center"/>
                </w:tcPr>
                <w:p w14:paraId="5BA8C248">
                  <w:pPr>
                    <w:pStyle w:val="107"/>
                    <w:snapToGrid w:val="0"/>
                    <w:spacing w:line="240" w:lineRule="auto"/>
                    <w:rPr>
                      <w:rFonts w:hint="default" w:ascii="Times New Roman" w:hAnsi="Times New Roman" w:cs="Times New Roman"/>
                      <w:color w:val="auto"/>
                      <w:sz w:val="18"/>
                      <w:szCs w:val="18"/>
                      <w:highlight w:val="none"/>
                    </w:rPr>
                  </w:pPr>
                </w:p>
              </w:tc>
            </w:tr>
          </w:tbl>
          <w:p w14:paraId="00853D00">
            <w:pPr>
              <w:pStyle w:val="106"/>
              <w:spacing w:line="240" w:lineRule="auto"/>
              <w:rPr>
                <w:rFonts w:hint="default" w:ascii="Times New Roman" w:hAnsi="Times New Roman" w:eastAsia="黑体" w:cs="Times New Roman"/>
                <w:b w:val="0"/>
                <w:bCs/>
                <w:color w:val="auto"/>
                <w:spacing w:val="0"/>
                <w:kern w:val="0"/>
                <w:sz w:val="24"/>
                <w:szCs w:val="24"/>
                <w:highlight w:val="none"/>
                <w:lang w:val="en-US" w:eastAsia="zh-CN" w:bidi="ar-SA"/>
              </w:rPr>
            </w:pPr>
            <w:r>
              <w:rPr>
                <w:rFonts w:hint="default" w:ascii="Times New Roman" w:hAnsi="Times New Roman" w:eastAsia="黑体" w:cs="Times New Roman"/>
                <w:b w:val="0"/>
                <w:bCs/>
                <w:color w:val="auto"/>
                <w:spacing w:val="0"/>
                <w:kern w:val="0"/>
                <w:sz w:val="24"/>
                <w:szCs w:val="24"/>
                <w:highlight w:val="none"/>
                <w:lang w:val="en-US" w:eastAsia="zh-CN" w:bidi="ar-SA"/>
              </w:rPr>
              <w:t>表4-</w:t>
            </w:r>
            <w:r>
              <w:rPr>
                <w:rFonts w:hint="default" w:ascii="Times New Roman" w:hAnsi="Times New Roman" w:cs="Times New Roman"/>
                <w:b w:val="0"/>
                <w:bCs/>
                <w:color w:val="auto"/>
                <w:spacing w:val="0"/>
                <w:kern w:val="0"/>
                <w:sz w:val="24"/>
                <w:szCs w:val="24"/>
                <w:highlight w:val="none"/>
                <w:lang w:val="en-US" w:eastAsia="zh-CN" w:bidi="ar-SA"/>
              </w:rPr>
              <w:t xml:space="preserve">7 </w:t>
            </w:r>
            <w:r>
              <w:rPr>
                <w:rFonts w:hint="default" w:ascii="Times New Roman" w:hAnsi="Times New Roman" w:eastAsia="黑体" w:cs="Times New Roman"/>
                <w:b w:val="0"/>
                <w:bCs/>
                <w:color w:val="auto"/>
                <w:spacing w:val="0"/>
                <w:kern w:val="0"/>
                <w:sz w:val="24"/>
                <w:szCs w:val="24"/>
                <w:highlight w:val="none"/>
                <w:lang w:val="en-US" w:eastAsia="zh-CN" w:bidi="ar-SA"/>
              </w:rPr>
              <w:t>固体废物污染源源强核算结果及相关参数一览表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2"/>
              <w:gridCol w:w="896"/>
              <w:gridCol w:w="694"/>
              <w:gridCol w:w="825"/>
              <w:gridCol w:w="705"/>
              <w:gridCol w:w="915"/>
              <w:gridCol w:w="900"/>
              <w:gridCol w:w="925"/>
              <w:gridCol w:w="898"/>
            </w:tblGrid>
            <w:tr w14:paraId="1ED27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02" w:type="dxa"/>
                  <w:vMerge w:val="restart"/>
                  <w:tcBorders>
                    <w:tl2br w:val="nil"/>
                    <w:tr2bl w:val="nil"/>
                  </w:tcBorders>
                  <w:vAlign w:val="center"/>
                </w:tcPr>
                <w:p w14:paraId="66216C0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固废</w:t>
                  </w:r>
                </w:p>
                <w:p w14:paraId="1B46D19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名称</w:t>
                  </w:r>
                </w:p>
              </w:tc>
              <w:tc>
                <w:tcPr>
                  <w:tcW w:w="896" w:type="dxa"/>
                  <w:vMerge w:val="restart"/>
                  <w:tcBorders>
                    <w:tl2br w:val="nil"/>
                    <w:tr2bl w:val="nil"/>
                  </w:tcBorders>
                  <w:vAlign w:val="center"/>
                </w:tcPr>
                <w:p w14:paraId="197807F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产生装置或工艺单元</w:t>
                  </w:r>
                </w:p>
              </w:tc>
              <w:tc>
                <w:tcPr>
                  <w:tcW w:w="694" w:type="dxa"/>
                  <w:vMerge w:val="restart"/>
                  <w:tcBorders>
                    <w:tl2br w:val="nil"/>
                    <w:tr2bl w:val="nil"/>
                  </w:tcBorders>
                  <w:vAlign w:val="center"/>
                </w:tcPr>
                <w:p w14:paraId="1C2A6DA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固废</w:t>
                  </w:r>
                </w:p>
                <w:p w14:paraId="23A9967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属性</w:t>
                  </w:r>
                </w:p>
              </w:tc>
              <w:tc>
                <w:tcPr>
                  <w:tcW w:w="825" w:type="dxa"/>
                  <w:vMerge w:val="restart"/>
                  <w:tcBorders>
                    <w:tl2br w:val="nil"/>
                    <w:tr2bl w:val="nil"/>
                  </w:tcBorders>
                  <w:vAlign w:val="center"/>
                </w:tcPr>
                <w:p w14:paraId="5F89AE3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类别代码</w:t>
                  </w:r>
                </w:p>
              </w:tc>
              <w:tc>
                <w:tcPr>
                  <w:tcW w:w="1620" w:type="dxa"/>
                  <w:gridSpan w:val="2"/>
                  <w:tcBorders>
                    <w:tl2br w:val="nil"/>
                    <w:tr2bl w:val="nil"/>
                  </w:tcBorders>
                  <w:vAlign w:val="center"/>
                </w:tcPr>
                <w:p w14:paraId="6DB901F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产生情况</w:t>
                  </w:r>
                </w:p>
              </w:tc>
              <w:tc>
                <w:tcPr>
                  <w:tcW w:w="1825" w:type="dxa"/>
                  <w:gridSpan w:val="2"/>
                  <w:tcBorders>
                    <w:tl2br w:val="nil"/>
                    <w:tr2bl w:val="nil"/>
                  </w:tcBorders>
                  <w:vAlign w:val="center"/>
                </w:tcPr>
                <w:p w14:paraId="328E91E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处理措施</w:t>
                  </w:r>
                </w:p>
              </w:tc>
              <w:tc>
                <w:tcPr>
                  <w:tcW w:w="898" w:type="dxa"/>
                  <w:vMerge w:val="restart"/>
                  <w:tcBorders>
                    <w:tl2br w:val="nil"/>
                    <w:tr2bl w:val="nil"/>
                  </w:tcBorders>
                  <w:vAlign w:val="center"/>
                </w:tcPr>
                <w:p w14:paraId="76B0E9B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最终去向</w:t>
                  </w:r>
                </w:p>
              </w:tc>
            </w:tr>
            <w:tr w14:paraId="1F328C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7" w:hRule="atLeast"/>
                <w:jc w:val="center"/>
              </w:trPr>
              <w:tc>
                <w:tcPr>
                  <w:tcW w:w="902" w:type="dxa"/>
                  <w:vMerge w:val="continue"/>
                  <w:tcBorders>
                    <w:tl2br w:val="nil"/>
                    <w:tr2bl w:val="nil"/>
                  </w:tcBorders>
                  <w:vAlign w:val="center"/>
                </w:tcPr>
                <w:p w14:paraId="03264717">
                  <w:pPr>
                    <w:widowControl/>
                    <w:jc w:val="left"/>
                    <w:rPr>
                      <w:rFonts w:hint="default" w:ascii="Times New Roman" w:hAnsi="Times New Roman" w:cs="Times New Roman"/>
                      <w:snapToGrid w:val="0"/>
                      <w:color w:val="auto"/>
                      <w:szCs w:val="21"/>
                      <w:highlight w:val="none"/>
                    </w:rPr>
                  </w:pPr>
                </w:p>
              </w:tc>
              <w:tc>
                <w:tcPr>
                  <w:tcW w:w="896" w:type="dxa"/>
                  <w:vMerge w:val="continue"/>
                  <w:tcBorders>
                    <w:tl2br w:val="nil"/>
                    <w:tr2bl w:val="nil"/>
                  </w:tcBorders>
                  <w:vAlign w:val="center"/>
                </w:tcPr>
                <w:p w14:paraId="6752F838">
                  <w:pPr>
                    <w:widowControl/>
                    <w:jc w:val="left"/>
                    <w:rPr>
                      <w:rFonts w:hint="default" w:ascii="Times New Roman" w:hAnsi="Times New Roman" w:cs="Times New Roman"/>
                      <w:snapToGrid w:val="0"/>
                      <w:color w:val="auto"/>
                      <w:szCs w:val="21"/>
                      <w:highlight w:val="none"/>
                    </w:rPr>
                  </w:pPr>
                </w:p>
              </w:tc>
              <w:tc>
                <w:tcPr>
                  <w:tcW w:w="694" w:type="dxa"/>
                  <w:vMerge w:val="continue"/>
                  <w:tcBorders>
                    <w:tl2br w:val="nil"/>
                    <w:tr2bl w:val="nil"/>
                  </w:tcBorders>
                  <w:vAlign w:val="center"/>
                </w:tcPr>
                <w:p w14:paraId="01D45538">
                  <w:pPr>
                    <w:adjustRightInd w:val="0"/>
                    <w:snapToGrid w:val="0"/>
                    <w:jc w:val="center"/>
                    <w:rPr>
                      <w:rFonts w:hint="default" w:ascii="Times New Roman" w:hAnsi="Times New Roman" w:cs="Times New Roman"/>
                      <w:snapToGrid w:val="0"/>
                      <w:color w:val="auto"/>
                      <w:szCs w:val="21"/>
                      <w:highlight w:val="none"/>
                    </w:rPr>
                  </w:pPr>
                </w:p>
              </w:tc>
              <w:tc>
                <w:tcPr>
                  <w:tcW w:w="825" w:type="dxa"/>
                  <w:vMerge w:val="continue"/>
                  <w:tcBorders>
                    <w:tl2br w:val="nil"/>
                    <w:tr2bl w:val="nil"/>
                  </w:tcBorders>
                  <w:vAlign w:val="center"/>
                </w:tcPr>
                <w:p w14:paraId="1EDFF409">
                  <w:pPr>
                    <w:adjustRightInd w:val="0"/>
                    <w:snapToGrid w:val="0"/>
                    <w:jc w:val="center"/>
                    <w:rPr>
                      <w:rFonts w:hint="default" w:ascii="Times New Roman" w:hAnsi="Times New Roman" w:cs="Times New Roman"/>
                      <w:snapToGrid w:val="0"/>
                      <w:color w:val="auto"/>
                      <w:szCs w:val="21"/>
                      <w:highlight w:val="none"/>
                    </w:rPr>
                  </w:pPr>
                </w:p>
              </w:tc>
              <w:tc>
                <w:tcPr>
                  <w:tcW w:w="705" w:type="dxa"/>
                  <w:tcBorders>
                    <w:tl2br w:val="nil"/>
                    <w:tr2bl w:val="nil"/>
                  </w:tcBorders>
                  <w:vAlign w:val="center"/>
                </w:tcPr>
                <w:p w14:paraId="0E38426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核算方法</w:t>
                  </w:r>
                </w:p>
              </w:tc>
              <w:tc>
                <w:tcPr>
                  <w:tcW w:w="915" w:type="dxa"/>
                  <w:tcBorders>
                    <w:tl2br w:val="nil"/>
                    <w:tr2bl w:val="nil"/>
                  </w:tcBorders>
                  <w:vAlign w:val="center"/>
                </w:tcPr>
                <w:p w14:paraId="2E1A878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产生量</w:t>
                  </w:r>
                  <w:r>
                    <w:rPr>
                      <w:rFonts w:hint="default" w:ascii="Times New Roman" w:hAnsi="Times New Roman" w:cs="Times New Roman"/>
                      <w:snapToGrid w:val="0"/>
                      <w:color w:val="auto"/>
                      <w:szCs w:val="21"/>
                      <w:highlight w:val="none"/>
                      <w:lang w:eastAsia="zh-CN"/>
                    </w:rPr>
                    <w:t>（</w:t>
                  </w:r>
                  <w:r>
                    <w:rPr>
                      <w:rFonts w:hint="default" w:ascii="Times New Roman" w:hAnsi="Times New Roman" w:cs="Times New Roman"/>
                      <w:snapToGrid w:val="0"/>
                      <w:color w:val="auto"/>
                      <w:szCs w:val="21"/>
                      <w:highlight w:val="none"/>
                      <w:lang w:val="en-US" w:eastAsia="zh-CN"/>
                    </w:rPr>
                    <w:t>t/a</w:t>
                  </w:r>
                  <w:r>
                    <w:rPr>
                      <w:rFonts w:hint="default" w:ascii="Times New Roman" w:hAnsi="Times New Roman" w:cs="Times New Roman"/>
                      <w:snapToGrid w:val="0"/>
                      <w:color w:val="auto"/>
                      <w:szCs w:val="21"/>
                      <w:highlight w:val="none"/>
                      <w:lang w:eastAsia="zh-CN"/>
                    </w:rPr>
                    <w:t>）</w:t>
                  </w:r>
                </w:p>
              </w:tc>
              <w:tc>
                <w:tcPr>
                  <w:tcW w:w="900" w:type="dxa"/>
                  <w:tcBorders>
                    <w:tl2br w:val="nil"/>
                    <w:tr2bl w:val="nil"/>
                  </w:tcBorders>
                  <w:vAlign w:val="center"/>
                </w:tcPr>
                <w:p w14:paraId="20D670C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工艺</w:t>
                  </w:r>
                </w:p>
              </w:tc>
              <w:tc>
                <w:tcPr>
                  <w:tcW w:w="925" w:type="dxa"/>
                  <w:tcBorders>
                    <w:tl2br w:val="nil"/>
                    <w:tr2bl w:val="nil"/>
                  </w:tcBorders>
                  <w:vAlign w:val="center"/>
                </w:tcPr>
                <w:p w14:paraId="61841C61">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snapToGrid w:val="0"/>
                      <w:color w:val="auto"/>
                      <w:szCs w:val="21"/>
                      <w:highlight w:val="none"/>
                    </w:rPr>
                    <w:t>处置量</w:t>
                  </w:r>
                  <w:r>
                    <w:rPr>
                      <w:rFonts w:hint="default" w:ascii="Times New Roman" w:hAnsi="Times New Roman" w:cs="Times New Roman"/>
                      <w:snapToGrid w:val="0"/>
                      <w:color w:val="auto"/>
                      <w:szCs w:val="21"/>
                      <w:highlight w:val="none"/>
                      <w:lang w:eastAsia="zh-CN"/>
                    </w:rPr>
                    <w:t>（</w:t>
                  </w:r>
                  <w:r>
                    <w:rPr>
                      <w:rFonts w:hint="default" w:ascii="Times New Roman" w:hAnsi="Times New Roman" w:cs="Times New Roman"/>
                      <w:snapToGrid w:val="0"/>
                      <w:color w:val="auto"/>
                      <w:szCs w:val="21"/>
                      <w:highlight w:val="none"/>
                      <w:lang w:val="en-US" w:eastAsia="zh-CN"/>
                    </w:rPr>
                    <w:t>t/a</w:t>
                  </w:r>
                  <w:r>
                    <w:rPr>
                      <w:rFonts w:hint="default" w:ascii="Times New Roman" w:hAnsi="Times New Roman" w:cs="Times New Roman"/>
                      <w:snapToGrid w:val="0"/>
                      <w:color w:val="auto"/>
                      <w:szCs w:val="21"/>
                      <w:highlight w:val="none"/>
                      <w:lang w:eastAsia="zh-CN"/>
                    </w:rPr>
                    <w:t>）</w:t>
                  </w:r>
                </w:p>
              </w:tc>
              <w:tc>
                <w:tcPr>
                  <w:tcW w:w="898" w:type="dxa"/>
                  <w:vMerge w:val="continue"/>
                  <w:tcBorders>
                    <w:tl2br w:val="nil"/>
                    <w:tr2bl w:val="nil"/>
                  </w:tcBorders>
                  <w:vAlign w:val="center"/>
                </w:tcPr>
                <w:p w14:paraId="536FD04C">
                  <w:pPr>
                    <w:widowControl/>
                    <w:jc w:val="left"/>
                    <w:rPr>
                      <w:rFonts w:hint="default" w:ascii="Times New Roman" w:hAnsi="Times New Roman" w:cs="Times New Roman"/>
                      <w:snapToGrid w:val="0"/>
                      <w:color w:val="auto"/>
                      <w:szCs w:val="21"/>
                      <w:highlight w:val="none"/>
                    </w:rPr>
                  </w:pPr>
                </w:p>
              </w:tc>
            </w:tr>
            <w:tr w14:paraId="7FAA16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902" w:type="dxa"/>
                  <w:tcBorders>
                    <w:tl2br w:val="nil"/>
                    <w:tr2bl w:val="nil"/>
                  </w:tcBorders>
                  <w:vAlign w:val="center"/>
                </w:tcPr>
                <w:p w14:paraId="52B5E916">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生活垃圾</w:t>
                  </w:r>
                </w:p>
              </w:tc>
              <w:tc>
                <w:tcPr>
                  <w:tcW w:w="896" w:type="dxa"/>
                  <w:tcBorders>
                    <w:tl2br w:val="nil"/>
                    <w:tr2bl w:val="nil"/>
                  </w:tcBorders>
                  <w:vAlign w:val="center"/>
                </w:tcPr>
                <w:p w14:paraId="02BCB1C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rPr>
                    <w:t>职工生活办公</w:t>
                  </w:r>
                </w:p>
              </w:tc>
              <w:tc>
                <w:tcPr>
                  <w:tcW w:w="694" w:type="dxa"/>
                  <w:tcBorders>
                    <w:tl2br w:val="nil"/>
                    <w:tr2bl w:val="nil"/>
                  </w:tcBorders>
                  <w:vAlign w:val="center"/>
                </w:tcPr>
                <w:p w14:paraId="51F0050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生活垃圾</w:t>
                  </w:r>
                </w:p>
              </w:tc>
              <w:tc>
                <w:tcPr>
                  <w:tcW w:w="825" w:type="dxa"/>
                  <w:tcBorders>
                    <w:tl2br w:val="nil"/>
                    <w:tr2bl w:val="nil"/>
                  </w:tcBorders>
                  <w:vAlign w:val="center"/>
                </w:tcPr>
                <w:p w14:paraId="7750BA5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900-099-S64</w:t>
                  </w:r>
                </w:p>
              </w:tc>
              <w:tc>
                <w:tcPr>
                  <w:tcW w:w="705" w:type="dxa"/>
                  <w:tcBorders>
                    <w:tl2br w:val="nil"/>
                    <w:tr2bl w:val="nil"/>
                  </w:tcBorders>
                  <w:vAlign w:val="center"/>
                </w:tcPr>
                <w:p w14:paraId="5C9F5F4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类比法</w:t>
                  </w:r>
                </w:p>
              </w:tc>
              <w:tc>
                <w:tcPr>
                  <w:tcW w:w="915" w:type="dxa"/>
                  <w:tcBorders>
                    <w:tl2br w:val="nil"/>
                    <w:tr2bl w:val="nil"/>
                  </w:tcBorders>
                  <w:vAlign w:val="center"/>
                </w:tcPr>
                <w:p w14:paraId="265D544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eastAsia="zh-CN"/>
                    </w:rPr>
                    <w:t>1.125</w:t>
                  </w:r>
                </w:p>
              </w:tc>
              <w:tc>
                <w:tcPr>
                  <w:tcW w:w="900" w:type="dxa"/>
                  <w:tcBorders>
                    <w:tl2br w:val="nil"/>
                    <w:tr2bl w:val="nil"/>
                  </w:tcBorders>
                  <w:vAlign w:val="center"/>
                </w:tcPr>
                <w:p w14:paraId="667E918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市政部门统一清运处理</w:t>
                  </w:r>
                </w:p>
              </w:tc>
              <w:tc>
                <w:tcPr>
                  <w:tcW w:w="925" w:type="dxa"/>
                  <w:tcBorders>
                    <w:tl2br w:val="nil"/>
                    <w:tr2bl w:val="nil"/>
                  </w:tcBorders>
                  <w:vAlign w:val="center"/>
                </w:tcPr>
                <w:p w14:paraId="79E8BFC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eastAsia="zh-CN"/>
                    </w:rPr>
                    <w:t>1.125</w:t>
                  </w:r>
                </w:p>
              </w:tc>
              <w:tc>
                <w:tcPr>
                  <w:tcW w:w="898" w:type="dxa"/>
                  <w:tcBorders>
                    <w:tl2br w:val="nil"/>
                    <w:tr2bl w:val="nil"/>
                  </w:tcBorders>
                  <w:vAlign w:val="center"/>
                </w:tcPr>
                <w:p w14:paraId="080A8C6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市政环卫部门统一处置</w:t>
                  </w:r>
                </w:p>
              </w:tc>
            </w:tr>
            <w:tr w14:paraId="425E8A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02" w:type="dxa"/>
                  <w:tcBorders>
                    <w:tl2br w:val="nil"/>
                    <w:tr2bl w:val="nil"/>
                  </w:tcBorders>
                  <w:vAlign w:val="center"/>
                </w:tcPr>
                <w:p w14:paraId="385E55C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除尘器收尘</w:t>
                  </w:r>
                </w:p>
              </w:tc>
              <w:tc>
                <w:tcPr>
                  <w:tcW w:w="896" w:type="dxa"/>
                  <w:tcBorders>
                    <w:tl2br w:val="nil"/>
                    <w:tr2bl w:val="nil"/>
                  </w:tcBorders>
                  <w:vAlign w:val="center"/>
                </w:tcPr>
                <w:p w14:paraId="0EC88A5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除尘器</w:t>
                  </w:r>
                </w:p>
              </w:tc>
              <w:tc>
                <w:tcPr>
                  <w:tcW w:w="694" w:type="dxa"/>
                  <w:vMerge w:val="restart"/>
                  <w:tcBorders>
                    <w:tl2br w:val="nil"/>
                    <w:tr2bl w:val="nil"/>
                  </w:tcBorders>
                  <w:vAlign w:val="center"/>
                </w:tcPr>
                <w:p w14:paraId="4E15E21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一般工业固体废物</w:t>
                  </w:r>
                </w:p>
              </w:tc>
              <w:tc>
                <w:tcPr>
                  <w:tcW w:w="825" w:type="dxa"/>
                  <w:tcBorders>
                    <w:tl2br w:val="nil"/>
                    <w:tr2bl w:val="nil"/>
                  </w:tcBorders>
                  <w:vAlign w:val="center"/>
                </w:tcPr>
                <w:p w14:paraId="28385F8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900-099-S59</w:t>
                  </w:r>
                </w:p>
              </w:tc>
              <w:tc>
                <w:tcPr>
                  <w:tcW w:w="705" w:type="dxa"/>
                  <w:tcBorders>
                    <w:tl2br w:val="nil"/>
                    <w:tr2bl w:val="nil"/>
                  </w:tcBorders>
                  <w:vAlign w:val="center"/>
                </w:tcPr>
                <w:p w14:paraId="520A7DB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类比法</w:t>
                  </w:r>
                </w:p>
              </w:tc>
              <w:tc>
                <w:tcPr>
                  <w:tcW w:w="915" w:type="dxa"/>
                  <w:tcBorders>
                    <w:tl2br w:val="nil"/>
                    <w:tr2bl w:val="nil"/>
                  </w:tcBorders>
                  <w:shd w:val="clear" w:color="auto" w:fill="auto"/>
                  <w:vAlign w:val="center"/>
                </w:tcPr>
                <w:p w14:paraId="7811496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23.816</w:t>
                  </w:r>
                </w:p>
              </w:tc>
              <w:tc>
                <w:tcPr>
                  <w:tcW w:w="900" w:type="dxa"/>
                  <w:tcBorders>
                    <w:tl2br w:val="nil"/>
                    <w:tr2bl w:val="nil"/>
                  </w:tcBorders>
                  <w:shd w:val="clear" w:color="auto" w:fill="auto"/>
                  <w:vAlign w:val="center"/>
                </w:tcPr>
                <w:p w14:paraId="1587FBB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回用于生产</w:t>
                  </w:r>
                </w:p>
              </w:tc>
              <w:tc>
                <w:tcPr>
                  <w:tcW w:w="925" w:type="dxa"/>
                  <w:tcBorders>
                    <w:tl2br w:val="nil"/>
                    <w:tr2bl w:val="nil"/>
                  </w:tcBorders>
                  <w:shd w:val="clear" w:color="auto" w:fill="auto"/>
                  <w:vAlign w:val="center"/>
                </w:tcPr>
                <w:p w14:paraId="64F0521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23.816</w:t>
                  </w:r>
                </w:p>
              </w:tc>
              <w:tc>
                <w:tcPr>
                  <w:tcW w:w="898" w:type="dxa"/>
                  <w:tcBorders>
                    <w:tl2br w:val="nil"/>
                    <w:tr2bl w:val="nil"/>
                  </w:tcBorders>
                  <w:vAlign w:val="center"/>
                </w:tcPr>
                <w:p w14:paraId="6A886DF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回用于生产</w:t>
                  </w:r>
                </w:p>
              </w:tc>
            </w:tr>
            <w:tr w14:paraId="58C2A5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02" w:type="dxa"/>
                  <w:tcBorders>
                    <w:tl2br w:val="nil"/>
                    <w:tr2bl w:val="nil"/>
                  </w:tcBorders>
                  <w:vAlign w:val="center"/>
                </w:tcPr>
                <w:p w14:paraId="5B923EA0">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不合格石料</w:t>
                  </w:r>
                </w:p>
              </w:tc>
              <w:tc>
                <w:tcPr>
                  <w:tcW w:w="896" w:type="dxa"/>
                  <w:tcBorders>
                    <w:tl2br w:val="nil"/>
                    <w:tr2bl w:val="nil"/>
                  </w:tcBorders>
                  <w:vAlign w:val="center"/>
                </w:tcPr>
                <w:p w14:paraId="7D3512D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w:t>
                  </w:r>
                </w:p>
              </w:tc>
              <w:tc>
                <w:tcPr>
                  <w:tcW w:w="694" w:type="dxa"/>
                  <w:vMerge w:val="continue"/>
                  <w:tcBorders>
                    <w:tl2br w:val="nil"/>
                    <w:tr2bl w:val="nil"/>
                  </w:tcBorders>
                  <w:vAlign w:val="center"/>
                </w:tcPr>
                <w:p w14:paraId="46AC98F2">
                  <w:pPr>
                    <w:adjustRightInd w:val="0"/>
                    <w:snapToGrid w:val="0"/>
                    <w:jc w:val="center"/>
                    <w:rPr>
                      <w:rFonts w:hint="default" w:ascii="Times New Roman" w:hAnsi="Times New Roman" w:cs="Times New Roman"/>
                      <w:snapToGrid w:val="0"/>
                      <w:color w:val="auto"/>
                      <w:szCs w:val="21"/>
                      <w:highlight w:val="none"/>
                    </w:rPr>
                  </w:pPr>
                </w:p>
              </w:tc>
              <w:tc>
                <w:tcPr>
                  <w:tcW w:w="825" w:type="dxa"/>
                  <w:tcBorders>
                    <w:tl2br w:val="nil"/>
                    <w:tr2bl w:val="nil"/>
                  </w:tcBorders>
                  <w:vAlign w:val="center"/>
                </w:tcPr>
                <w:p w14:paraId="79BEB35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900-099-S59</w:t>
                  </w:r>
                </w:p>
              </w:tc>
              <w:tc>
                <w:tcPr>
                  <w:tcW w:w="705" w:type="dxa"/>
                  <w:tcBorders>
                    <w:tl2br w:val="nil"/>
                    <w:tr2bl w:val="nil"/>
                  </w:tcBorders>
                  <w:vAlign w:val="center"/>
                </w:tcPr>
                <w:p w14:paraId="01670E3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类比法</w:t>
                  </w:r>
                </w:p>
              </w:tc>
              <w:tc>
                <w:tcPr>
                  <w:tcW w:w="915" w:type="dxa"/>
                  <w:tcBorders>
                    <w:tl2br w:val="nil"/>
                    <w:tr2bl w:val="nil"/>
                  </w:tcBorders>
                  <w:shd w:val="clear" w:color="auto" w:fill="auto"/>
                  <w:vAlign w:val="center"/>
                </w:tcPr>
                <w:p w14:paraId="4C8085C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eastAsia="zh-CN"/>
                    </w:rPr>
                    <w:t>72.757</w:t>
                  </w:r>
                </w:p>
              </w:tc>
              <w:tc>
                <w:tcPr>
                  <w:tcW w:w="900" w:type="dxa"/>
                  <w:tcBorders>
                    <w:tl2br w:val="nil"/>
                    <w:tr2bl w:val="nil"/>
                  </w:tcBorders>
                  <w:shd w:val="clear" w:color="auto" w:fill="auto"/>
                  <w:vAlign w:val="center"/>
                </w:tcPr>
                <w:p w14:paraId="67D4AFD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交由石料供应商回收处置</w:t>
                  </w:r>
                </w:p>
              </w:tc>
              <w:tc>
                <w:tcPr>
                  <w:tcW w:w="925" w:type="dxa"/>
                  <w:tcBorders>
                    <w:tl2br w:val="nil"/>
                    <w:tr2bl w:val="nil"/>
                  </w:tcBorders>
                  <w:shd w:val="clear" w:color="auto" w:fill="auto"/>
                  <w:vAlign w:val="center"/>
                </w:tcPr>
                <w:p w14:paraId="60D3D11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eastAsia="zh-CN"/>
                    </w:rPr>
                    <w:t>72.757</w:t>
                  </w:r>
                </w:p>
              </w:tc>
              <w:tc>
                <w:tcPr>
                  <w:tcW w:w="898" w:type="dxa"/>
                  <w:tcBorders>
                    <w:tl2br w:val="nil"/>
                    <w:tr2bl w:val="nil"/>
                  </w:tcBorders>
                  <w:vAlign w:val="center"/>
                </w:tcPr>
                <w:p w14:paraId="3D38278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交由石料供应商回收处置</w:t>
                  </w:r>
                </w:p>
              </w:tc>
            </w:tr>
            <w:tr w14:paraId="18A087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02" w:type="dxa"/>
                  <w:tcBorders>
                    <w:tl2br w:val="nil"/>
                    <w:tr2bl w:val="nil"/>
                  </w:tcBorders>
                  <w:vAlign w:val="center"/>
                </w:tcPr>
                <w:p w14:paraId="200E602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除尘器废布袋</w:t>
                  </w:r>
                </w:p>
              </w:tc>
              <w:tc>
                <w:tcPr>
                  <w:tcW w:w="896" w:type="dxa"/>
                  <w:tcBorders>
                    <w:tl2br w:val="nil"/>
                    <w:tr2bl w:val="nil"/>
                  </w:tcBorders>
                  <w:vAlign w:val="center"/>
                </w:tcPr>
                <w:p w14:paraId="39272EA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布袋除尘器</w:t>
                  </w:r>
                </w:p>
              </w:tc>
              <w:tc>
                <w:tcPr>
                  <w:tcW w:w="694" w:type="dxa"/>
                  <w:vMerge w:val="continue"/>
                  <w:tcBorders>
                    <w:tl2br w:val="nil"/>
                    <w:tr2bl w:val="nil"/>
                  </w:tcBorders>
                  <w:vAlign w:val="center"/>
                </w:tcPr>
                <w:p w14:paraId="3E0AB6A1">
                  <w:pPr>
                    <w:adjustRightInd w:val="0"/>
                    <w:snapToGrid w:val="0"/>
                    <w:jc w:val="center"/>
                    <w:rPr>
                      <w:rFonts w:hint="default" w:ascii="Times New Roman" w:hAnsi="Times New Roman" w:cs="Times New Roman"/>
                      <w:snapToGrid w:val="0"/>
                      <w:color w:val="auto"/>
                      <w:szCs w:val="21"/>
                      <w:highlight w:val="none"/>
                    </w:rPr>
                  </w:pPr>
                </w:p>
              </w:tc>
              <w:tc>
                <w:tcPr>
                  <w:tcW w:w="825" w:type="dxa"/>
                  <w:tcBorders>
                    <w:tl2br w:val="nil"/>
                    <w:tr2bl w:val="nil"/>
                  </w:tcBorders>
                  <w:vAlign w:val="center"/>
                </w:tcPr>
                <w:p w14:paraId="53B9C5A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rPr>
                    <w:t>900-009-S59</w:t>
                  </w:r>
                </w:p>
              </w:tc>
              <w:tc>
                <w:tcPr>
                  <w:tcW w:w="705" w:type="dxa"/>
                  <w:tcBorders>
                    <w:tl2br w:val="nil"/>
                    <w:tr2bl w:val="nil"/>
                  </w:tcBorders>
                  <w:vAlign w:val="center"/>
                </w:tcPr>
                <w:p w14:paraId="3BACD2D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类比法</w:t>
                  </w:r>
                </w:p>
              </w:tc>
              <w:tc>
                <w:tcPr>
                  <w:tcW w:w="915" w:type="dxa"/>
                  <w:tcBorders>
                    <w:tl2br w:val="nil"/>
                    <w:tr2bl w:val="nil"/>
                  </w:tcBorders>
                  <w:vAlign w:val="center"/>
                </w:tcPr>
                <w:p w14:paraId="4B362DB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0.1</w:t>
                  </w:r>
                </w:p>
              </w:tc>
              <w:tc>
                <w:tcPr>
                  <w:tcW w:w="900" w:type="dxa"/>
                  <w:tcBorders>
                    <w:tl2br w:val="nil"/>
                    <w:tr2bl w:val="nil"/>
                  </w:tcBorders>
                  <w:vAlign w:val="center"/>
                </w:tcPr>
                <w:p w14:paraId="659D125B">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lang w:val="en-US" w:eastAsia="zh-CN"/>
                    </w:rPr>
                    <w:t>厂家回收</w:t>
                  </w:r>
                </w:p>
              </w:tc>
              <w:tc>
                <w:tcPr>
                  <w:tcW w:w="925" w:type="dxa"/>
                  <w:tcBorders>
                    <w:tl2br w:val="nil"/>
                    <w:tr2bl w:val="nil"/>
                  </w:tcBorders>
                  <w:vAlign w:val="center"/>
                </w:tcPr>
                <w:p w14:paraId="68C61ED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rPr>
                    <w:t>0.1</w:t>
                  </w:r>
                </w:p>
              </w:tc>
              <w:tc>
                <w:tcPr>
                  <w:tcW w:w="898" w:type="dxa"/>
                  <w:tcBorders>
                    <w:tl2br w:val="nil"/>
                    <w:tr2bl w:val="nil"/>
                  </w:tcBorders>
                  <w:vAlign w:val="center"/>
                </w:tcPr>
                <w:p w14:paraId="4EEC9DB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厂家回收</w:t>
                  </w:r>
                </w:p>
              </w:tc>
            </w:tr>
            <w:tr w14:paraId="5A435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7" w:hRule="atLeast"/>
                <w:jc w:val="center"/>
              </w:trPr>
              <w:tc>
                <w:tcPr>
                  <w:tcW w:w="902" w:type="dxa"/>
                  <w:tcBorders>
                    <w:tl2br w:val="nil"/>
                    <w:tr2bl w:val="nil"/>
                  </w:tcBorders>
                  <w:vAlign w:val="center"/>
                </w:tcPr>
                <w:p w14:paraId="28670CF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滴漏沥青及</w:t>
                  </w:r>
                  <w:r>
                    <w:rPr>
                      <w:rFonts w:hint="default" w:ascii="Times New Roman" w:hAnsi="Times New Roman" w:cs="Times New Roman"/>
                      <w:snapToGrid w:val="0"/>
                      <w:color w:val="auto"/>
                      <w:szCs w:val="21"/>
                      <w:highlight w:val="none"/>
                      <w:lang w:eastAsia="zh-CN"/>
                    </w:rPr>
                    <w:t>拌合</w:t>
                  </w:r>
                  <w:r>
                    <w:rPr>
                      <w:rFonts w:hint="default" w:ascii="Times New Roman" w:hAnsi="Times New Roman" w:cs="Times New Roman"/>
                      <w:snapToGrid w:val="0"/>
                      <w:color w:val="auto"/>
                      <w:szCs w:val="21"/>
                      <w:highlight w:val="none"/>
                    </w:rPr>
                    <w:t>残渣</w:t>
                  </w:r>
                </w:p>
              </w:tc>
              <w:tc>
                <w:tcPr>
                  <w:tcW w:w="896" w:type="dxa"/>
                  <w:tcBorders>
                    <w:tl2br w:val="nil"/>
                    <w:tr2bl w:val="nil"/>
                  </w:tcBorders>
                  <w:vAlign w:val="center"/>
                </w:tcPr>
                <w:p w14:paraId="2A96B0D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w:t>
                  </w:r>
                </w:p>
              </w:tc>
              <w:tc>
                <w:tcPr>
                  <w:tcW w:w="694" w:type="dxa"/>
                  <w:vMerge w:val="continue"/>
                  <w:tcBorders>
                    <w:tl2br w:val="nil"/>
                    <w:tr2bl w:val="nil"/>
                  </w:tcBorders>
                  <w:vAlign w:val="center"/>
                </w:tcPr>
                <w:p w14:paraId="7FF3E008">
                  <w:pPr>
                    <w:adjustRightInd w:val="0"/>
                    <w:snapToGrid w:val="0"/>
                    <w:jc w:val="center"/>
                    <w:rPr>
                      <w:rFonts w:hint="default" w:ascii="Times New Roman" w:hAnsi="Times New Roman" w:cs="Times New Roman"/>
                      <w:snapToGrid w:val="0"/>
                      <w:color w:val="auto"/>
                      <w:szCs w:val="21"/>
                      <w:highlight w:val="none"/>
                    </w:rPr>
                  </w:pPr>
                </w:p>
              </w:tc>
              <w:tc>
                <w:tcPr>
                  <w:tcW w:w="825" w:type="dxa"/>
                  <w:tcBorders>
                    <w:tl2br w:val="nil"/>
                    <w:tr2bl w:val="nil"/>
                  </w:tcBorders>
                  <w:vAlign w:val="center"/>
                </w:tcPr>
                <w:p w14:paraId="3BDA973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900-099-S59</w:t>
                  </w:r>
                </w:p>
              </w:tc>
              <w:tc>
                <w:tcPr>
                  <w:tcW w:w="705" w:type="dxa"/>
                  <w:tcBorders>
                    <w:tl2br w:val="nil"/>
                    <w:tr2bl w:val="nil"/>
                  </w:tcBorders>
                  <w:vAlign w:val="center"/>
                </w:tcPr>
                <w:p w14:paraId="16D055C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类比法</w:t>
                  </w:r>
                </w:p>
              </w:tc>
              <w:tc>
                <w:tcPr>
                  <w:tcW w:w="915" w:type="dxa"/>
                  <w:tcBorders>
                    <w:tl2br w:val="nil"/>
                    <w:tr2bl w:val="nil"/>
                  </w:tcBorders>
                  <w:vAlign w:val="center"/>
                </w:tcPr>
                <w:p w14:paraId="331DA9C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0.1</w:t>
                  </w:r>
                </w:p>
              </w:tc>
              <w:tc>
                <w:tcPr>
                  <w:tcW w:w="900" w:type="dxa"/>
                  <w:tcBorders>
                    <w:tl2br w:val="nil"/>
                    <w:tr2bl w:val="nil"/>
                  </w:tcBorders>
                  <w:vAlign w:val="center"/>
                </w:tcPr>
                <w:p w14:paraId="7D8B0295">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color w:val="auto"/>
                      <w:szCs w:val="21"/>
                      <w:highlight w:val="none"/>
                      <w:lang w:val="en-US" w:eastAsia="zh-CN"/>
                    </w:rPr>
                    <w:t>回用于生产</w:t>
                  </w:r>
                </w:p>
              </w:tc>
              <w:tc>
                <w:tcPr>
                  <w:tcW w:w="925" w:type="dxa"/>
                  <w:tcBorders>
                    <w:tl2br w:val="nil"/>
                    <w:tr2bl w:val="nil"/>
                  </w:tcBorders>
                  <w:vAlign w:val="center"/>
                </w:tcPr>
                <w:p w14:paraId="6CF8426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0.1</w:t>
                  </w:r>
                </w:p>
              </w:tc>
              <w:tc>
                <w:tcPr>
                  <w:tcW w:w="898" w:type="dxa"/>
                  <w:tcBorders>
                    <w:tl2br w:val="nil"/>
                    <w:tr2bl w:val="nil"/>
                  </w:tcBorders>
                  <w:vAlign w:val="center"/>
                </w:tcPr>
                <w:p w14:paraId="4EEFD64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lang w:val="en-US" w:eastAsia="zh-CN"/>
                    </w:rPr>
                    <w:t>回用于生产</w:t>
                  </w:r>
                </w:p>
              </w:tc>
            </w:tr>
          </w:tbl>
          <w:p w14:paraId="57079F78">
            <w:pPr>
              <w:pStyle w:val="106"/>
              <w:spacing w:line="240" w:lineRule="auto"/>
              <w:rPr>
                <w:rFonts w:hint="default" w:ascii="Times New Roman" w:hAnsi="Times New Roman" w:eastAsia="黑体" w:cs="Times New Roman"/>
                <w:b w:val="0"/>
                <w:bCs/>
                <w:color w:val="auto"/>
                <w:spacing w:val="0"/>
                <w:kern w:val="0"/>
                <w:sz w:val="24"/>
                <w:szCs w:val="24"/>
                <w:highlight w:val="none"/>
                <w:lang w:val="en-US" w:eastAsia="zh-CN" w:bidi="ar-SA"/>
              </w:rPr>
            </w:pPr>
            <w:r>
              <w:rPr>
                <w:rFonts w:hint="default" w:ascii="Times New Roman" w:hAnsi="Times New Roman" w:eastAsia="黑体" w:cs="Times New Roman"/>
                <w:b w:val="0"/>
                <w:bCs/>
                <w:color w:val="auto"/>
                <w:spacing w:val="0"/>
                <w:kern w:val="0"/>
                <w:sz w:val="24"/>
                <w:szCs w:val="24"/>
                <w:highlight w:val="none"/>
                <w:lang w:val="en-US" w:eastAsia="zh-CN" w:bidi="ar-SA"/>
              </w:rPr>
              <w:t>表4-8</w:t>
            </w:r>
            <w:r>
              <w:rPr>
                <w:rFonts w:hint="default" w:ascii="Times New Roman" w:hAnsi="Times New Roman" w:cs="Times New Roman"/>
                <w:b w:val="0"/>
                <w:bCs/>
                <w:color w:val="auto"/>
                <w:spacing w:val="0"/>
                <w:kern w:val="0"/>
                <w:sz w:val="24"/>
                <w:szCs w:val="24"/>
                <w:highlight w:val="none"/>
                <w:lang w:val="en-US" w:eastAsia="zh-CN" w:bidi="ar-SA"/>
              </w:rPr>
              <w:t xml:space="preserve"> </w:t>
            </w:r>
            <w:r>
              <w:rPr>
                <w:rFonts w:hint="default" w:ascii="Times New Roman" w:hAnsi="Times New Roman" w:eastAsia="黑体" w:cs="Times New Roman"/>
                <w:b w:val="0"/>
                <w:bCs/>
                <w:color w:val="auto"/>
                <w:spacing w:val="0"/>
                <w:kern w:val="0"/>
                <w:sz w:val="24"/>
                <w:szCs w:val="24"/>
                <w:highlight w:val="none"/>
                <w:lang w:val="en-US" w:eastAsia="zh-CN" w:bidi="ar-SA"/>
              </w:rPr>
              <w:t>项目危险废物贮存场所基本情况表</w:t>
            </w:r>
          </w:p>
          <w:tbl>
            <w:tblPr>
              <w:tblStyle w:val="30"/>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66"/>
              <w:gridCol w:w="867"/>
              <w:gridCol w:w="866"/>
              <w:gridCol w:w="1112"/>
              <w:gridCol w:w="741"/>
              <w:gridCol w:w="796"/>
              <w:gridCol w:w="954"/>
              <w:gridCol w:w="773"/>
              <w:gridCol w:w="678"/>
            </w:tblGrid>
            <w:tr w14:paraId="5AA1F7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565" w:type="pct"/>
                  <w:noWrap w:val="0"/>
                  <w:vAlign w:val="center"/>
                </w:tcPr>
                <w:p w14:paraId="778A4E85">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贮存场所名称</w:t>
                  </w:r>
                </w:p>
              </w:tc>
              <w:tc>
                <w:tcPr>
                  <w:tcW w:w="566" w:type="pct"/>
                  <w:noWrap w:val="0"/>
                  <w:vAlign w:val="center"/>
                </w:tcPr>
                <w:p w14:paraId="1F00741F">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危险废物名称</w:t>
                  </w:r>
                </w:p>
              </w:tc>
              <w:tc>
                <w:tcPr>
                  <w:tcW w:w="565" w:type="pct"/>
                  <w:noWrap w:val="0"/>
                  <w:vAlign w:val="center"/>
                </w:tcPr>
                <w:p w14:paraId="5ECDF4E7">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危险废物类别</w:t>
                  </w:r>
                </w:p>
              </w:tc>
              <w:tc>
                <w:tcPr>
                  <w:tcW w:w="725" w:type="pct"/>
                  <w:noWrap w:val="0"/>
                  <w:vAlign w:val="center"/>
                </w:tcPr>
                <w:p w14:paraId="02EC6198">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危险废物代码</w:t>
                  </w:r>
                </w:p>
              </w:tc>
              <w:tc>
                <w:tcPr>
                  <w:tcW w:w="484" w:type="pct"/>
                  <w:noWrap w:val="0"/>
                  <w:vAlign w:val="center"/>
                </w:tcPr>
                <w:p w14:paraId="56DF8677">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位置</w:t>
                  </w:r>
                </w:p>
              </w:tc>
              <w:tc>
                <w:tcPr>
                  <w:tcW w:w="520" w:type="pct"/>
                  <w:noWrap w:val="0"/>
                  <w:vAlign w:val="center"/>
                </w:tcPr>
                <w:p w14:paraId="4E0EBB8C">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占地面积</w:t>
                  </w:r>
                </w:p>
              </w:tc>
              <w:tc>
                <w:tcPr>
                  <w:tcW w:w="623" w:type="pct"/>
                  <w:noWrap w:val="0"/>
                  <w:vAlign w:val="center"/>
                </w:tcPr>
                <w:p w14:paraId="1A02F3E6">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贮存方式</w:t>
                  </w:r>
                </w:p>
              </w:tc>
              <w:tc>
                <w:tcPr>
                  <w:tcW w:w="505" w:type="pct"/>
                  <w:noWrap w:val="0"/>
                  <w:vAlign w:val="center"/>
                </w:tcPr>
                <w:p w14:paraId="20F9FDC5">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贮存能力</w:t>
                  </w:r>
                </w:p>
              </w:tc>
              <w:tc>
                <w:tcPr>
                  <w:tcW w:w="443" w:type="pct"/>
                  <w:noWrap w:val="0"/>
                  <w:vAlign w:val="center"/>
                </w:tcPr>
                <w:p w14:paraId="46295FE6">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贮存周期</w:t>
                  </w:r>
                </w:p>
              </w:tc>
            </w:tr>
            <w:tr w14:paraId="37332C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35" w:hRule="atLeast"/>
                <w:jc w:val="center"/>
              </w:trPr>
              <w:tc>
                <w:tcPr>
                  <w:tcW w:w="565" w:type="pct"/>
                  <w:vMerge w:val="restart"/>
                  <w:noWrap w:val="0"/>
                  <w:vAlign w:val="center"/>
                </w:tcPr>
                <w:p w14:paraId="08A50638">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危废贮存点</w:t>
                  </w:r>
                </w:p>
              </w:tc>
              <w:tc>
                <w:tcPr>
                  <w:tcW w:w="566" w:type="pct"/>
                  <w:vMerge w:val="restart"/>
                  <w:noWrap w:val="0"/>
                  <w:vAlign w:val="center"/>
                </w:tcPr>
                <w:p w14:paraId="45F13DCD">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w:t>
                  </w:r>
                </w:p>
                <w:p w14:paraId="6841CCC0">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w:t>
                  </w:r>
                </w:p>
              </w:tc>
              <w:tc>
                <w:tcPr>
                  <w:tcW w:w="565" w:type="pct"/>
                  <w:tcBorders>
                    <w:bottom w:val="single" w:color="auto" w:sz="4" w:space="0"/>
                  </w:tcBorders>
                  <w:noWrap w:val="0"/>
                  <w:vAlign w:val="center"/>
                </w:tcPr>
                <w:p w14:paraId="33034F85">
                  <w:pPr>
                    <w:pStyle w:val="7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HW</w:t>
                  </w:r>
                  <w:r>
                    <w:rPr>
                      <w:rFonts w:hint="default" w:ascii="Times New Roman" w:hAnsi="Times New Roman" w:cs="Times New Roman"/>
                      <w:color w:val="auto"/>
                      <w:sz w:val="21"/>
                      <w:szCs w:val="21"/>
                      <w:highlight w:val="none"/>
                      <w:lang w:val="en-US" w:eastAsia="zh-CN"/>
                    </w:rPr>
                    <w:t>08</w:t>
                  </w:r>
                </w:p>
              </w:tc>
              <w:tc>
                <w:tcPr>
                  <w:tcW w:w="725" w:type="pct"/>
                  <w:tcBorders>
                    <w:bottom w:val="single" w:color="auto" w:sz="4" w:space="0"/>
                  </w:tcBorders>
                  <w:noWrap w:val="0"/>
                  <w:vAlign w:val="center"/>
                </w:tcPr>
                <w:p w14:paraId="4FAFCBDF">
                  <w:pPr>
                    <w:pStyle w:val="74"/>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900-249-08</w:t>
                  </w:r>
                </w:p>
                <w:p w14:paraId="6034A265">
                  <w:pPr>
                    <w:pStyle w:val="74"/>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900-249-08</w:t>
                  </w:r>
                </w:p>
                <w:p w14:paraId="796429F0">
                  <w:pPr>
                    <w:pStyle w:val="74"/>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900-209-08</w:t>
                  </w:r>
                </w:p>
                <w:p w14:paraId="2422DADC">
                  <w:pPr>
                    <w:pStyle w:val="74"/>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18"/>
                      <w:szCs w:val="18"/>
                      <w:highlight w:val="none"/>
                      <w:lang w:val="en-US" w:eastAsia="zh-CN" w:bidi="ar-SA"/>
                    </w:rPr>
                    <w:t>900-221-08</w:t>
                  </w:r>
                </w:p>
              </w:tc>
              <w:tc>
                <w:tcPr>
                  <w:tcW w:w="484" w:type="pct"/>
                  <w:vMerge w:val="restart"/>
                  <w:noWrap w:val="0"/>
                  <w:vAlign w:val="center"/>
                </w:tcPr>
                <w:p w14:paraId="3DBF0F11">
                  <w:pPr>
                    <w:pStyle w:val="7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厂区中部</w:t>
                  </w:r>
                </w:p>
              </w:tc>
              <w:tc>
                <w:tcPr>
                  <w:tcW w:w="520" w:type="pct"/>
                  <w:vMerge w:val="restart"/>
                  <w:noWrap w:val="0"/>
                  <w:vAlign w:val="center"/>
                </w:tcPr>
                <w:p w14:paraId="3471A7E6">
                  <w:pPr>
                    <w:pStyle w:val="74"/>
                    <w:rPr>
                      <w:rFonts w:hint="default" w:ascii="Times New Roman" w:hAnsi="Times New Roman" w:cs="Times New Roman"/>
                      <w:color w:val="auto"/>
                      <w:sz w:val="21"/>
                      <w:szCs w:val="21"/>
                      <w:highlight w:val="none"/>
                      <w:vertAlign w:val="superscript"/>
                    </w:rPr>
                  </w:pP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p>
              </w:tc>
              <w:tc>
                <w:tcPr>
                  <w:tcW w:w="623" w:type="pct"/>
                  <w:vMerge w:val="restart"/>
                  <w:noWrap w:val="0"/>
                  <w:vAlign w:val="center"/>
                </w:tcPr>
                <w:p w14:paraId="665E94AA">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采用专用包装袋及容器分类收集、暂存</w:t>
                  </w:r>
                </w:p>
              </w:tc>
              <w:tc>
                <w:tcPr>
                  <w:tcW w:w="505" w:type="pct"/>
                  <w:vMerge w:val="restart"/>
                  <w:noWrap w:val="0"/>
                  <w:vAlign w:val="center"/>
                </w:tcPr>
                <w:p w14:paraId="3F6FBB7A">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t</w:t>
                  </w:r>
                </w:p>
              </w:tc>
              <w:tc>
                <w:tcPr>
                  <w:tcW w:w="443" w:type="pct"/>
                  <w:vMerge w:val="restart"/>
                  <w:noWrap w:val="0"/>
                  <w:vAlign w:val="center"/>
                </w:tcPr>
                <w:p w14:paraId="1AE2E1B4">
                  <w:pPr>
                    <w:pStyle w:val="7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半年</w:t>
                  </w:r>
                </w:p>
              </w:tc>
            </w:tr>
            <w:tr w14:paraId="4A766F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39" w:hRule="atLeast"/>
                <w:jc w:val="center"/>
              </w:trPr>
              <w:tc>
                <w:tcPr>
                  <w:tcW w:w="565" w:type="pct"/>
                  <w:vMerge w:val="continue"/>
                  <w:noWrap w:val="0"/>
                  <w:vAlign w:val="center"/>
                </w:tcPr>
                <w:p w14:paraId="4C8BCBB8">
                  <w:pPr>
                    <w:pStyle w:val="74"/>
                    <w:rPr>
                      <w:rFonts w:hint="default" w:ascii="Times New Roman" w:hAnsi="Times New Roman" w:cs="Times New Roman"/>
                      <w:color w:val="auto"/>
                      <w:sz w:val="21"/>
                      <w:szCs w:val="21"/>
                      <w:highlight w:val="none"/>
                    </w:rPr>
                  </w:pPr>
                </w:p>
              </w:tc>
              <w:tc>
                <w:tcPr>
                  <w:tcW w:w="566" w:type="pct"/>
                  <w:vMerge w:val="continue"/>
                  <w:noWrap w:val="0"/>
                  <w:vAlign w:val="center"/>
                </w:tcPr>
                <w:p w14:paraId="68CCA551">
                  <w:pPr>
                    <w:pStyle w:val="74"/>
                    <w:rPr>
                      <w:rFonts w:hint="default" w:ascii="Times New Roman" w:hAnsi="Times New Roman" w:cs="Times New Roman"/>
                      <w:color w:val="auto"/>
                      <w:sz w:val="21"/>
                      <w:szCs w:val="21"/>
                      <w:highlight w:val="none"/>
                    </w:rPr>
                  </w:pPr>
                </w:p>
              </w:tc>
              <w:tc>
                <w:tcPr>
                  <w:tcW w:w="565" w:type="pct"/>
                  <w:tcBorders>
                    <w:top w:val="single" w:color="auto" w:sz="4" w:space="0"/>
                  </w:tcBorders>
                  <w:noWrap w:val="0"/>
                  <w:vAlign w:val="center"/>
                </w:tcPr>
                <w:p w14:paraId="1A9B986E">
                  <w:pPr>
                    <w:pStyle w:val="7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HW49</w:t>
                  </w:r>
                </w:p>
              </w:tc>
              <w:tc>
                <w:tcPr>
                  <w:tcW w:w="725" w:type="pct"/>
                  <w:tcBorders>
                    <w:top w:val="single" w:color="auto" w:sz="4" w:space="0"/>
                  </w:tcBorders>
                  <w:noWrap w:val="0"/>
                  <w:vAlign w:val="center"/>
                </w:tcPr>
                <w:p w14:paraId="564C6227">
                  <w:pPr>
                    <w:pStyle w:val="74"/>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kern w:val="2"/>
                      <w:sz w:val="18"/>
                      <w:szCs w:val="18"/>
                      <w:highlight w:val="none"/>
                      <w:lang w:val="en-US" w:eastAsia="zh-CN" w:bidi="ar-SA"/>
                    </w:rPr>
                    <w:t>900-041-49</w:t>
                  </w:r>
                </w:p>
              </w:tc>
              <w:tc>
                <w:tcPr>
                  <w:tcW w:w="484" w:type="pct"/>
                  <w:vMerge w:val="continue"/>
                  <w:noWrap w:val="0"/>
                  <w:vAlign w:val="center"/>
                </w:tcPr>
                <w:p w14:paraId="7737BB3D">
                  <w:pPr>
                    <w:pStyle w:val="74"/>
                    <w:rPr>
                      <w:rFonts w:hint="default" w:ascii="Times New Roman" w:hAnsi="Times New Roman" w:cs="Times New Roman"/>
                      <w:color w:val="auto"/>
                      <w:sz w:val="21"/>
                      <w:szCs w:val="21"/>
                      <w:highlight w:val="none"/>
                    </w:rPr>
                  </w:pPr>
                </w:p>
              </w:tc>
              <w:tc>
                <w:tcPr>
                  <w:tcW w:w="520" w:type="pct"/>
                  <w:vMerge w:val="continue"/>
                  <w:noWrap w:val="0"/>
                  <w:vAlign w:val="center"/>
                </w:tcPr>
                <w:p w14:paraId="79664F2C">
                  <w:pPr>
                    <w:pStyle w:val="74"/>
                    <w:rPr>
                      <w:rFonts w:hint="default" w:ascii="Times New Roman" w:hAnsi="Times New Roman" w:cs="Times New Roman"/>
                      <w:color w:val="auto"/>
                      <w:sz w:val="21"/>
                      <w:szCs w:val="21"/>
                      <w:highlight w:val="none"/>
                    </w:rPr>
                  </w:pPr>
                </w:p>
              </w:tc>
              <w:tc>
                <w:tcPr>
                  <w:tcW w:w="623" w:type="pct"/>
                  <w:vMerge w:val="continue"/>
                  <w:noWrap w:val="0"/>
                  <w:vAlign w:val="center"/>
                </w:tcPr>
                <w:p w14:paraId="5AC45B38">
                  <w:pPr>
                    <w:pStyle w:val="74"/>
                    <w:rPr>
                      <w:rFonts w:hint="default" w:ascii="Times New Roman" w:hAnsi="Times New Roman" w:cs="Times New Roman"/>
                      <w:color w:val="auto"/>
                      <w:sz w:val="21"/>
                      <w:szCs w:val="21"/>
                      <w:highlight w:val="none"/>
                    </w:rPr>
                  </w:pPr>
                </w:p>
              </w:tc>
              <w:tc>
                <w:tcPr>
                  <w:tcW w:w="505" w:type="pct"/>
                  <w:vMerge w:val="continue"/>
                  <w:noWrap w:val="0"/>
                  <w:vAlign w:val="center"/>
                </w:tcPr>
                <w:p w14:paraId="219AE5B7">
                  <w:pPr>
                    <w:pStyle w:val="74"/>
                    <w:rPr>
                      <w:rFonts w:hint="default" w:ascii="Times New Roman" w:hAnsi="Times New Roman" w:cs="Times New Roman"/>
                      <w:color w:val="auto"/>
                      <w:sz w:val="21"/>
                      <w:szCs w:val="21"/>
                      <w:highlight w:val="none"/>
                    </w:rPr>
                  </w:pPr>
                </w:p>
              </w:tc>
              <w:tc>
                <w:tcPr>
                  <w:tcW w:w="443" w:type="pct"/>
                  <w:vMerge w:val="continue"/>
                  <w:noWrap w:val="0"/>
                  <w:vAlign w:val="center"/>
                </w:tcPr>
                <w:p w14:paraId="2E7DEDA5">
                  <w:pPr>
                    <w:pStyle w:val="74"/>
                    <w:rPr>
                      <w:rFonts w:hint="default" w:ascii="Times New Roman" w:hAnsi="Times New Roman" w:cs="Times New Roman"/>
                      <w:color w:val="auto"/>
                      <w:sz w:val="21"/>
                      <w:szCs w:val="21"/>
                      <w:highlight w:val="none"/>
                    </w:rPr>
                  </w:pPr>
                </w:p>
              </w:tc>
            </w:tr>
          </w:tbl>
          <w:p w14:paraId="5CADCDFC">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sz w:val="24"/>
                <w:highlight w:val="none"/>
              </w:rPr>
            </w:pPr>
          </w:p>
          <w:p w14:paraId="39CC2A31">
            <w:pPr>
              <w:keepNext w:val="0"/>
              <w:keepLines w:val="0"/>
              <w:pageBreakBefore w:val="0"/>
              <w:widowControl w:val="0"/>
              <w:numPr>
                <w:ilvl w:val="0"/>
                <w:numId w:val="6"/>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主要污染物及源强</w:t>
            </w:r>
          </w:p>
          <w:p w14:paraId="5DB2885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本项目运营期产生的固体废物主要为生活垃圾、除尘器收尘、不合格石料、废活性炭、废导热油、除尘器废布袋、滴漏沥青及</w:t>
            </w:r>
            <w:r>
              <w:rPr>
                <w:rFonts w:hint="default" w:ascii="Times New Roman" w:hAnsi="Times New Roman" w:cs="Times New Roman"/>
                <w:color w:val="auto"/>
                <w:sz w:val="24"/>
                <w:highlight w:val="none"/>
                <w:lang w:eastAsia="zh-CN"/>
              </w:rPr>
              <w:t>拌合</w:t>
            </w:r>
            <w:r>
              <w:rPr>
                <w:rFonts w:hint="default" w:ascii="Times New Roman" w:hAnsi="Times New Roman" w:cs="Times New Roman"/>
                <w:color w:val="auto"/>
                <w:sz w:val="24"/>
                <w:highlight w:val="none"/>
              </w:rPr>
              <w:t>残渣。</w:t>
            </w:r>
          </w:p>
          <w:p w14:paraId="65F55A4D">
            <w:pPr>
              <w:keepNext w:val="0"/>
              <w:keepLines w:val="0"/>
              <w:pageBreakBefore w:val="0"/>
              <w:widowControl w:val="0"/>
              <w:numPr>
                <w:ilvl w:val="0"/>
                <w:numId w:val="7"/>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 w:val="24"/>
                <w:highlight w:val="none"/>
              </w:rPr>
              <w:t>一般固体废物</w:t>
            </w:r>
          </w:p>
          <w:p w14:paraId="5F9B3AE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（1）生活垃圾</w:t>
            </w:r>
          </w:p>
          <w:p w14:paraId="20F51CA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本项目建成后，职工生活办公区会有生活垃圾产生。本项目劳动定员为</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人，生活垃圾按每人0.5kg/d计算，生活垃圾产生量为</w:t>
            </w:r>
            <w:r>
              <w:rPr>
                <w:rFonts w:hint="default" w:ascii="Times New Roman" w:hAnsi="Times New Roman" w:cs="Times New Roman"/>
                <w:color w:val="auto"/>
                <w:sz w:val="24"/>
                <w:highlight w:val="none"/>
                <w:lang w:val="en-US" w:eastAsia="zh-CN"/>
              </w:rPr>
              <w:t>7.5</w:t>
            </w:r>
            <w:r>
              <w:rPr>
                <w:rFonts w:hint="default" w:ascii="Times New Roman" w:hAnsi="Times New Roman" w:cs="Times New Roman"/>
                <w:color w:val="auto"/>
                <w:sz w:val="24"/>
                <w:highlight w:val="none"/>
              </w:rPr>
              <w:t>kg/d、</w:t>
            </w:r>
            <w:r>
              <w:rPr>
                <w:rFonts w:hint="default" w:ascii="Times New Roman" w:hAnsi="Times New Roman" w:cs="Times New Roman"/>
                <w:color w:val="auto"/>
                <w:sz w:val="24"/>
                <w:highlight w:val="none"/>
                <w:lang w:val="en-US" w:eastAsia="zh-CN"/>
              </w:rPr>
              <w:t>1.125</w:t>
            </w:r>
            <w:r>
              <w:rPr>
                <w:rFonts w:hint="default" w:ascii="Times New Roman" w:hAnsi="Times New Roman" w:cs="Times New Roman"/>
                <w:color w:val="auto"/>
                <w:sz w:val="24"/>
                <w:highlight w:val="none"/>
              </w:rPr>
              <w:t>t/a。生活垃圾集中收集，由市政部门统一清运处理。</w:t>
            </w:r>
          </w:p>
          <w:p w14:paraId="6EE95E55">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（2）除尘器收尘</w:t>
            </w:r>
          </w:p>
          <w:p w14:paraId="4B506965">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本项目烘干滚筒及振动筛内混合废气中粉尘经旋风除尘器+布袋除尘器收集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经源强计算内容可知，除尘器收</w:t>
            </w:r>
            <w:r>
              <w:rPr>
                <w:rFonts w:hint="default" w:ascii="Times New Roman" w:hAnsi="Times New Roman" w:eastAsia="宋体" w:cs="Times New Roman"/>
                <w:color w:val="auto"/>
                <w:sz w:val="24"/>
                <w:highlight w:val="none"/>
              </w:rPr>
              <w:t>尘量为</w:t>
            </w:r>
            <w:r>
              <w:rPr>
                <w:rFonts w:hint="default" w:ascii="Times New Roman" w:hAnsi="Times New Roman" w:cs="Times New Roman"/>
                <w:color w:val="auto"/>
                <w:sz w:val="24"/>
                <w:highlight w:val="none"/>
                <w:lang w:val="en-US" w:eastAsia="zh-CN"/>
              </w:rPr>
              <w:t>23.7566</w:t>
            </w:r>
            <w:r>
              <w:rPr>
                <w:rFonts w:hint="default" w:ascii="Times New Roman" w:hAnsi="Times New Roman" w:eastAsia="宋体" w:cs="Times New Roman"/>
                <w:color w:val="auto"/>
                <w:sz w:val="24"/>
                <w:highlight w:val="none"/>
              </w:rPr>
              <w:t>t/a，集中收集后回用于生产。</w:t>
            </w:r>
            <w:r>
              <w:rPr>
                <w:rFonts w:hint="default" w:ascii="Times New Roman" w:hAnsi="Times New Roman" w:eastAsia="宋体" w:cs="Times New Roman"/>
                <w:color w:val="auto"/>
                <w:sz w:val="24"/>
                <w:highlight w:val="none"/>
                <w:lang w:val="en-US" w:eastAsia="zh-CN"/>
              </w:rPr>
              <w:t>本项目矿粉仓废气经布袋除尘器收集</w:t>
            </w:r>
            <w:r>
              <w:rPr>
                <w:rFonts w:hint="default" w:ascii="Times New Roman" w:hAnsi="Times New Roman" w:eastAsia="宋体" w:cs="Times New Roman"/>
                <w:color w:val="auto"/>
                <w:sz w:val="24"/>
                <w:highlight w:val="none"/>
              </w:rPr>
              <w:t>经源强计算内容可知，除尘器收尘量为</w:t>
            </w:r>
            <w:r>
              <w:rPr>
                <w:rFonts w:hint="default" w:ascii="Times New Roman" w:hAnsi="Times New Roman" w:eastAsia="宋体" w:cs="Times New Roman"/>
                <w:color w:val="auto"/>
                <w:sz w:val="24"/>
                <w:highlight w:val="none"/>
                <w:lang w:val="en-US" w:eastAsia="zh-CN"/>
              </w:rPr>
              <w:t>0.0594</w:t>
            </w:r>
            <w:r>
              <w:rPr>
                <w:rFonts w:hint="default" w:ascii="Times New Roman" w:hAnsi="Times New Roman" w:eastAsia="宋体" w:cs="Times New Roman"/>
                <w:color w:val="auto"/>
                <w:sz w:val="24"/>
                <w:highlight w:val="none"/>
              </w:rPr>
              <w:t>t/a，集中收集后回用于生产</w:t>
            </w:r>
            <w:r>
              <w:rPr>
                <w:rFonts w:hint="default" w:ascii="Times New Roman" w:hAnsi="Times New Roman" w:eastAsia="宋体" w:cs="Times New Roman"/>
                <w:color w:val="auto"/>
                <w:sz w:val="24"/>
                <w:highlight w:val="none"/>
                <w:lang w:eastAsia="zh-CN"/>
              </w:rPr>
              <w:t>。</w:t>
            </w:r>
          </w:p>
          <w:p w14:paraId="7B946334">
            <w:pPr>
              <w:pStyle w:val="29"/>
              <w:keepNext w:val="0"/>
              <w:keepLines w:val="0"/>
              <w:pageBreakBefore w:val="0"/>
              <w:widowControl w:val="0"/>
              <w:kinsoku/>
              <w:wordWrap/>
              <w:overflowPunct/>
              <w:topLinePunct w:val="0"/>
              <w:autoSpaceDE/>
              <w:autoSpaceDN/>
              <w:bidi w:val="0"/>
              <w:adjustRightInd w:val="0"/>
              <w:snapToGrid w:val="0"/>
              <w:spacing w:after="0" w:line="500" w:lineRule="exact"/>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4"/>
                <w:highlight w:val="none"/>
                <w:lang w:val="en-US" w:eastAsia="zh-CN"/>
              </w:rPr>
              <w:t>综上所述，除尘器收尘总量为</w:t>
            </w:r>
            <w:r>
              <w:rPr>
                <w:rFonts w:hint="default" w:ascii="Times New Roman" w:hAnsi="Times New Roman" w:cs="Times New Roman"/>
                <w:color w:val="auto"/>
                <w:kern w:val="2"/>
                <w:sz w:val="24"/>
                <w:szCs w:val="24"/>
                <w:highlight w:val="none"/>
                <w:lang w:val="en-US" w:eastAsia="zh-CN" w:bidi="ar-SA"/>
              </w:rPr>
              <w:t>23.816</w:t>
            </w:r>
            <w:r>
              <w:rPr>
                <w:rFonts w:hint="default" w:ascii="Times New Roman" w:hAnsi="Times New Roman" w:eastAsia="宋体" w:cs="Times New Roman"/>
                <w:color w:val="auto"/>
                <w:kern w:val="2"/>
                <w:sz w:val="24"/>
                <w:szCs w:val="24"/>
                <w:highlight w:val="none"/>
                <w:lang w:val="en-US" w:eastAsia="zh-CN" w:bidi="ar-SA"/>
              </w:rPr>
              <w:t>t</w:t>
            </w:r>
            <w:r>
              <w:rPr>
                <w:rFonts w:hint="default" w:ascii="Times New Roman" w:hAnsi="Times New Roman" w:cs="Times New Roman"/>
                <w:color w:val="auto"/>
                <w:sz w:val="24"/>
                <w:highlight w:val="none"/>
              </w:rPr>
              <w:t>/a</w:t>
            </w:r>
            <w:r>
              <w:rPr>
                <w:rFonts w:hint="default" w:ascii="Times New Roman" w:hAnsi="Times New Roman" w:cs="Times New Roman"/>
                <w:color w:val="auto"/>
                <w:sz w:val="24"/>
                <w:highlight w:val="none"/>
                <w:lang w:eastAsia="zh-CN"/>
              </w:rPr>
              <w:t>。</w:t>
            </w:r>
          </w:p>
          <w:p w14:paraId="5FA4ECE7">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（3）不合格石料</w:t>
            </w:r>
          </w:p>
          <w:p w14:paraId="160723B8">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 w:val="24"/>
                <w:highlight w:val="none"/>
              </w:rPr>
              <w:t>本项目石料经振动筛选取粒径大小合适的石料进入工艺中，粒径不符合要求的石料为不合格石料。</w:t>
            </w:r>
            <w:r>
              <w:rPr>
                <w:rFonts w:hint="default" w:ascii="Times New Roman" w:hAnsi="Times New Roman" w:cs="Times New Roman"/>
                <w:color w:val="auto"/>
                <w:sz w:val="24"/>
                <w:highlight w:val="none"/>
                <w:lang w:val="en-US" w:eastAsia="zh-CN"/>
              </w:rPr>
              <w:t>根据物料平衡</w:t>
            </w:r>
            <w:r>
              <w:rPr>
                <w:rFonts w:hint="default" w:ascii="Times New Roman" w:hAnsi="Times New Roman" w:cs="Times New Roman"/>
                <w:color w:val="auto"/>
                <w:sz w:val="24"/>
                <w:highlight w:val="none"/>
              </w:rPr>
              <w:t>，不合格石料</w:t>
            </w:r>
            <w:r>
              <w:rPr>
                <w:rFonts w:hint="default" w:ascii="Times New Roman" w:hAnsi="Times New Roman" w:eastAsia="宋体" w:cs="Times New Roman"/>
                <w:color w:val="auto"/>
                <w:kern w:val="2"/>
                <w:sz w:val="24"/>
                <w:szCs w:val="24"/>
                <w:highlight w:val="none"/>
                <w:lang w:val="en-US" w:eastAsia="zh-CN" w:bidi="ar-SA"/>
              </w:rPr>
              <w:t>量为</w:t>
            </w:r>
            <w:r>
              <w:rPr>
                <w:rFonts w:hint="default" w:ascii="Times New Roman" w:hAnsi="Times New Roman" w:cs="Times New Roman"/>
                <w:color w:val="auto"/>
                <w:kern w:val="2"/>
                <w:sz w:val="24"/>
                <w:szCs w:val="24"/>
                <w:highlight w:val="none"/>
                <w:lang w:val="en-US" w:eastAsia="zh-CN" w:bidi="ar-SA"/>
              </w:rPr>
              <w:t>72.757</w:t>
            </w:r>
            <w:r>
              <w:rPr>
                <w:rFonts w:hint="default" w:ascii="Times New Roman" w:hAnsi="Times New Roman" w:eastAsia="宋体" w:cs="Times New Roman"/>
                <w:color w:val="auto"/>
                <w:kern w:val="2"/>
                <w:sz w:val="24"/>
                <w:szCs w:val="24"/>
                <w:highlight w:val="none"/>
                <w:lang w:val="en-US" w:eastAsia="zh-CN" w:bidi="ar-SA"/>
              </w:rPr>
              <w:t>t/a。不合规格的石料被分离后排出，交由石料供应商回收处置。</w:t>
            </w:r>
          </w:p>
          <w:p w14:paraId="511D4A0E">
            <w:pPr>
              <w:keepNext w:val="0"/>
              <w:keepLines w:val="0"/>
              <w:pageBreakBefore w:val="0"/>
              <w:widowControl w:val="0"/>
              <w:kinsoku/>
              <w:wordWrap/>
              <w:overflowPunct/>
              <w:topLinePunct w:val="0"/>
              <w:autoSpaceDE/>
              <w:autoSpaceDN/>
              <w:bidi w:val="0"/>
              <w:adjustRightInd w:val="0"/>
              <w:snapToGrid w:val="0"/>
              <w:spacing w:line="500" w:lineRule="exact"/>
              <w:ind w:left="0" w:leftChars="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（4）除尘器废布袋</w:t>
            </w:r>
          </w:p>
          <w:p w14:paraId="49813316">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本项目除尘器除尘后会产生废布袋，产生量约为0.1t/a，废布袋集中收集，</w:t>
            </w:r>
            <w:r>
              <w:rPr>
                <w:rFonts w:hint="default" w:ascii="Times New Roman" w:hAnsi="Times New Roman" w:cs="Times New Roman"/>
                <w:color w:val="auto"/>
                <w:sz w:val="24"/>
                <w:highlight w:val="none"/>
                <w:lang w:val="en-US" w:eastAsia="zh-CN"/>
              </w:rPr>
              <w:t>厂家回收处理</w:t>
            </w:r>
            <w:r>
              <w:rPr>
                <w:rFonts w:hint="default" w:ascii="Times New Roman" w:hAnsi="Times New Roman" w:cs="Times New Roman"/>
                <w:color w:val="auto"/>
                <w:sz w:val="24"/>
                <w:highlight w:val="none"/>
                <w:lang w:eastAsia="zh-CN"/>
              </w:rPr>
              <w:t>。</w:t>
            </w:r>
          </w:p>
          <w:p w14:paraId="625BE15C">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）滴漏沥青及</w:t>
            </w:r>
            <w:r>
              <w:rPr>
                <w:rFonts w:hint="default" w:ascii="Times New Roman" w:hAnsi="Times New Roman" w:cs="Times New Roman"/>
                <w:color w:val="auto"/>
                <w:sz w:val="24"/>
                <w:szCs w:val="24"/>
                <w:highlight w:val="none"/>
                <w:lang w:eastAsia="zh-CN"/>
              </w:rPr>
              <w:t>拌合</w:t>
            </w:r>
            <w:r>
              <w:rPr>
                <w:rFonts w:hint="default" w:ascii="Times New Roman" w:hAnsi="Times New Roman" w:cs="Times New Roman"/>
                <w:color w:val="auto"/>
                <w:sz w:val="24"/>
                <w:szCs w:val="24"/>
                <w:highlight w:val="none"/>
              </w:rPr>
              <w:t>残渣</w:t>
            </w:r>
          </w:p>
          <w:p w14:paraId="5B4DA77B">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rPr>
              <w:t>当散装石油沥青运输车将石油沥青输入厂区内石油沥青储罐以及沥青泵将石油沥青从储罐打入拌缸时，由于接口的密闭性问题，会滴漏少量沥青，同时拌缸也会产生少量的</w:t>
            </w:r>
            <w:r>
              <w:rPr>
                <w:rFonts w:hint="default" w:ascii="Times New Roman" w:hAnsi="Times New Roman" w:cs="Times New Roman"/>
                <w:color w:val="auto"/>
                <w:sz w:val="24"/>
                <w:szCs w:val="24"/>
                <w:highlight w:val="none"/>
                <w:lang w:eastAsia="zh-CN"/>
              </w:rPr>
              <w:t>拌合</w:t>
            </w:r>
            <w:r>
              <w:rPr>
                <w:rFonts w:hint="default" w:ascii="Times New Roman" w:hAnsi="Times New Roman" w:cs="Times New Roman"/>
                <w:color w:val="auto"/>
                <w:sz w:val="24"/>
                <w:szCs w:val="24"/>
                <w:highlight w:val="none"/>
              </w:rPr>
              <w:t>残渣，滴漏沥青及</w:t>
            </w:r>
            <w:r>
              <w:rPr>
                <w:rFonts w:hint="default" w:ascii="Times New Roman" w:hAnsi="Times New Roman" w:cs="Times New Roman"/>
                <w:color w:val="auto"/>
                <w:sz w:val="24"/>
                <w:szCs w:val="24"/>
                <w:highlight w:val="none"/>
                <w:lang w:eastAsia="zh-CN"/>
              </w:rPr>
              <w:t>拌合</w:t>
            </w:r>
            <w:r>
              <w:rPr>
                <w:rFonts w:hint="default" w:ascii="Times New Roman" w:hAnsi="Times New Roman" w:cs="Times New Roman"/>
                <w:color w:val="auto"/>
                <w:sz w:val="24"/>
                <w:szCs w:val="24"/>
                <w:highlight w:val="none"/>
              </w:rPr>
              <w:t>残渣年产生量约为0.1t/a，作为原料回用于生产</w:t>
            </w:r>
            <w:r>
              <w:rPr>
                <w:rFonts w:hint="default" w:ascii="Times New Roman" w:hAnsi="Times New Roman" w:cs="Times New Roman"/>
                <w:color w:val="auto"/>
                <w:sz w:val="24"/>
                <w:szCs w:val="24"/>
                <w:highlight w:val="none"/>
                <w:lang w:eastAsia="zh-CN"/>
              </w:rPr>
              <w:t>。</w:t>
            </w:r>
          </w:p>
          <w:p w14:paraId="6CD4225A">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（二）危险废物</w:t>
            </w:r>
          </w:p>
          <w:p w14:paraId="0E5D740E">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（1）废活性炭（900-023-29）</w:t>
            </w:r>
          </w:p>
          <w:p w14:paraId="5E302121">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本项目活性炭吸附装置吸附沥青烟气，</w:t>
            </w:r>
            <w:r>
              <w:rPr>
                <w:rFonts w:hint="default" w:ascii="Times New Roman" w:hAnsi="Times New Roman" w:cs="Times New Roman"/>
                <w:color w:val="auto"/>
                <w:sz w:val="24"/>
                <w:highlight w:val="none"/>
                <w:lang w:val="en-US" w:eastAsia="zh-CN"/>
              </w:rPr>
              <w:t>每月更换一次</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吸附废气量为</w:t>
            </w:r>
            <w:r>
              <w:rPr>
                <w:rFonts w:hint="default" w:ascii="Times New Roman" w:hAnsi="Times New Roman" w:cs="Times New Roman"/>
                <w:color w:val="auto"/>
                <w:sz w:val="24"/>
                <w:highlight w:val="none"/>
                <w:lang w:val="en-US" w:eastAsia="zh-CN"/>
              </w:rPr>
              <w:t>1.9023</w:t>
            </w:r>
            <w:r>
              <w:rPr>
                <w:rFonts w:hint="default" w:ascii="Times New Roman" w:hAnsi="Times New Roman" w:eastAsia="宋体" w:cs="Times New Roman"/>
                <w:color w:val="auto"/>
                <w:sz w:val="24"/>
                <w:highlight w:val="none"/>
              </w:rPr>
              <w:t>t/a</w:t>
            </w:r>
            <w:r>
              <w:rPr>
                <w:rFonts w:hint="default" w:ascii="Times New Roman" w:hAnsi="Times New Roman" w:cs="Times New Roman"/>
                <w:color w:val="auto"/>
                <w:sz w:val="24"/>
                <w:highlight w:val="none"/>
              </w:rPr>
              <w:t>，按一般活性炭吸附能力25kg（废气）/100kg（活性炭）计，本项目废活性炭产生量为</w:t>
            </w:r>
            <w:r>
              <w:rPr>
                <w:rFonts w:hint="default" w:ascii="Times New Roman" w:hAnsi="Times New Roman" w:cs="Times New Roman"/>
                <w:color w:val="auto"/>
                <w:sz w:val="24"/>
                <w:highlight w:val="none"/>
                <w:lang w:val="en-US" w:eastAsia="zh-CN"/>
              </w:rPr>
              <w:t>9.5115</w:t>
            </w:r>
            <w:r>
              <w:rPr>
                <w:rFonts w:hint="default" w:ascii="Times New Roman" w:hAnsi="Times New Roman" w:cs="Times New Roman"/>
                <w:color w:val="auto"/>
                <w:sz w:val="24"/>
                <w:highlight w:val="none"/>
              </w:rPr>
              <w:t>t/a。根据《国家危险废物名录》（2025年版），本项目废活性炭属于危险废物HW49其他废物中900-041-49含有或沾染毒性、感染性危险废物的废弃包装物、容器、过滤吸附介质。为保证活性炭吸附效率，本项目废活性每</w:t>
            </w:r>
            <w:r>
              <w:rPr>
                <w:rFonts w:hint="default" w:ascii="Times New Roman" w:hAnsi="Times New Roman" w:cs="Times New Roman"/>
                <w:color w:val="auto"/>
                <w:sz w:val="24"/>
                <w:highlight w:val="none"/>
                <w:lang w:val="en-US" w:eastAsia="zh-CN"/>
              </w:rPr>
              <w:t>月</w:t>
            </w:r>
            <w:r>
              <w:rPr>
                <w:rFonts w:hint="default" w:ascii="Times New Roman" w:hAnsi="Times New Roman" w:cs="Times New Roman"/>
                <w:color w:val="auto"/>
                <w:sz w:val="24"/>
                <w:highlight w:val="none"/>
              </w:rPr>
              <w:t>更换一次。废活性炭暂存于危险废物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，委托有资质单位进行清运处理。</w:t>
            </w:r>
          </w:p>
          <w:p w14:paraId="6624A4B8">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（2）废导热油（900-249-08）</w:t>
            </w:r>
          </w:p>
          <w:p w14:paraId="6D902CEE">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本项目导热油炉每年更换一次导热油，废导热油产生量为0.</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t/a。根据《国家危险废物名录》（2025年版），本项目废导热油属于危险废物HW08废矿物油与含矿物油废物中900-249-08其他生产、销售、使用过程中产生的废矿物油及沾染矿物油的废弃包装物。本项目废导热油暂存在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，定期交由有资质单位处理。</w:t>
            </w:r>
          </w:p>
          <w:p w14:paraId="22F4648C">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）废焦油（900-249-08）</w:t>
            </w:r>
          </w:p>
          <w:p w14:paraId="008BEDA2">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本项目电捕焦油器处理沥青烟气时会产生废焦油，</w:t>
            </w:r>
            <w:r>
              <w:rPr>
                <w:rFonts w:hint="default" w:ascii="Times New Roman" w:hAnsi="Times New Roman" w:cs="Times New Roman"/>
                <w:color w:val="auto"/>
                <w:sz w:val="24"/>
                <w:highlight w:val="none"/>
                <w:lang w:val="en-US" w:eastAsia="zh-CN"/>
              </w:rPr>
              <w:t>本项目</w:t>
            </w:r>
            <w:r>
              <w:rPr>
                <w:rFonts w:hint="default" w:ascii="Times New Roman" w:hAnsi="Times New Roman" w:cs="Times New Roman"/>
                <w:color w:val="auto"/>
                <w:sz w:val="24"/>
                <w:highlight w:val="none"/>
              </w:rPr>
              <w:t>废焦油产生量约为</w:t>
            </w:r>
            <w:r>
              <w:rPr>
                <w:rFonts w:hint="default" w:ascii="Times New Roman" w:hAnsi="Times New Roman" w:cs="Times New Roman"/>
                <w:color w:val="auto"/>
                <w:sz w:val="24"/>
                <w:highlight w:val="none"/>
                <w:lang w:val="en-US" w:eastAsia="zh-CN"/>
              </w:rPr>
              <w:t>0.1</w:t>
            </w:r>
            <w:r>
              <w:rPr>
                <w:rFonts w:hint="default" w:ascii="Times New Roman" w:hAnsi="Times New Roman" w:cs="Times New Roman"/>
                <w:color w:val="auto"/>
                <w:sz w:val="24"/>
                <w:highlight w:val="none"/>
              </w:rPr>
              <w:t>t/a。根据《国家危险废物名录》（2025年版），本项目废焦油属于危险废物HW08 废矿物油与含矿物油废物中 900-249-08 其他生产、销售、使用过程中产生的废矿物油及沾染矿物油的废弃包装物。本项目废焦油污暂存在危废</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，定期交由有资质单位处理。</w:t>
            </w:r>
          </w:p>
          <w:p w14:paraId="2F49F388">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）废机油（900-249-08）</w:t>
            </w:r>
          </w:p>
          <w:p w14:paraId="6853BEE5">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项目维修工序就近委托附近机械维修站，车辆、机械设备每半年更换一次机油，废机油产生量约为0.05t/a，外委附近机械维修站进行更换，厂区内不进行储存。</w:t>
            </w:r>
          </w:p>
          <w:p w14:paraId="08A67B47">
            <w:pPr>
              <w:pStyle w:val="68"/>
              <w:adjustRightInd w:val="0"/>
              <w:snapToGrid w:val="0"/>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油泥（900-221-08）</w:t>
            </w:r>
          </w:p>
          <w:p w14:paraId="44BBCD8A">
            <w:pPr>
              <w:pStyle w:val="68"/>
              <w:adjustRightInd w:val="0"/>
              <w:snapToGrid w:val="0"/>
              <w:spacing w:line="500" w:lineRule="exact"/>
              <w:ind w:firstLine="48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柴油罐经过长期使用，在罐底积累的底泥需定时清除</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隔油沉淀池长期使用，在池底积累的底泥需定期清除</w:t>
            </w:r>
            <w:r>
              <w:rPr>
                <w:rFonts w:hint="default" w:ascii="Times New Roman" w:hAnsi="Times New Roman" w:cs="Times New Roman"/>
                <w:color w:val="auto"/>
                <w:sz w:val="24"/>
                <w:highlight w:val="none"/>
              </w:rPr>
              <w:t>。根据《国家危险废物名录》，油泥属于国家危险废物（类别：HW08，代码：900-221-08），更换后直接交有危险废物处置资质单位处理，不在厂区内储存，</w:t>
            </w:r>
            <w:r>
              <w:rPr>
                <w:rFonts w:hint="default" w:ascii="Times New Roman" w:hAnsi="Times New Roman" w:cs="Times New Roman"/>
                <w:color w:val="auto"/>
                <w:sz w:val="24"/>
                <w:highlight w:val="none"/>
                <w:lang w:val="en-US" w:eastAsia="zh-CN"/>
              </w:rPr>
              <w:t>柴油罐</w:t>
            </w:r>
            <w:r>
              <w:rPr>
                <w:rFonts w:hint="default" w:ascii="Times New Roman" w:hAnsi="Times New Roman" w:cs="Times New Roman"/>
                <w:color w:val="auto"/>
                <w:sz w:val="24"/>
                <w:highlight w:val="none"/>
              </w:rPr>
              <w:t>频率为5年一次，</w:t>
            </w:r>
            <w:r>
              <w:rPr>
                <w:rFonts w:hint="default" w:ascii="Times New Roman" w:hAnsi="Times New Roman" w:cs="Times New Roman"/>
                <w:color w:val="auto"/>
                <w:sz w:val="24"/>
                <w:highlight w:val="none"/>
                <w:lang w:val="en-US" w:eastAsia="zh-CN"/>
              </w:rPr>
              <w:t>隔油沉淀池清理频次为2年一次，</w:t>
            </w:r>
            <w:r>
              <w:rPr>
                <w:rFonts w:hint="default" w:ascii="Times New Roman" w:hAnsi="Times New Roman" w:cs="Times New Roman"/>
                <w:color w:val="auto"/>
                <w:sz w:val="24"/>
                <w:highlight w:val="none"/>
              </w:rPr>
              <w:t>产生量为0.</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t/5a</w:t>
            </w:r>
            <w:r>
              <w:rPr>
                <w:rFonts w:hint="default" w:ascii="Times New Roman" w:hAnsi="Times New Roman" w:cs="Times New Roman"/>
                <w:color w:val="auto"/>
                <w:sz w:val="24"/>
                <w:highlight w:val="none"/>
                <w:lang w:eastAsia="zh-CN"/>
              </w:rPr>
              <w:t>。</w:t>
            </w:r>
          </w:p>
          <w:p w14:paraId="15864095">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2、危险废物影响分析</w:t>
            </w:r>
          </w:p>
          <w:p w14:paraId="2B10E765">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1、分类收集</w:t>
            </w:r>
          </w:p>
          <w:p w14:paraId="3B644DD3">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企业产生的危险废物在未外送之前</w:t>
            </w:r>
            <w:r>
              <w:rPr>
                <w:rFonts w:hint="default" w:ascii="Times New Roman" w:hAnsi="Times New Roman" w:cs="Times New Roman"/>
                <w:color w:val="auto"/>
                <w:sz w:val="24"/>
                <w:highlight w:val="none"/>
                <w:lang w:val="en-US" w:eastAsia="zh-CN"/>
              </w:rPr>
              <w:t>均密闭贮存，</w:t>
            </w:r>
            <w:r>
              <w:rPr>
                <w:rFonts w:hint="default" w:ascii="Times New Roman" w:hAnsi="Times New Roman" w:cs="Times New Roman"/>
                <w:color w:val="auto"/>
                <w:sz w:val="24"/>
                <w:highlight w:val="none"/>
              </w:rPr>
              <w:t>临时贮存参照《</w:t>
            </w:r>
            <w:r>
              <w:rPr>
                <w:rFonts w:hint="default" w:ascii="Times New Roman" w:hAnsi="Times New Roman" w:cs="Times New Roman"/>
                <w:color w:val="auto"/>
                <w:sz w:val="24"/>
                <w:highlight w:val="none"/>
                <w:lang w:eastAsia="zh-CN"/>
              </w:rPr>
              <w:t>危险废物贮存污染控制标准</w:t>
            </w:r>
            <w:r>
              <w:rPr>
                <w:rFonts w:hint="default" w:ascii="Times New Roman" w:hAnsi="Times New Roman" w:cs="Times New Roman"/>
                <w:color w:val="auto"/>
                <w:sz w:val="24"/>
                <w:highlight w:val="none"/>
              </w:rPr>
              <w:t>》（GB18597-2023）中关于一般要求、贮存容器、贮存设施设计原则、运行管理和安全防护等内容执行。企业在厂区</w:t>
            </w:r>
            <w:r>
              <w:rPr>
                <w:rFonts w:hint="default" w:ascii="Times New Roman" w:hAnsi="Times New Roman" w:cs="Times New Roman"/>
                <w:color w:val="auto"/>
                <w:sz w:val="24"/>
                <w:highlight w:val="none"/>
                <w:lang w:val="en-US" w:eastAsia="zh-CN"/>
              </w:rPr>
              <w:t>中部</w:t>
            </w:r>
            <w:r>
              <w:rPr>
                <w:rFonts w:hint="default" w:ascii="Times New Roman" w:hAnsi="Times New Roman" w:cs="Times New Roman"/>
                <w:color w:val="auto"/>
                <w:sz w:val="24"/>
                <w:highlight w:val="none"/>
              </w:rPr>
              <w:t>设置一间建筑面积为10m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的危险废物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。建设单位收集、临时储存危险废物应严格执行</w:t>
            </w:r>
            <w:r>
              <w:rPr>
                <w:rFonts w:hint="default" w:ascii="Times New Roman" w:hAnsi="Times New Roman" w:cs="Times New Roman"/>
                <w:color w:val="auto"/>
                <w:highlight w:val="none"/>
              </w:rPr>
              <w:t>《</w:t>
            </w:r>
            <w:r>
              <w:rPr>
                <w:rFonts w:hint="default" w:ascii="Times New Roman" w:hAnsi="Times New Roman" w:cs="Times New Roman"/>
                <w:color w:val="auto"/>
                <w:sz w:val="24"/>
                <w:highlight w:val="none"/>
              </w:rPr>
              <w:t>危险废物贮存污染控制标准》（GB18597-2023）要求，危险废物收集、暂存措施如下：</w:t>
            </w:r>
          </w:p>
          <w:p w14:paraId="7FB29DCC">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a.本项目废机油、废导热油</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废焦油</w:t>
            </w:r>
            <w:r>
              <w:rPr>
                <w:rFonts w:hint="default" w:ascii="Times New Roman" w:hAnsi="Times New Roman" w:cs="Times New Roman"/>
                <w:color w:val="auto"/>
                <w:sz w:val="24"/>
                <w:highlight w:val="none"/>
              </w:rPr>
              <w:t>等液体危险废物采用其原料包装桶进行盛装，危险废物储存过程中无渗滤液产生且地面及墙裙均按照《危险废物贮存污染控制标准》（GB18597-2023）进行防渗，</w:t>
            </w:r>
            <w:r>
              <w:rPr>
                <w:rFonts w:hint="default" w:ascii="Times New Roman" w:hAnsi="Times New Roman" w:cs="Times New Roman"/>
                <w:color w:val="auto"/>
                <w:sz w:val="24"/>
                <w:highlight w:val="none"/>
                <w:lang w:val="en-US" w:eastAsia="zh-CN"/>
              </w:rPr>
              <w:t>隔油沉淀</w:t>
            </w:r>
            <w:r>
              <w:rPr>
                <w:rFonts w:hint="default" w:ascii="Times New Roman" w:hAnsi="Times New Roman" w:cs="Times New Roman"/>
                <w:color w:val="auto"/>
                <w:sz w:val="24"/>
                <w:highlight w:val="none"/>
              </w:rPr>
              <w:t>池</w:t>
            </w:r>
            <w:r>
              <w:rPr>
                <w:rFonts w:hint="default" w:ascii="Times New Roman" w:hAnsi="Times New Roman" w:cs="Times New Roman"/>
                <w:color w:val="auto"/>
                <w:sz w:val="24"/>
                <w:highlight w:val="none"/>
                <w:lang w:val="en-US" w:eastAsia="zh-CN"/>
              </w:rPr>
              <w:t>油泥</w:t>
            </w:r>
            <w:r>
              <w:rPr>
                <w:rFonts w:hint="default" w:ascii="Times New Roman" w:hAnsi="Times New Roman" w:cs="Times New Roman"/>
                <w:color w:val="auto"/>
                <w:sz w:val="24"/>
                <w:highlight w:val="none"/>
              </w:rPr>
              <w:t>更换后直接交有危险废物处置资质单位处理，不在厂区内储存，因此正常情况下对环境空气、地表水、地下水、土壤和居民区、饮用水井、农田等保护目标无影响。</w:t>
            </w:r>
          </w:p>
          <w:p w14:paraId="419F244C">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b.危险废物包装桶应分类暂存，及时交由有资质单位处置。</w:t>
            </w:r>
          </w:p>
          <w:p w14:paraId="2F88A24B">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c.对危险废物的容器和包装物以及收集、贮存的设施、场所，必须设置危险废物识别标志。</w:t>
            </w:r>
          </w:p>
          <w:p w14:paraId="602CF3FB">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d.危险废物</w:t>
            </w:r>
            <w:r>
              <w:rPr>
                <w:rFonts w:hint="default" w:ascii="Times New Roman" w:hAnsi="Times New Roman" w:cs="Times New Roman"/>
                <w:color w:val="auto"/>
                <w:sz w:val="24"/>
                <w:highlight w:val="none"/>
                <w:lang w:val="en-US" w:eastAsia="zh-CN"/>
              </w:rPr>
              <w:t>贮存点</w:t>
            </w:r>
            <w:r>
              <w:rPr>
                <w:rFonts w:hint="default" w:ascii="Times New Roman" w:hAnsi="Times New Roman" w:cs="Times New Roman"/>
                <w:color w:val="auto"/>
                <w:sz w:val="24"/>
                <w:highlight w:val="none"/>
              </w:rPr>
              <w:t>地面与裙脚要用坚固、防渗的材料制造，建筑材料必须与危险废物相容。</w:t>
            </w:r>
          </w:p>
          <w:p w14:paraId="567582A0">
            <w:pPr>
              <w:pStyle w:val="68"/>
              <w:adjustRightInd w:val="0"/>
              <w:snapToGrid w:val="0"/>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e.</w:t>
            </w:r>
            <w:r>
              <w:rPr>
                <w:rFonts w:hint="default" w:ascii="Times New Roman" w:hAnsi="Times New Roman" w:cs="Times New Roman"/>
                <w:color w:val="auto"/>
                <w:sz w:val="24"/>
                <w:highlight w:val="none"/>
                <w:lang w:val="en-US" w:eastAsia="zh-CN"/>
              </w:rPr>
              <w:t>危险废物贮存点应设置事故围堰、导流槽及事故池，危险废物贮存点围堰设计高度为0.15m，安全围堰有效容积不得小于1m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，事故池容积为1m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本项目暂存各危险废物收集后均置于封闭容器内，不易挥发，危废贮存点设置通风设施。</w:t>
            </w:r>
          </w:p>
          <w:p w14:paraId="3515A56F">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f.贮存的危险废物直接接触地面的，危险废物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基础必须防渗，防渗层为至少1m厚的粘土层（渗透系数≤10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cm/s），或大于2mm厚的高密度聚乙烯或至少2mm厚的其他人工防渗材料（渗透系数≤10</w:t>
            </w:r>
            <w:r>
              <w:rPr>
                <w:rFonts w:hint="default" w:ascii="Times New Roman" w:hAnsi="Times New Roman" w:cs="Times New Roman"/>
                <w:color w:val="auto"/>
                <w:sz w:val="24"/>
                <w:highlight w:val="none"/>
                <w:vertAlign w:val="superscript"/>
              </w:rPr>
              <w:t>-10</w:t>
            </w:r>
            <w:r>
              <w:rPr>
                <w:rFonts w:hint="default" w:ascii="Times New Roman" w:hAnsi="Times New Roman" w:cs="Times New Roman"/>
                <w:color w:val="auto"/>
                <w:sz w:val="24"/>
                <w:highlight w:val="none"/>
              </w:rPr>
              <w:t>cm/s）。</w:t>
            </w:r>
          </w:p>
          <w:p w14:paraId="501E94C0">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g.衬里要放在基础或底座上，要与危险废物相容。</w:t>
            </w:r>
          </w:p>
          <w:p w14:paraId="552F4CCF">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h.</w:t>
            </w:r>
            <w:r>
              <w:rPr>
                <w:rFonts w:hint="default" w:ascii="Times New Roman" w:hAnsi="Times New Roman" w:cs="Times New Roman"/>
                <w:color w:val="auto"/>
                <w:sz w:val="24"/>
                <w:highlight w:val="none"/>
              </w:rPr>
              <w:t>需做好危险废物情况的记录，记录上须注明危险废物名称、来源、数量、特性和包装容器的类别、入库日期，废物出库日期及委托处理的单位名称等。</w:t>
            </w:r>
          </w:p>
          <w:p w14:paraId="2A2979CB">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2、废物运输要求</w:t>
            </w:r>
          </w:p>
          <w:p w14:paraId="1DA63DDD">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危险废物运输应委托具备危险废物经营许可证单位进行。其运输转移时应严格遵守《危险废物转移管理办法》要求，在收集、运输过程中，建设单位应做到以下要求：</w:t>
            </w:r>
          </w:p>
          <w:p w14:paraId="5BA4ACAD">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危险废物托运人（以下简称托运人）应当按照国家危险货物相关标准确定危险废物对应危险货物的类别、项别、编号等，并委托具备相应危险货物运输资质的单位承运危险废物，依法签订运输合同。</w:t>
            </w:r>
          </w:p>
          <w:p w14:paraId="5493B50B">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采用包装方式运输危险废物的，应当妥善包装，并按照国家有关标准在外包装上设置相应的识别标志。</w:t>
            </w:r>
          </w:p>
          <w:p w14:paraId="7C78E045">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装载危险废物时，托运人应当核实承运人、运输工具及收运人员是否具有相应经营范围的有效危险货物运输许可证件，以及待转移的危险废物识别标志中的相关信息与危险废物转移联单是否相符；不相符的，应当不予装载。装载采用包装方式运输的危险废物的，应当确保将包装完好的危险废物交付承运人。</w:t>
            </w:r>
          </w:p>
          <w:p w14:paraId="0A69CD64">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建设单位在运行投产前，应委托有危险废物处置资质的单位并签订委托协议。</w:t>
            </w:r>
          </w:p>
          <w:p w14:paraId="03AD3A69">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3、贮存场所（设施）设置合理性分析</w:t>
            </w:r>
          </w:p>
          <w:p w14:paraId="413FCD19">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的设置按照《危险废物贮存污染控制标准》（GB18597-2023）要求进行。危险废物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地面进行防渗；地面与裙脚要用坚固、防渗的材料建造，建筑材料必须与危险废物相容；必须有泄漏液体收集装置；按照GB15562的规定设置警示标志等，在采取以上措施后，可大大降低对地下水、土壤造成的影响。</w:t>
            </w:r>
          </w:p>
          <w:p w14:paraId="767E0648">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根据《危险废物贮存污染控制标准》（GB18597-2023），本项目危险废物贮存场所不属于贮存易产生粉尘、VO</w:t>
            </w:r>
            <w:r>
              <w:rPr>
                <w:rFonts w:hint="default" w:ascii="Times New Roman" w:hAnsi="Times New Roman" w:cs="Times New Roman"/>
                <w:color w:val="auto"/>
                <w:sz w:val="24"/>
                <w:highlight w:val="none"/>
                <w:lang w:val="en-US" w:eastAsia="zh-CN"/>
              </w:rPr>
              <w:t>C</w:t>
            </w:r>
            <w:r>
              <w:rPr>
                <w:rFonts w:hint="default" w:ascii="Times New Roman" w:hAnsi="Times New Roman" w:cs="Times New Roman"/>
                <w:color w:val="auto"/>
                <w:sz w:val="24"/>
                <w:highlight w:val="none"/>
              </w:rPr>
              <w:t>s、酸雾、有毒有害大气污染物和刺激性气味气体的危险废物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，无需建设气体收集装置和气体净化设施。</w:t>
            </w:r>
          </w:p>
          <w:p w14:paraId="760957DE">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本项目贮存场所严格按照《危险废物贮存污染控制标准》（GB18597-2023）进行，对外环境影响较小，因此本项目贮存场所（设施）设置合理。</w:t>
            </w:r>
          </w:p>
          <w:p w14:paraId="4F0FAB68">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4、运输过程</w:t>
            </w:r>
          </w:p>
          <w:p w14:paraId="76693AF1">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危险废物在转运过程中如遇恶劣天气、驾驶人员操作不当或运输车辆行驶部件、装卸系统、安全附件、储运容器的安全性能不好均会造成危险废物的泄露，对沿线居民和环境质量造成影响。本次环评提出对运输人员加强专业培训、定期对运输车辆进行检修、对储存容器定期检查、配备齐全的安全附件、做好包装外的识别标识等措施，可大大降低危险废物泄露的风险。</w:t>
            </w:r>
          </w:p>
          <w:p w14:paraId="7660611B">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5、委托利用或者处置方式</w:t>
            </w:r>
          </w:p>
          <w:p w14:paraId="5996E1EB">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建设单位在运行投产前，应委托有危险废物处置资质的单位并签订委托协议。</w:t>
            </w:r>
          </w:p>
          <w:p w14:paraId="06B9A0BD">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综上所述，采取上述措施后，本项目固体废物均可得到妥善处理，不排放至外环境，对周围环境造成的影响较小。</w:t>
            </w:r>
          </w:p>
          <w:p w14:paraId="275A4DF2">
            <w:pPr>
              <w:adjustRightInd w:val="0"/>
              <w:snapToGrid w:val="0"/>
              <w:spacing w:line="500" w:lineRule="exact"/>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五、</w:t>
            </w:r>
            <w:bookmarkEnd w:id="65"/>
            <w:bookmarkEnd w:id="66"/>
            <w:r>
              <w:rPr>
                <w:rFonts w:hint="default" w:ascii="Times New Roman" w:hAnsi="Times New Roman" w:cs="Times New Roman"/>
                <w:b/>
                <w:bCs/>
                <w:color w:val="auto"/>
                <w:sz w:val="24"/>
                <w:highlight w:val="none"/>
              </w:rPr>
              <w:t>环境风险</w:t>
            </w:r>
          </w:p>
          <w:p w14:paraId="33695709">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1、评价依据</w:t>
            </w:r>
          </w:p>
          <w:p w14:paraId="64D0BDA2">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（1）风险物质调查</w:t>
            </w:r>
          </w:p>
          <w:p w14:paraId="199514F3">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附录B，计算所涉及的每种危险物质在厂界内的最大总量与其在《建设项目环境风险评价技术导则》（HJ169-2018）附录B中对应临界量的比值Q。在不同厂区内的同一种物质，按照其在厂界的最大存在总量计算。对于长输管线项目，按照两个截断阀室之间管段危险物质最大存在总量计算。</w:t>
            </w:r>
          </w:p>
          <w:p w14:paraId="0DC412FD">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当只涉及一种危险物质时，计算该物质的总量与其临界量比值，即为</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rPr>
              <w:t>；</w:t>
            </w:r>
          </w:p>
          <w:p w14:paraId="2E43E9DD">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当存在多种危险物质时，则按照下式计算物质数量与其临界量比值（</w:t>
            </w:r>
            <w:r>
              <w:rPr>
                <w:rFonts w:hint="default" w:ascii="Times New Roman" w:hAnsi="Times New Roman" w:cs="Times New Roman"/>
                <w:i/>
                <w:color w:val="auto"/>
                <w:sz w:val="24"/>
                <w:highlight w:val="none"/>
              </w:rPr>
              <w:t>Q</w:t>
            </w:r>
            <w:r>
              <w:rPr>
                <w:rFonts w:hint="default" w:ascii="Times New Roman" w:hAnsi="Times New Roman" w:cs="Times New Roman"/>
                <w:color w:val="auto"/>
                <w:sz w:val="24"/>
                <w:highlight w:val="none"/>
              </w:rPr>
              <w:t>）：</w:t>
            </w:r>
          </w:p>
          <w:p w14:paraId="20E03504">
            <w:pPr>
              <w:pStyle w:val="68"/>
              <w:adjustRightInd w:val="0"/>
              <w:snapToGrid w:val="0"/>
              <w:spacing w:line="276" w:lineRule="auto"/>
              <w:ind w:firstLine="480"/>
              <w:rPr>
                <w:rFonts w:hint="default" w:ascii="Times New Roman" w:hAnsi="Times New Roman" w:cs="Times New Roman"/>
                <w:color w:val="auto"/>
                <w:sz w:val="24"/>
                <w:highlight w:val="none"/>
              </w:rPr>
            </w:pPr>
            <m:oMathPara>
              <m:oMath>
                <m:r>
                  <m:rPr>
                    <m:nor/>
                  </m:rPr>
                  <w:rPr>
                    <w:rFonts w:hint="default" w:ascii="Times New Roman" w:hAnsi="Times New Roman" w:cs="Times New Roman"/>
                    <w:i/>
                    <w:color w:val="auto"/>
                    <w:sz w:val="24"/>
                    <w:highlight w:val="none"/>
                  </w:rPr>
                  <m:t>Q</m:t>
                </m:r>
                <m:r>
                  <m:rPr>
                    <m:nor/>
                    <m:sty m:val="p"/>
                  </m:rPr>
                  <w:rPr>
                    <w:rFonts w:hint="default" w:ascii="Times New Roman" w:hAnsi="Times New Roman" w:cs="Times New Roman"/>
                    <w:b w:val="0"/>
                    <w:i w:val="0"/>
                    <w:color w:val="auto"/>
                    <w:sz w:val="24"/>
                    <w:highlight w:val="none"/>
                  </w:rPr>
                  <m:t>=</m:t>
                </m:r>
                <m:f>
                  <m:fPr>
                    <m:ctrlPr>
                      <w:rPr>
                        <w:rFonts w:hint="default" w:ascii="Cambria Math" w:hAnsi="Cambria Math" w:cs="Times New Roman"/>
                        <w:color w:val="auto"/>
                        <w:sz w:val="24"/>
                        <w:highlight w:val="none"/>
                      </w:rPr>
                    </m:ctrlPr>
                  </m:fPr>
                  <m:num>
                    <m:sSub>
                      <m:sSubPr>
                        <m:ctrlPr>
                          <w:rPr>
                            <w:rFonts w:hint="default" w:ascii="Cambria Math" w:hAnsi="Cambria Math" w:cs="Times New Roman"/>
                            <w:i/>
                            <w:color w:val="auto"/>
                            <w:sz w:val="24"/>
                            <w:highlight w:val="none"/>
                          </w:rPr>
                        </m:ctrlPr>
                      </m:sSubPr>
                      <m:e>
                        <m:r>
                          <m:rPr>
                            <m:nor/>
                          </m:rPr>
                          <w:rPr>
                            <w:rFonts w:hint="default" w:ascii="Times New Roman" w:hAnsi="Times New Roman" w:cs="Times New Roman"/>
                            <w:i/>
                            <w:color w:val="auto"/>
                            <w:sz w:val="24"/>
                            <w:highlight w:val="none"/>
                          </w:rPr>
                          <m:t>q</m:t>
                        </m:r>
                        <m:ctrlPr>
                          <w:rPr>
                            <w:rFonts w:hint="default" w:ascii="Cambria Math" w:hAnsi="Cambria Math" w:cs="Times New Roman"/>
                            <w:i/>
                            <w:color w:val="auto"/>
                            <w:sz w:val="24"/>
                            <w:highlight w:val="none"/>
                          </w:rPr>
                        </m:ctrlPr>
                      </m:e>
                      <m:sub>
                        <m:r>
                          <m:rPr>
                            <m:nor/>
                            <m:sty m:val="p"/>
                          </m:rPr>
                          <w:rPr>
                            <w:rFonts w:hint="default" w:ascii="Times New Roman" w:hAnsi="Times New Roman" w:cs="Times New Roman"/>
                            <w:b w:val="0"/>
                            <w:i w:val="0"/>
                            <w:color w:val="auto"/>
                            <w:sz w:val="24"/>
                            <w:highlight w:val="none"/>
                          </w:rPr>
                          <m:t>1</m:t>
                        </m:r>
                        <m:ctrlPr>
                          <w:rPr>
                            <w:rFonts w:hint="default" w:ascii="Cambria Math" w:hAnsi="Cambria Math" w:cs="Times New Roman"/>
                            <w:i/>
                            <w:color w:val="auto"/>
                            <w:sz w:val="24"/>
                            <w:highlight w:val="none"/>
                          </w:rPr>
                        </m:ctrlPr>
                      </m:sub>
                    </m:sSub>
                    <m:ctrlPr>
                      <w:rPr>
                        <w:rFonts w:hint="default" w:ascii="Cambria Math" w:hAnsi="Cambria Math" w:cs="Times New Roman"/>
                        <w:i/>
                        <w:color w:val="auto"/>
                        <w:sz w:val="24"/>
                        <w:highlight w:val="none"/>
                      </w:rPr>
                    </m:ctrlPr>
                  </m:num>
                  <m:den>
                    <m:sSub>
                      <m:sSubPr>
                        <m:ctrlPr>
                          <w:rPr>
                            <w:rFonts w:hint="default" w:ascii="Cambria Math" w:hAnsi="Cambria Math" w:cs="Times New Roman"/>
                            <w:i/>
                            <w:color w:val="auto"/>
                            <w:sz w:val="24"/>
                            <w:highlight w:val="none"/>
                          </w:rPr>
                        </m:ctrlPr>
                      </m:sSubPr>
                      <m:e>
                        <m:r>
                          <m:rPr>
                            <m:nor/>
                          </m:rPr>
                          <w:rPr>
                            <w:rFonts w:hint="default" w:ascii="Times New Roman" w:hAnsi="Times New Roman" w:cs="Times New Roman"/>
                            <w:i/>
                            <w:color w:val="auto"/>
                            <w:sz w:val="24"/>
                            <w:highlight w:val="none"/>
                          </w:rPr>
                          <m:t>Q</m:t>
                        </m:r>
                        <m:ctrlPr>
                          <w:rPr>
                            <w:rFonts w:hint="default" w:ascii="Cambria Math" w:hAnsi="Cambria Math" w:cs="Times New Roman"/>
                            <w:i/>
                            <w:color w:val="auto"/>
                            <w:sz w:val="24"/>
                            <w:highlight w:val="none"/>
                          </w:rPr>
                        </m:ctrlPr>
                      </m:e>
                      <m:sub>
                        <m:r>
                          <m:rPr>
                            <m:nor/>
                            <m:sty m:val="p"/>
                          </m:rPr>
                          <w:rPr>
                            <w:rFonts w:hint="default" w:ascii="Times New Roman" w:hAnsi="Times New Roman" w:cs="Times New Roman"/>
                            <w:b w:val="0"/>
                            <w:i w:val="0"/>
                            <w:color w:val="auto"/>
                            <w:sz w:val="24"/>
                            <w:highlight w:val="none"/>
                          </w:rPr>
                          <m:t>1</m:t>
                        </m:r>
                        <m:ctrlPr>
                          <w:rPr>
                            <w:rFonts w:hint="default" w:ascii="Cambria Math" w:hAnsi="Cambria Math" w:cs="Times New Roman"/>
                            <w:i/>
                            <w:color w:val="auto"/>
                            <w:sz w:val="24"/>
                            <w:highlight w:val="none"/>
                          </w:rPr>
                        </m:ctrlPr>
                      </m:sub>
                    </m:sSub>
                    <m:ctrlPr>
                      <w:rPr>
                        <w:rFonts w:hint="default" w:ascii="Cambria Math" w:hAnsi="Cambria Math" w:cs="Times New Roman"/>
                        <w:i/>
                        <w:color w:val="auto"/>
                        <w:sz w:val="24"/>
                        <w:highlight w:val="none"/>
                      </w:rPr>
                    </m:ctrlPr>
                  </m:den>
                </m:f>
                <m:r>
                  <m:rPr>
                    <m:nor/>
                    <m:sty m:val="p"/>
                  </m:rPr>
                  <w:rPr>
                    <w:rFonts w:hint="default" w:ascii="Times New Roman" w:hAnsi="Times New Roman" w:cs="Times New Roman"/>
                    <w:b w:val="0"/>
                    <w:i w:val="0"/>
                    <w:color w:val="auto"/>
                    <w:sz w:val="24"/>
                    <w:highlight w:val="none"/>
                  </w:rPr>
                  <m:t>+</m:t>
                </m:r>
                <m:f>
                  <m:fPr>
                    <m:ctrlPr>
                      <w:rPr>
                        <w:rFonts w:hint="default" w:ascii="Cambria Math" w:hAnsi="Cambria Math" w:cs="Times New Roman"/>
                        <w:i/>
                        <w:color w:val="auto"/>
                        <w:sz w:val="24"/>
                        <w:highlight w:val="none"/>
                      </w:rPr>
                    </m:ctrlPr>
                  </m:fPr>
                  <m:num>
                    <m:sSub>
                      <m:sSubPr>
                        <m:ctrlPr>
                          <w:rPr>
                            <w:rFonts w:hint="default" w:ascii="Cambria Math" w:hAnsi="Cambria Math" w:cs="Times New Roman"/>
                            <w:i/>
                            <w:color w:val="auto"/>
                            <w:sz w:val="24"/>
                            <w:highlight w:val="none"/>
                          </w:rPr>
                        </m:ctrlPr>
                      </m:sSubPr>
                      <m:e>
                        <m:r>
                          <m:rPr>
                            <m:nor/>
                          </m:rPr>
                          <w:rPr>
                            <w:rFonts w:hint="default" w:ascii="Times New Roman" w:hAnsi="Times New Roman" w:cs="Times New Roman"/>
                            <w:i/>
                            <w:color w:val="auto"/>
                            <w:sz w:val="24"/>
                            <w:highlight w:val="none"/>
                          </w:rPr>
                          <m:t>q</m:t>
                        </m:r>
                        <m:ctrlPr>
                          <w:rPr>
                            <w:rFonts w:hint="default" w:ascii="Cambria Math" w:hAnsi="Cambria Math" w:cs="Times New Roman"/>
                            <w:i/>
                            <w:color w:val="auto"/>
                            <w:sz w:val="24"/>
                            <w:highlight w:val="none"/>
                          </w:rPr>
                        </m:ctrlPr>
                      </m:e>
                      <m:sub>
                        <m:r>
                          <m:rPr>
                            <m:nor/>
                            <m:sty m:val="p"/>
                          </m:rPr>
                          <w:rPr>
                            <w:rFonts w:hint="default" w:ascii="Times New Roman" w:hAnsi="Times New Roman" w:cs="Times New Roman"/>
                            <w:b w:val="0"/>
                            <w:i w:val="0"/>
                            <w:color w:val="auto"/>
                            <w:sz w:val="24"/>
                            <w:highlight w:val="none"/>
                          </w:rPr>
                          <m:t>2</m:t>
                        </m:r>
                        <m:ctrlPr>
                          <w:rPr>
                            <w:rFonts w:hint="default" w:ascii="Cambria Math" w:hAnsi="Cambria Math" w:cs="Times New Roman"/>
                            <w:i/>
                            <w:color w:val="auto"/>
                            <w:sz w:val="24"/>
                            <w:highlight w:val="none"/>
                          </w:rPr>
                        </m:ctrlPr>
                      </m:sub>
                    </m:sSub>
                    <m:ctrlPr>
                      <w:rPr>
                        <w:rFonts w:hint="default" w:ascii="Cambria Math" w:hAnsi="Cambria Math" w:cs="Times New Roman"/>
                        <w:i/>
                        <w:color w:val="auto"/>
                        <w:sz w:val="24"/>
                        <w:highlight w:val="none"/>
                      </w:rPr>
                    </m:ctrlPr>
                  </m:num>
                  <m:den>
                    <m:sSub>
                      <m:sSubPr>
                        <m:ctrlPr>
                          <w:rPr>
                            <w:rFonts w:hint="default" w:ascii="Cambria Math" w:hAnsi="Cambria Math" w:cs="Times New Roman"/>
                            <w:i/>
                            <w:color w:val="auto"/>
                            <w:sz w:val="24"/>
                            <w:highlight w:val="none"/>
                          </w:rPr>
                        </m:ctrlPr>
                      </m:sSubPr>
                      <m:e>
                        <m:r>
                          <m:rPr>
                            <m:nor/>
                          </m:rPr>
                          <w:rPr>
                            <w:rFonts w:hint="default" w:ascii="Times New Roman" w:hAnsi="Times New Roman" w:cs="Times New Roman"/>
                            <w:i/>
                            <w:color w:val="auto"/>
                            <w:sz w:val="24"/>
                            <w:highlight w:val="none"/>
                          </w:rPr>
                          <m:t>Q</m:t>
                        </m:r>
                        <m:ctrlPr>
                          <w:rPr>
                            <w:rFonts w:hint="default" w:ascii="Cambria Math" w:hAnsi="Cambria Math" w:cs="Times New Roman"/>
                            <w:i/>
                            <w:color w:val="auto"/>
                            <w:sz w:val="24"/>
                            <w:highlight w:val="none"/>
                          </w:rPr>
                        </m:ctrlPr>
                      </m:e>
                      <m:sub>
                        <m:r>
                          <m:rPr>
                            <m:nor/>
                            <m:sty m:val="p"/>
                          </m:rPr>
                          <w:rPr>
                            <w:rFonts w:hint="default" w:ascii="Times New Roman" w:hAnsi="Times New Roman" w:cs="Times New Roman"/>
                            <w:b w:val="0"/>
                            <w:i w:val="0"/>
                            <w:color w:val="auto"/>
                            <w:sz w:val="24"/>
                            <w:highlight w:val="none"/>
                          </w:rPr>
                          <m:t>2</m:t>
                        </m:r>
                        <m:ctrlPr>
                          <w:rPr>
                            <w:rFonts w:hint="default" w:ascii="Cambria Math" w:hAnsi="Cambria Math" w:cs="Times New Roman"/>
                            <w:i/>
                            <w:color w:val="auto"/>
                            <w:sz w:val="24"/>
                            <w:highlight w:val="none"/>
                          </w:rPr>
                        </m:ctrlPr>
                      </m:sub>
                    </m:sSub>
                    <m:ctrlPr>
                      <w:rPr>
                        <w:rFonts w:hint="default" w:ascii="Cambria Math" w:hAnsi="Cambria Math" w:cs="Times New Roman"/>
                        <w:i/>
                        <w:color w:val="auto"/>
                        <w:sz w:val="24"/>
                        <w:highlight w:val="none"/>
                      </w:rPr>
                    </m:ctrlPr>
                  </m:den>
                </m:f>
                <m:r>
                  <m:rPr>
                    <m:nor/>
                    <m:sty m:val="p"/>
                  </m:rPr>
                  <w:rPr>
                    <w:rFonts w:hint="default" w:ascii="Times New Roman" w:hAnsi="Times New Roman" w:cs="Times New Roman"/>
                    <w:b w:val="0"/>
                    <w:i w:val="0"/>
                    <w:color w:val="auto"/>
                    <w:sz w:val="24"/>
                    <w:highlight w:val="none"/>
                  </w:rPr>
                  <m:t>+…</m:t>
                </m:r>
                <m:f>
                  <m:fPr>
                    <m:ctrlPr>
                      <w:rPr>
                        <w:rFonts w:hint="default" w:ascii="Cambria Math" w:hAnsi="Cambria Math" w:cs="Times New Roman"/>
                        <w:i/>
                        <w:color w:val="auto"/>
                        <w:sz w:val="24"/>
                        <w:highlight w:val="none"/>
                      </w:rPr>
                    </m:ctrlPr>
                  </m:fPr>
                  <m:num>
                    <m:sSub>
                      <m:sSubPr>
                        <m:ctrlPr>
                          <w:rPr>
                            <w:rFonts w:hint="default" w:ascii="Cambria Math" w:hAnsi="Cambria Math" w:cs="Times New Roman"/>
                            <w:i/>
                            <w:color w:val="auto"/>
                            <w:sz w:val="24"/>
                            <w:highlight w:val="none"/>
                          </w:rPr>
                        </m:ctrlPr>
                      </m:sSubPr>
                      <m:e>
                        <m:r>
                          <m:rPr>
                            <m:nor/>
                          </m:rPr>
                          <w:rPr>
                            <w:rFonts w:hint="default" w:ascii="Times New Roman" w:hAnsi="Times New Roman" w:cs="Times New Roman"/>
                            <w:i/>
                            <w:color w:val="auto"/>
                            <w:sz w:val="24"/>
                            <w:highlight w:val="none"/>
                          </w:rPr>
                          <m:t>q</m:t>
                        </m:r>
                        <m:ctrlPr>
                          <w:rPr>
                            <w:rFonts w:hint="default" w:ascii="Cambria Math" w:hAnsi="Cambria Math" w:cs="Times New Roman"/>
                            <w:i/>
                            <w:color w:val="auto"/>
                            <w:sz w:val="24"/>
                            <w:highlight w:val="none"/>
                          </w:rPr>
                        </m:ctrlPr>
                      </m:e>
                      <m:sub>
                        <m:r>
                          <m:rPr>
                            <m:nor/>
                          </m:rPr>
                          <w:rPr>
                            <w:rFonts w:hint="default" w:ascii="Times New Roman" w:hAnsi="Times New Roman" w:cs="Times New Roman"/>
                            <w:i/>
                            <w:color w:val="auto"/>
                            <w:sz w:val="24"/>
                            <w:highlight w:val="none"/>
                          </w:rPr>
                          <m:t>n</m:t>
                        </m:r>
                        <m:ctrlPr>
                          <w:rPr>
                            <w:rFonts w:hint="default" w:ascii="Cambria Math" w:hAnsi="Cambria Math" w:cs="Times New Roman"/>
                            <w:i/>
                            <w:color w:val="auto"/>
                            <w:sz w:val="24"/>
                            <w:highlight w:val="none"/>
                          </w:rPr>
                        </m:ctrlPr>
                      </m:sub>
                    </m:sSub>
                    <m:ctrlPr>
                      <w:rPr>
                        <w:rFonts w:hint="default" w:ascii="Cambria Math" w:hAnsi="Cambria Math" w:cs="Times New Roman"/>
                        <w:i/>
                        <w:color w:val="auto"/>
                        <w:sz w:val="24"/>
                        <w:highlight w:val="none"/>
                      </w:rPr>
                    </m:ctrlPr>
                  </m:num>
                  <m:den>
                    <m:sSub>
                      <m:sSubPr>
                        <m:ctrlPr>
                          <w:rPr>
                            <w:rFonts w:hint="default" w:ascii="Cambria Math" w:hAnsi="Cambria Math" w:cs="Times New Roman"/>
                            <w:i/>
                            <w:color w:val="auto"/>
                            <w:sz w:val="24"/>
                            <w:highlight w:val="none"/>
                          </w:rPr>
                        </m:ctrlPr>
                      </m:sSubPr>
                      <m:e>
                        <m:r>
                          <m:rPr>
                            <m:nor/>
                          </m:rPr>
                          <w:rPr>
                            <w:rFonts w:hint="default" w:ascii="Times New Roman" w:hAnsi="Times New Roman" w:cs="Times New Roman"/>
                            <w:i/>
                            <w:color w:val="auto"/>
                            <w:sz w:val="24"/>
                            <w:highlight w:val="none"/>
                          </w:rPr>
                          <m:t>Q</m:t>
                        </m:r>
                        <m:ctrlPr>
                          <w:rPr>
                            <w:rFonts w:hint="default" w:ascii="Cambria Math" w:hAnsi="Cambria Math" w:cs="Times New Roman"/>
                            <w:i/>
                            <w:color w:val="auto"/>
                            <w:sz w:val="24"/>
                            <w:highlight w:val="none"/>
                          </w:rPr>
                        </m:ctrlPr>
                      </m:e>
                      <m:sub>
                        <m:r>
                          <m:rPr>
                            <m:nor/>
                          </m:rPr>
                          <w:rPr>
                            <w:rFonts w:hint="default" w:ascii="Times New Roman" w:hAnsi="Times New Roman" w:cs="Times New Roman"/>
                            <w:i/>
                            <w:color w:val="auto"/>
                            <w:sz w:val="24"/>
                            <w:highlight w:val="none"/>
                          </w:rPr>
                          <m:t>n</m:t>
                        </m:r>
                        <m:ctrlPr>
                          <w:rPr>
                            <w:rFonts w:hint="default" w:ascii="Cambria Math" w:hAnsi="Cambria Math" w:cs="Times New Roman"/>
                            <w:i/>
                            <w:color w:val="auto"/>
                            <w:sz w:val="24"/>
                            <w:highlight w:val="none"/>
                          </w:rPr>
                        </m:ctrlPr>
                      </m:sub>
                    </m:sSub>
                    <m:ctrlPr>
                      <w:rPr>
                        <w:rFonts w:hint="default" w:ascii="Cambria Math" w:hAnsi="Cambria Math" w:cs="Times New Roman"/>
                        <w:i/>
                        <w:color w:val="auto"/>
                        <w:sz w:val="24"/>
                        <w:highlight w:val="none"/>
                      </w:rPr>
                    </m:ctrlPr>
                  </m:den>
                </m:f>
              </m:oMath>
            </m:oMathPara>
          </w:p>
          <w:p w14:paraId="1ED44CC6">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vertAlign w:val="subscript"/>
              </w:rPr>
              <w:t>n</w:t>
            </w:r>
            <w:r>
              <w:rPr>
                <w:rFonts w:hint="default" w:ascii="Times New Roman" w:hAnsi="Times New Roman" w:cs="Times New Roman"/>
                <w:color w:val="auto"/>
                <w:highlight w:val="none"/>
              </w:rPr>
              <w:t>——每种危险物质的最大存在总量，t；</w:t>
            </w:r>
          </w:p>
          <w:p w14:paraId="0D631A9B">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Q</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vertAlign w:val="subscript"/>
              </w:rPr>
              <w:t>n</w:t>
            </w:r>
            <w:r>
              <w:rPr>
                <w:rFonts w:hint="default" w:ascii="Times New Roman" w:hAnsi="Times New Roman" w:cs="Times New Roman"/>
                <w:color w:val="auto"/>
                <w:highlight w:val="none"/>
              </w:rPr>
              <w:t>——每种危险物质的临界量，t。</w:t>
            </w:r>
          </w:p>
          <w:p w14:paraId="513225E8">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当</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rPr>
              <w:t>＜1时，该项目环境风险潜势为Ⅰ。</w:t>
            </w:r>
          </w:p>
          <w:p w14:paraId="4C8279CD">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当</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rPr>
              <w:t>≥1时，将</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rPr>
              <w:t>值划分为：（1）1≤</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rPr>
              <w:t>＜10；（2）10≤</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rPr>
              <w:t>＜100；（3）</w:t>
            </w:r>
            <w:r>
              <w:rPr>
                <w:rFonts w:hint="default" w:ascii="Times New Roman" w:hAnsi="Times New Roman" w:cs="Times New Roman"/>
                <w:i/>
                <w:color w:val="auto"/>
                <w:highlight w:val="none"/>
              </w:rPr>
              <w:t>Q</w:t>
            </w:r>
            <w:r>
              <w:rPr>
                <w:rFonts w:hint="default" w:ascii="Times New Roman" w:hAnsi="Times New Roman" w:cs="Times New Roman"/>
                <w:color w:val="auto"/>
                <w:highlight w:val="none"/>
              </w:rPr>
              <w:t>≥100。</w:t>
            </w:r>
          </w:p>
          <w:p w14:paraId="4F5599C0">
            <w:pPr>
              <w:pStyle w:val="63"/>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对照《建设项目环境风险评价技术导则》（HJ169-2018）附录B和《危险化学品重大危险源辨识》（GB18218-2018），本项目涉及的风险物质为轻质柴油、导热油、</w:t>
            </w:r>
            <w:r>
              <w:rPr>
                <w:rFonts w:hint="default" w:ascii="Times New Roman" w:hAnsi="Times New Roman" w:cs="Times New Roman"/>
                <w:color w:val="auto"/>
                <w:highlight w:val="none"/>
                <w:lang w:val="en-US" w:eastAsia="zh-CN"/>
              </w:rPr>
              <w:t>废焦油</w:t>
            </w:r>
            <w:r>
              <w:rPr>
                <w:rFonts w:hint="default" w:ascii="Times New Roman" w:hAnsi="Times New Roman" w:cs="Times New Roman"/>
                <w:color w:val="auto"/>
                <w:highlight w:val="none"/>
              </w:rPr>
              <w:t>、废机油</w:t>
            </w:r>
            <w:r>
              <w:rPr>
                <w:rFonts w:hint="default" w:ascii="Times New Roman" w:hAnsi="Times New Roman" w:cs="Times New Roman"/>
                <w:color w:val="auto"/>
                <w:highlight w:val="none"/>
                <w:lang w:eastAsia="zh-CN"/>
              </w:rPr>
              <w:t>、</w:t>
            </w:r>
            <w:r>
              <w:rPr>
                <w:rFonts w:hint="default" w:ascii="Times New Roman" w:hAnsi="Times New Roman" w:cs="Times New Roman"/>
                <w:color w:val="auto"/>
                <w:szCs w:val="21"/>
                <w:highlight w:val="none"/>
                <w:lang w:val="en-US" w:eastAsia="zh-CN"/>
              </w:rPr>
              <w:t>沥青（</w:t>
            </w:r>
            <w:r>
              <w:rPr>
                <w:rFonts w:hint="default" w:ascii="Times New Roman" w:hAnsi="Times New Roman" w:cs="Times New Roman"/>
                <w:color w:val="auto"/>
                <w:szCs w:val="21"/>
                <w:highlight w:val="none"/>
              </w:rPr>
              <w:t>苯并[a]芘</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highlight w:val="none"/>
              </w:rPr>
              <w:t>。本项目危险物质数量与临界量的比值（Q）如下表所示。</w:t>
            </w:r>
          </w:p>
          <w:p w14:paraId="2BC781E0">
            <w:pPr>
              <w:pStyle w:val="68"/>
              <w:adjustRightInd w:val="0"/>
              <w:snapToGrid w:val="0"/>
              <w:spacing w:line="400" w:lineRule="exact"/>
              <w:ind w:firstLine="480"/>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表4-</w:t>
            </w:r>
            <w:r>
              <w:rPr>
                <w:rFonts w:hint="default" w:ascii="Times New Roman" w:hAnsi="Times New Roman" w:eastAsia="黑体" w:cs="Times New Roman"/>
                <w:color w:val="auto"/>
                <w:sz w:val="24"/>
                <w:highlight w:val="none"/>
                <w:lang w:val="en-US" w:eastAsia="zh-CN"/>
              </w:rPr>
              <w:t>9</w:t>
            </w:r>
            <w:r>
              <w:rPr>
                <w:rFonts w:hint="default" w:ascii="Times New Roman" w:hAnsi="Times New Roman" w:eastAsia="黑体" w:cs="Times New Roman"/>
                <w:color w:val="auto"/>
                <w:sz w:val="24"/>
                <w:highlight w:val="none"/>
              </w:rPr>
              <w:t xml:space="preserve"> 危险化学品重大危险源识别</w:t>
            </w:r>
          </w:p>
          <w:tbl>
            <w:tblPr>
              <w:tblStyle w:val="30"/>
              <w:tblW w:w="781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497"/>
              <w:gridCol w:w="1344"/>
              <w:gridCol w:w="1665"/>
              <w:gridCol w:w="1314"/>
              <w:gridCol w:w="1315"/>
            </w:tblGrid>
            <w:tr w14:paraId="68713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vAlign w:val="center"/>
                </w:tcPr>
                <w:p w14:paraId="411AEC0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1497" w:type="dxa"/>
                  <w:vAlign w:val="center"/>
                </w:tcPr>
                <w:p w14:paraId="6FA7324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功能单元</w:t>
                  </w:r>
                </w:p>
              </w:tc>
              <w:tc>
                <w:tcPr>
                  <w:tcW w:w="1344" w:type="dxa"/>
                  <w:vAlign w:val="center"/>
                </w:tcPr>
                <w:p w14:paraId="58E13F7B">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危险化学品</w:t>
                  </w:r>
                </w:p>
              </w:tc>
              <w:tc>
                <w:tcPr>
                  <w:tcW w:w="1665" w:type="dxa"/>
                  <w:vAlign w:val="center"/>
                </w:tcPr>
                <w:p w14:paraId="6067566C">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最大储存量q（t）</w:t>
                  </w:r>
                </w:p>
              </w:tc>
              <w:tc>
                <w:tcPr>
                  <w:tcW w:w="1314" w:type="dxa"/>
                  <w:vAlign w:val="center"/>
                </w:tcPr>
                <w:p w14:paraId="71EEB0B9">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临界量Q（t）</w:t>
                  </w:r>
                </w:p>
              </w:tc>
              <w:tc>
                <w:tcPr>
                  <w:tcW w:w="1315" w:type="dxa"/>
                  <w:vAlign w:val="center"/>
                </w:tcPr>
                <w:p w14:paraId="35B17E85">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q/Q</w:t>
                  </w:r>
                </w:p>
              </w:tc>
            </w:tr>
            <w:tr w14:paraId="14126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vAlign w:val="center"/>
                </w:tcPr>
                <w:p w14:paraId="3BF8E0E8">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497" w:type="dxa"/>
                  <w:vAlign w:val="center"/>
                </w:tcPr>
                <w:p w14:paraId="262F5B9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柴油罐</w:t>
                  </w:r>
                </w:p>
              </w:tc>
              <w:tc>
                <w:tcPr>
                  <w:tcW w:w="1344" w:type="dxa"/>
                  <w:vAlign w:val="center"/>
                </w:tcPr>
                <w:p w14:paraId="6186A128">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轻质柴油</w:t>
                  </w:r>
                </w:p>
              </w:tc>
              <w:tc>
                <w:tcPr>
                  <w:tcW w:w="1665" w:type="dxa"/>
                  <w:vAlign w:val="center"/>
                </w:tcPr>
                <w:p w14:paraId="413218A3">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46</w:t>
                  </w:r>
                </w:p>
              </w:tc>
              <w:tc>
                <w:tcPr>
                  <w:tcW w:w="1314" w:type="dxa"/>
                  <w:vAlign w:val="center"/>
                </w:tcPr>
                <w:p w14:paraId="03FE631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2500</w:t>
                  </w:r>
                </w:p>
              </w:tc>
              <w:tc>
                <w:tcPr>
                  <w:tcW w:w="1315" w:type="dxa"/>
                  <w:vAlign w:val="center"/>
                </w:tcPr>
                <w:p w14:paraId="44622CB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w:t>
                  </w:r>
                  <w:r>
                    <w:rPr>
                      <w:rFonts w:hint="default" w:ascii="Times New Roman" w:hAnsi="Times New Roman" w:cs="Times New Roman"/>
                      <w:color w:val="auto"/>
                      <w:szCs w:val="21"/>
                      <w:highlight w:val="none"/>
                      <w:lang w:val="en-US" w:eastAsia="zh-CN"/>
                    </w:rPr>
                    <w:t>18</w:t>
                  </w:r>
                  <w:r>
                    <w:rPr>
                      <w:rFonts w:hint="default" w:ascii="Times New Roman" w:hAnsi="Times New Roman" w:cs="Times New Roman"/>
                      <w:color w:val="auto"/>
                      <w:szCs w:val="21"/>
                      <w:highlight w:val="none"/>
                    </w:rPr>
                    <w:t>4</w:t>
                  </w:r>
                </w:p>
              </w:tc>
            </w:tr>
            <w:tr w14:paraId="185A4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vAlign w:val="center"/>
                </w:tcPr>
                <w:p w14:paraId="700862C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497" w:type="dxa"/>
                  <w:vAlign w:val="center"/>
                </w:tcPr>
                <w:p w14:paraId="11DA199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导热油锅炉</w:t>
                  </w:r>
                </w:p>
              </w:tc>
              <w:tc>
                <w:tcPr>
                  <w:tcW w:w="1344" w:type="dxa"/>
                  <w:vAlign w:val="center"/>
                </w:tcPr>
                <w:p w14:paraId="4FC07B08">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导热油</w:t>
                  </w:r>
                </w:p>
              </w:tc>
              <w:tc>
                <w:tcPr>
                  <w:tcW w:w="1665" w:type="dxa"/>
                  <w:vAlign w:val="center"/>
                </w:tcPr>
                <w:p w14:paraId="0DFF0490">
                  <w:pPr>
                    <w:pStyle w:val="74"/>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3</w:t>
                  </w:r>
                </w:p>
              </w:tc>
              <w:tc>
                <w:tcPr>
                  <w:tcW w:w="1314" w:type="dxa"/>
                  <w:vAlign w:val="center"/>
                </w:tcPr>
                <w:p w14:paraId="0FF50677">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2500</w:t>
                  </w:r>
                </w:p>
              </w:tc>
              <w:tc>
                <w:tcPr>
                  <w:tcW w:w="1315" w:type="dxa"/>
                  <w:vAlign w:val="center"/>
                </w:tcPr>
                <w:p w14:paraId="3B37321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0.000</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2</w:t>
                  </w:r>
                </w:p>
              </w:tc>
            </w:tr>
            <w:tr w14:paraId="52455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vAlign w:val="center"/>
                </w:tcPr>
                <w:p w14:paraId="55D08DF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1497" w:type="dxa"/>
                  <w:vAlign w:val="center"/>
                </w:tcPr>
                <w:p w14:paraId="403EFA8E">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电捕焦油器</w:t>
                  </w:r>
                </w:p>
              </w:tc>
              <w:tc>
                <w:tcPr>
                  <w:tcW w:w="1344" w:type="dxa"/>
                  <w:vAlign w:val="center"/>
                </w:tcPr>
                <w:p w14:paraId="3C914C47">
                  <w:pPr>
                    <w:pStyle w:val="74"/>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废焦油</w:t>
                  </w:r>
                </w:p>
              </w:tc>
              <w:tc>
                <w:tcPr>
                  <w:tcW w:w="1665" w:type="dxa"/>
                  <w:vAlign w:val="center"/>
                </w:tcPr>
                <w:p w14:paraId="5A7B92FC">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0.1</w:t>
                  </w:r>
                </w:p>
              </w:tc>
              <w:tc>
                <w:tcPr>
                  <w:tcW w:w="1314" w:type="dxa"/>
                  <w:vAlign w:val="center"/>
                </w:tcPr>
                <w:p w14:paraId="319F1884">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2500</w:t>
                  </w:r>
                </w:p>
              </w:tc>
              <w:tc>
                <w:tcPr>
                  <w:tcW w:w="1315" w:type="dxa"/>
                  <w:vAlign w:val="center"/>
                </w:tcPr>
                <w:p w14:paraId="3D24BA6A">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000</w:t>
                  </w:r>
                  <w:r>
                    <w:rPr>
                      <w:rFonts w:hint="default" w:ascii="Times New Roman" w:hAnsi="Times New Roman" w:cs="Times New Roman"/>
                      <w:color w:val="auto"/>
                      <w:szCs w:val="21"/>
                      <w:highlight w:val="none"/>
                      <w:lang w:val="en-US" w:eastAsia="zh-CN"/>
                    </w:rPr>
                    <w:t>04</w:t>
                  </w:r>
                </w:p>
              </w:tc>
            </w:tr>
            <w:tr w14:paraId="5C225E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vAlign w:val="center"/>
                </w:tcPr>
                <w:p w14:paraId="735F6224">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w:t>
                  </w:r>
                </w:p>
              </w:tc>
              <w:tc>
                <w:tcPr>
                  <w:tcW w:w="1497" w:type="dxa"/>
                  <w:shd w:val="clear" w:color="auto" w:fill="auto"/>
                  <w:vAlign w:val="center"/>
                </w:tcPr>
                <w:p w14:paraId="50C23DBF">
                  <w:pPr>
                    <w:pStyle w:val="74"/>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机械设备</w:t>
                  </w:r>
                </w:p>
              </w:tc>
              <w:tc>
                <w:tcPr>
                  <w:tcW w:w="1344" w:type="dxa"/>
                  <w:shd w:val="clear" w:color="auto" w:fill="auto"/>
                  <w:vAlign w:val="center"/>
                </w:tcPr>
                <w:p w14:paraId="02E3ADEC">
                  <w:pPr>
                    <w:pStyle w:val="74"/>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废机油</w:t>
                  </w:r>
                </w:p>
              </w:tc>
              <w:tc>
                <w:tcPr>
                  <w:tcW w:w="1665" w:type="dxa"/>
                  <w:shd w:val="clear" w:color="auto" w:fill="auto"/>
                  <w:vAlign w:val="center"/>
                </w:tcPr>
                <w:p w14:paraId="62958B8D">
                  <w:pPr>
                    <w:pStyle w:val="74"/>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0.05</w:t>
                  </w:r>
                </w:p>
              </w:tc>
              <w:tc>
                <w:tcPr>
                  <w:tcW w:w="1314" w:type="dxa"/>
                  <w:shd w:val="clear" w:color="auto" w:fill="auto"/>
                  <w:vAlign w:val="center"/>
                </w:tcPr>
                <w:p w14:paraId="4EA2AC8A">
                  <w:pPr>
                    <w:pStyle w:val="74"/>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2500</w:t>
                  </w:r>
                </w:p>
              </w:tc>
              <w:tc>
                <w:tcPr>
                  <w:tcW w:w="1315" w:type="dxa"/>
                  <w:shd w:val="clear" w:color="auto" w:fill="auto"/>
                  <w:vAlign w:val="center"/>
                </w:tcPr>
                <w:p w14:paraId="11E6BB36">
                  <w:pPr>
                    <w:pStyle w:val="74"/>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0.00002</w:t>
                  </w:r>
                </w:p>
              </w:tc>
            </w:tr>
            <w:tr w14:paraId="624DFD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6" w:type="dxa"/>
                  <w:vAlign w:val="center"/>
                </w:tcPr>
                <w:p w14:paraId="71D64429">
                  <w:pPr>
                    <w:pStyle w:val="7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w:t>
                  </w:r>
                </w:p>
              </w:tc>
              <w:tc>
                <w:tcPr>
                  <w:tcW w:w="1497" w:type="dxa"/>
                  <w:shd w:val="clear" w:color="auto" w:fill="auto"/>
                  <w:vAlign w:val="center"/>
                </w:tcPr>
                <w:p w14:paraId="54BFAB06">
                  <w:pPr>
                    <w:pStyle w:val="74"/>
                    <w:ind w:left="0" w:leftChars="0"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沥青罐</w:t>
                  </w:r>
                </w:p>
              </w:tc>
              <w:tc>
                <w:tcPr>
                  <w:tcW w:w="1344" w:type="dxa"/>
                  <w:shd w:val="clear" w:color="auto" w:fill="auto"/>
                  <w:vAlign w:val="center"/>
                </w:tcPr>
                <w:p w14:paraId="09CE8895">
                  <w:pPr>
                    <w:pStyle w:val="74"/>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沥青（</w:t>
                  </w:r>
                  <w:r>
                    <w:rPr>
                      <w:rFonts w:hint="default" w:ascii="Times New Roman" w:hAnsi="Times New Roman" w:cs="Times New Roman"/>
                      <w:color w:val="auto"/>
                      <w:szCs w:val="21"/>
                      <w:highlight w:val="none"/>
                    </w:rPr>
                    <w:t>苯并[a]芘</w:t>
                  </w:r>
                  <w:r>
                    <w:rPr>
                      <w:rFonts w:hint="default" w:ascii="Times New Roman" w:hAnsi="Times New Roman" w:cs="Times New Roman"/>
                      <w:color w:val="auto"/>
                      <w:szCs w:val="21"/>
                      <w:highlight w:val="none"/>
                      <w:lang w:val="en-US" w:eastAsia="zh-CN"/>
                    </w:rPr>
                    <w:t>）</w:t>
                  </w:r>
                </w:p>
              </w:tc>
              <w:tc>
                <w:tcPr>
                  <w:tcW w:w="1665" w:type="dxa"/>
                  <w:shd w:val="clear" w:color="auto" w:fill="auto"/>
                  <w:vAlign w:val="center"/>
                </w:tcPr>
                <w:p w14:paraId="61A00926">
                  <w:pPr>
                    <w:pStyle w:val="74"/>
                    <w:ind w:left="0" w:leftChars="0"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0.00000135</w:t>
                  </w:r>
                </w:p>
              </w:tc>
              <w:tc>
                <w:tcPr>
                  <w:tcW w:w="1314" w:type="dxa"/>
                  <w:shd w:val="clear" w:color="auto" w:fill="auto"/>
                  <w:vAlign w:val="center"/>
                </w:tcPr>
                <w:p w14:paraId="5C6CEFE5">
                  <w:pPr>
                    <w:pStyle w:val="74"/>
                    <w:ind w:left="0" w:leftChars="0"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w:t>
                  </w:r>
                </w:p>
              </w:tc>
              <w:tc>
                <w:tcPr>
                  <w:tcW w:w="1315" w:type="dxa"/>
                  <w:shd w:val="clear" w:color="auto" w:fill="auto"/>
                  <w:vAlign w:val="center"/>
                </w:tcPr>
                <w:p w14:paraId="48B00258">
                  <w:pPr>
                    <w:pStyle w:val="74"/>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0.00000027</w:t>
                  </w:r>
                </w:p>
              </w:tc>
            </w:tr>
            <w:tr w14:paraId="2E696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6" w:type="dxa"/>
                  <w:gridSpan w:val="5"/>
                  <w:vAlign w:val="center"/>
                </w:tcPr>
                <w:p w14:paraId="17D89A3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合计</w:t>
                  </w:r>
                </w:p>
              </w:tc>
              <w:tc>
                <w:tcPr>
                  <w:tcW w:w="1315" w:type="dxa"/>
                  <w:vAlign w:val="center"/>
                </w:tcPr>
                <w:p w14:paraId="6EB81DFE">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eastAsia="zh-CN"/>
                    </w:rPr>
                    <w:t>0.01858027</w:t>
                  </w:r>
                </w:p>
              </w:tc>
            </w:tr>
          </w:tbl>
          <w:p w14:paraId="3A325E96">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因此，本项目Q=</w:t>
            </w:r>
            <w:r>
              <w:rPr>
                <w:rFonts w:hint="default" w:ascii="Times New Roman" w:hAnsi="Times New Roman" w:cs="Times New Roman"/>
                <w:color w:val="auto"/>
                <w:sz w:val="24"/>
                <w:highlight w:val="none"/>
                <w:lang w:eastAsia="zh-CN"/>
              </w:rPr>
              <w:t>0.01858027</w:t>
            </w:r>
            <w:r>
              <w:rPr>
                <w:rFonts w:hint="default" w:ascii="Times New Roman" w:hAnsi="Times New Roman" w:cs="Times New Roman"/>
                <w:color w:val="auto"/>
                <w:sz w:val="24"/>
                <w:highlight w:val="none"/>
              </w:rPr>
              <w:t>＜1，环境风险潜势为I，因此本项目评价工作等级为简单分析。</w:t>
            </w:r>
          </w:p>
          <w:p w14:paraId="34A6DBCB">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柴油的理化性质及安全技术说明见下表。</w:t>
            </w:r>
          </w:p>
          <w:p w14:paraId="45CDE4F8">
            <w:pPr>
              <w:pStyle w:val="68"/>
              <w:keepNext w:val="0"/>
              <w:keepLines w:val="0"/>
              <w:pageBreakBefore w:val="0"/>
              <w:widowControl w:val="0"/>
              <w:kinsoku/>
              <w:wordWrap/>
              <w:overflowPunct/>
              <w:topLinePunct w:val="0"/>
              <w:autoSpaceDE/>
              <w:autoSpaceDN/>
              <w:bidi w:val="0"/>
              <w:adjustRightInd w:val="0"/>
              <w:snapToGrid w:val="0"/>
              <w:spacing w:line="240" w:lineRule="auto"/>
              <w:ind w:firstLine="480"/>
              <w:jc w:val="center"/>
              <w:textAlignment w:val="auto"/>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表4-</w:t>
            </w:r>
            <w:r>
              <w:rPr>
                <w:rFonts w:hint="default" w:ascii="Times New Roman" w:hAnsi="Times New Roman" w:eastAsia="黑体" w:cs="Times New Roman"/>
                <w:color w:val="auto"/>
                <w:sz w:val="24"/>
                <w:highlight w:val="none"/>
                <w:lang w:val="en-US" w:eastAsia="zh-CN"/>
              </w:rPr>
              <w:t>10</w:t>
            </w:r>
            <w:r>
              <w:rPr>
                <w:rFonts w:hint="default" w:ascii="Times New Roman" w:hAnsi="Times New Roman" w:eastAsia="黑体" w:cs="Times New Roman"/>
                <w:color w:val="auto"/>
                <w:sz w:val="24"/>
                <w:highlight w:val="none"/>
              </w:rPr>
              <w:t xml:space="preserve"> 柴油的理化性质及安全技术说明</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63"/>
              <w:gridCol w:w="4397"/>
            </w:tblGrid>
            <w:tr w14:paraId="3D0FF3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6" w:type="dxa"/>
                  <w:gridSpan w:val="2"/>
                  <w:vAlign w:val="center"/>
                </w:tcPr>
                <w:p w14:paraId="46DC423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柴油</w:t>
                  </w:r>
                </w:p>
              </w:tc>
            </w:tr>
            <w:tr w14:paraId="59B5E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5" w:type="dxa"/>
                  <w:vAlign w:val="center"/>
                </w:tcPr>
                <w:p w14:paraId="3832345B">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物质状态：液态</w:t>
                  </w:r>
                </w:p>
              </w:tc>
              <w:tc>
                <w:tcPr>
                  <w:tcW w:w="4771" w:type="dxa"/>
                  <w:vAlign w:val="center"/>
                </w:tcPr>
                <w:p w14:paraId="132080A5">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性状</w:t>
                  </w:r>
                  <w:r>
                    <w:rPr>
                      <w:rFonts w:hint="default" w:ascii="Times New Roman" w:hAnsi="Times New Roman" w:cs="Times New Roman"/>
                      <w:color w:val="auto"/>
                      <w:szCs w:val="21"/>
                      <w:highlight w:val="none"/>
                    </w:rPr>
                    <w:t>：淡黄色透明油液</w:t>
                  </w:r>
                </w:p>
              </w:tc>
            </w:tr>
            <w:tr w14:paraId="3981E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5" w:type="dxa"/>
                  <w:vAlign w:val="center"/>
                </w:tcPr>
                <w:p w14:paraId="084572EF">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颜色：淡黄色</w:t>
                  </w:r>
                </w:p>
              </w:tc>
              <w:tc>
                <w:tcPr>
                  <w:tcW w:w="4771" w:type="dxa"/>
                  <w:vAlign w:val="center"/>
                </w:tcPr>
                <w:p w14:paraId="6EB7CD18">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气味：轻微石油味道</w:t>
                  </w:r>
                </w:p>
              </w:tc>
            </w:tr>
            <w:tr w14:paraId="45438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5" w:type="dxa"/>
                  <w:vAlign w:val="center"/>
                </w:tcPr>
                <w:p w14:paraId="28105EB7">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pH值：中性</w:t>
                  </w:r>
                </w:p>
              </w:tc>
              <w:tc>
                <w:tcPr>
                  <w:tcW w:w="4771" w:type="dxa"/>
                  <w:vAlign w:val="center"/>
                </w:tcPr>
                <w:p w14:paraId="7EB59CAB">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沸点/沸点范围：163℃~357℃（325℉~675℉）</w:t>
                  </w:r>
                </w:p>
              </w:tc>
            </w:tr>
            <w:tr w14:paraId="68C01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5" w:type="dxa"/>
                  <w:vAlign w:val="center"/>
                </w:tcPr>
                <w:p w14:paraId="2BB5861F">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分解温度：无资料</w:t>
                  </w:r>
                </w:p>
              </w:tc>
              <w:tc>
                <w:tcPr>
                  <w:tcW w:w="4771" w:type="dxa"/>
                  <w:vAlign w:val="center"/>
                </w:tcPr>
                <w:p w14:paraId="014AEC45">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闪火点：＞52℃；测试方法：开杯</w:t>
                  </w:r>
                </w:p>
              </w:tc>
            </w:tr>
            <w:tr w14:paraId="6FA64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5" w:type="dxa"/>
                  <w:vAlign w:val="center"/>
                </w:tcPr>
                <w:p w14:paraId="78954281">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自燃温度：177℃（351℉）</w:t>
                  </w:r>
                </w:p>
              </w:tc>
              <w:tc>
                <w:tcPr>
                  <w:tcW w:w="4771" w:type="dxa"/>
                  <w:vAlign w:val="center"/>
                </w:tcPr>
                <w:p w14:paraId="3FAE9980">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爆炸界限：下限（LFL）：1.3%；上限（UFL）：6.0%</w:t>
                  </w:r>
                </w:p>
              </w:tc>
            </w:tr>
            <w:tr w14:paraId="5BAB02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5" w:type="dxa"/>
                  <w:vAlign w:val="center"/>
                </w:tcPr>
                <w:p w14:paraId="3EDBD4B2">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蒸气压：0.00026MPa@20℃</w:t>
                  </w:r>
                </w:p>
              </w:tc>
              <w:tc>
                <w:tcPr>
                  <w:tcW w:w="4771" w:type="dxa"/>
                  <w:vAlign w:val="center"/>
                </w:tcPr>
                <w:p w14:paraId="131856EE">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蒸气密度（Air=1）：＞1</w:t>
                  </w:r>
                </w:p>
              </w:tc>
            </w:tr>
            <w:tr w14:paraId="4443ED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35" w:type="dxa"/>
                  <w:vAlign w:val="center"/>
                </w:tcPr>
                <w:p w14:paraId="07CFD015">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密度：0.8比重</w:t>
                  </w:r>
                </w:p>
              </w:tc>
              <w:tc>
                <w:tcPr>
                  <w:tcW w:w="4771" w:type="dxa"/>
                  <w:vAlign w:val="center"/>
                </w:tcPr>
                <w:p w14:paraId="7096CF2A">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溶解度：不溶解于水</w:t>
                  </w:r>
                </w:p>
              </w:tc>
            </w:tr>
            <w:tr w14:paraId="07B95C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6" w:type="dxa"/>
                  <w:gridSpan w:val="2"/>
                  <w:vAlign w:val="center"/>
                </w:tcPr>
                <w:p w14:paraId="4C979F8B">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安定性：常温常压下稳定</w:t>
                  </w:r>
                </w:p>
              </w:tc>
            </w:tr>
            <w:tr w14:paraId="3BAF8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6" w:type="dxa"/>
                  <w:gridSpan w:val="2"/>
                  <w:vAlign w:val="center"/>
                </w:tcPr>
                <w:p w14:paraId="06678811">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特殊状况下可能的危害反应：不会发生聚合反应</w:t>
                  </w:r>
                </w:p>
              </w:tc>
            </w:tr>
            <w:tr w14:paraId="4F2AD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6" w:type="dxa"/>
                  <w:gridSpan w:val="2"/>
                  <w:vAlign w:val="center"/>
                </w:tcPr>
                <w:p w14:paraId="31D0F8D8">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应避免的状况：避免热、火焰、火花及其他燃烧物质。若</w:t>
                  </w:r>
                  <w:r>
                    <w:rPr>
                      <w:rFonts w:hint="default" w:ascii="Times New Roman" w:hAnsi="Times New Roman" w:cs="Times New Roman"/>
                      <w:color w:val="auto"/>
                      <w:szCs w:val="21"/>
                      <w:highlight w:val="none"/>
                      <w:lang w:eastAsia="zh-CN"/>
                    </w:rPr>
                    <w:t>暴露</w:t>
                  </w:r>
                  <w:r>
                    <w:rPr>
                      <w:rFonts w:hint="default" w:ascii="Times New Roman" w:hAnsi="Times New Roman" w:cs="Times New Roman"/>
                      <w:color w:val="auto"/>
                      <w:szCs w:val="21"/>
                      <w:highlight w:val="none"/>
                    </w:rPr>
                    <w:t>于热源，容器会破裂或爆炸。有害气体会累积在密闭空间。</w:t>
                  </w:r>
                </w:p>
              </w:tc>
            </w:tr>
            <w:tr w14:paraId="6BF325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6" w:type="dxa"/>
                  <w:gridSpan w:val="2"/>
                  <w:vAlign w:val="center"/>
                </w:tcPr>
                <w:p w14:paraId="7638B2BA">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应避免的物质：氧化剂</w:t>
                  </w:r>
                </w:p>
              </w:tc>
            </w:tr>
            <w:tr w14:paraId="1947FE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6" w:type="dxa"/>
                  <w:gridSpan w:val="2"/>
                  <w:vAlign w:val="center"/>
                </w:tcPr>
                <w:p w14:paraId="022A236E">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危害分解物：硫氧化物与碳氧化物的有毒或有害气体</w:t>
                  </w:r>
                </w:p>
              </w:tc>
            </w:tr>
            <w:tr w14:paraId="78007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6" w:type="dxa"/>
                  <w:gridSpan w:val="2"/>
                  <w:vAlign w:val="center"/>
                </w:tcPr>
                <w:p w14:paraId="4784BF67">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毒性：</w:t>
                  </w:r>
                </w:p>
                <w:p w14:paraId="1BDE8170">
                  <w:pPr>
                    <w:pStyle w:val="74"/>
                    <w:numPr>
                      <w:ilvl w:val="0"/>
                      <w:numId w:val="8"/>
                    </w:num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食入：会引起反胃、呕吐腹部绞痛、腹泻且可能中枢神经系统抑制的症状。在食入期间甚至小量的吸入或呕吐会导致严重肺部刺激，而带有咳嗽、反胃、呼吸困难、肺部浮肿、肺炎与死亡。</w:t>
                  </w:r>
                </w:p>
                <w:p w14:paraId="59330A77">
                  <w:pPr>
                    <w:pStyle w:val="74"/>
                    <w:numPr>
                      <w:ilvl w:val="0"/>
                      <w:numId w:val="8"/>
                    </w:num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吸入：蒸汽或油雾会引起呼吸道刺激。人类</w:t>
                  </w:r>
                  <w:r>
                    <w:rPr>
                      <w:rFonts w:hint="default" w:ascii="Times New Roman" w:hAnsi="Times New Roman" w:cs="Times New Roman"/>
                      <w:color w:val="auto"/>
                      <w:szCs w:val="21"/>
                      <w:highlight w:val="none"/>
                      <w:lang w:eastAsia="zh-CN"/>
                    </w:rPr>
                    <w:t>暴露</w:t>
                  </w:r>
                  <w:r>
                    <w:rPr>
                      <w:rFonts w:hint="default" w:ascii="Times New Roman" w:hAnsi="Times New Roman" w:cs="Times New Roman"/>
                      <w:color w:val="auto"/>
                      <w:szCs w:val="21"/>
                      <w:highlight w:val="none"/>
                    </w:rPr>
                    <w:t>会导致立即咳嗽、呼吸困难且一小时的无知觉。持续闻柴油37天，则带有痰的大量咳嗽。高浓度也会引起中枢神经系统兴奋随后受抑制，其症状可能为：运动失调、头晕、厌食、反胃、呕吐、昏迷。</w:t>
                  </w:r>
                </w:p>
                <w:p w14:paraId="3E9CC4E0">
                  <w:pPr>
                    <w:pStyle w:val="74"/>
                    <w:numPr>
                      <w:ilvl w:val="0"/>
                      <w:numId w:val="8"/>
                    </w:num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皮肤：会引起痛苦与刺激。</w:t>
                  </w:r>
                </w:p>
                <w:p w14:paraId="6BA37896">
                  <w:pPr>
                    <w:pStyle w:val="74"/>
                    <w:numPr>
                      <w:ilvl w:val="0"/>
                      <w:numId w:val="8"/>
                    </w:num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眼睛：液体或蒸气会引起轻微刺激。</w:t>
                  </w:r>
                </w:p>
              </w:tc>
            </w:tr>
            <w:tr w14:paraId="2053D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6" w:type="dxa"/>
                  <w:gridSpan w:val="2"/>
                  <w:vAlign w:val="center"/>
                </w:tcPr>
                <w:p w14:paraId="2BE2683E">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物品危害分类：可燃液体</w:t>
                  </w:r>
                </w:p>
              </w:tc>
            </w:tr>
            <w:tr w14:paraId="76163F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06" w:type="dxa"/>
                  <w:gridSpan w:val="2"/>
                  <w:vAlign w:val="center"/>
                </w:tcPr>
                <w:p w14:paraId="00018602">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不同暴露途径急救方法：</w:t>
                  </w:r>
                </w:p>
                <w:p w14:paraId="728BE5BE">
                  <w:pPr>
                    <w:pStyle w:val="74"/>
                    <w:numPr>
                      <w:ilvl w:val="0"/>
                      <w:numId w:val="9"/>
                    </w:num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吸入：当能够安全进入灾区时，将人员从暴露区移到新鲜空气处。若需要，用一袋状阀门口罩或相同设备，以实施人工呼吸。保持身体温暖及静止休息。立刻送医治疗。</w:t>
                  </w:r>
                </w:p>
                <w:p w14:paraId="6B9B418A">
                  <w:pPr>
                    <w:pStyle w:val="74"/>
                    <w:numPr>
                      <w:ilvl w:val="0"/>
                      <w:numId w:val="9"/>
                    </w:num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皮肤接触：立即将受污染的衣服、首饰、手表等装饰品及鞋子脱掉。用肥皂或中性清洁剂清洗感染处，并且用大量水冲洗直至没有化学品残留（至少15~20分钟）。若需要，送医治疗。</w:t>
                  </w:r>
                </w:p>
                <w:p w14:paraId="4D4DEC78">
                  <w:pPr>
                    <w:pStyle w:val="74"/>
                    <w:numPr>
                      <w:ilvl w:val="0"/>
                      <w:numId w:val="9"/>
                    </w:num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眼睛接触：将中毒者移开污染区，在水龙头或洗眼器下大量冲洗眼睛十五分钟以上，并将上下眼皮翻开慢慢转动眼睛，直至没有化学品残留。如果疼痛持续则送医治疗。</w:t>
                  </w:r>
                </w:p>
              </w:tc>
            </w:tr>
          </w:tbl>
          <w:p w14:paraId="333FC498">
            <w:pPr>
              <w:pStyle w:val="68"/>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导热油的理化性质及安全技术说明见下表。</w:t>
            </w:r>
          </w:p>
          <w:p w14:paraId="7E05AF96">
            <w:pPr>
              <w:pStyle w:val="68"/>
              <w:adjustRightInd w:val="0"/>
              <w:snapToGrid w:val="0"/>
              <w:spacing w:line="400" w:lineRule="exact"/>
              <w:ind w:firstLine="480"/>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表4-1</w:t>
            </w:r>
            <w:r>
              <w:rPr>
                <w:rFonts w:hint="default" w:ascii="Times New Roman" w:hAnsi="Times New Roman" w:eastAsia="黑体" w:cs="Times New Roman"/>
                <w:color w:val="auto"/>
                <w:sz w:val="24"/>
                <w:highlight w:val="none"/>
                <w:lang w:val="en-US" w:eastAsia="zh-CN"/>
              </w:rPr>
              <w:t>1</w:t>
            </w:r>
            <w:r>
              <w:rPr>
                <w:rFonts w:hint="default" w:ascii="Times New Roman" w:hAnsi="Times New Roman" w:eastAsia="黑体" w:cs="Times New Roman"/>
                <w:color w:val="auto"/>
                <w:sz w:val="24"/>
                <w:highlight w:val="none"/>
              </w:rPr>
              <w:t xml:space="preserve"> 导热油的理化性质及安全技术说明</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60"/>
            </w:tblGrid>
            <w:tr w14:paraId="3FC75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193" w:type="dxa"/>
                  <w:vAlign w:val="center"/>
                </w:tcPr>
                <w:p w14:paraId="05601DE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导热油</w:t>
                  </w:r>
                </w:p>
              </w:tc>
            </w:tr>
            <w:tr w14:paraId="31FAFE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193" w:type="dxa"/>
                  <w:vAlign w:val="center"/>
                </w:tcPr>
                <w:p w14:paraId="0AD333F8">
                  <w:pPr>
                    <w:pStyle w:val="74"/>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导热油又称传热油，正规名称为热载体油，英文名称为Heattransferoil,所以也称热导油，热媒油等。导热油是一种热量的传递介质，由于其具有加热均匀，调温控制准确，能在低蒸汽压下产生高温，传热效果好，节能，输送和操作方便等特点。导热油主要成分为芳烃，一般芳烃含量&gt;99%。拟建项目采用的导热油为矿油型，是以精制矿物油加入抗氧剂、防焦剂等添加剂制成的热传导液，具有无毒、无味，在常温下不易氧化，无需氮封等特点。通过加入添加剂，消除了导热油的热氧化反应和热聚合反应，提高了导热油的稳定性，防止因产生结焦现象而引发的风险事故发生。</w:t>
                  </w:r>
                </w:p>
              </w:tc>
            </w:tr>
          </w:tbl>
          <w:p w14:paraId="548C8D87">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废焦油</w:t>
            </w:r>
            <w:r>
              <w:rPr>
                <w:rFonts w:hint="default" w:ascii="Times New Roman" w:hAnsi="Times New Roman" w:eastAsia="宋体" w:cs="Times New Roman"/>
                <w:color w:val="auto"/>
                <w:sz w:val="24"/>
                <w:highlight w:val="none"/>
              </w:rPr>
              <w:t>的理化性质及安全技术说明见下表</w:t>
            </w:r>
            <w:r>
              <w:rPr>
                <w:rFonts w:hint="default" w:ascii="Times New Roman" w:hAnsi="Times New Roman" w:eastAsia="宋体" w:cs="Times New Roman"/>
                <w:color w:val="auto"/>
                <w:sz w:val="24"/>
                <w:highlight w:val="none"/>
                <w:lang w:eastAsia="zh-CN"/>
              </w:rPr>
              <w:t>。</w:t>
            </w:r>
          </w:p>
          <w:p w14:paraId="74ACEA0D">
            <w:pPr>
              <w:pStyle w:val="68"/>
              <w:adjustRightInd w:val="0"/>
              <w:snapToGrid w:val="0"/>
              <w:spacing w:line="400" w:lineRule="exact"/>
              <w:ind w:firstLine="480"/>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表4-1</w:t>
            </w:r>
            <w:r>
              <w:rPr>
                <w:rFonts w:hint="default" w:ascii="Times New Roman" w:hAnsi="Times New Roman" w:eastAsia="黑体" w:cs="Times New Roman"/>
                <w:color w:val="auto"/>
                <w:sz w:val="24"/>
                <w:highlight w:val="none"/>
                <w:lang w:val="en-US" w:eastAsia="zh-CN"/>
              </w:rPr>
              <w:t>2</w:t>
            </w:r>
            <w:r>
              <w:rPr>
                <w:rFonts w:hint="default" w:ascii="Times New Roman" w:hAnsi="Times New Roman" w:eastAsia="黑体" w:cs="Times New Roman"/>
                <w:color w:val="auto"/>
                <w:sz w:val="24"/>
                <w:highlight w:val="none"/>
              </w:rPr>
              <w:t xml:space="preserve"> 废焦油的理化性质及安全技术说明</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6581"/>
            </w:tblGrid>
            <w:tr w14:paraId="3D79A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660" w:type="dxa"/>
                  <w:gridSpan w:val="2"/>
                  <w:vAlign w:val="center"/>
                </w:tcPr>
                <w:p w14:paraId="2DCBBA1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废焦油</w:t>
                  </w:r>
                </w:p>
              </w:tc>
            </w:tr>
            <w:tr w14:paraId="14DAD6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79" w:type="dxa"/>
                  <w:vAlign w:val="center"/>
                </w:tcPr>
                <w:p w14:paraId="38621C44">
                  <w:pPr>
                    <w:pStyle w:val="74"/>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理化性质</w:t>
                  </w:r>
                </w:p>
              </w:tc>
              <w:tc>
                <w:tcPr>
                  <w:tcW w:w="6581" w:type="dxa"/>
                  <w:vAlign w:val="center"/>
                </w:tcPr>
                <w:p w14:paraId="1DFE4CF5">
                  <w:pPr>
                    <w:pStyle w:val="74"/>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外观与状态</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黑色或深褐色粘稠液体，有特殊臭味，常温下密度大于水(20℃时比重为1.12-1.22)，不溶于水，可与乙醇、丙酮等有机溶剂混溶。</w:t>
                  </w:r>
                </w:p>
                <w:p w14:paraId="0E117C7C">
                  <w:pPr>
                    <w:pStyle w:val="74"/>
                    <w:jc w:val="left"/>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沸点范围</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宽沸点范围，具体数值未明确提及，但蒸馏试验是评估其质量的重要指标。</w:t>
                  </w:r>
                </w:p>
              </w:tc>
            </w:tr>
            <w:tr w14:paraId="0F24F8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079" w:type="dxa"/>
                  <w:vAlign w:val="center"/>
                </w:tcPr>
                <w:p w14:paraId="242F7F93">
                  <w:pPr>
                    <w:pStyle w:val="74"/>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安全技术说明</w:t>
                  </w:r>
                </w:p>
              </w:tc>
              <w:tc>
                <w:tcPr>
                  <w:tcW w:w="6581" w:type="dxa"/>
                  <w:vAlign w:val="center"/>
                </w:tcPr>
                <w:p w14:paraId="2FB26C0F">
                  <w:pPr>
                    <w:pStyle w:val="74"/>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危险性</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易燃易爆，遇明火、高热或氧化剂易引发燃烧爆炸，蒸气与空气混合可形成爆炸性混合物。</w:t>
                  </w:r>
                </w:p>
                <w:p w14:paraId="32A66E93">
                  <w:pPr>
                    <w:pStyle w:val="74"/>
                    <w:jc w:val="left"/>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急救措施</w:t>
                  </w:r>
                  <w:r>
                    <w:rPr>
                      <w:rFonts w:hint="default" w:ascii="Times New Roman" w:hAnsi="Times New Roman" w:cs="Times New Roman"/>
                      <w:color w:val="auto"/>
                      <w:szCs w:val="21"/>
                      <w:highlight w:val="none"/>
                      <w:lang w:eastAsia="zh-CN"/>
                    </w:rPr>
                    <w:t>：</w:t>
                  </w:r>
                </w:p>
                <w:p w14:paraId="6696240B">
                  <w:pPr>
                    <w:pStyle w:val="74"/>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皮肤接触</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立即脱去污染衣物，用肥皂水清洗。</w:t>
                  </w:r>
                </w:p>
                <w:p w14:paraId="461200C5">
                  <w:pPr>
                    <w:pStyle w:val="74"/>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眼睛接触</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用流动清水冲洗。</w:t>
                  </w:r>
                </w:p>
                <w:p w14:paraId="0EF1F4C0">
                  <w:pPr>
                    <w:pStyle w:val="74"/>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灭火方法</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采用泡沫、干粉、二氧化碳或1211灭火剂灭火，禁止用水或泡沫灭火。</w:t>
                  </w:r>
                </w:p>
                <w:p w14:paraId="308C6A09">
                  <w:pPr>
                    <w:pStyle w:val="74"/>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储存与操作</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需密封操作，远离火源和高温环境，操作人员需穿防毒面具、防护眼镜等防护装备。</w:t>
                  </w:r>
                </w:p>
              </w:tc>
            </w:tr>
          </w:tbl>
          <w:p w14:paraId="502D0692">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废机油的理化性质及安全技术说明见下表</w:t>
            </w:r>
            <w:r>
              <w:rPr>
                <w:rFonts w:hint="default" w:ascii="Times New Roman" w:hAnsi="Times New Roman" w:eastAsia="宋体" w:cs="Times New Roman"/>
                <w:color w:val="auto"/>
                <w:sz w:val="24"/>
                <w:highlight w:val="none"/>
                <w:lang w:eastAsia="zh-CN"/>
              </w:rPr>
              <w:t>。</w:t>
            </w:r>
          </w:p>
          <w:p w14:paraId="0A30820D">
            <w:pPr>
              <w:adjustRightInd w:val="0"/>
              <w:snapToGrid w:val="0"/>
              <w:spacing w:line="240" w:lineRule="auto"/>
              <w:ind w:firstLine="0" w:firstLineChars="0"/>
              <w:jc w:val="center"/>
              <w:rPr>
                <w:rFonts w:hint="default" w:ascii="Times New Roman" w:hAnsi="Times New Roman" w:eastAsia="黑体" w:cs="Times New Roman"/>
                <w:color w:val="auto"/>
                <w:kern w:val="0"/>
                <w:sz w:val="24"/>
                <w:szCs w:val="24"/>
                <w:highlight w:val="none"/>
                <w:lang w:val="en-US" w:eastAsia="zh-CN" w:bidi="ar-SA"/>
              </w:rPr>
            </w:pPr>
            <w:r>
              <w:rPr>
                <w:rFonts w:hint="default" w:ascii="Times New Roman" w:hAnsi="Times New Roman" w:eastAsia="黑体" w:cs="Times New Roman"/>
                <w:color w:val="auto"/>
                <w:kern w:val="0"/>
                <w:sz w:val="24"/>
                <w:szCs w:val="24"/>
                <w:highlight w:val="none"/>
                <w:lang w:val="en-US" w:eastAsia="zh-CN" w:bidi="ar-SA"/>
              </w:rPr>
              <w:t>表4-13</w:t>
            </w:r>
            <w:r>
              <w:rPr>
                <w:rFonts w:hint="default" w:ascii="Times New Roman" w:hAnsi="Times New Roman" w:eastAsia="黑体" w:cs="Times New Roman"/>
                <w:color w:val="auto"/>
                <w:kern w:val="0"/>
                <w:sz w:val="24"/>
                <w:szCs w:val="24"/>
                <w:highlight w:val="none"/>
                <w:lang w:val="en-US" w:eastAsia="zh-CN" w:bidi="ar-SA"/>
              </w:rPr>
              <w:tab/>
            </w:r>
            <w:r>
              <w:rPr>
                <w:rFonts w:hint="default" w:ascii="Times New Roman" w:hAnsi="Times New Roman" w:eastAsia="黑体" w:cs="Times New Roman"/>
                <w:color w:val="auto"/>
                <w:kern w:val="0"/>
                <w:sz w:val="24"/>
                <w:szCs w:val="24"/>
                <w:highlight w:val="none"/>
                <w:lang w:val="en-US" w:eastAsia="zh-CN" w:bidi="ar-SA"/>
              </w:rPr>
              <w:t>废机油</w:t>
            </w:r>
            <w:r>
              <w:rPr>
                <w:rFonts w:hint="default" w:ascii="Times New Roman" w:hAnsi="Times New Roman" w:eastAsia="黑体" w:cs="Times New Roman"/>
                <w:color w:val="auto"/>
                <w:sz w:val="24"/>
                <w:highlight w:val="none"/>
              </w:rPr>
              <w:t>的理化性质及安全技术说明</w:t>
            </w:r>
          </w:p>
          <w:tbl>
            <w:tblPr>
              <w:tblStyle w:val="30"/>
              <w:tblW w:w="4999" w:type="pct"/>
              <w:tblInd w:w="0" w:type="dxa"/>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Layout w:type="fixed"/>
              <w:tblCellMar>
                <w:top w:w="0" w:type="dxa"/>
                <w:left w:w="0" w:type="dxa"/>
                <w:bottom w:w="0" w:type="dxa"/>
                <w:right w:w="0" w:type="dxa"/>
              </w:tblCellMar>
            </w:tblPr>
            <w:tblGrid>
              <w:gridCol w:w="883"/>
              <w:gridCol w:w="1666"/>
              <w:gridCol w:w="5089"/>
            </w:tblGrid>
            <w:tr w14:paraId="77AB1D95">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PrEx>
              <w:trPr>
                <w:trHeight w:val="227" w:hRule="atLeast"/>
              </w:trPr>
              <w:tc>
                <w:tcPr>
                  <w:tcW w:w="578" w:type="pct"/>
                  <w:tcBorders>
                    <w:left w:val="nil"/>
                  </w:tcBorders>
                  <w:noWrap w:val="0"/>
                  <w:vAlign w:val="center"/>
                </w:tcPr>
                <w:p w14:paraId="41149BC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090" w:type="pct"/>
                  <w:noWrap w:val="0"/>
                  <w:vAlign w:val="center"/>
                </w:tcPr>
                <w:p w14:paraId="7FFDC6F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中文名称</w:t>
                  </w:r>
                </w:p>
              </w:tc>
              <w:tc>
                <w:tcPr>
                  <w:tcW w:w="3331" w:type="pct"/>
                  <w:noWrap w:val="0"/>
                  <w:vAlign w:val="center"/>
                </w:tcPr>
                <w:p w14:paraId="51D5735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废机油</w:t>
                  </w:r>
                </w:p>
              </w:tc>
            </w:tr>
            <w:tr w14:paraId="42E8EFF0">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restart"/>
                  <w:tcBorders>
                    <w:left w:val="nil"/>
                  </w:tcBorders>
                  <w:noWrap w:val="0"/>
                  <w:vAlign w:val="center"/>
                </w:tcPr>
                <w:p w14:paraId="2A94DEB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理化性质</w:t>
                  </w:r>
                </w:p>
              </w:tc>
              <w:tc>
                <w:tcPr>
                  <w:tcW w:w="1090" w:type="pct"/>
                  <w:noWrap w:val="0"/>
                  <w:vAlign w:val="center"/>
                </w:tcPr>
                <w:p w14:paraId="6E399DA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外观与形状</w:t>
                  </w:r>
                </w:p>
              </w:tc>
              <w:tc>
                <w:tcPr>
                  <w:tcW w:w="3331" w:type="pct"/>
                  <w:noWrap w:val="0"/>
                  <w:vAlign w:val="center"/>
                </w:tcPr>
                <w:p w14:paraId="38CA878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浅黄色粘稠液体</w:t>
                  </w:r>
                </w:p>
              </w:tc>
            </w:tr>
            <w:tr w14:paraId="687DA1A5">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4EDA0C67">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617B416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相对密度（水=1）</w:t>
                  </w:r>
                </w:p>
              </w:tc>
              <w:tc>
                <w:tcPr>
                  <w:tcW w:w="3331" w:type="pct"/>
                  <w:noWrap w:val="0"/>
                  <w:vAlign w:val="center"/>
                </w:tcPr>
                <w:p w14:paraId="69BDF98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0.875</w:t>
                  </w:r>
                </w:p>
              </w:tc>
            </w:tr>
            <w:tr w14:paraId="68704EEC">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712BF027">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653409E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凝固点（℃）</w:t>
                  </w:r>
                </w:p>
              </w:tc>
              <w:tc>
                <w:tcPr>
                  <w:tcW w:w="3331" w:type="pct"/>
                  <w:noWrap w:val="0"/>
                  <w:vAlign w:val="center"/>
                </w:tcPr>
                <w:p w14:paraId="4618453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r>
            <w:tr w14:paraId="5E98A4C1">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7DFA7060">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1FFA64B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沸点（℃）</w:t>
                  </w:r>
                </w:p>
              </w:tc>
              <w:tc>
                <w:tcPr>
                  <w:tcW w:w="3331" w:type="pct"/>
                  <w:noWrap w:val="0"/>
                  <w:vAlign w:val="center"/>
                </w:tcPr>
                <w:p w14:paraId="104FA58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240~400</w:t>
                  </w:r>
                </w:p>
              </w:tc>
            </w:tr>
            <w:tr w14:paraId="03BA7709">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PrEx>
              <w:trPr>
                <w:trHeight w:val="227" w:hRule="atLeast"/>
              </w:trPr>
              <w:tc>
                <w:tcPr>
                  <w:tcW w:w="578" w:type="pct"/>
                  <w:vMerge w:val="continue"/>
                  <w:tcBorders>
                    <w:left w:val="nil"/>
                  </w:tcBorders>
                  <w:noWrap w:val="0"/>
                  <w:vAlign w:val="center"/>
                </w:tcPr>
                <w:p w14:paraId="08BB59CA">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6BF3477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闪点（℃）</w:t>
                  </w:r>
                </w:p>
              </w:tc>
              <w:tc>
                <w:tcPr>
                  <w:tcW w:w="3331" w:type="pct"/>
                  <w:noWrap w:val="0"/>
                  <w:vAlign w:val="center"/>
                </w:tcPr>
                <w:p w14:paraId="7F6CE0C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r>
            <w:tr w14:paraId="28503A53">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7828FB67">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52506AA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引燃温度（℃）</w:t>
                  </w:r>
                </w:p>
              </w:tc>
              <w:tc>
                <w:tcPr>
                  <w:tcW w:w="3331" w:type="pct"/>
                  <w:noWrap w:val="0"/>
                  <w:vAlign w:val="center"/>
                </w:tcPr>
                <w:p w14:paraId="73103DF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r>
            <w:tr w14:paraId="5B192B5B">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4FB21A75">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1DA2917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饱和蒸汽压（KPa）</w:t>
                  </w:r>
                </w:p>
              </w:tc>
              <w:tc>
                <w:tcPr>
                  <w:tcW w:w="3331" w:type="pct"/>
                  <w:noWrap w:val="0"/>
                  <w:vAlign w:val="center"/>
                </w:tcPr>
                <w:p w14:paraId="1405BD5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0.17（145.8℃）</w:t>
                  </w:r>
                </w:p>
              </w:tc>
            </w:tr>
            <w:tr w14:paraId="4B2DE6D9">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restart"/>
                  <w:tcBorders>
                    <w:left w:val="nil"/>
                  </w:tcBorders>
                  <w:noWrap w:val="0"/>
                  <w:vAlign w:val="center"/>
                </w:tcPr>
                <w:p w14:paraId="0053D81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爆炸特性与消防</w:t>
                  </w:r>
                </w:p>
              </w:tc>
              <w:tc>
                <w:tcPr>
                  <w:tcW w:w="1090" w:type="pct"/>
                  <w:noWrap w:val="0"/>
                  <w:vAlign w:val="center"/>
                </w:tcPr>
                <w:p w14:paraId="144E2A8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燃烧分解产物</w:t>
                  </w:r>
                </w:p>
              </w:tc>
              <w:tc>
                <w:tcPr>
                  <w:tcW w:w="3331" w:type="pct"/>
                  <w:noWrap w:val="0"/>
                  <w:vAlign w:val="center"/>
                </w:tcPr>
                <w:p w14:paraId="2C1B238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一氧化碳、二氧化碳</w:t>
                  </w:r>
                </w:p>
              </w:tc>
            </w:tr>
            <w:tr w14:paraId="796096F9">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03F2D136">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517DB80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燃烧性</w:t>
                  </w:r>
                </w:p>
              </w:tc>
              <w:tc>
                <w:tcPr>
                  <w:tcW w:w="3331" w:type="pct"/>
                  <w:noWrap w:val="0"/>
                  <w:vAlign w:val="center"/>
                </w:tcPr>
                <w:p w14:paraId="0A19315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可燃</w:t>
                  </w:r>
                </w:p>
              </w:tc>
            </w:tr>
            <w:tr w14:paraId="21D70657">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7486DDA4">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00F207A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禁忌物</w:t>
                  </w:r>
                </w:p>
              </w:tc>
              <w:tc>
                <w:tcPr>
                  <w:tcW w:w="3331" w:type="pct"/>
                  <w:noWrap w:val="0"/>
                  <w:vAlign w:val="center"/>
                </w:tcPr>
                <w:p w14:paraId="5783988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硝酸、高锰酸钾等强氧化物</w:t>
                  </w:r>
                </w:p>
              </w:tc>
            </w:tr>
            <w:tr w14:paraId="5FCB3D11">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290A9AE6">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2282902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燃爆危险</w:t>
                  </w:r>
                </w:p>
              </w:tc>
              <w:tc>
                <w:tcPr>
                  <w:tcW w:w="3331" w:type="pct"/>
                  <w:noWrap w:val="0"/>
                  <w:vAlign w:val="center"/>
                </w:tcPr>
                <w:p w14:paraId="7D8BDEC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可燃液体，火灾危险性为丙类；遇明火、高热可燃。</w:t>
                  </w:r>
                </w:p>
              </w:tc>
            </w:tr>
            <w:tr w14:paraId="263047EF">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32E7EA40">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3F9EB6C6">
                  <w:pPr>
                    <w:jc w:val="center"/>
                    <w:rPr>
                      <w:rFonts w:hint="default" w:ascii="Times New Roman" w:hAnsi="Times New Roman" w:eastAsia="宋体" w:cs="Times New Roman"/>
                      <w:color w:val="auto"/>
                      <w:sz w:val="21"/>
                      <w:szCs w:val="21"/>
                      <w:highlight w:val="none"/>
                    </w:rPr>
                  </w:pPr>
                </w:p>
                <w:p w14:paraId="042CB1B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灭火方法</w:t>
                  </w:r>
                </w:p>
              </w:tc>
              <w:tc>
                <w:tcPr>
                  <w:tcW w:w="3331" w:type="pct"/>
                  <w:noWrap w:val="0"/>
                  <w:vAlign w:val="center"/>
                </w:tcPr>
                <w:p w14:paraId="0EAD78E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消防人员须佩戴防毒面具、穿全身</w:t>
                  </w:r>
                  <w:r>
                    <w:rPr>
                      <w:rFonts w:hint="default" w:ascii="Times New Roman" w:hAnsi="Times New Roman" w:cs="Times New Roman"/>
                      <w:color w:val="auto"/>
                      <w:sz w:val="21"/>
                      <w:szCs w:val="21"/>
                      <w:highlight w:val="none"/>
                      <w:lang w:eastAsia="zh-CN"/>
                    </w:rPr>
                    <w:t>消防</w:t>
                  </w:r>
                  <w:r>
                    <w:rPr>
                      <w:rFonts w:hint="default" w:ascii="Times New Roman" w:hAnsi="Times New Roman" w:eastAsia="宋体" w:cs="Times New Roman"/>
                      <w:color w:val="auto"/>
                      <w:sz w:val="21"/>
                      <w:szCs w:val="21"/>
                      <w:highlight w:val="none"/>
                    </w:rPr>
                    <w:t>服，在上风向灭火。</w:t>
                  </w:r>
                  <w:r>
                    <w:rPr>
                      <w:rFonts w:hint="default" w:ascii="Times New Roman" w:hAnsi="Times New Roman" w:eastAsia="宋体" w:cs="Times New Roman"/>
                      <w:color w:val="auto"/>
                      <w:spacing w:val="0"/>
                      <w:w w:val="100"/>
                      <w:sz w:val="21"/>
                      <w:szCs w:val="21"/>
                      <w:highlight w:val="none"/>
                    </w:rPr>
                    <w:t xml:space="preserve">尽可能将容器从火场移至空旷处。喷水保持火场容器冷却， </w:t>
                  </w:r>
                  <w:r>
                    <w:rPr>
                      <w:rFonts w:hint="default" w:ascii="Times New Roman" w:hAnsi="Times New Roman" w:eastAsia="宋体" w:cs="Times New Roman"/>
                      <w:color w:val="auto"/>
                      <w:spacing w:val="0"/>
                      <w:sz w:val="21"/>
                      <w:szCs w:val="21"/>
                      <w:highlight w:val="none"/>
                    </w:rPr>
                    <w:t>直至灭火结束。处在火场中的容器若已变色或从安全泄压</w:t>
                  </w:r>
                  <w:r>
                    <w:rPr>
                      <w:rFonts w:hint="default" w:ascii="Times New Roman" w:hAnsi="Times New Roman" w:eastAsia="宋体" w:cs="Times New Roman"/>
                      <w:color w:val="auto"/>
                      <w:sz w:val="21"/>
                      <w:szCs w:val="21"/>
                      <w:highlight w:val="none"/>
                    </w:rPr>
                    <w:t>装置中产生声音，必须马上撤离。</w:t>
                  </w:r>
                </w:p>
              </w:tc>
            </w:tr>
            <w:tr w14:paraId="21636988">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6ED22A62">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28B36C8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灭火剂</w:t>
                  </w:r>
                </w:p>
              </w:tc>
              <w:tc>
                <w:tcPr>
                  <w:tcW w:w="3331" w:type="pct"/>
                  <w:noWrap w:val="0"/>
                  <w:vAlign w:val="center"/>
                </w:tcPr>
                <w:p w14:paraId="3132462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雾状水、泡沫、干粉、二氧化碳、砂土</w:t>
                  </w:r>
                </w:p>
              </w:tc>
            </w:tr>
            <w:tr w14:paraId="6EAF17FE">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tcBorders>
                    <w:left w:val="nil"/>
                  </w:tcBorders>
                  <w:noWrap w:val="0"/>
                  <w:vAlign w:val="center"/>
                </w:tcPr>
                <w:p w14:paraId="1BCB9D3B">
                  <w:pPr>
                    <w:jc w:val="center"/>
                    <w:rPr>
                      <w:rFonts w:hint="default" w:ascii="Times New Roman" w:hAnsi="Times New Roman" w:eastAsia="宋体" w:cs="Times New Roman"/>
                      <w:color w:val="auto"/>
                      <w:sz w:val="21"/>
                      <w:szCs w:val="21"/>
                      <w:highlight w:val="none"/>
                    </w:rPr>
                  </w:pPr>
                </w:p>
                <w:p w14:paraId="62CC0C7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健康危害</w:t>
                  </w:r>
                </w:p>
              </w:tc>
              <w:tc>
                <w:tcPr>
                  <w:tcW w:w="4421" w:type="pct"/>
                  <w:gridSpan w:val="2"/>
                  <w:noWrap w:val="0"/>
                  <w:vAlign w:val="center"/>
                </w:tcPr>
                <w:p w14:paraId="443B5F4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w w:val="100"/>
                      <w:sz w:val="21"/>
                      <w:szCs w:val="21"/>
                      <w:highlight w:val="none"/>
                    </w:rPr>
                    <w:t>急性吸入，可出现乏力、头晕、头痛、恶心、严重者可引起油脂性肺炎。慢性接触</w:t>
                  </w:r>
                  <w:r>
                    <w:rPr>
                      <w:rFonts w:hint="default" w:ascii="Times New Roman" w:hAnsi="Times New Roman" w:cs="Times New Roman"/>
                      <w:color w:val="auto"/>
                      <w:w w:val="100"/>
                      <w:sz w:val="21"/>
                      <w:szCs w:val="21"/>
                      <w:highlight w:val="none"/>
                      <w:lang w:eastAsia="zh-CN"/>
                    </w:rPr>
                    <w:t>者</w:t>
                  </w:r>
                  <w:r>
                    <w:rPr>
                      <w:rFonts w:hint="default" w:ascii="Times New Roman" w:hAnsi="Times New Roman" w:eastAsia="宋体" w:cs="Times New Roman"/>
                      <w:color w:val="auto"/>
                      <w:w w:val="100"/>
                      <w:sz w:val="21"/>
                      <w:szCs w:val="21"/>
                      <w:highlight w:val="none"/>
                    </w:rPr>
                    <w:t>，暴露部位可发生油性痤疮和接触性皮炎。可引起神经衰弱</w:t>
                  </w:r>
                  <w:r>
                    <w:rPr>
                      <w:rFonts w:hint="default" w:ascii="Times New Roman" w:hAnsi="Times New Roman" w:cs="Times New Roman"/>
                      <w:color w:val="auto"/>
                      <w:w w:val="100"/>
                      <w:sz w:val="21"/>
                      <w:szCs w:val="21"/>
                      <w:highlight w:val="none"/>
                      <w:lang w:eastAsia="zh-CN"/>
                    </w:rPr>
                    <w:t>综合征</w:t>
                  </w:r>
                  <w:r>
                    <w:rPr>
                      <w:rFonts w:hint="default" w:ascii="Times New Roman" w:hAnsi="Times New Roman" w:eastAsia="宋体" w:cs="Times New Roman"/>
                      <w:color w:val="auto"/>
                      <w:w w:val="100"/>
                      <w:sz w:val="21"/>
                      <w:szCs w:val="21"/>
                      <w:highlight w:val="none"/>
                    </w:rPr>
                    <w:t>，</w:t>
                  </w:r>
                  <w:r>
                    <w:rPr>
                      <w:rFonts w:hint="default" w:ascii="Times New Roman" w:hAnsi="Times New Roman" w:cs="Times New Roman"/>
                      <w:color w:val="auto"/>
                      <w:w w:val="100"/>
                      <w:sz w:val="21"/>
                      <w:szCs w:val="21"/>
                      <w:highlight w:val="none"/>
                      <w:lang w:eastAsia="zh-CN"/>
                    </w:rPr>
                    <w:t>呼吸道</w:t>
                  </w:r>
                  <w:r>
                    <w:rPr>
                      <w:rFonts w:hint="default" w:ascii="Times New Roman" w:hAnsi="Times New Roman" w:eastAsia="宋体" w:cs="Times New Roman"/>
                      <w:color w:val="auto"/>
                      <w:sz w:val="21"/>
                      <w:szCs w:val="21"/>
                      <w:highlight w:val="none"/>
                    </w:rPr>
                    <w:t>刺激症状及慢性油脂性肺炎。</w:t>
                  </w:r>
                </w:p>
              </w:tc>
            </w:tr>
            <w:tr w14:paraId="4B952CBC">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restart"/>
                  <w:tcBorders>
                    <w:left w:val="nil"/>
                  </w:tcBorders>
                  <w:noWrap w:val="0"/>
                  <w:vAlign w:val="center"/>
                </w:tcPr>
                <w:p w14:paraId="3F20EF4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个体防护</w:t>
                  </w:r>
                </w:p>
              </w:tc>
              <w:tc>
                <w:tcPr>
                  <w:tcW w:w="1090" w:type="pct"/>
                  <w:noWrap w:val="0"/>
                  <w:vAlign w:val="center"/>
                </w:tcPr>
                <w:p w14:paraId="4BBCEFB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工程控制</w:t>
                  </w:r>
                </w:p>
              </w:tc>
              <w:tc>
                <w:tcPr>
                  <w:tcW w:w="3331" w:type="pct"/>
                  <w:noWrap w:val="0"/>
                  <w:vAlign w:val="center"/>
                </w:tcPr>
                <w:p w14:paraId="4F995DD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密闭操作，注意通风</w:t>
                  </w:r>
                </w:p>
              </w:tc>
            </w:tr>
            <w:tr w14:paraId="0F676AE1">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56755050">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5C294B4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呼吸系统防护</w:t>
                  </w:r>
                </w:p>
              </w:tc>
              <w:tc>
                <w:tcPr>
                  <w:tcW w:w="3331" w:type="pct"/>
                  <w:noWrap w:val="0"/>
                  <w:vAlign w:val="center"/>
                </w:tcPr>
                <w:p w14:paraId="4A5507E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w w:val="100"/>
                      <w:sz w:val="21"/>
                      <w:szCs w:val="21"/>
                      <w:highlight w:val="none"/>
                    </w:rPr>
                    <w:t xml:space="preserve">空气中浓度超标时，必须佩戴自吸过滤式防毒面具（半面 </w:t>
                  </w:r>
                  <w:r>
                    <w:rPr>
                      <w:rFonts w:hint="default" w:ascii="Times New Roman" w:hAnsi="Times New Roman" w:eastAsia="宋体" w:cs="Times New Roman"/>
                      <w:color w:val="auto"/>
                      <w:sz w:val="21"/>
                      <w:szCs w:val="21"/>
                      <w:highlight w:val="none"/>
                    </w:rPr>
                    <w:t>罩）。紧急事态抢救或撤离时应佩戴空气呼吸器</w:t>
                  </w:r>
                </w:p>
              </w:tc>
            </w:tr>
            <w:tr w14:paraId="05540FB5">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1C0E54A1">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1AEA1C6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眼睛防护</w:t>
                  </w:r>
                </w:p>
              </w:tc>
              <w:tc>
                <w:tcPr>
                  <w:tcW w:w="3331" w:type="pct"/>
                  <w:noWrap w:val="0"/>
                  <w:vAlign w:val="center"/>
                </w:tcPr>
                <w:p w14:paraId="1523286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戴化学安全防护眼镜</w:t>
                  </w:r>
                </w:p>
              </w:tc>
            </w:tr>
            <w:tr w14:paraId="478571D4">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5B851DFE">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21565FB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身体防护</w:t>
                  </w:r>
                </w:p>
              </w:tc>
              <w:tc>
                <w:tcPr>
                  <w:tcW w:w="3331" w:type="pct"/>
                  <w:noWrap w:val="0"/>
                  <w:vAlign w:val="center"/>
                </w:tcPr>
                <w:p w14:paraId="520D092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穿防毒物渗透工作服</w:t>
                  </w:r>
                </w:p>
              </w:tc>
            </w:tr>
            <w:tr w14:paraId="521EB727">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5548A0B3">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10F1575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手防护</w:t>
                  </w:r>
                </w:p>
              </w:tc>
              <w:tc>
                <w:tcPr>
                  <w:tcW w:w="3331" w:type="pct"/>
                  <w:noWrap w:val="0"/>
                  <w:vAlign w:val="center"/>
                </w:tcPr>
                <w:p w14:paraId="256CB13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戴橡胶耐油手套</w:t>
                  </w:r>
                </w:p>
              </w:tc>
            </w:tr>
            <w:tr w14:paraId="6E5B9673">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41409AEB">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1EAA5A3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其他防护</w:t>
                  </w:r>
                </w:p>
              </w:tc>
              <w:tc>
                <w:tcPr>
                  <w:tcW w:w="3331" w:type="pct"/>
                  <w:noWrap w:val="0"/>
                  <w:vAlign w:val="center"/>
                </w:tcPr>
                <w:p w14:paraId="0117467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工作现场严禁吸烟，避免长期反复接触</w:t>
                  </w:r>
                </w:p>
              </w:tc>
            </w:tr>
            <w:tr w14:paraId="5902191D">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restart"/>
                  <w:tcBorders>
                    <w:left w:val="nil"/>
                  </w:tcBorders>
                  <w:noWrap w:val="0"/>
                  <w:vAlign w:val="center"/>
                </w:tcPr>
                <w:p w14:paraId="3DDDE17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急救措施</w:t>
                  </w:r>
                </w:p>
              </w:tc>
              <w:tc>
                <w:tcPr>
                  <w:tcW w:w="1090" w:type="pct"/>
                  <w:noWrap w:val="0"/>
                  <w:vAlign w:val="center"/>
                </w:tcPr>
                <w:p w14:paraId="3614905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皮肤接触</w:t>
                  </w:r>
                </w:p>
              </w:tc>
              <w:tc>
                <w:tcPr>
                  <w:tcW w:w="3331" w:type="pct"/>
                  <w:noWrap w:val="0"/>
                  <w:vAlign w:val="center"/>
                </w:tcPr>
                <w:p w14:paraId="289ED1B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脱去污染的衣着、用大量流动清水冲洗。就医</w:t>
                  </w:r>
                </w:p>
              </w:tc>
            </w:tr>
            <w:tr w14:paraId="62FA173C">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158DB5E2">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0C2C438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眼睛接触</w:t>
                  </w:r>
                </w:p>
              </w:tc>
              <w:tc>
                <w:tcPr>
                  <w:tcW w:w="3331" w:type="pct"/>
                  <w:noWrap w:val="0"/>
                  <w:vAlign w:val="center"/>
                </w:tcPr>
                <w:p w14:paraId="57AC6A0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提起眼睑，用流动清水或生理盐水冲洗。就医</w:t>
                  </w:r>
                </w:p>
              </w:tc>
            </w:tr>
            <w:tr w14:paraId="0B9F26BF">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4206944A">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5A99C6A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吸入</w:t>
                  </w:r>
                </w:p>
              </w:tc>
              <w:tc>
                <w:tcPr>
                  <w:tcW w:w="3331" w:type="pct"/>
                  <w:noWrap w:val="0"/>
                  <w:vAlign w:val="center"/>
                </w:tcPr>
                <w:p w14:paraId="2E55CA2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w w:val="100"/>
                      <w:sz w:val="21"/>
                      <w:szCs w:val="21"/>
                      <w:highlight w:val="none"/>
                    </w:rPr>
                    <w:t xml:space="preserve">迅速脱离现场至空气新鲜处。保持呼吸道通畅。如呼吸困 </w:t>
                  </w:r>
                  <w:r>
                    <w:rPr>
                      <w:rFonts w:hint="default" w:ascii="Times New Roman" w:hAnsi="Times New Roman" w:eastAsia="宋体" w:cs="Times New Roman"/>
                      <w:color w:val="auto"/>
                      <w:sz w:val="21"/>
                      <w:szCs w:val="21"/>
                      <w:highlight w:val="none"/>
                    </w:rPr>
                    <w:t>难，给输氧。如呼吸停止，立即进行人工呼吸。就医</w:t>
                  </w:r>
                </w:p>
              </w:tc>
            </w:tr>
            <w:tr w14:paraId="4D50C4A1">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vMerge w:val="continue"/>
                  <w:tcBorders>
                    <w:left w:val="nil"/>
                  </w:tcBorders>
                  <w:noWrap w:val="0"/>
                  <w:vAlign w:val="center"/>
                </w:tcPr>
                <w:p w14:paraId="3F1429F9">
                  <w:pPr>
                    <w:jc w:val="center"/>
                    <w:rPr>
                      <w:rFonts w:hint="default" w:ascii="Times New Roman" w:hAnsi="Times New Roman" w:eastAsia="宋体" w:cs="Times New Roman"/>
                      <w:color w:val="auto"/>
                      <w:sz w:val="21"/>
                      <w:szCs w:val="21"/>
                      <w:highlight w:val="none"/>
                    </w:rPr>
                  </w:pPr>
                </w:p>
              </w:tc>
              <w:tc>
                <w:tcPr>
                  <w:tcW w:w="1090" w:type="pct"/>
                  <w:noWrap w:val="0"/>
                  <w:vAlign w:val="center"/>
                </w:tcPr>
                <w:p w14:paraId="53E0225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食入</w:t>
                  </w:r>
                </w:p>
              </w:tc>
              <w:tc>
                <w:tcPr>
                  <w:tcW w:w="3331" w:type="pct"/>
                  <w:noWrap w:val="0"/>
                  <w:vAlign w:val="center"/>
                </w:tcPr>
                <w:p w14:paraId="508CE78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饮足量温水，催吐。就医</w:t>
                  </w:r>
                </w:p>
              </w:tc>
            </w:tr>
            <w:tr w14:paraId="18374497">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tcBorders>
                    <w:left w:val="nil"/>
                  </w:tcBorders>
                  <w:noWrap w:val="0"/>
                  <w:vAlign w:val="center"/>
                </w:tcPr>
                <w:p w14:paraId="08709FD4">
                  <w:pPr>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eastAsia="zh-CN"/>
                    </w:rPr>
                    <w:t>泄漏</w:t>
                  </w:r>
                  <w:r>
                    <w:rPr>
                      <w:rFonts w:hint="default" w:ascii="Times New Roman" w:hAnsi="Times New Roman" w:eastAsia="宋体" w:cs="Times New Roman"/>
                      <w:color w:val="auto"/>
                      <w:sz w:val="21"/>
                      <w:szCs w:val="21"/>
                      <w:highlight w:val="none"/>
                    </w:rPr>
                    <w:t>应急处理</w:t>
                  </w:r>
                </w:p>
              </w:tc>
              <w:tc>
                <w:tcPr>
                  <w:tcW w:w="4421" w:type="pct"/>
                  <w:gridSpan w:val="2"/>
                  <w:noWrap w:val="0"/>
                  <w:vAlign w:val="center"/>
                </w:tcPr>
                <w:p w14:paraId="7068C4F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w w:val="100"/>
                      <w:sz w:val="21"/>
                      <w:szCs w:val="21"/>
                      <w:highlight w:val="none"/>
                    </w:rPr>
                    <w:t>迅速撤离</w:t>
                  </w:r>
                  <w:r>
                    <w:rPr>
                      <w:rFonts w:hint="default" w:ascii="Times New Roman" w:hAnsi="Times New Roman" w:cs="Times New Roman"/>
                      <w:color w:val="auto"/>
                      <w:w w:val="100"/>
                      <w:sz w:val="21"/>
                      <w:szCs w:val="21"/>
                      <w:highlight w:val="none"/>
                      <w:lang w:eastAsia="zh-CN"/>
                    </w:rPr>
                    <w:t>泄漏</w:t>
                  </w:r>
                  <w:r>
                    <w:rPr>
                      <w:rFonts w:hint="default" w:ascii="Times New Roman" w:hAnsi="Times New Roman" w:eastAsia="宋体" w:cs="Times New Roman"/>
                      <w:color w:val="auto"/>
                      <w:w w:val="100"/>
                      <w:sz w:val="21"/>
                      <w:szCs w:val="21"/>
                      <w:highlight w:val="none"/>
                    </w:rPr>
                    <w:t>污染区人员至安全区，并进行隔离，严格限制出入。切断火源。建议应急处理人员戴自给正压式呼吸器，穿防毒服，尽可能切断泄漏源。防止流入  下水道、排洪沟等限制性空间。小量</w:t>
                  </w:r>
                  <w:r>
                    <w:rPr>
                      <w:rFonts w:hint="default" w:ascii="Times New Roman" w:hAnsi="Times New Roman" w:cs="Times New Roman"/>
                      <w:color w:val="auto"/>
                      <w:w w:val="100"/>
                      <w:sz w:val="21"/>
                      <w:szCs w:val="21"/>
                      <w:highlight w:val="none"/>
                      <w:lang w:eastAsia="zh-CN"/>
                    </w:rPr>
                    <w:t>泄漏</w:t>
                  </w:r>
                  <w:r>
                    <w:rPr>
                      <w:rFonts w:hint="default" w:ascii="Times New Roman" w:hAnsi="Times New Roman" w:eastAsia="宋体" w:cs="Times New Roman"/>
                      <w:color w:val="auto"/>
                      <w:w w:val="100"/>
                      <w:sz w:val="21"/>
                      <w:szCs w:val="21"/>
                      <w:highlight w:val="none"/>
                    </w:rPr>
                    <w:t>：用砂土或其他不燃材料吸附或吸收。</w:t>
                  </w:r>
                </w:p>
                <w:p w14:paraId="04C8ADF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w w:val="100"/>
                      <w:sz w:val="21"/>
                      <w:szCs w:val="21"/>
                      <w:highlight w:val="none"/>
                    </w:rPr>
                    <w:t xml:space="preserve">大量泄漏：构筑围堤或挖坑收容。用泵转移至槽车或专用收集器内，回收或运至  </w:t>
                  </w:r>
                  <w:r>
                    <w:rPr>
                      <w:rFonts w:hint="default" w:ascii="Times New Roman" w:hAnsi="Times New Roman" w:eastAsia="宋体" w:cs="Times New Roman"/>
                      <w:color w:val="auto"/>
                      <w:sz w:val="21"/>
                      <w:szCs w:val="21"/>
                      <w:highlight w:val="none"/>
                    </w:rPr>
                    <w:t>废物处理场所处置。</w:t>
                  </w:r>
                </w:p>
              </w:tc>
            </w:tr>
            <w:tr w14:paraId="65190685">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tcBorders>
                    <w:left w:val="nil"/>
                  </w:tcBorders>
                  <w:noWrap w:val="0"/>
                  <w:vAlign w:val="center"/>
                </w:tcPr>
                <w:p w14:paraId="2CBD27B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操作注意事项</w:t>
                  </w:r>
                </w:p>
              </w:tc>
              <w:tc>
                <w:tcPr>
                  <w:tcW w:w="4421" w:type="pct"/>
                  <w:gridSpan w:val="2"/>
                  <w:noWrap w:val="0"/>
                  <w:vAlign w:val="center"/>
                </w:tcPr>
                <w:p w14:paraId="7D9B600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w w:val="100"/>
                      <w:sz w:val="21"/>
                      <w:szCs w:val="21"/>
                      <w:highlight w:val="none"/>
                    </w:rPr>
                    <w:t>密闭操作，注意通风。操作人员必须经过专门培训，严格遵守操作规程。建议操  作人员佩戴自吸过滤式防毒面具（半面罩），</w:t>
                  </w:r>
                  <w:r>
                    <w:rPr>
                      <w:rFonts w:hint="default" w:ascii="Times New Roman" w:hAnsi="Times New Roman" w:cs="Times New Roman"/>
                      <w:color w:val="auto"/>
                      <w:w w:val="100"/>
                      <w:sz w:val="21"/>
                      <w:szCs w:val="21"/>
                      <w:highlight w:val="none"/>
                      <w:lang w:eastAsia="zh-CN"/>
                    </w:rPr>
                    <w:t>戴</w:t>
                  </w:r>
                  <w:r>
                    <w:rPr>
                      <w:rFonts w:hint="default" w:ascii="Times New Roman" w:hAnsi="Times New Roman" w:eastAsia="宋体" w:cs="Times New Roman"/>
                      <w:color w:val="auto"/>
                      <w:w w:val="100"/>
                      <w:sz w:val="21"/>
                      <w:szCs w:val="21"/>
                      <w:highlight w:val="none"/>
                    </w:rPr>
                    <w:t>化学安全防护眼镜，穿防毒无渗  透工作服，戴橡胶耐油手套。远离火种、热源，工作场所严禁吸烟。使用防爆型  的通风系统和设备，防止蒸汽</w:t>
                  </w:r>
                  <w:r>
                    <w:rPr>
                      <w:rFonts w:hint="default" w:ascii="Times New Roman" w:hAnsi="Times New Roman" w:cs="Times New Roman"/>
                      <w:color w:val="auto"/>
                      <w:w w:val="100"/>
                      <w:sz w:val="21"/>
                      <w:szCs w:val="21"/>
                      <w:highlight w:val="none"/>
                      <w:lang w:eastAsia="zh-CN"/>
                    </w:rPr>
                    <w:t>泄漏</w:t>
                  </w:r>
                  <w:r>
                    <w:rPr>
                      <w:rFonts w:hint="default" w:ascii="Times New Roman" w:hAnsi="Times New Roman" w:eastAsia="宋体" w:cs="Times New Roman"/>
                      <w:color w:val="auto"/>
                      <w:w w:val="100"/>
                      <w:sz w:val="21"/>
                      <w:szCs w:val="21"/>
                      <w:highlight w:val="none"/>
                    </w:rPr>
                    <w:t>到工作场所空气中，避免与氧化剂接触，搬运  时要轻装轻卸，防止包装及容器损坏。配备相应品种和数量的消防器材及</w:t>
                  </w:r>
                  <w:r>
                    <w:rPr>
                      <w:rFonts w:hint="default" w:ascii="Times New Roman" w:hAnsi="Times New Roman" w:cs="Times New Roman"/>
                      <w:color w:val="auto"/>
                      <w:w w:val="100"/>
                      <w:sz w:val="21"/>
                      <w:szCs w:val="21"/>
                      <w:highlight w:val="none"/>
                      <w:lang w:eastAsia="zh-CN"/>
                    </w:rPr>
                    <w:t>泄漏</w:t>
                  </w:r>
                  <w:r>
                    <w:rPr>
                      <w:rFonts w:hint="default" w:ascii="Times New Roman" w:hAnsi="Times New Roman" w:eastAsia="宋体" w:cs="Times New Roman"/>
                      <w:color w:val="auto"/>
                      <w:w w:val="100"/>
                      <w:sz w:val="21"/>
                      <w:szCs w:val="21"/>
                      <w:highlight w:val="none"/>
                    </w:rPr>
                    <w:t>应</w:t>
                  </w:r>
                  <w:r>
                    <w:rPr>
                      <w:rFonts w:hint="default" w:ascii="Times New Roman" w:hAnsi="Times New Roman" w:eastAsia="宋体" w:cs="Times New Roman"/>
                      <w:color w:val="auto"/>
                      <w:sz w:val="21"/>
                      <w:szCs w:val="21"/>
                      <w:highlight w:val="none"/>
                    </w:rPr>
                    <w:t>急处理设备。</w:t>
                  </w:r>
                </w:p>
              </w:tc>
            </w:tr>
            <w:tr w14:paraId="7ED58332">
              <w:tblPrEx>
                <w:tblBorders>
                  <w:top w:val="single" w:color="auto" w:sz="12" w:space="0"/>
                  <w:left w:val="single" w:color="000000" w:sz="8" w:space="0"/>
                  <w:bottom w:val="single" w:color="auto" w:sz="12"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78" w:type="pct"/>
                  <w:tcBorders>
                    <w:left w:val="nil"/>
                  </w:tcBorders>
                  <w:noWrap w:val="0"/>
                  <w:vAlign w:val="center"/>
                </w:tcPr>
                <w:p w14:paraId="25FAE52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储存注意事项</w:t>
                  </w:r>
                </w:p>
              </w:tc>
              <w:tc>
                <w:tcPr>
                  <w:tcW w:w="4421" w:type="pct"/>
                  <w:gridSpan w:val="2"/>
                  <w:noWrap w:val="0"/>
                  <w:vAlign w:val="center"/>
                </w:tcPr>
                <w:p w14:paraId="685E9D4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w w:val="100"/>
                      <w:sz w:val="21"/>
                      <w:szCs w:val="21"/>
                      <w:highlight w:val="none"/>
                    </w:rPr>
                    <w:t>储存于阴凉、通风的库房，远离火种、热源。应与氧化剂分开存放，切忌混储，  配备相应品种和数量的消防器材，储区应备有</w:t>
                  </w:r>
                  <w:r>
                    <w:rPr>
                      <w:rFonts w:hint="default" w:ascii="Times New Roman" w:hAnsi="Times New Roman" w:cs="Times New Roman"/>
                      <w:color w:val="auto"/>
                      <w:w w:val="100"/>
                      <w:sz w:val="21"/>
                      <w:szCs w:val="21"/>
                      <w:highlight w:val="none"/>
                      <w:lang w:eastAsia="zh-CN"/>
                    </w:rPr>
                    <w:t>泄漏</w:t>
                  </w:r>
                  <w:r>
                    <w:rPr>
                      <w:rFonts w:hint="default" w:ascii="Times New Roman" w:hAnsi="Times New Roman" w:eastAsia="宋体" w:cs="Times New Roman"/>
                      <w:color w:val="auto"/>
                      <w:w w:val="100"/>
                      <w:sz w:val="21"/>
                      <w:szCs w:val="21"/>
                      <w:highlight w:val="none"/>
                    </w:rPr>
                    <w:t>应急处理设备和收容材料。</w:t>
                  </w:r>
                </w:p>
              </w:tc>
            </w:tr>
          </w:tbl>
          <w:p w14:paraId="5563B971">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苯并[a]芘的理化性质及安全技术说明见下表</w:t>
            </w:r>
            <w:r>
              <w:rPr>
                <w:rFonts w:hint="default" w:ascii="Times New Roman" w:hAnsi="Times New Roman" w:eastAsia="宋体" w:cs="Times New Roman"/>
                <w:color w:val="auto"/>
                <w:sz w:val="24"/>
                <w:highlight w:val="none"/>
                <w:lang w:eastAsia="zh-CN"/>
              </w:rPr>
              <w:t>。</w:t>
            </w:r>
          </w:p>
          <w:p w14:paraId="6E2705C7">
            <w:pPr>
              <w:pStyle w:val="68"/>
              <w:adjustRightInd w:val="0"/>
              <w:snapToGrid w:val="0"/>
              <w:spacing w:line="240" w:lineRule="auto"/>
              <w:ind w:firstLine="480"/>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表4-1</w:t>
            </w:r>
            <w:r>
              <w:rPr>
                <w:rFonts w:hint="default" w:ascii="Times New Roman" w:hAnsi="Times New Roman" w:eastAsia="黑体" w:cs="Times New Roman"/>
                <w:color w:val="auto"/>
                <w:sz w:val="24"/>
                <w:highlight w:val="none"/>
                <w:lang w:val="en-US" w:eastAsia="zh-CN"/>
              </w:rPr>
              <w:t>4</w:t>
            </w:r>
            <w:r>
              <w:rPr>
                <w:rFonts w:hint="default" w:ascii="Times New Roman" w:hAnsi="Times New Roman" w:eastAsia="黑体" w:cs="Times New Roman"/>
                <w:color w:val="auto"/>
                <w:sz w:val="24"/>
                <w:highlight w:val="none"/>
              </w:rPr>
              <w:t xml:space="preserve"> 苯并[a]芘的理化性质及安全技术说明</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6581"/>
            </w:tblGrid>
            <w:tr w14:paraId="5A46E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60" w:type="dxa"/>
                  <w:gridSpan w:val="2"/>
                  <w:vAlign w:val="center"/>
                </w:tcPr>
                <w:p w14:paraId="01B10C94">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苯并[a]芘</w:t>
                  </w:r>
                </w:p>
              </w:tc>
            </w:tr>
            <w:tr w14:paraId="4452E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79" w:type="dxa"/>
                  <w:vAlign w:val="center"/>
                </w:tcPr>
                <w:p w14:paraId="620CE1AF">
                  <w:pPr>
                    <w:pStyle w:val="74"/>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理化性质</w:t>
                  </w:r>
                </w:p>
              </w:tc>
              <w:tc>
                <w:tcPr>
                  <w:tcW w:w="6581" w:type="dxa"/>
                  <w:vAlign w:val="center"/>
                </w:tcPr>
                <w:p w14:paraId="2BAB0C49">
                  <w:pPr>
                    <w:pStyle w:val="74"/>
                    <w:jc w:val="left"/>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化学式</w:t>
                  </w:r>
                  <w:r>
                    <w:rPr>
                      <w:rFonts w:hint="default" w:ascii="Times New Roman" w:hAnsi="Times New Roman"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C</w:t>
                  </w:r>
                  <w:r>
                    <w:rPr>
                      <w:rFonts w:hint="default" w:ascii="Times New Roman" w:hAnsi="Times New Roman" w:eastAsia="宋体" w:cs="Times New Roman"/>
                      <w:color w:val="auto"/>
                      <w:szCs w:val="21"/>
                      <w:highlight w:val="none"/>
                      <w:vertAlign w:val="subscript"/>
                      <w:lang w:val="en-US" w:eastAsia="zh-CN"/>
                    </w:rPr>
                    <w:t>20</w:t>
                  </w:r>
                  <w:r>
                    <w:rPr>
                      <w:rFonts w:hint="default" w:ascii="Times New Roman" w:hAnsi="Times New Roman" w:eastAsia="宋体" w:cs="Times New Roman"/>
                      <w:color w:val="auto"/>
                      <w:szCs w:val="21"/>
                      <w:highlight w:val="none"/>
                      <w:lang w:eastAsia="zh-CN"/>
                    </w:rPr>
                    <w:t>H</w:t>
                  </w:r>
                  <w:r>
                    <w:rPr>
                      <w:rFonts w:hint="default" w:ascii="Times New Roman" w:hAnsi="Times New Roman" w:eastAsia="宋体" w:cs="Times New Roman"/>
                      <w:color w:val="auto"/>
                      <w:szCs w:val="21"/>
                      <w:highlight w:val="none"/>
                      <w:vertAlign w:val="subscript"/>
                      <w:lang w:eastAsia="zh-CN"/>
                    </w:rPr>
                    <w:t>12</w:t>
                  </w:r>
                  <w:r>
                    <w:rPr>
                      <w:rFonts w:hint="default" w:ascii="Times New Roman" w:hAnsi="Times New Roman" w:eastAsia="宋体" w:cs="Times New Roman"/>
                      <w:color w:val="auto"/>
                      <w:szCs w:val="21"/>
                      <w:highlight w:val="none"/>
                      <w:lang w:eastAsia="zh-CN"/>
                    </w:rPr>
                    <w:t>，外观：黄色至棕色粉末</w:t>
                  </w:r>
                </w:p>
                <w:p w14:paraId="23777627">
                  <w:pPr>
                    <w:pStyle w:val="74"/>
                    <w:jc w:val="left"/>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溶解性：难溶于水，微溶于乙醇、甲醇，可溶于苯、甲苯、二甲苯、氯仿、乙醚、丙酮等有机溶剂。</w:t>
                  </w:r>
                </w:p>
                <w:p w14:paraId="352D440D">
                  <w:pPr>
                    <w:pStyle w:val="74"/>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eastAsia="zh-CN"/>
                    </w:rPr>
                    <w:t>密度：约1.3 g/cm</w:t>
                  </w:r>
                  <w:r>
                    <w:rPr>
                      <w:rFonts w:hint="default" w:ascii="Times New Roman" w:hAnsi="Times New Roman" w:eastAsia="宋体" w:cs="Times New Roman"/>
                      <w:color w:val="auto"/>
                      <w:szCs w:val="21"/>
                      <w:highlight w:val="none"/>
                      <w:vertAlign w:val="superscript"/>
                      <w:lang w:val="en-US" w:eastAsia="zh-CN"/>
                    </w:rPr>
                    <w:t>3</w:t>
                  </w:r>
                </w:p>
                <w:p w14:paraId="7BA3B209">
                  <w:pPr>
                    <w:pStyle w:val="74"/>
                    <w:jc w:val="left"/>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熔点：177-180°C</w:t>
                  </w:r>
                </w:p>
                <w:p w14:paraId="5BF00A2E">
                  <w:pPr>
                    <w:pStyle w:val="74"/>
                    <w:jc w:val="left"/>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沸点：495°C(760 mmHg)</w:t>
                  </w:r>
                </w:p>
                <w:p w14:paraId="381D4F78">
                  <w:pPr>
                    <w:pStyle w:val="74"/>
                    <w:jc w:val="left"/>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闪点：228.6°C(+13.7C)</w:t>
                  </w:r>
                </w:p>
              </w:tc>
            </w:tr>
            <w:tr w14:paraId="44CC9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79" w:type="dxa"/>
                  <w:vAlign w:val="center"/>
                </w:tcPr>
                <w:p w14:paraId="7295AD49">
                  <w:pPr>
                    <w:pStyle w:val="74"/>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MSDS</w:t>
                  </w:r>
                </w:p>
                <w:p w14:paraId="6381C83D">
                  <w:pPr>
                    <w:pStyle w:val="74"/>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信息</w:t>
                  </w:r>
                </w:p>
              </w:tc>
              <w:tc>
                <w:tcPr>
                  <w:tcW w:w="6581" w:type="dxa"/>
                  <w:vAlign w:val="center"/>
                </w:tcPr>
                <w:p w14:paraId="339C21D7">
                  <w:pPr>
                    <w:pStyle w:val="74"/>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危险性符号</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GHS07(易燃)、GHS08(腐蚀性)、GHS09(</w:t>
                  </w:r>
                  <w:r>
                    <w:rPr>
                      <w:rFonts w:hint="default" w:ascii="Times New Roman" w:hAnsi="Times New Roman" w:cs="Times New Roman"/>
                      <w:color w:val="auto"/>
                      <w:szCs w:val="21"/>
                      <w:highlight w:val="none"/>
                      <w:lang w:val="en-US" w:eastAsia="zh-CN"/>
                    </w:rPr>
                    <w:t>致癌</w:t>
                  </w:r>
                  <w:r>
                    <w:rPr>
                      <w:rFonts w:hint="default" w:ascii="Times New Roman" w:hAnsi="Times New Roman" w:cs="Times New Roman"/>
                      <w:color w:val="auto"/>
                      <w:szCs w:val="21"/>
                      <w:highlight w:val="none"/>
                    </w:rPr>
                    <w:t>)</w:t>
                  </w:r>
                </w:p>
                <w:p w14:paraId="670700DF">
                  <w:pPr>
                    <w:pStyle w:val="74"/>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安全警示</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需避免接触皮肤和眼睛，操作时需佩戴防护设备。</w:t>
                  </w:r>
                </w:p>
              </w:tc>
            </w:tr>
          </w:tbl>
          <w:p w14:paraId="525F3184">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（2）环境风险潜势以及环境风险评价等级的判断</w:t>
            </w:r>
          </w:p>
          <w:p w14:paraId="6565A221">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①评价等级</w:t>
            </w:r>
          </w:p>
          <w:p w14:paraId="7075736C">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根据《建设项目环境风险评价技术导则》（HJ169-2018）附录C中P的确定依据，由于项目Q值＜1，可直接判定项目环境风险潜势为Ⅰ。</w:t>
            </w:r>
          </w:p>
          <w:p w14:paraId="2AD64376">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bookmarkStart w:id="68" w:name="_Hlk186815069"/>
            <w:r>
              <w:rPr>
                <w:rFonts w:hint="default" w:ascii="Times New Roman" w:hAnsi="Times New Roman" w:cs="Times New Roman"/>
                <w:color w:val="auto"/>
                <w:sz w:val="24"/>
                <w:highlight w:val="none"/>
              </w:rPr>
              <w:t>（3）风险分析</w:t>
            </w:r>
          </w:p>
          <w:p w14:paraId="745A945F">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风险事故类型主要为废气不达标排放、油类物质泄漏、火灾和爆炸。</w:t>
            </w:r>
          </w:p>
          <w:p w14:paraId="7941F934">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①废气不达标排放</w:t>
            </w:r>
          </w:p>
          <w:p w14:paraId="7F9BFFB6">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废气处理系统因故障导致废气不达标排放，污染大气环境。</w:t>
            </w:r>
          </w:p>
          <w:p w14:paraId="668B711B">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②沥青泄漏影响</w:t>
            </w:r>
          </w:p>
          <w:p w14:paraId="575BD5A8">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项目沥青罐区设立围堰</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罐区围堰高度0.4m，容积量大于区内最大沥青储罐泄漏沥青容积量，一般情况下发生沥青泄漏均会截留在围堰内，少量泄漏围堰外的沥青，受空气冷却后，将逐渐固化，不易流动，沥青不会泄漏至厂区外。厂家及时清理泄漏沥青，不会影响周围地表水体及大气环境。</w:t>
            </w:r>
          </w:p>
          <w:p w14:paraId="73AECDA2">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③油类物质泄漏</w:t>
            </w:r>
          </w:p>
          <w:p w14:paraId="1BA8FEA6">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轻质柴油、导热油等各油类物质如果流入外环境，会污染周边地表水体和土壤，造成严重环境风险事故。</w:t>
            </w:r>
          </w:p>
          <w:p w14:paraId="4177B90C">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④火灾及爆炸</w:t>
            </w:r>
          </w:p>
          <w:p w14:paraId="6E3A8A37">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区油罐和沥青罐等是引起火灾及爆炸事故的主要源头，火灾及爆炸后果相当严重，不但会造成人员伤亡和财产损失，还会引起环境污染事件，会给大气、地表水和土壤环境造成严重污染，尤其对地表水和土壤的污染是一个相当长的过程。因此建设单位应把火灾及爆炸事故的预防工作放在首位，按消防法规落实各项防火防爆措施和制度，确保项目区不发生火灾和爆炸事故。</w:t>
            </w:r>
          </w:p>
          <w:p w14:paraId="46AA7F83">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lang w:eastAsia="zh-CN"/>
              </w:rPr>
              <w:t>）风险类型及环境影响途径及事故影响分析</w:t>
            </w:r>
          </w:p>
          <w:p w14:paraId="19A4A610">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危废</w:t>
            </w:r>
            <w:r>
              <w:rPr>
                <w:rFonts w:hint="default" w:ascii="Times New Roman" w:hAnsi="Times New Roman" w:cs="Times New Roman"/>
                <w:color w:val="auto"/>
                <w:sz w:val="24"/>
                <w:highlight w:val="none"/>
                <w:lang w:val="en-US" w:eastAsia="zh-CN"/>
              </w:rPr>
              <w:t>贮存点</w:t>
            </w:r>
            <w:r>
              <w:rPr>
                <w:rFonts w:hint="default" w:ascii="Times New Roman" w:hAnsi="Times New Roman" w:cs="Times New Roman"/>
                <w:color w:val="auto"/>
                <w:sz w:val="24"/>
                <w:highlight w:val="none"/>
                <w:lang w:eastAsia="zh-CN"/>
              </w:rPr>
              <w:t>一旦发生渗漏事故，废水可能通过下渗污染地下水，还可能对周边地下水造成污染。本项目要求对危废贮存点进行防渗设计，在达到防渗要求的前提下，项目泄漏可能性极小。</w:t>
            </w:r>
            <w:r>
              <w:rPr>
                <w:rFonts w:hint="default" w:ascii="Times New Roman" w:hAnsi="Times New Roman" w:cs="Times New Roman"/>
                <w:color w:val="auto"/>
                <w:sz w:val="24"/>
                <w:highlight w:val="none"/>
                <w:lang w:val="en-US" w:eastAsia="zh-CN"/>
              </w:rPr>
              <w:t>柴油储罐、沥青储罐</w:t>
            </w:r>
            <w:r>
              <w:rPr>
                <w:rFonts w:hint="default" w:ascii="Times New Roman" w:hAnsi="Times New Roman" w:cs="Times New Roman"/>
                <w:color w:val="auto"/>
                <w:sz w:val="24"/>
                <w:highlight w:val="none"/>
                <w:lang w:eastAsia="zh-CN"/>
              </w:rPr>
              <w:t>若发生泄漏可污染土壤、地下水、</w:t>
            </w:r>
            <w:r>
              <w:rPr>
                <w:rFonts w:hint="default" w:ascii="Times New Roman" w:hAnsi="Times New Roman" w:cs="Times New Roman"/>
                <w:color w:val="auto"/>
                <w:sz w:val="24"/>
                <w:highlight w:val="none"/>
                <w:lang w:val="en-US" w:eastAsia="zh-CN"/>
              </w:rPr>
              <w:t>环境空气</w:t>
            </w:r>
            <w:r>
              <w:rPr>
                <w:rFonts w:hint="default" w:ascii="Times New Roman" w:hAnsi="Times New Roman" w:cs="Times New Roman"/>
                <w:color w:val="auto"/>
                <w:sz w:val="24"/>
                <w:highlight w:val="none"/>
                <w:lang w:eastAsia="zh-CN"/>
              </w:rPr>
              <w:t>，本项目要求对</w:t>
            </w:r>
            <w:r>
              <w:rPr>
                <w:rFonts w:hint="default" w:ascii="Times New Roman" w:hAnsi="Times New Roman" w:cs="Times New Roman"/>
                <w:color w:val="auto"/>
                <w:sz w:val="24"/>
                <w:highlight w:val="none"/>
                <w:lang w:val="en-US" w:eastAsia="zh-CN"/>
              </w:rPr>
              <w:t>储罐区</w:t>
            </w:r>
            <w:r>
              <w:rPr>
                <w:rFonts w:hint="default" w:ascii="Times New Roman" w:hAnsi="Times New Roman" w:cs="Times New Roman"/>
                <w:color w:val="auto"/>
                <w:sz w:val="24"/>
                <w:highlight w:val="none"/>
                <w:lang w:eastAsia="zh-CN"/>
              </w:rPr>
              <w:t>进行</w:t>
            </w:r>
            <w:r>
              <w:rPr>
                <w:rFonts w:hint="default" w:ascii="Times New Roman" w:hAnsi="Times New Roman" w:cs="Times New Roman"/>
                <w:color w:val="auto"/>
                <w:sz w:val="24"/>
                <w:highlight w:val="none"/>
                <w:lang w:val="en-US" w:eastAsia="zh-CN"/>
              </w:rPr>
              <w:t>重点</w:t>
            </w:r>
            <w:r>
              <w:rPr>
                <w:rFonts w:hint="default" w:ascii="Times New Roman" w:hAnsi="Times New Roman" w:cs="Times New Roman"/>
                <w:color w:val="auto"/>
                <w:sz w:val="24"/>
                <w:highlight w:val="none"/>
                <w:lang w:eastAsia="zh-CN"/>
              </w:rPr>
              <w:t>防渗设计，</w:t>
            </w:r>
            <w:r>
              <w:rPr>
                <w:rFonts w:hint="default" w:ascii="Times New Roman" w:hAnsi="Times New Roman" w:cs="Times New Roman"/>
                <w:color w:val="auto"/>
                <w:sz w:val="24"/>
                <w:highlight w:val="none"/>
                <w:lang w:val="en-US" w:eastAsia="zh-CN"/>
              </w:rPr>
              <w:t>定期对储罐进行检修，</w:t>
            </w:r>
            <w:r>
              <w:rPr>
                <w:rFonts w:hint="default" w:ascii="Times New Roman" w:hAnsi="Times New Roman" w:cs="Times New Roman"/>
                <w:color w:val="auto"/>
                <w:sz w:val="24"/>
                <w:highlight w:val="none"/>
                <w:lang w:eastAsia="zh-CN"/>
              </w:rPr>
              <w:t>在达到</w:t>
            </w:r>
            <w:r>
              <w:rPr>
                <w:rFonts w:hint="default" w:ascii="Times New Roman" w:hAnsi="Times New Roman" w:cs="Times New Roman"/>
                <w:color w:val="auto"/>
                <w:sz w:val="24"/>
                <w:highlight w:val="none"/>
                <w:lang w:val="en-US" w:eastAsia="zh-CN"/>
              </w:rPr>
              <w:t>相关</w:t>
            </w:r>
            <w:r>
              <w:rPr>
                <w:rFonts w:hint="default" w:ascii="Times New Roman" w:hAnsi="Times New Roman" w:cs="Times New Roman"/>
                <w:color w:val="auto"/>
                <w:sz w:val="24"/>
                <w:highlight w:val="none"/>
                <w:lang w:eastAsia="zh-CN"/>
              </w:rPr>
              <w:t>要求的前提下，项目泄漏可能性极小。</w:t>
            </w:r>
          </w:p>
          <w:p w14:paraId="6594CDB8">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）环境风险防范措施</w:t>
            </w:r>
          </w:p>
          <w:p w14:paraId="552C881A">
            <w:pPr>
              <w:pStyle w:val="95"/>
              <w:keepNext w:val="0"/>
              <w:keepLines w:val="0"/>
              <w:pageBreakBefore w:val="0"/>
              <w:widowControl w:val="0"/>
              <w:kinsoku/>
              <w:wordWrap/>
              <w:overflowPunct/>
              <w:topLinePunct w:val="0"/>
              <w:autoSpaceDE/>
              <w:autoSpaceDN/>
              <w:bidi w:val="0"/>
              <w:snapToGrid w:val="0"/>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建立、完善安全管理制度：严格按照规定进行工程建设情况的自查、整改和验收，并制定和执行相应的消防管理、安全防火培训、用火用电安全管理、灭火器材维护使用、岗位消防安全等一系列安全制度，并严格遵守执行。</w:t>
            </w:r>
          </w:p>
          <w:p w14:paraId="6AEC6DB9">
            <w:pPr>
              <w:pStyle w:val="95"/>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②加强对工人的安全生产和环境保护教育，对国家规定的特种作业人员，必须进行安全技术培训。严格按规范操作，任何人不得擅自改变工艺条件。</w:t>
            </w:r>
          </w:p>
          <w:p w14:paraId="25E7D310">
            <w:pPr>
              <w:pStyle w:val="95"/>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③加强设备维护保养，所有机泵、管道、阀门等连接部位都应连接牢固，做到严密、不渗、不漏。预防沥青、柴油意外泄漏事故。</w:t>
            </w:r>
          </w:p>
          <w:p w14:paraId="5FF120DE">
            <w:pPr>
              <w:pStyle w:val="95"/>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 w:val="24"/>
                <w:highlight w:val="none"/>
              </w:rPr>
              <w:t>④沥青储罐、柴油储罐区按重点防渗区采取防渗措施，参考《</w:t>
            </w:r>
            <w:r>
              <w:rPr>
                <w:rFonts w:hint="default" w:ascii="Times New Roman" w:hAnsi="Times New Roman" w:cs="Times New Roman"/>
                <w:color w:val="auto"/>
                <w:sz w:val="24"/>
                <w:highlight w:val="none"/>
                <w:lang w:eastAsia="zh-CN"/>
              </w:rPr>
              <w:t>环境影响评价技术导则 地下水环境</w:t>
            </w:r>
            <w:r>
              <w:rPr>
                <w:rFonts w:hint="default" w:ascii="Times New Roman" w:hAnsi="Times New Roman" w:cs="Times New Roman"/>
                <w:color w:val="auto"/>
                <w:sz w:val="24"/>
                <w:highlight w:val="none"/>
              </w:rPr>
              <w:t>》（HJ610-2016）中重点防渗区防渗技术要求，满足等效黏土防渗层Mb≥6m，K≤1×10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cm/s的要求，并设置非燃烧材料的防火堤围堰，防火堤内的有效容积不小于最大贮罐的容积，切断影响途径。</w:t>
            </w:r>
          </w:p>
          <w:p w14:paraId="04A0FDED">
            <w:pPr>
              <w:pStyle w:val="95"/>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⑤沥青储罐、柴油储罐区设置非燃烧材料的防火堤围堰，罐区围堰高度0.4m，防火堤内的有效容积不小于最大贮罐的容积。</w:t>
            </w:r>
          </w:p>
          <w:p w14:paraId="2F092A0B">
            <w:pPr>
              <w:pStyle w:val="95"/>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⑥储罐区设置消防沙堆及灭火器。</w:t>
            </w:r>
          </w:p>
          <w:p w14:paraId="6F170C0D">
            <w:pPr>
              <w:pStyle w:val="95"/>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⑦提高操作管理水平，储罐区严禁明火，操作、维修人员进行培训，避免操作失误引发的事故。</w:t>
            </w:r>
          </w:p>
          <w:p w14:paraId="4E2E50E9">
            <w:pPr>
              <w:pStyle w:val="95"/>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⑧配备应急设备和资源、制定项目的应急预案，加强应急预案的演练和宣传教育，加强项目风险管理。</w:t>
            </w:r>
          </w:p>
          <w:p w14:paraId="2E563B0D">
            <w:pPr>
              <w:keepNext w:val="0"/>
              <w:keepLines w:val="0"/>
              <w:pageBreakBefore w:val="0"/>
              <w:widowControl w:val="0"/>
              <w:kinsoku/>
              <w:wordWrap/>
              <w:overflowPunct/>
              <w:topLinePunct w:val="0"/>
              <w:autoSpaceDE/>
              <w:autoSpaceDN/>
              <w:bidi w:val="0"/>
              <w:adjustRightIn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⑨</w:t>
            </w:r>
            <w:r>
              <w:rPr>
                <w:rFonts w:hint="default" w:ascii="Times New Roman" w:hAnsi="Times New Roman" w:cs="Times New Roman"/>
                <w:color w:val="auto"/>
                <w:sz w:val="24"/>
                <w:highlight w:val="none"/>
                <w:lang w:val="en-US" w:eastAsia="zh-CN"/>
              </w:rPr>
              <w:t>危险废物贮存点应设置事故围堰、导流槽及事故池，危险废物贮存点围堰设计高度为0.15m，安全围堰有效容积不得小于1m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，事故池容积为1m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rPr>
              <w:t>。</w:t>
            </w:r>
          </w:p>
          <w:p w14:paraId="2EEEE431">
            <w:pPr>
              <w:pStyle w:val="95"/>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⑩</w:t>
            </w:r>
            <w:r>
              <w:rPr>
                <w:rFonts w:hint="default" w:ascii="Times New Roman" w:hAnsi="Times New Roman" w:cs="Times New Roman"/>
                <w:color w:val="auto"/>
                <w:sz w:val="24"/>
                <w:highlight w:val="none"/>
              </w:rPr>
              <w:t>分区防渗，厂区地面进行水泥硬化。</w:t>
            </w:r>
          </w:p>
          <w:p w14:paraId="0AD85BBD">
            <w:pPr>
              <w:pStyle w:val="95"/>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）其他环境管理要求</w:t>
            </w:r>
          </w:p>
          <w:p w14:paraId="0B21068E">
            <w:pPr>
              <w:pStyle w:val="63"/>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①建立健全的安全生产制度，制定具体操作规程，落实到具体责任人。</w:t>
            </w:r>
          </w:p>
          <w:p w14:paraId="15BD6CD5">
            <w:pPr>
              <w:pStyle w:val="63"/>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②制定应急预案，定期按照应急预案的要求进行演练。学习总结本单位及外单位的事故教训，及时修订相关的应急预案。</w:t>
            </w:r>
          </w:p>
          <w:p w14:paraId="5CE64099">
            <w:pPr>
              <w:pStyle w:val="63"/>
              <w:keepNext w:val="0"/>
              <w:keepLines w:val="0"/>
              <w:pageBreakBefore w:val="0"/>
              <w:widowControl w:val="0"/>
              <w:kinsoku/>
              <w:wordWrap/>
              <w:overflowPunct/>
              <w:topLinePunct w:val="0"/>
              <w:autoSpaceDE/>
              <w:autoSpaceDN/>
              <w:bidi w:val="0"/>
              <w:adjustRightInd/>
              <w:snapToGrid w:val="0"/>
              <w:spacing w:line="50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③建立管理台账，记录企业生产和治污设施运行的关键参数，相关台账记录至少保存三年。</w:t>
            </w:r>
          </w:p>
          <w:p w14:paraId="66257637">
            <w:pPr>
              <w:pStyle w:val="63"/>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④加强人员能力培训和技术交流，强化增强全员环保意识。</w:t>
            </w:r>
            <w:bookmarkEnd w:id="68"/>
          </w:p>
          <w:p w14:paraId="68B56190">
            <w:pPr>
              <w:pStyle w:val="63"/>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）风险评价结论</w:t>
            </w:r>
          </w:p>
          <w:p w14:paraId="0857C6C5">
            <w:pPr>
              <w:pStyle w:val="63"/>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加强企业安全管理，定期巡检以保证装置的安全，制定风险应急预案，杜绝风险事故发生。建设单位在遵照本报告中提出的各项预防措施、应急预案实施到位的情况下本项目发生事故时对周围居民的影响轻微。同时本项目四周均建有实体围墙在事故发生的情况下对周围居民具有保护作用。</w:t>
            </w:r>
          </w:p>
          <w:p w14:paraId="31EE724F">
            <w:pPr>
              <w:pStyle w:val="68"/>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综上所述，只要严格遵守各项安全操作规程和制度，加强安全管理，本项目运营期的环境风险可控。</w:t>
            </w:r>
          </w:p>
          <w:p w14:paraId="706C37A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highlight w:val="none"/>
                <w:lang w:val="en-US" w:eastAsia="zh-CN"/>
              </w:rPr>
              <w:t>六、</w:t>
            </w:r>
            <w:r>
              <w:rPr>
                <w:rFonts w:hint="default" w:ascii="Times New Roman" w:hAnsi="Times New Roman" w:eastAsia="宋体" w:cs="Times New Roman"/>
                <w:color w:val="auto"/>
                <w:sz w:val="24"/>
                <w:szCs w:val="24"/>
                <w:highlight w:val="none"/>
                <w:lang w:val="en-US" w:eastAsia="zh-CN"/>
              </w:rPr>
              <w:t>排污许可</w:t>
            </w:r>
          </w:p>
          <w:p w14:paraId="748E4CC1">
            <w:pPr>
              <w:pStyle w:val="68"/>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rPr>
              <w:t>根据《固定污染源排污许可分类管理名录（2019年版）》要求，本项目属于二十五、非金属矿物制品业30中“70、石墨及其他非金属矿物制品制造309”中的“其他非金属矿物制品制造3099（单晶硅棒，沥青混合物）”，实施简化管理</w:t>
            </w:r>
            <w:r>
              <w:rPr>
                <w:rFonts w:hint="default" w:ascii="Times New Roman" w:hAnsi="Times New Roman" w:cs="Times New Roman"/>
                <w:color w:val="auto"/>
                <w:sz w:val="24"/>
                <w:highlight w:val="none"/>
                <w:lang w:eastAsia="zh-CN"/>
              </w:rPr>
              <w:t>。</w:t>
            </w:r>
          </w:p>
        </w:tc>
      </w:tr>
    </w:tbl>
    <w:p w14:paraId="77730512">
      <w:pPr>
        <w:adjustRightInd w:val="0"/>
        <w:snapToGrid w:val="0"/>
        <w:rPr>
          <w:rFonts w:hint="default" w:ascii="Times New Roman" w:hAnsi="Times New Roman" w:cs="Times New Roman"/>
          <w:bCs/>
          <w:color w:val="auto"/>
          <w:szCs w:val="21"/>
          <w:highlight w:val="none"/>
        </w:rPr>
        <w:sectPr>
          <w:pgSz w:w="11907" w:h="16840"/>
          <w:pgMar w:top="1440" w:right="1797" w:bottom="1440" w:left="1797" w:header="851" w:footer="992" w:gutter="0"/>
          <w:pgBorders>
            <w:top w:val="none" w:sz="0" w:space="0"/>
            <w:left w:val="none" w:sz="0" w:space="0"/>
            <w:bottom w:val="none" w:sz="0" w:space="0"/>
            <w:right w:val="none" w:sz="0" w:space="0"/>
          </w:pgBorders>
          <w:cols w:space="720" w:num="1"/>
          <w:docGrid w:linePitch="312" w:charSpace="0"/>
        </w:sectPr>
      </w:pPr>
    </w:p>
    <w:p w14:paraId="6C2B0BEF">
      <w:pPr>
        <w:pStyle w:val="25"/>
        <w:adjustRightInd w:val="0"/>
        <w:snapToGrid w:val="0"/>
        <w:spacing w:before="0" w:beforeAutospacing="0" w:after="0" w:afterAutospacing="0"/>
        <w:outlineLvl w:val="0"/>
        <w:rPr>
          <w:rFonts w:hint="default" w:ascii="Times New Roman" w:hAnsi="Times New Roman" w:cs="Times New Roman"/>
          <w:snapToGrid w:val="0"/>
          <w:color w:val="auto"/>
          <w:sz w:val="30"/>
          <w:szCs w:val="30"/>
          <w:highlight w:val="none"/>
        </w:rPr>
      </w:pPr>
      <w:bookmarkStart w:id="69" w:name="_Toc26052"/>
      <w:r>
        <w:rPr>
          <w:rFonts w:hint="default" w:ascii="Times New Roman" w:hAnsi="Times New Roman" w:cs="Times New Roman"/>
          <w:snapToGrid w:val="0"/>
          <w:color w:val="auto"/>
          <w:sz w:val="30"/>
          <w:szCs w:val="30"/>
          <w:highlight w:val="none"/>
        </w:rPr>
        <w:t>五、</w:t>
      </w:r>
      <w:bookmarkStart w:id="70" w:name="_Hlk54167917"/>
      <w:r>
        <w:rPr>
          <w:rFonts w:hint="default" w:ascii="Times New Roman" w:hAnsi="Times New Roman" w:cs="Times New Roman"/>
          <w:snapToGrid w:val="0"/>
          <w:color w:val="auto"/>
          <w:sz w:val="30"/>
          <w:szCs w:val="30"/>
          <w:highlight w:val="none"/>
        </w:rPr>
        <w:t>环境保护措施监督检查清单</w:t>
      </w:r>
      <w:bookmarkEnd w:id="69"/>
      <w:bookmarkEnd w:id="70"/>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701"/>
        <w:gridCol w:w="1473"/>
        <w:gridCol w:w="2637"/>
        <w:gridCol w:w="2148"/>
      </w:tblGrid>
      <w:tr w14:paraId="7D6676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tcBorders>
              <w:tl2br w:val="single" w:color="auto" w:sz="4" w:space="0"/>
            </w:tcBorders>
            <w:vAlign w:val="center"/>
          </w:tcPr>
          <w:p w14:paraId="7F316046">
            <w:pPr>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内容</w:t>
            </w:r>
          </w:p>
          <w:p w14:paraId="032E8CF8">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要素</w:t>
            </w:r>
          </w:p>
        </w:tc>
        <w:tc>
          <w:tcPr>
            <w:tcW w:w="1701" w:type="dxa"/>
            <w:vAlign w:val="center"/>
          </w:tcPr>
          <w:p w14:paraId="7781CD74">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排放口（编号、名称）/污染源</w:t>
            </w:r>
          </w:p>
        </w:tc>
        <w:tc>
          <w:tcPr>
            <w:tcW w:w="1473" w:type="dxa"/>
            <w:vAlign w:val="center"/>
          </w:tcPr>
          <w:p w14:paraId="3BF5FE21">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污染物项目</w:t>
            </w:r>
          </w:p>
        </w:tc>
        <w:tc>
          <w:tcPr>
            <w:tcW w:w="2637" w:type="dxa"/>
            <w:vAlign w:val="center"/>
          </w:tcPr>
          <w:p w14:paraId="6D6D5909">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环境保护措施</w:t>
            </w:r>
          </w:p>
        </w:tc>
        <w:tc>
          <w:tcPr>
            <w:tcW w:w="2148" w:type="dxa"/>
            <w:vAlign w:val="center"/>
          </w:tcPr>
          <w:p w14:paraId="53312DF4">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执行标准</w:t>
            </w:r>
          </w:p>
        </w:tc>
      </w:tr>
      <w:tr w14:paraId="5A45AC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41" w:type="dxa"/>
            <w:vMerge w:val="restart"/>
            <w:vAlign w:val="center"/>
          </w:tcPr>
          <w:p w14:paraId="36F11938">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大气环境</w:t>
            </w:r>
          </w:p>
        </w:tc>
        <w:tc>
          <w:tcPr>
            <w:tcW w:w="1701" w:type="dxa"/>
            <w:vMerge w:val="restart"/>
            <w:vAlign w:val="center"/>
          </w:tcPr>
          <w:p w14:paraId="721A5B15">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DA001/</w:t>
            </w:r>
            <w:r>
              <w:rPr>
                <w:rFonts w:hint="default" w:ascii="Times New Roman" w:hAnsi="Times New Roman" w:cs="Times New Roman"/>
                <w:color w:val="auto"/>
                <w:sz w:val="24"/>
                <w:highlight w:val="none"/>
                <w:lang w:val="en-US" w:eastAsia="zh-CN"/>
              </w:rPr>
              <w:t>烘干</w:t>
            </w: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筛分、燃烧</w:t>
            </w:r>
          </w:p>
        </w:tc>
        <w:tc>
          <w:tcPr>
            <w:tcW w:w="1473" w:type="dxa"/>
            <w:vAlign w:val="center"/>
          </w:tcPr>
          <w:p w14:paraId="22B40A0E">
            <w:pPr>
              <w:pStyle w:val="74"/>
              <w:ind w:left="0" w:leftChars="0" w:firstLine="0" w:firstLineChars="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颗粒物</w:t>
            </w:r>
          </w:p>
        </w:tc>
        <w:tc>
          <w:tcPr>
            <w:tcW w:w="2637" w:type="dxa"/>
            <w:vMerge w:val="restart"/>
            <w:vAlign w:val="center"/>
          </w:tcPr>
          <w:p w14:paraId="53A82168">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旋风除尘器+布袋除尘器处理</w:t>
            </w:r>
            <w:r>
              <w:rPr>
                <w:rFonts w:hint="default" w:ascii="Times New Roman" w:hAnsi="Times New Roman" w:cs="Times New Roman"/>
                <w:color w:val="auto"/>
                <w:sz w:val="24"/>
                <w:highlight w:val="none"/>
                <w:lang w:val="en-US" w:eastAsia="zh-CN"/>
              </w:rPr>
              <w:t>+15m高排气筒</w:t>
            </w:r>
          </w:p>
        </w:tc>
        <w:tc>
          <w:tcPr>
            <w:tcW w:w="2148" w:type="dxa"/>
            <w:vMerge w:val="restart"/>
            <w:vAlign w:val="center"/>
          </w:tcPr>
          <w:p w14:paraId="164529CC">
            <w:pPr>
              <w:pStyle w:val="74"/>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《大气污染物综合排放标准》</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GB16297-1996</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表2中二级标准要求</w:t>
            </w:r>
          </w:p>
        </w:tc>
      </w:tr>
      <w:tr w14:paraId="7D6D70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41" w:type="dxa"/>
            <w:vMerge w:val="continue"/>
            <w:vAlign w:val="center"/>
          </w:tcPr>
          <w:p w14:paraId="2EEFA12C">
            <w:pPr>
              <w:jc w:val="center"/>
              <w:rPr>
                <w:rFonts w:hint="default" w:ascii="Times New Roman" w:hAnsi="Times New Roman" w:cs="Times New Roman"/>
                <w:color w:val="auto"/>
                <w:sz w:val="24"/>
                <w:highlight w:val="none"/>
              </w:rPr>
            </w:pPr>
          </w:p>
        </w:tc>
        <w:tc>
          <w:tcPr>
            <w:tcW w:w="1701" w:type="dxa"/>
            <w:vMerge w:val="continue"/>
            <w:vAlign w:val="center"/>
          </w:tcPr>
          <w:p w14:paraId="2576A030">
            <w:pPr>
              <w:jc w:val="center"/>
              <w:rPr>
                <w:rFonts w:hint="default" w:ascii="Times New Roman" w:hAnsi="Times New Roman" w:cs="Times New Roman"/>
                <w:color w:val="auto"/>
                <w:sz w:val="24"/>
                <w:highlight w:val="none"/>
              </w:rPr>
            </w:pPr>
          </w:p>
        </w:tc>
        <w:tc>
          <w:tcPr>
            <w:tcW w:w="1473" w:type="dxa"/>
            <w:vAlign w:val="center"/>
          </w:tcPr>
          <w:p w14:paraId="026754ED">
            <w:pPr>
              <w:pStyle w:val="74"/>
              <w:ind w:left="0" w:leftChars="0" w:firstLine="0" w:firstLineChars="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二氧化硫</w:t>
            </w:r>
          </w:p>
        </w:tc>
        <w:tc>
          <w:tcPr>
            <w:tcW w:w="2637" w:type="dxa"/>
            <w:vMerge w:val="continue"/>
            <w:vAlign w:val="center"/>
          </w:tcPr>
          <w:p w14:paraId="36E12843">
            <w:pPr>
              <w:jc w:val="center"/>
              <w:rPr>
                <w:rFonts w:hint="default" w:ascii="Times New Roman" w:hAnsi="Times New Roman" w:cs="Times New Roman"/>
                <w:color w:val="auto"/>
                <w:sz w:val="24"/>
                <w:highlight w:val="none"/>
              </w:rPr>
            </w:pPr>
          </w:p>
        </w:tc>
        <w:tc>
          <w:tcPr>
            <w:tcW w:w="2148" w:type="dxa"/>
            <w:vMerge w:val="continue"/>
            <w:vAlign w:val="center"/>
          </w:tcPr>
          <w:p w14:paraId="3305C551">
            <w:pPr>
              <w:pStyle w:val="74"/>
              <w:jc w:val="both"/>
              <w:rPr>
                <w:rFonts w:hint="default" w:ascii="Times New Roman" w:hAnsi="Times New Roman" w:cs="Times New Roman"/>
                <w:color w:val="auto"/>
                <w:sz w:val="24"/>
                <w:szCs w:val="24"/>
                <w:highlight w:val="none"/>
              </w:rPr>
            </w:pPr>
          </w:p>
        </w:tc>
      </w:tr>
      <w:tr w14:paraId="1B75D1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41" w:type="dxa"/>
            <w:vMerge w:val="continue"/>
            <w:vAlign w:val="center"/>
          </w:tcPr>
          <w:p w14:paraId="290AFE19">
            <w:pPr>
              <w:jc w:val="center"/>
              <w:rPr>
                <w:rFonts w:hint="default" w:ascii="Times New Roman" w:hAnsi="Times New Roman" w:cs="Times New Roman"/>
                <w:color w:val="auto"/>
                <w:sz w:val="24"/>
                <w:highlight w:val="none"/>
              </w:rPr>
            </w:pPr>
          </w:p>
        </w:tc>
        <w:tc>
          <w:tcPr>
            <w:tcW w:w="1701" w:type="dxa"/>
            <w:vMerge w:val="continue"/>
            <w:vAlign w:val="center"/>
          </w:tcPr>
          <w:p w14:paraId="6A1568C8">
            <w:pPr>
              <w:jc w:val="center"/>
              <w:rPr>
                <w:rFonts w:hint="default" w:ascii="Times New Roman" w:hAnsi="Times New Roman" w:cs="Times New Roman"/>
                <w:color w:val="auto"/>
                <w:sz w:val="24"/>
                <w:highlight w:val="none"/>
              </w:rPr>
            </w:pPr>
          </w:p>
        </w:tc>
        <w:tc>
          <w:tcPr>
            <w:tcW w:w="1473" w:type="dxa"/>
            <w:vAlign w:val="center"/>
          </w:tcPr>
          <w:p w14:paraId="036382E3">
            <w:pPr>
              <w:pStyle w:val="74"/>
              <w:ind w:left="0" w:leftChars="0" w:firstLine="0" w:firstLineChars="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氮氧化物</w:t>
            </w:r>
          </w:p>
        </w:tc>
        <w:tc>
          <w:tcPr>
            <w:tcW w:w="2637" w:type="dxa"/>
            <w:vMerge w:val="continue"/>
            <w:vAlign w:val="center"/>
          </w:tcPr>
          <w:p w14:paraId="51E196E3">
            <w:pPr>
              <w:jc w:val="center"/>
              <w:rPr>
                <w:rFonts w:hint="default" w:ascii="Times New Roman" w:hAnsi="Times New Roman" w:cs="Times New Roman"/>
                <w:color w:val="auto"/>
                <w:sz w:val="24"/>
                <w:highlight w:val="none"/>
              </w:rPr>
            </w:pPr>
          </w:p>
        </w:tc>
        <w:tc>
          <w:tcPr>
            <w:tcW w:w="2148" w:type="dxa"/>
            <w:vMerge w:val="continue"/>
            <w:vAlign w:val="center"/>
          </w:tcPr>
          <w:p w14:paraId="28F21670">
            <w:pPr>
              <w:pStyle w:val="74"/>
              <w:jc w:val="both"/>
              <w:rPr>
                <w:rFonts w:hint="default" w:ascii="Times New Roman" w:hAnsi="Times New Roman" w:cs="Times New Roman"/>
                <w:color w:val="auto"/>
                <w:sz w:val="24"/>
                <w:szCs w:val="24"/>
                <w:highlight w:val="none"/>
              </w:rPr>
            </w:pPr>
          </w:p>
        </w:tc>
      </w:tr>
      <w:tr w14:paraId="0BE96F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41" w:type="dxa"/>
            <w:vMerge w:val="continue"/>
            <w:vAlign w:val="center"/>
          </w:tcPr>
          <w:p w14:paraId="1B63F862">
            <w:pPr>
              <w:jc w:val="center"/>
              <w:rPr>
                <w:rFonts w:hint="default" w:ascii="Times New Roman" w:hAnsi="Times New Roman" w:cs="Times New Roman"/>
                <w:color w:val="auto"/>
                <w:sz w:val="24"/>
                <w:highlight w:val="none"/>
              </w:rPr>
            </w:pPr>
          </w:p>
        </w:tc>
        <w:tc>
          <w:tcPr>
            <w:tcW w:w="1701" w:type="dxa"/>
            <w:vMerge w:val="restart"/>
            <w:vAlign w:val="center"/>
          </w:tcPr>
          <w:p w14:paraId="4603121E">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DA003/沥青拌合站排气筒</w:t>
            </w:r>
          </w:p>
        </w:tc>
        <w:tc>
          <w:tcPr>
            <w:tcW w:w="1473" w:type="dxa"/>
            <w:shd w:val="clear" w:color="auto" w:fill="auto"/>
            <w:vAlign w:val="center"/>
          </w:tcPr>
          <w:p w14:paraId="0D579762">
            <w:pPr>
              <w:pStyle w:val="74"/>
              <w:ind w:left="0" w:leftChars="0" w:firstLine="0" w:firstLineChars="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 w:val="24"/>
                <w:szCs w:val="24"/>
                <w:highlight w:val="none"/>
              </w:rPr>
              <w:t>沥青烟气</w:t>
            </w:r>
          </w:p>
        </w:tc>
        <w:tc>
          <w:tcPr>
            <w:tcW w:w="2637" w:type="dxa"/>
            <w:vMerge w:val="restart"/>
            <w:vAlign w:val="center"/>
          </w:tcPr>
          <w:p w14:paraId="226EAE2F">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电捕焦油器+活性炭吸附+15m高排气筒</w:t>
            </w:r>
          </w:p>
        </w:tc>
        <w:tc>
          <w:tcPr>
            <w:tcW w:w="2148" w:type="dxa"/>
            <w:vMerge w:val="restart"/>
            <w:vAlign w:val="center"/>
          </w:tcPr>
          <w:p w14:paraId="6D68C1A9">
            <w:pPr>
              <w:pStyle w:val="74"/>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《大气污染物综合排放标准》</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GB16297-1996</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表2中二级标准要求</w:t>
            </w:r>
          </w:p>
        </w:tc>
      </w:tr>
      <w:tr w14:paraId="5ED285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841" w:type="dxa"/>
            <w:vMerge w:val="continue"/>
            <w:vAlign w:val="center"/>
          </w:tcPr>
          <w:p w14:paraId="06A67A80">
            <w:pPr>
              <w:jc w:val="center"/>
              <w:rPr>
                <w:rFonts w:hint="default" w:ascii="Times New Roman" w:hAnsi="Times New Roman" w:cs="Times New Roman"/>
                <w:color w:val="auto"/>
                <w:sz w:val="24"/>
                <w:highlight w:val="none"/>
              </w:rPr>
            </w:pPr>
          </w:p>
        </w:tc>
        <w:tc>
          <w:tcPr>
            <w:tcW w:w="1701" w:type="dxa"/>
            <w:vMerge w:val="continue"/>
            <w:vAlign w:val="center"/>
          </w:tcPr>
          <w:p w14:paraId="7EEBFE51">
            <w:pPr>
              <w:jc w:val="center"/>
              <w:rPr>
                <w:rFonts w:hint="default" w:ascii="Times New Roman" w:hAnsi="Times New Roman" w:cs="Times New Roman"/>
                <w:color w:val="auto"/>
                <w:sz w:val="24"/>
                <w:highlight w:val="none"/>
              </w:rPr>
            </w:pPr>
          </w:p>
        </w:tc>
        <w:tc>
          <w:tcPr>
            <w:tcW w:w="1473" w:type="dxa"/>
            <w:shd w:val="clear" w:color="auto" w:fill="auto"/>
            <w:vAlign w:val="center"/>
          </w:tcPr>
          <w:p w14:paraId="591D9A77">
            <w:pPr>
              <w:pStyle w:val="74"/>
              <w:ind w:left="0" w:leftChars="0" w:firstLine="0" w:firstLineChars="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 w:val="24"/>
                <w:szCs w:val="24"/>
                <w:highlight w:val="none"/>
              </w:rPr>
              <w:t>苯并[a]芘</w:t>
            </w:r>
          </w:p>
        </w:tc>
        <w:tc>
          <w:tcPr>
            <w:tcW w:w="2637" w:type="dxa"/>
            <w:vMerge w:val="continue"/>
            <w:vAlign w:val="center"/>
          </w:tcPr>
          <w:p w14:paraId="289BAAF9">
            <w:pPr>
              <w:rPr>
                <w:rFonts w:hint="default" w:ascii="Times New Roman" w:hAnsi="Times New Roman" w:cs="Times New Roman"/>
                <w:color w:val="auto"/>
                <w:sz w:val="24"/>
                <w:highlight w:val="none"/>
              </w:rPr>
            </w:pPr>
          </w:p>
        </w:tc>
        <w:tc>
          <w:tcPr>
            <w:tcW w:w="2148" w:type="dxa"/>
            <w:vMerge w:val="continue"/>
            <w:vAlign w:val="center"/>
          </w:tcPr>
          <w:p w14:paraId="02088059">
            <w:pPr>
              <w:pStyle w:val="74"/>
              <w:jc w:val="both"/>
              <w:rPr>
                <w:rFonts w:hint="default" w:ascii="Times New Roman" w:hAnsi="Times New Roman" w:cs="Times New Roman"/>
                <w:color w:val="auto"/>
                <w:sz w:val="24"/>
                <w:szCs w:val="24"/>
                <w:highlight w:val="none"/>
              </w:rPr>
            </w:pPr>
          </w:p>
        </w:tc>
      </w:tr>
      <w:tr w14:paraId="05A546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841" w:type="dxa"/>
            <w:vMerge w:val="continue"/>
            <w:vAlign w:val="center"/>
          </w:tcPr>
          <w:p w14:paraId="5EF420F5">
            <w:pPr>
              <w:jc w:val="center"/>
              <w:rPr>
                <w:rFonts w:hint="default" w:ascii="Times New Roman" w:hAnsi="Times New Roman" w:cs="Times New Roman"/>
                <w:color w:val="auto"/>
                <w:sz w:val="24"/>
                <w:highlight w:val="none"/>
              </w:rPr>
            </w:pPr>
          </w:p>
        </w:tc>
        <w:tc>
          <w:tcPr>
            <w:tcW w:w="1701" w:type="dxa"/>
            <w:vMerge w:val="continue"/>
            <w:vAlign w:val="center"/>
          </w:tcPr>
          <w:p w14:paraId="6C2D873F">
            <w:pPr>
              <w:jc w:val="center"/>
              <w:rPr>
                <w:rFonts w:hint="default" w:ascii="Times New Roman" w:hAnsi="Times New Roman" w:cs="Times New Roman"/>
                <w:color w:val="auto"/>
                <w:sz w:val="24"/>
                <w:highlight w:val="none"/>
              </w:rPr>
            </w:pPr>
          </w:p>
        </w:tc>
        <w:tc>
          <w:tcPr>
            <w:tcW w:w="1473" w:type="dxa"/>
            <w:shd w:val="clear" w:color="auto" w:fill="auto"/>
            <w:vAlign w:val="center"/>
          </w:tcPr>
          <w:p w14:paraId="3C835E68">
            <w:pPr>
              <w:pStyle w:val="74"/>
              <w:ind w:left="0" w:leftChars="0" w:firstLine="0" w:firstLineChars="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非甲烷总烃</w:t>
            </w:r>
          </w:p>
        </w:tc>
        <w:tc>
          <w:tcPr>
            <w:tcW w:w="2637" w:type="dxa"/>
            <w:vMerge w:val="continue"/>
            <w:vAlign w:val="center"/>
          </w:tcPr>
          <w:p w14:paraId="070627A0">
            <w:pPr>
              <w:rPr>
                <w:rFonts w:hint="default" w:ascii="Times New Roman" w:hAnsi="Times New Roman" w:cs="Times New Roman"/>
                <w:color w:val="auto"/>
                <w:sz w:val="24"/>
                <w:highlight w:val="none"/>
              </w:rPr>
            </w:pPr>
          </w:p>
        </w:tc>
        <w:tc>
          <w:tcPr>
            <w:tcW w:w="2148" w:type="dxa"/>
            <w:vMerge w:val="continue"/>
            <w:vAlign w:val="center"/>
          </w:tcPr>
          <w:p w14:paraId="5F8B0516">
            <w:pPr>
              <w:pStyle w:val="74"/>
              <w:jc w:val="both"/>
              <w:rPr>
                <w:rFonts w:hint="default" w:ascii="Times New Roman" w:hAnsi="Times New Roman" w:cs="Times New Roman"/>
                <w:color w:val="auto"/>
                <w:sz w:val="24"/>
                <w:szCs w:val="24"/>
                <w:highlight w:val="none"/>
              </w:rPr>
            </w:pPr>
          </w:p>
        </w:tc>
      </w:tr>
      <w:tr w14:paraId="527A6B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41" w:type="dxa"/>
            <w:vMerge w:val="continue"/>
            <w:vAlign w:val="center"/>
          </w:tcPr>
          <w:p w14:paraId="308F5403">
            <w:pPr>
              <w:jc w:val="center"/>
              <w:rPr>
                <w:rFonts w:hint="default" w:ascii="Times New Roman" w:hAnsi="Times New Roman" w:cs="Times New Roman"/>
                <w:color w:val="auto"/>
                <w:sz w:val="24"/>
                <w:highlight w:val="none"/>
              </w:rPr>
            </w:pPr>
          </w:p>
        </w:tc>
        <w:tc>
          <w:tcPr>
            <w:tcW w:w="1701" w:type="dxa"/>
            <w:vMerge w:val="restart"/>
            <w:vAlign w:val="center"/>
          </w:tcPr>
          <w:p w14:paraId="1E989607">
            <w:pPr>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DA00</w:t>
            </w:r>
            <w:r>
              <w:rPr>
                <w:rFonts w:hint="default" w:ascii="Times New Roman" w:hAnsi="Times New Roman" w:cs="Times New Roman"/>
                <w:color w:val="auto"/>
                <w:sz w:val="24"/>
                <w:highlight w:val="none"/>
                <w:lang w:val="en-US" w:eastAsia="zh-CN"/>
              </w:rPr>
              <w:t>2/导热油炉</w:t>
            </w:r>
          </w:p>
        </w:tc>
        <w:tc>
          <w:tcPr>
            <w:tcW w:w="1473" w:type="dxa"/>
            <w:vAlign w:val="center"/>
          </w:tcPr>
          <w:p w14:paraId="2385376E">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颗粒物</w:t>
            </w:r>
          </w:p>
        </w:tc>
        <w:tc>
          <w:tcPr>
            <w:tcW w:w="2637" w:type="dxa"/>
            <w:vMerge w:val="restart"/>
            <w:vAlign w:val="center"/>
          </w:tcPr>
          <w:p w14:paraId="403F65ED">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低氮燃烧后+10</w:t>
            </w:r>
            <w:r>
              <w:rPr>
                <w:rFonts w:hint="default" w:ascii="Times New Roman" w:hAnsi="Times New Roman" w:cs="Times New Roman"/>
                <w:color w:val="auto"/>
                <w:sz w:val="24"/>
                <w:highlight w:val="none"/>
              </w:rPr>
              <w:t>m高烟囱DA00</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排放</w:t>
            </w:r>
          </w:p>
        </w:tc>
        <w:tc>
          <w:tcPr>
            <w:tcW w:w="2148" w:type="dxa"/>
            <w:vMerge w:val="restart"/>
            <w:vAlign w:val="center"/>
          </w:tcPr>
          <w:p w14:paraId="7901E1EB">
            <w:pPr>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《锅炉大气污染物排放标准》</w:t>
            </w:r>
            <w:r>
              <w:rPr>
                <w:rFonts w:hint="default"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rPr>
              <w:t>GB13271-2014</w:t>
            </w:r>
            <w:r>
              <w:rPr>
                <w:rFonts w:hint="default"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rPr>
              <w:t>表2新建锅炉大气污染物排放限值中燃油锅炉排放限值</w:t>
            </w:r>
          </w:p>
        </w:tc>
      </w:tr>
      <w:tr w14:paraId="57D824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41" w:type="dxa"/>
            <w:vMerge w:val="continue"/>
            <w:vAlign w:val="center"/>
          </w:tcPr>
          <w:p w14:paraId="512C1E7F">
            <w:pPr>
              <w:jc w:val="center"/>
              <w:rPr>
                <w:rFonts w:hint="default" w:ascii="Times New Roman" w:hAnsi="Times New Roman" w:cs="Times New Roman"/>
                <w:color w:val="auto"/>
                <w:sz w:val="24"/>
                <w:highlight w:val="none"/>
              </w:rPr>
            </w:pPr>
          </w:p>
        </w:tc>
        <w:tc>
          <w:tcPr>
            <w:tcW w:w="1701" w:type="dxa"/>
            <w:vMerge w:val="continue"/>
            <w:vAlign w:val="center"/>
          </w:tcPr>
          <w:p w14:paraId="169D48C0">
            <w:pPr>
              <w:jc w:val="center"/>
              <w:rPr>
                <w:rFonts w:hint="default" w:ascii="Times New Roman" w:hAnsi="Times New Roman" w:cs="Times New Roman"/>
                <w:color w:val="auto"/>
                <w:sz w:val="24"/>
                <w:highlight w:val="none"/>
              </w:rPr>
            </w:pPr>
          </w:p>
        </w:tc>
        <w:tc>
          <w:tcPr>
            <w:tcW w:w="1473" w:type="dxa"/>
            <w:vAlign w:val="center"/>
          </w:tcPr>
          <w:p w14:paraId="08DABEC5">
            <w:pPr>
              <w:pStyle w:val="74"/>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二氧化硫</w:t>
            </w:r>
          </w:p>
        </w:tc>
        <w:tc>
          <w:tcPr>
            <w:tcW w:w="2637" w:type="dxa"/>
            <w:vMerge w:val="continue"/>
            <w:vAlign w:val="center"/>
          </w:tcPr>
          <w:p w14:paraId="420B9467">
            <w:pPr>
              <w:rPr>
                <w:rFonts w:hint="default" w:ascii="Times New Roman" w:hAnsi="Times New Roman" w:cs="Times New Roman"/>
                <w:color w:val="auto"/>
                <w:sz w:val="24"/>
                <w:highlight w:val="none"/>
              </w:rPr>
            </w:pPr>
          </w:p>
        </w:tc>
        <w:tc>
          <w:tcPr>
            <w:tcW w:w="2148" w:type="dxa"/>
            <w:vMerge w:val="continue"/>
            <w:vAlign w:val="center"/>
          </w:tcPr>
          <w:p w14:paraId="242E902C">
            <w:pPr>
              <w:rPr>
                <w:rFonts w:hint="default" w:ascii="Times New Roman" w:hAnsi="Times New Roman" w:cs="Times New Roman"/>
                <w:color w:val="auto"/>
                <w:sz w:val="24"/>
                <w:highlight w:val="none"/>
              </w:rPr>
            </w:pPr>
          </w:p>
        </w:tc>
      </w:tr>
      <w:tr w14:paraId="0AD017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41" w:type="dxa"/>
            <w:vMerge w:val="continue"/>
            <w:vAlign w:val="center"/>
          </w:tcPr>
          <w:p w14:paraId="4A46B996">
            <w:pPr>
              <w:jc w:val="center"/>
              <w:rPr>
                <w:rFonts w:hint="default" w:ascii="Times New Roman" w:hAnsi="Times New Roman" w:cs="Times New Roman"/>
                <w:color w:val="auto"/>
                <w:sz w:val="24"/>
                <w:highlight w:val="none"/>
              </w:rPr>
            </w:pPr>
          </w:p>
        </w:tc>
        <w:tc>
          <w:tcPr>
            <w:tcW w:w="1701" w:type="dxa"/>
            <w:vMerge w:val="continue"/>
            <w:vAlign w:val="center"/>
          </w:tcPr>
          <w:p w14:paraId="1FB3BCA4">
            <w:pPr>
              <w:jc w:val="center"/>
              <w:rPr>
                <w:rFonts w:hint="default" w:ascii="Times New Roman" w:hAnsi="Times New Roman" w:cs="Times New Roman"/>
                <w:color w:val="auto"/>
                <w:sz w:val="24"/>
                <w:highlight w:val="none"/>
              </w:rPr>
            </w:pPr>
          </w:p>
        </w:tc>
        <w:tc>
          <w:tcPr>
            <w:tcW w:w="1473" w:type="dxa"/>
            <w:vAlign w:val="center"/>
          </w:tcPr>
          <w:p w14:paraId="21830691">
            <w:pPr>
              <w:pStyle w:val="74"/>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氮氧化物</w:t>
            </w:r>
          </w:p>
        </w:tc>
        <w:tc>
          <w:tcPr>
            <w:tcW w:w="2637" w:type="dxa"/>
            <w:vMerge w:val="continue"/>
            <w:vAlign w:val="center"/>
          </w:tcPr>
          <w:p w14:paraId="3527D029">
            <w:pPr>
              <w:rPr>
                <w:rFonts w:hint="default" w:ascii="Times New Roman" w:hAnsi="Times New Roman" w:cs="Times New Roman"/>
                <w:color w:val="auto"/>
                <w:sz w:val="24"/>
                <w:highlight w:val="none"/>
              </w:rPr>
            </w:pPr>
          </w:p>
        </w:tc>
        <w:tc>
          <w:tcPr>
            <w:tcW w:w="2148" w:type="dxa"/>
            <w:vMerge w:val="continue"/>
            <w:vAlign w:val="center"/>
          </w:tcPr>
          <w:p w14:paraId="48B058D7">
            <w:pPr>
              <w:rPr>
                <w:rFonts w:hint="default" w:ascii="Times New Roman" w:hAnsi="Times New Roman" w:cs="Times New Roman"/>
                <w:color w:val="auto"/>
                <w:sz w:val="24"/>
                <w:highlight w:val="none"/>
              </w:rPr>
            </w:pPr>
          </w:p>
        </w:tc>
      </w:tr>
      <w:tr w14:paraId="4F4E15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41" w:type="dxa"/>
            <w:vMerge w:val="continue"/>
            <w:vAlign w:val="center"/>
          </w:tcPr>
          <w:p w14:paraId="22C097DE">
            <w:pPr>
              <w:jc w:val="center"/>
              <w:rPr>
                <w:rFonts w:hint="default" w:ascii="Times New Roman" w:hAnsi="Times New Roman" w:cs="Times New Roman"/>
                <w:color w:val="auto"/>
                <w:sz w:val="24"/>
                <w:highlight w:val="none"/>
              </w:rPr>
            </w:pPr>
          </w:p>
        </w:tc>
        <w:tc>
          <w:tcPr>
            <w:tcW w:w="1701" w:type="dxa"/>
            <w:vMerge w:val="continue"/>
            <w:vAlign w:val="center"/>
          </w:tcPr>
          <w:p w14:paraId="6FFCE7C1">
            <w:pPr>
              <w:jc w:val="center"/>
              <w:rPr>
                <w:rFonts w:hint="default" w:ascii="Times New Roman" w:hAnsi="Times New Roman" w:cs="Times New Roman"/>
                <w:color w:val="auto"/>
                <w:sz w:val="24"/>
                <w:highlight w:val="none"/>
              </w:rPr>
            </w:pPr>
          </w:p>
        </w:tc>
        <w:tc>
          <w:tcPr>
            <w:tcW w:w="1473" w:type="dxa"/>
            <w:vAlign w:val="center"/>
          </w:tcPr>
          <w:p w14:paraId="61ED8289">
            <w:pPr>
              <w:pStyle w:val="74"/>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烟气黑度</w:t>
            </w:r>
          </w:p>
        </w:tc>
        <w:tc>
          <w:tcPr>
            <w:tcW w:w="2637" w:type="dxa"/>
            <w:vMerge w:val="continue"/>
            <w:vAlign w:val="center"/>
          </w:tcPr>
          <w:p w14:paraId="36C5F0E6">
            <w:pPr>
              <w:rPr>
                <w:rFonts w:hint="default" w:ascii="Times New Roman" w:hAnsi="Times New Roman" w:cs="Times New Roman"/>
                <w:color w:val="auto"/>
                <w:sz w:val="24"/>
                <w:highlight w:val="none"/>
              </w:rPr>
            </w:pPr>
          </w:p>
        </w:tc>
        <w:tc>
          <w:tcPr>
            <w:tcW w:w="2148" w:type="dxa"/>
            <w:vMerge w:val="continue"/>
            <w:vAlign w:val="center"/>
          </w:tcPr>
          <w:p w14:paraId="21DB270F">
            <w:pPr>
              <w:rPr>
                <w:rFonts w:hint="default" w:ascii="Times New Roman" w:hAnsi="Times New Roman" w:cs="Times New Roman"/>
                <w:color w:val="auto"/>
                <w:sz w:val="24"/>
                <w:highlight w:val="none"/>
              </w:rPr>
            </w:pPr>
          </w:p>
        </w:tc>
      </w:tr>
      <w:tr w14:paraId="592999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Merge w:val="continue"/>
            <w:vAlign w:val="center"/>
          </w:tcPr>
          <w:p w14:paraId="72070EEB">
            <w:pPr>
              <w:jc w:val="center"/>
              <w:rPr>
                <w:rFonts w:hint="default" w:ascii="Times New Roman" w:hAnsi="Times New Roman" w:cs="Times New Roman"/>
                <w:color w:val="auto"/>
                <w:sz w:val="24"/>
                <w:highlight w:val="none"/>
              </w:rPr>
            </w:pPr>
          </w:p>
        </w:tc>
        <w:tc>
          <w:tcPr>
            <w:tcW w:w="1701" w:type="dxa"/>
            <w:vMerge w:val="restart"/>
            <w:vAlign w:val="center"/>
          </w:tcPr>
          <w:p w14:paraId="5958E9A6">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厂界</w:t>
            </w:r>
          </w:p>
        </w:tc>
        <w:tc>
          <w:tcPr>
            <w:tcW w:w="1473" w:type="dxa"/>
            <w:vMerge w:val="restart"/>
            <w:vAlign w:val="center"/>
          </w:tcPr>
          <w:p w14:paraId="7ADD1B86">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无组织</w:t>
            </w:r>
          </w:p>
          <w:p w14:paraId="6F084924">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颗粒物</w:t>
            </w:r>
            <w:r>
              <w:rPr>
                <w:rFonts w:hint="default" w:ascii="Times New Roman" w:hAnsi="Times New Roman" w:cs="Times New Roman"/>
                <w:color w:val="auto"/>
                <w:sz w:val="24"/>
                <w:highlight w:val="none"/>
                <w:lang w:eastAsia="zh-CN"/>
              </w:rPr>
              <w:t>、沥青烟、苯并[a]芘、</w:t>
            </w:r>
            <w:r>
              <w:rPr>
                <w:rFonts w:hint="default" w:ascii="Times New Roman" w:hAnsi="Times New Roman" w:cs="Times New Roman"/>
                <w:color w:val="auto"/>
                <w:sz w:val="24"/>
                <w:highlight w:val="none"/>
                <w:lang w:val="en-US" w:eastAsia="zh-CN"/>
              </w:rPr>
              <w:t>非甲烷总烃</w:t>
            </w:r>
          </w:p>
        </w:tc>
        <w:tc>
          <w:tcPr>
            <w:tcW w:w="2637" w:type="dxa"/>
            <w:vAlign w:val="center"/>
          </w:tcPr>
          <w:p w14:paraId="32F00231">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原料、产品堆场表面铺盖苫布，四周设置防风抑尘网，设置</w:t>
            </w:r>
            <w:r>
              <w:rPr>
                <w:rFonts w:hint="default" w:ascii="Times New Roman" w:hAnsi="Times New Roman" w:cs="Times New Roman"/>
                <w:color w:val="auto"/>
                <w:sz w:val="24"/>
                <w:highlight w:val="none"/>
                <w:lang w:eastAsia="zh-CN"/>
              </w:rPr>
              <w:t>喷淋</w:t>
            </w:r>
            <w:r>
              <w:rPr>
                <w:rFonts w:hint="default" w:ascii="Times New Roman" w:hAnsi="Times New Roman" w:cs="Times New Roman"/>
                <w:color w:val="auto"/>
                <w:sz w:val="24"/>
                <w:highlight w:val="none"/>
              </w:rPr>
              <w:t>系统进行</w:t>
            </w:r>
            <w:r>
              <w:rPr>
                <w:rFonts w:hint="default" w:ascii="Times New Roman" w:hAnsi="Times New Roman" w:cs="Times New Roman"/>
                <w:color w:val="auto"/>
                <w:sz w:val="24"/>
                <w:highlight w:val="none"/>
                <w:lang w:eastAsia="zh-CN"/>
              </w:rPr>
              <w:t>喷淋降尘</w:t>
            </w:r>
            <w:r>
              <w:rPr>
                <w:rFonts w:hint="default" w:ascii="Times New Roman" w:hAnsi="Times New Roman" w:cs="Times New Roman"/>
                <w:color w:val="auto"/>
                <w:sz w:val="24"/>
                <w:highlight w:val="none"/>
              </w:rPr>
              <w:t>，堆场地面全部硬化</w:t>
            </w:r>
          </w:p>
        </w:tc>
        <w:tc>
          <w:tcPr>
            <w:tcW w:w="2148" w:type="dxa"/>
            <w:vMerge w:val="restart"/>
            <w:vAlign w:val="center"/>
          </w:tcPr>
          <w:p w14:paraId="0D700AF7">
            <w:pPr>
              <w:rPr>
                <w:rFonts w:hint="default" w:ascii="Times New Roman" w:hAnsi="Times New Roman" w:cs="Times New Roman"/>
                <w:color w:val="auto"/>
                <w:spacing w:val="-14"/>
                <w:sz w:val="24"/>
                <w:highlight w:val="none"/>
              </w:rPr>
            </w:pPr>
            <w:r>
              <w:rPr>
                <w:rFonts w:hint="default" w:ascii="Times New Roman" w:hAnsi="Times New Roman" w:cs="Times New Roman"/>
                <w:color w:val="auto"/>
                <w:spacing w:val="-14"/>
                <w:sz w:val="24"/>
                <w:highlight w:val="none"/>
              </w:rPr>
              <w:t>《大气污染物综合排放标准》（GB16297-1996）表2中无组织排放监控浓度限值要求</w:t>
            </w:r>
          </w:p>
        </w:tc>
      </w:tr>
      <w:tr w14:paraId="6ECC20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841" w:type="dxa"/>
            <w:vMerge w:val="continue"/>
            <w:vAlign w:val="center"/>
          </w:tcPr>
          <w:p w14:paraId="71635A89">
            <w:pPr>
              <w:jc w:val="center"/>
              <w:rPr>
                <w:rFonts w:hint="default" w:ascii="Times New Roman" w:hAnsi="Times New Roman" w:cs="Times New Roman"/>
                <w:color w:val="auto"/>
                <w:sz w:val="24"/>
                <w:highlight w:val="none"/>
              </w:rPr>
            </w:pPr>
          </w:p>
        </w:tc>
        <w:tc>
          <w:tcPr>
            <w:tcW w:w="1701" w:type="dxa"/>
            <w:vMerge w:val="continue"/>
            <w:vAlign w:val="center"/>
          </w:tcPr>
          <w:p w14:paraId="3D9827C7">
            <w:pPr>
              <w:jc w:val="center"/>
              <w:rPr>
                <w:rFonts w:hint="default" w:ascii="Times New Roman" w:hAnsi="Times New Roman" w:cs="Times New Roman"/>
                <w:color w:val="auto"/>
                <w:sz w:val="24"/>
                <w:highlight w:val="none"/>
              </w:rPr>
            </w:pPr>
          </w:p>
        </w:tc>
        <w:tc>
          <w:tcPr>
            <w:tcW w:w="1473" w:type="dxa"/>
            <w:vMerge w:val="continue"/>
            <w:vAlign w:val="center"/>
          </w:tcPr>
          <w:p w14:paraId="4C8BFEE1">
            <w:pPr>
              <w:jc w:val="center"/>
              <w:rPr>
                <w:rFonts w:hint="default" w:ascii="Times New Roman" w:hAnsi="Times New Roman" w:cs="Times New Roman"/>
                <w:color w:val="auto"/>
                <w:sz w:val="24"/>
                <w:highlight w:val="none"/>
              </w:rPr>
            </w:pPr>
          </w:p>
        </w:tc>
        <w:tc>
          <w:tcPr>
            <w:tcW w:w="2637" w:type="dxa"/>
            <w:vAlign w:val="center"/>
          </w:tcPr>
          <w:p w14:paraId="162A98B6">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冷料上料于封闭式沥青混凝土拌合站中进行</w:t>
            </w:r>
          </w:p>
        </w:tc>
        <w:tc>
          <w:tcPr>
            <w:tcW w:w="2148" w:type="dxa"/>
            <w:vMerge w:val="continue"/>
            <w:vAlign w:val="center"/>
          </w:tcPr>
          <w:p w14:paraId="0C4A1AF4">
            <w:pPr>
              <w:rPr>
                <w:rFonts w:hint="default" w:ascii="Times New Roman" w:hAnsi="Times New Roman" w:cs="Times New Roman"/>
                <w:color w:val="auto"/>
                <w:spacing w:val="-14"/>
                <w:sz w:val="24"/>
                <w:highlight w:val="none"/>
              </w:rPr>
            </w:pPr>
          </w:p>
        </w:tc>
      </w:tr>
      <w:tr w14:paraId="51C605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841" w:type="dxa"/>
            <w:vMerge w:val="continue"/>
            <w:vAlign w:val="center"/>
          </w:tcPr>
          <w:p w14:paraId="1F5DA10C">
            <w:pPr>
              <w:jc w:val="center"/>
              <w:rPr>
                <w:rFonts w:hint="default" w:ascii="Times New Roman" w:hAnsi="Times New Roman" w:cs="Times New Roman"/>
                <w:color w:val="auto"/>
                <w:sz w:val="24"/>
                <w:highlight w:val="none"/>
              </w:rPr>
            </w:pPr>
          </w:p>
        </w:tc>
        <w:tc>
          <w:tcPr>
            <w:tcW w:w="1701" w:type="dxa"/>
            <w:vMerge w:val="continue"/>
            <w:vAlign w:val="center"/>
          </w:tcPr>
          <w:p w14:paraId="2D408F91">
            <w:pPr>
              <w:jc w:val="center"/>
              <w:rPr>
                <w:rFonts w:hint="default" w:ascii="Times New Roman" w:hAnsi="Times New Roman" w:cs="Times New Roman"/>
                <w:color w:val="auto"/>
                <w:sz w:val="24"/>
                <w:highlight w:val="none"/>
              </w:rPr>
            </w:pPr>
          </w:p>
        </w:tc>
        <w:tc>
          <w:tcPr>
            <w:tcW w:w="1473" w:type="dxa"/>
            <w:vMerge w:val="continue"/>
            <w:vAlign w:val="center"/>
          </w:tcPr>
          <w:p w14:paraId="5AA9D15C">
            <w:pPr>
              <w:jc w:val="center"/>
              <w:rPr>
                <w:rFonts w:hint="default" w:ascii="Times New Roman" w:hAnsi="Times New Roman" w:cs="Times New Roman"/>
                <w:color w:val="auto"/>
                <w:sz w:val="24"/>
                <w:highlight w:val="none"/>
              </w:rPr>
            </w:pPr>
          </w:p>
        </w:tc>
        <w:tc>
          <w:tcPr>
            <w:tcW w:w="2637" w:type="dxa"/>
            <w:vAlign w:val="center"/>
          </w:tcPr>
          <w:p w14:paraId="59AB37AF">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矿粉仓</w:t>
            </w:r>
            <w:r>
              <w:rPr>
                <w:rFonts w:hint="default" w:ascii="Times New Roman" w:hAnsi="Times New Roman" w:cs="Times New Roman"/>
                <w:color w:val="auto"/>
                <w:sz w:val="24"/>
                <w:highlight w:val="none"/>
              </w:rPr>
              <w:t>经布袋除尘器处理后</w:t>
            </w:r>
            <w:r>
              <w:rPr>
                <w:rFonts w:hint="default" w:ascii="Times New Roman" w:hAnsi="Times New Roman" w:cs="Times New Roman"/>
                <w:color w:val="auto"/>
                <w:sz w:val="24"/>
                <w:highlight w:val="none"/>
                <w:lang w:val="en-US" w:eastAsia="zh-CN"/>
              </w:rPr>
              <w:t>高空排放</w:t>
            </w:r>
          </w:p>
        </w:tc>
        <w:tc>
          <w:tcPr>
            <w:tcW w:w="2148" w:type="dxa"/>
            <w:vMerge w:val="continue"/>
            <w:vAlign w:val="center"/>
          </w:tcPr>
          <w:p w14:paraId="14B0D22A">
            <w:pPr>
              <w:rPr>
                <w:rFonts w:hint="default" w:ascii="Times New Roman" w:hAnsi="Times New Roman" w:cs="Times New Roman"/>
                <w:color w:val="auto"/>
                <w:spacing w:val="-14"/>
                <w:sz w:val="24"/>
                <w:highlight w:val="none"/>
              </w:rPr>
            </w:pPr>
          </w:p>
        </w:tc>
      </w:tr>
      <w:tr w14:paraId="3B4433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Merge w:val="continue"/>
            <w:vAlign w:val="center"/>
          </w:tcPr>
          <w:p w14:paraId="62B2D8CC">
            <w:pPr>
              <w:jc w:val="center"/>
              <w:rPr>
                <w:rFonts w:hint="default" w:ascii="Times New Roman" w:hAnsi="Times New Roman" w:cs="Times New Roman"/>
                <w:color w:val="auto"/>
                <w:sz w:val="24"/>
                <w:highlight w:val="none"/>
              </w:rPr>
            </w:pPr>
          </w:p>
        </w:tc>
        <w:tc>
          <w:tcPr>
            <w:tcW w:w="1701" w:type="dxa"/>
            <w:vAlign w:val="center"/>
          </w:tcPr>
          <w:p w14:paraId="048FF2E2">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w:t>
            </w:r>
            <w:r>
              <w:rPr>
                <w:rFonts w:hint="default" w:ascii="Times New Roman" w:hAnsi="Times New Roman" w:cs="Times New Roman"/>
                <w:color w:val="auto"/>
                <w:sz w:val="24"/>
                <w:highlight w:val="none"/>
                <w:lang w:val="en-US" w:eastAsia="zh-CN"/>
              </w:rPr>
              <w:t>区</w:t>
            </w:r>
            <w:r>
              <w:rPr>
                <w:rFonts w:hint="default" w:ascii="Times New Roman" w:hAnsi="Times New Roman" w:cs="Times New Roman"/>
                <w:color w:val="auto"/>
                <w:sz w:val="24"/>
                <w:highlight w:val="none"/>
              </w:rPr>
              <w:t>内</w:t>
            </w:r>
          </w:p>
        </w:tc>
        <w:tc>
          <w:tcPr>
            <w:tcW w:w="1473" w:type="dxa"/>
            <w:vAlign w:val="center"/>
          </w:tcPr>
          <w:p w14:paraId="3356232C">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非甲烷总烃</w:t>
            </w:r>
          </w:p>
        </w:tc>
        <w:tc>
          <w:tcPr>
            <w:tcW w:w="2637" w:type="dxa"/>
            <w:vAlign w:val="center"/>
          </w:tcPr>
          <w:p w14:paraId="2FD43843">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封闭式柴油储罐</w:t>
            </w:r>
          </w:p>
        </w:tc>
        <w:tc>
          <w:tcPr>
            <w:tcW w:w="2148" w:type="dxa"/>
            <w:vAlign w:val="center"/>
          </w:tcPr>
          <w:p w14:paraId="0971C155">
            <w:pPr>
              <w:rPr>
                <w:rFonts w:hint="default" w:ascii="Times New Roman" w:hAnsi="Times New Roman" w:cs="Times New Roman"/>
                <w:color w:val="auto"/>
                <w:spacing w:val="-14"/>
                <w:sz w:val="24"/>
                <w:highlight w:val="none"/>
              </w:rPr>
            </w:pPr>
            <w:r>
              <w:rPr>
                <w:rFonts w:hint="default" w:ascii="Times New Roman" w:hAnsi="Times New Roman" w:cs="Times New Roman"/>
                <w:color w:val="auto"/>
                <w:spacing w:val="-14"/>
                <w:sz w:val="24"/>
                <w:highlight w:val="none"/>
              </w:rPr>
              <w:t>《大气污染物综合排放标准》（GB16297-1996）中厂界浓度限值要求、《挥发性有机物无组织排放控制标准》（GB37822-2019）中附录A中限值要求</w:t>
            </w:r>
          </w:p>
        </w:tc>
      </w:tr>
      <w:tr w14:paraId="28FD49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Align w:val="center"/>
          </w:tcPr>
          <w:p w14:paraId="03E56615">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地表水环境</w:t>
            </w:r>
          </w:p>
        </w:tc>
        <w:tc>
          <w:tcPr>
            <w:tcW w:w="1701" w:type="dxa"/>
            <w:vAlign w:val="center"/>
          </w:tcPr>
          <w:p w14:paraId="6A9B3AFF">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生活污水</w:t>
            </w:r>
          </w:p>
        </w:tc>
        <w:tc>
          <w:tcPr>
            <w:tcW w:w="1473" w:type="dxa"/>
            <w:vAlign w:val="center"/>
          </w:tcPr>
          <w:p w14:paraId="12F283E3">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COD</w:t>
            </w:r>
          </w:p>
          <w:p w14:paraId="1627A95B">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BOD</w:t>
            </w:r>
            <w:r>
              <w:rPr>
                <w:rFonts w:hint="default" w:ascii="Times New Roman" w:hAnsi="Times New Roman" w:cs="Times New Roman"/>
                <w:color w:val="auto"/>
                <w:sz w:val="24"/>
                <w:highlight w:val="none"/>
                <w:vertAlign w:val="subscript"/>
              </w:rPr>
              <w:t>5</w:t>
            </w:r>
          </w:p>
          <w:p w14:paraId="23146749">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SS</w:t>
            </w:r>
          </w:p>
          <w:p w14:paraId="61B3D57D">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w:t>
            </w:r>
          </w:p>
        </w:tc>
        <w:tc>
          <w:tcPr>
            <w:tcW w:w="2637" w:type="dxa"/>
            <w:tcBorders>
              <w:bottom w:val="single" w:color="auto" w:sz="4" w:space="0"/>
            </w:tcBorders>
            <w:vAlign w:val="center"/>
          </w:tcPr>
          <w:p w14:paraId="0B514896">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项目采取雨污分流，生活污水</w:t>
            </w:r>
            <w:r>
              <w:rPr>
                <w:rFonts w:hint="default" w:ascii="Times New Roman" w:hAnsi="Times New Roman" w:cs="Times New Roman"/>
                <w:color w:val="auto"/>
                <w:sz w:val="24"/>
                <w:highlight w:val="none"/>
                <w:lang w:val="en-US" w:eastAsia="zh-CN"/>
              </w:rPr>
              <w:t>排入防渗旱厕，定期清掏外运堆肥，不外排</w:t>
            </w:r>
            <w:r>
              <w:rPr>
                <w:rFonts w:hint="default" w:ascii="Times New Roman" w:hAnsi="Times New Roman" w:cs="Times New Roman"/>
                <w:color w:val="auto"/>
                <w:sz w:val="24"/>
                <w:highlight w:val="none"/>
              </w:rPr>
              <w:t>。</w:t>
            </w:r>
          </w:p>
        </w:tc>
        <w:tc>
          <w:tcPr>
            <w:tcW w:w="2148" w:type="dxa"/>
            <w:tcBorders>
              <w:bottom w:val="single" w:color="auto" w:sz="4" w:space="0"/>
            </w:tcBorders>
            <w:vAlign w:val="center"/>
          </w:tcPr>
          <w:p w14:paraId="677F276B">
            <w:pPr>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val="en-US" w:eastAsia="zh-CN"/>
              </w:rPr>
              <w:t>/</w:t>
            </w:r>
          </w:p>
        </w:tc>
      </w:tr>
      <w:tr w14:paraId="141DC4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Merge w:val="restart"/>
            <w:vAlign w:val="center"/>
          </w:tcPr>
          <w:p w14:paraId="23B3B2B1">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地表水环境</w:t>
            </w:r>
          </w:p>
        </w:tc>
        <w:tc>
          <w:tcPr>
            <w:tcW w:w="1701" w:type="dxa"/>
            <w:vAlign w:val="center"/>
          </w:tcPr>
          <w:p w14:paraId="7B448A53">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冲洗废水</w:t>
            </w:r>
          </w:p>
        </w:tc>
        <w:tc>
          <w:tcPr>
            <w:tcW w:w="1473" w:type="dxa"/>
            <w:vAlign w:val="center"/>
          </w:tcPr>
          <w:p w14:paraId="2F49C2E0">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SS</w:t>
            </w:r>
          </w:p>
        </w:tc>
        <w:tc>
          <w:tcPr>
            <w:tcW w:w="2637" w:type="dxa"/>
            <w:tcBorders>
              <w:bottom w:val="single" w:color="auto" w:sz="4" w:space="0"/>
            </w:tcBorders>
            <w:vAlign w:val="center"/>
          </w:tcPr>
          <w:p w14:paraId="73D6A97C">
            <w:pP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经沉淀隔油后回用，不外排。</w:t>
            </w:r>
          </w:p>
        </w:tc>
        <w:tc>
          <w:tcPr>
            <w:tcW w:w="2148" w:type="dxa"/>
            <w:tcBorders>
              <w:bottom w:val="single" w:color="auto" w:sz="4" w:space="0"/>
            </w:tcBorders>
            <w:vAlign w:val="center"/>
          </w:tcPr>
          <w:p w14:paraId="27791E85">
            <w:pPr>
              <w:jc w:val="center"/>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w:t>
            </w:r>
          </w:p>
        </w:tc>
      </w:tr>
      <w:tr w14:paraId="41D112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Merge w:val="continue"/>
            <w:vAlign w:val="center"/>
          </w:tcPr>
          <w:p w14:paraId="3D258612">
            <w:pPr>
              <w:jc w:val="center"/>
              <w:rPr>
                <w:rFonts w:hint="default" w:ascii="Times New Roman" w:hAnsi="Times New Roman" w:cs="Times New Roman"/>
                <w:color w:val="auto"/>
                <w:sz w:val="24"/>
                <w:highlight w:val="none"/>
              </w:rPr>
            </w:pPr>
          </w:p>
        </w:tc>
        <w:tc>
          <w:tcPr>
            <w:tcW w:w="1701" w:type="dxa"/>
            <w:vAlign w:val="center"/>
          </w:tcPr>
          <w:p w14:paraId="397E91D5">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初期雨水</w:t>
            </w:r>
          </w:p>
        </w:tc>
        <w:tc>
          <w:tcPr>
            <w:tcW w:w="1473" w:type="dxa"/>
            <w:vAlign w:val="center"/>
          </w:tcPr>
          <w:p w14:paraId="664E9B87">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c>
          <w:tcPr>
            <w:tcW w:w="2637" w:type="dxa"/>
            <w:tcBorders>
              <w:top w:val="single" w:color="auto" w:sz="4" w:space="0"/>
            </w:tcBorders>
            <w:vAlign w:val="center"/>
          </w:tcPr>
          <w:p w14:paraId="796D7FE2">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初期雨水经四周排水沟收集汇入厂区</w:t>
            </w:r>
            <w:r>
              <w:rPr>
                <w:rFonts w:hint="default" w:ascii="Times New Roman" w:hAnsi="Times New Roman" w:cs="Times New Roman"/>
                <w:color w:val="auto"/>
                <w:sz w:val="24"/>
                <w:highlight w:val="none"/>
                <w:lang w:val="en-US" w:eastAsia="zh-CN"/>
              </w:rPr>
              <w:t>初期雨水收集池</w:t>
            </w:r>
            <w:r>
              <w:rPr>
                <w:rFonts w:hint="default" w:ascii="Times New Roman" w:hAnsi="Times New Roman" w:cs="Times New Roman"/>
                <w:color w:val="auto"/>
                <w:sz w:val="24"/>
                <w:highlight w:val="none"/>
              </w:rPr>
              <w:t>处理后回用于厂区</w:t>
            </w:r>
            <w:r>
              <w:rPr>
                <w:rFonts w:hint="default" w:ascii="Times New Roman" w:hAnsi="Times New Roman" w:cs="Times New Roman"/>
                <w:color w:val="auto"/>
                <w:sz w:val="24"/>
                <w:highlight w:val="none"/>
                <w:lang w:eastAsia="zh-CN"/>
              </w:rPr>
              <w:t>喷淋降尘</w:t>
            </w:r>
            <w:r>
              <w:rPr>
                <w:rFonts w:hint="default" w:ascii="Times New Roman" w:hAnsi="Times New Roman" w:cs="Times New Roman"/>
                <w:color w:val="auto"/>
                <w:sz w:val="24"/>
                <w:highlight w:val="none"/>
              </w:rPr>
              <w:t>，不外排。</w:t>
            </w:r>
          </w:p>
        </w:tc>
        <w:tc>
          <w:tcPr>
            <w:tcW w:w="2148" w:type="dxa"/>
            <w:tcBorders>
              <w:top w:val="single" w:color="auto" w:sz="4" w:space="0"/>
            </w:tcBorders>
            <w:vAlign w:val="center"/>
          </w:tcPr>
          <w:p w14:paraId="19F49745">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r>
      <w:tr w14:paraId="51980F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Align w:val="center"/>
          </w:tcPr>
          <w:p w14:paraId="44B662C9">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声环境</w:t>
            </w:r>
          </w:p>
        </w:tc>
        <w:tc>
          <w:tcPr>
            <w:tcW w:w="1701" w:type="dxa"/>
            <w:vAlign w:val="center"/>
          </w:tcPr>
          <w:p w14:paraId="16B7D3BB">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生产设备</w:t>
            </w:r>
          </w:p>
        </w:tc>
        <w:tc>
          <w:tcPr>
            <w:tcW w:w="1473" w:type="dxa"/>
            <w:vAlign w:val="center"/>
          </w:tcPr>
          <w:p w14:paraId="2141B0CF">
            <w:pPr>
              <w:pStyle w:val="12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zh-CN"/>
              </w:rPr>
              <w:t>噪声</w:t>
            </w:r>
          </w:p>
        </w:tc>
        <w:tc>
          <w:tcPr>
            <w:tcW w:w="2637" w:type="dxa"/>
            <w:vAlign w:val="center"/>
          </w:tcPr>
          <w:p w14:paraId="53B40D29">
            <w:pPr>
              <w:adjustRightInd w:val="0"/>
              <w:snapToGrid w:val="0"/>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pacing w:val="-10"/>
                <w:sz w:val="24"/>
                <w:highlight w:val="none"/>
              </w:rPr>
              <w:t>（1）选用低噪声设备，建筑采取隔声、降噪措施，振动较大的设备采取独立基础，设置减振器，风机进出口均设软管连接等措施。</w:t>
            </w:r>
          </w:p>
          <w:p w14:paraId="44FF86B1">
            <w:pPr>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pacing w:val="-10"/>
                <w:sz w:val="24"/>
                <w:highlight w:val="none"/>
              </w:rPr>
              <w:t>（2）合理布局，加强绿化，利用树木吸声、消声作用，减少噪声对外环境的影响。</w:t>
            </w:r>
          </w:p>
        </w:tc>
        <w:tc>
          <w:tcPr>
            <w:tcW w:w="2148" w:type="dxa"/>
            <w:vAlign w:val="center"/>
          </w:tcPr>
          <w:p w14:paraId="2F3CD098">
            <w:pPr>
              <w:pStyle w:val="126"/>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《工业企业厂界环境噪声排放标准》（GB12348-2008）2类标准要求</w:t>
            </w:r>
          </w:p>
        </w:tc>
      </w:tr>
      <w:tr w14:paraId="4B0535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Align w:val="center"/>
          </w:tcPr>
          <w:p w14:paraId="0DDA7B33">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电磁辐射</w:t>
            </w:r>
          </w:p>
        </w:tc>
        <w:tc>
          <w:tcPr>
            <w:tcW w:w="1701" w:type="dxa"/>
            <w:vAlign w:val="center"/>
          </w:tcPr>
          <w:p w14:paraId="2018AC2A">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c>
          <w:tcPr>
            <w:tcW w:w="1473" w:type="dxa"/>
            <w:vAlign w:val="center"/>
          </w:tcPr>
          <w:p w14:paraId="6161B011">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c>
          <w:tcPr>
            <w:tcW w:w="2637" w:type="dxa"/>
            <w:vAlign w:val="center"/>
          </w:tcPr>
          <w:p w14:paraId="0256CD44">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c>
          <w:tcPr>
            <w:tcW w:w="2148" w:type="dxa"/>
            <w:vAlign w:val="center"/>
          </w:tcPr>
          <w:p w14:paraId="1AC2C12A">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r>
      <w:tr w14:paraId="71D3F0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Align w:val="center"/>
          </w:tcPr>
          <w:p w14:paraId="3F8B1B0A">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固体废物</w:t>
            </w:r>
          </w:p>
        </w:tc>
        <w:tc>
          <w:tcPr>
            <w:tcW w:w="7959" w:type="dxa"/>
            <w:gridSpan w:val="4"/>
            <w:vAlign w:val="center"/>
          </w:tcPr>
          <w:p w14:paraId="790078C8">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①生活垃圾：集中收集，由市政环卫部门统一清运处理。</w:t>
            </w:r>
          </w:p>
          <w:p w14:paraId="2F0E588C">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②除尘器收尘：集中收集，袋装，回用于生产。</w:t>
            </w:r>
          </w:p>
          <w:p w14:paraId="622895AA">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③不合格石料：由石料供应商回收破碎后重新利用。</w:t>
            </w:r>
          </w:p>
          <w:p w14:paraId="7D02625B">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④废活性炭：暂存在危险废物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，定期交由有资质单位处理。</w:t>
            </w:r>
          </w:p>
          <w:p w14:paraId="6AD053E7">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⑤废导热油：暂存在危险废物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，定期交由有资质单位处理。</w:t>
            </w:r>
          </w:p>
          <w:p w14:paraId="61076CA5">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⑥除尘器废布袋：集中收集，由市政环卫部门统一清运处理。</w:t>
            </w:r>
          </w:p>
          <w:p w14:paraId="7CF327E2">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⑦滴漏沥青及</w:t>
            </w:r>
            <w:r>
              <w:rPr>
                <w:rFonts w:hint="default" w:ascii="Times New Roman" w:hAnsi="Times New Roman" w:cs="Times New Roman"/>
                <w:color w:val="auto"/>
                <w:sz w:val="24"/>
                <w:highlight w:val="none"/>
                <w:lang w:eastAsia="zh-CN"/>
              </w:rPr>
              <w:t>拌合</w:t>
            </w:r>
            <w:r>
              <w:rPr>
                <w:rFonts w:hint="default" w:ascii="Times New Roman" w:hAnsi="Times New Roman" w:cs="Times New Roman"/>
                <w:color w:val="auto"/>
                <w:sz w:val="24"/>
                <w:highlight w:val="none"/>
              </w:rPr>
              <w:t>残渣：作为原料回用于生产。</w:t>
            </w:r>
          </w:p>
          <w:p w14:paraId="296B811E">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⑧废焦油：暂存在危险废物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，定期交由有资质单位处理。</w:t>
            </w:r>
          </w:p>
          <w:p w14:paraId="39515D43">
            <w:pPr>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⑨废机油：维修工序就近委托附近机械维修站，车辆、机械设备每半年更换一次机油，外委附近机械维修站进行更换，厂区内不进行储存</w:t>
            </w:r>
            <w:r>
              <w:rPr>
                <w:rFonts w:hint="default" w:ascii="Times New Roman" w:hAnsi="Times New Roman" w:cs="Times New Roman"/>
                <w:color w:val="auto"/>
                <w:sz w:val="24"/>
                <w:highlight w:val="none"/>
                <w:lang w:eastAsia="zh-CN"/>
              </w:rPr>
              <w:t>。</w:t>
            </w:r>
          </w:p>
          <w:p w14:paraId="6521B3D7">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⑩</w:t>
            </w:r>
            <w:r>
              <w:rPr>
                <w:rFonts w:hint="default" w:ascii="Times New Roman" w:hAnsi="Times New Roman" w:cs="Times New Roman"/>
                <w:color w:val="auto"/>
                <w:sz w:val="24"/>
                <w:highlight w:val="none"/>
                <w:lang w:eastAsia="zh-CN"/>
              </w:rPr>
              <w:t>油泥</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柴油罐</w:t>
            </w:r>
            <w:r>
              <w:rPr>
                <w:rFonts w:hint="default" w:ascii="Times New Roman" w:hAnsi="Times New Roman" w:cs="Times New Roman"/>
                <w:color w:val="auto"/>
                <w:sz w:val="24"/>
                <w:highlight w:val="none"/>
              </w:rPr>
              <w:t>频率为5年一次，</w:t>
            </w:r>
            <w:r>
              <w:rPr>
                <w:rFonts w:hint="default" w:ascii="Times New Roman" w:hAnsi="Times New Roman" w:cs="Times New Roman"/>
                <w:color w:val="auto"/>
                <w:sz w:val="24"/>
                <w:highlight w:val="none"/>
                <w:lang w:val="en-US" w:eastAsia="zh-CN"/>
              </w:rPr>
              <w:t>隔油沉淀池清理频次为2年一次</w:t>
            </w:r>
            <w:r>
              <w:rPr>
                <w:rFonts w:hint="default" w:ascii="Times New Roman" w:hAnsi="Times New Roman" w:cs="Times New Roman"/>
                <w:color w:val="auto"/>
                <w:sz w:val="24"/>
                <w:highlight w:val="none"/>
              </w:rPr>
              <w:t>，更换后直接交有危险废物处置资质单位处理，不在厂区内储存。</w:t>
            </w:r>
          </w:p>
        </w:tc>
      </w:tr>
      <w:tr w14:paraId="759F28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85" w:hRule="atLeast"/>
          <w:jc w:val="center"/>
        </w:trPr>
        <w:tc>
          <w:tcPr>
            <w:tcW w:w="841" w:type="dxa"/>
            <w:vAlign w:val="center"/>
          </w:tcPr>
          <w:p w14:paraId="2C5D9F78">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土壤及地下水</w:t>
            </w:r>
          </w:p>
          <w:p w14:paraId="201AD15E">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污染防治措施</w:t>
            </w:r>
          </w:p>
        </w:tc>
        <w:tc>
          <w:tcPr>
            <w:tcW w:w="7959" w:type="dxa"/>
            <w:gridSpan w:val="4"/>
            <w:vAlign w:val="center"/>
          </w:tcPr>
          <w:p w14:paraId="49E888FB">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①厂区隔油池和沉淀池采取防渗措施，参考《</w:t>
            </w:r>
            <w:r>
              <w:rPr>
                <w:rFonts w:hint="default" w:ascii="Times New Roman" w:hAnsi="Times New Roman" w:cs="Times New Roman"/>
                <w:color w:val="auto"/>
                <w:sz w:val="24"/>
                <w:highlight w:val="none"/>
                <w:lang w:eastAsia="zh-CN"/>
              </w:rPr>
              <w:t>环境影响评价技术导则 地下水环境</w:t>
            </w:r>
            <w:r>
              <w:rPr>
                <w:rFonts w:hint="default" w:ascii="Times New Roman" w:hAnsi="Times New Roman" w:cs="Times New Roman"/>
                <w:color w:val="auto"/>
                <w:sz w:val="24"/>
                <w:highlight w:val="none"/>
              </w:rPr>
              <w:t>》（HJ610-2016）中一般防渗区防渗技术要求，满足等效黏土防渗层Mb≥1.5m，K≤1×10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cm/s的要求。</w:t>
            </w:r>
          </w:p>
          <w:p w14:paraId="6E1D104B">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②沥青储罐、柴油储罐区、事故池、沉淀池、危险废物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采取防渗措施，参考《</w:t>
            </w:r>
            <w:r>
              <w:rPr>
                <w:rFonts w:hint="default" w:ascii="Times New Roman" w:hAnsi="Times New Roman" w:cs="Times New Roman"/>
                <w:color w:val="auto"/>
                <w:sz w:val="24"/>
                <w:highlight w:val="none"/>
                <w:lang w:eastAsia="zh-CN"/>
              </w:rPr>
              <w:t>环境影响评价技术导则 地下水环境</w:t>
            </w:r>
            <w:r>
              <w:rPr>
                <w:rFonts w:hint="default" w:ascii="Times New Roman" w:hAnsi="Times New Roman" w:cs="Times New Roman"/>
                <w:color w:val="auto"/>
                <w:sz w:val="24"/>
                <w:highlight w:val="none"/>
              </w:rPr>
              <w:t>》（HJ610-2016）中重点防渗区防渗技术要求，满足等效黏土防渗层Mb≥6m，K≤1×10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cm/s的要求，并设置非燃烧材料的防火堤围堰，防火堤内的有效容积不小于最大贮罐的容积，切断影响途径。</w:t>
            </w:r>
          </w:p>
          <w:p w14:paraId="23648D67">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③危险废物</w:t>
            </w:r>
            <w:r>
              <w:rPr>
                <w:rFonts w:hint="default" w:ascii="Times New Roman" w:hAnsi="Times New Roman" w:cs="Times New Roman"/>
                <w:color w:val="auto"/>
                <w:sz w:val="24"/>
                <w:highlight w:val="none"/>
                <w:lang w:eastAsia="zh-CN"/>
              </w:rPr>
              <w:t>贮存点</w:t>
            </w:r>
            <w:r>
              <w:rPr>
                <w:rFonts w:hint="default" w:ascii="Times New Roman" w:hAnsi="Times New Roman" w:cs="Times New Roman"/>
                <w:color w:val="auto"/>
                <w:sz w:val="24"/>
                <w:highlight w:val="none"/>
              </w:rPr>
              <w:t>按照《危险废物贮存污染控制标准》（GB18597-2023）要求进行防渗处理，防渗层至少为1m厚粘土层（K≤10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cm/s）或2mm厚高密度聚乙烯，或至少2mm厚的其它人工材料，K≤10</w:t>
            </w:r>
            <w:r>
              <w:rPr>
                <w:rFonts w:hint="default" w:ascii="Times New Roman" w:hAnsi="Times New Roman" w:cs="Times New Roman"/>
                <w:color w:val="auto"/>
                <w:sz w:val="24"/>
                <w:highlight w:val="none"/>
                <w:vertAlign w:val="superscript"/>
              </w:rPr>
              <w:t>-10</w:t>
            </w:r>
            <w:r>
              <w:rPr>
                <w:rFonts w:hint="default" w:ascii="Times New Roman" w:hAnsi="Times New Roman" w:cs="Times New Roman"/>
                <w:color w:val="auto"/>
                <w:sz w:val="24"/>
                <w:highlight w:val="none"/>
              </w:rPr>
              <w:t>cm/s。</w:t>
            </w:r>
          </w:p>
          <w:p w14:paraId="27765D1F">
            <w:pPr>
              <w:jc w:val="left"/>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④厂区地面进行水泥硬化</w:t>
            </w:r>
            <w:r>
              <w:rPr>
                <w:rFonts w:hint="default" w:ascii="Times New Roman" w:hAnsi="Times New Roman" w:cs="Times New Roman"/>
                <w:color w:val="auto"/>
                <w:sz w:val="24"/>
                <w:highlight w:val="none"/>
                <w:lang w:eastAsia="zh-CN"/>
              </w:rPr>
              <w:t>。</w:t>
            </w:r>
          </w:p>
        </w:tc>
      </w:tr>
      <w:tr w14:paraId="1A9CD4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Align w:val="center"/>
          </w:tcPr>
          <w:p w14:paraId="4C752D26">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生态保护措施</w:t>
            </w:r>
          </w:p>
        </w:tc>
        <w:tc>
          <w:tcPr>
            <w:tcW w:w="7959" w:type="dxa"/>
            <w:gridSpan w:val="4"/>
            <w:vAlign w:val="center"/>
          </w:tcPr>
          <w:p w14:paraId="45073E4D">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r>
      <w:tr w14:paraId="52E355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Align w:val="center"/>
          </w:tcPr>
          <w:p w14:paraId="7A7862A7">
            <w:pPr>
              <w:jc w:val="center"/>
              <w:rPr>
                <w:rFonts w:hint="default" w:ascii="Times New Roman" w:hAnsi="Times New Roman" w:cs="Times New Roman"/>
                <w:color w:val="auto"/>
                <w:spacing w:val="-8"/>
                <w:sz w:val="24"/>
                <w:highlight w:val="none"/>
              </w:rPr>
            </w:pPr>
            <w:r>
              <w:rPr>
                <w:rFonts w:hint="default" w:ascii="Times New Roman" w:hAnsi="Times New Roman" w:cs="Times New Roman"/>
                <w:color w:val="auto"/>
                <w:spacing w:val="-8"/>
                <w:sz w:val="24"/>
                <w:highlight w:val="none"/>
              </w:rPr>
              <w:t>环境风险防范措施</w:t>
            </w:r>
          </w:p>
        </w:tc>
        <w:tc>
          <w:tcPr>
            <w:tcW w:w="7959" w:type="dxa"/>
            <w:gridSpan w:val="4"/>
            <w:vAlign w:val="center"/>
          </w:tcPr>
          <w:p w14:paraId="4B00FDBA">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建立、完善安全管理制度：严格按照规定进行工程建设情况的自查、整改和验收，并制定和执行相应的消防管理、安全防火培训、用火用电安全管理、灭火器材维护使用、岗位消防安全等一系列安全制度，并严格遵守执行。</w:t>
            </w:r>
          </w:p>
          <w:p w14:paraId="4AF95B14">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②加强对工人的安全生产和环境保护教育，对国家规定的特种作业人员，必须进行安全技术培训。严格按规范操作，任何人不得擅自改变工艺条件。</w:t>
            </w:r>
          </w:p>
          <w:p w14:paraId="4A1AAE8D">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③加强设备维护保养，所有机泵、管道、阀门等连接部位都应连接牢固，做到严密、不渗、不漏。预防沥青、柴油意外泄漏事故。</w:t>
            </w:r>
          </w:p>
          <w:p w14:paraId="09FC13EB">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④沥青储罐、柴油储罐区采取防渗措施，参考《</w:t>
            </w:r>
            <w:r>
              <w:rPr>
                <w:rFonts w:hint="default" w:ascii="Times New Roman" w:hAnsi="Times New Roman" w:cs="Times New Roman"/>
                <w:color w:val="auto"/>
                <w:sz w:val="24"/>
                <w:highlight w:val="none"/>
                <w:lang w:eastAsia="zh-CN"/>
              </w:rPr>
              <w:t>环境影响评价技术导则 地下水环境</w:t>
            </w:r>
            <w:r>
              <w:rPr>
                <w:rFonts w:hint="default" w:ascii="Times New Roman" w:hAnsi="Times New Roman" w:cs="Times New Roman"/>
                <w:color w:val="auto"/>
                <w:sz w:val="24"/>
                <w:highlight w:val="none"/>
              </w:rPr>
              <w:t>》（HJ610-2016）中重点防渗区防渗技术要求，满足等效黏土防渗层Mb≥6m，K≤1×10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cm/s的要求。</w:t>
            </w:r>
          </w:p>
          <w:p w14:paraId="636B3D72">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⑤沥青储罐、柴油储罐区设置非燃烧材料的防火堤围堰，罐区围堰高度0.4m，防火堤内的有效容积不小于最大贮罐的容积，切断影响途径。</w:t>
            </w:r>
          </w:p>
          <w:p w14:paraId="7D9AF329">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⑥储罐区设置消防沙堆及灭火器。</w:t>
            </w:r>
          </w:p>
          <w:p w14:paraId="72F2F1A8">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⑦提高操作管理水平，储罐区严禁明火，操作、维修人员进行培训，避免操作失误引发的事故。</w:t>
            </w:r>
          </w:p>
          <w:p w14:paraId="320E7973">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⑧配备应急设备和资源、制定项目的应急预案，加强应急预案的演练和宣传教育，加强项目风险管理。</w:t>
            </w:r>
          </w:p>
          <w:p w14:paraId="2AB72063">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⑨</w:t>
            </w:r>
            <w:r>
              <w:rPr>
                <w:rFonts w:hint="default" w:ascii="Times New Roman" w:hAnsi="Times New Roman" w:cs="Times New Roman"/>
                <w:color w:val="auto"/>
                <w:sz w:val="24"/>
                <w:highlight w:val="none"/>
                <w:lang w:val="en-US" w:eastAsia="zh-CN"/>
              </w:rPr>
              <w:t>危险废物贮存点应设置事故围堰、导流槽及事故池，危险废物贮存点围堰设计高度为0.15m，安全围堰有效容积不得小于1m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，事故池容积为1m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rPr>
              <w:t>。</w:t>
            </w:r>
          </w:p>
          <w:p w14:paraId="630BC669">
            <w:pPr>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⑩</w:t>
            </w:r>
            <w:r>
              <w:rPr>
                <w:rFonts w:hint="default" w:ascii="Times New Roman" w:hAnsi="Times New Roman" w:cs="Times New Roman"/>
                <w:color w:val="auto"/>
                <w:sz w:val="24"/>
                <w:highlight w:val="none"/>
              </w:rPr>
              <w:t>分区防渗，厂区地面进行水泥硬化。</w:t>
            </w:r>
          </w:p>
        </w:tc>
      </w:tr>
      <w:tr w14:paraId="0CDB13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41" w:type="dxa"/>
            <w:vAlign w:val="center"/>
          </w:tcPr>
          <w:p w14:paraId="60AF1E55">
            <w:pPr>
              <w:jc w:val="center"/>
              <w:rPr>
                <w:rFonts w:hint="default" w:ascii="Times New Roman" w:hAnsi="Times New Roman" w:cs="Times New Roman"/>
                <w:color w:val="auto"/>
                <w:spacing w:val="-8"/>
                <w:sz w:val="24"/>
                <w:highlight w:val="none"/>
              </w:rPr>
            </w:pPr>
            <w:r>
              <w:rPr>
                <w:rFonts w:hint="default" w:ascii="Times New Roman" w:hAnsi="Times New Roman" w:cs="Times New Roman"/>
                <w:color w:val="auto"/>
                <w:spacing w:val="-8"/>
                <w:sz w:val="24"/>
                <w:highlight w:val="none"/>
              </w:rPr>
              <w:t>其他环境管理要求</w:t>
            </w:r>
          </w:p>
        </w:tc>
        <w:tc>
          <w:tcPr>
            <w:tcW w:w="7959" w:type="dxa"/>
            <w:gridSpan w:val="4"/>
            <w:vAlign w:val="center"/>
          </w:tcPr>
          <w:p w14:paraId="69F3B72F">
            <w:pPr>
              <w:pStyle w:val="126"/>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特别是对布袋除尘器、活性炭吸附装置要做到定期检查，制定检查方案与实施计划，严防出故障，对三废处理装置要定期检修，以确保污染物达标排放。按照相关要求，对排污口进行规范化管理，在正确的排放点位设置标识，以便进行自主验收和规范化管理。</w:t>
            </w:r>
          </w:p>
        </w:tc>
      </w:tr>
    </w:tbl>
    <w:p w14:paraId="1F4F349F">
      <w:pPr>
        <w:pStyle w:val="25"/>
        <w:adjustRightInd w:val="0"/>
        <w:snapToGrid w:val="0"/>
        <w:spacing w:before="0" w:beforeAutospacing="0" w:after="0" w:afterAutospacing="0"/>
        <w:outlineLvl w:val="0"/>
        <w:rPr>
          <w:rFonts w:hint="default" w:ascii="Times New Roman" w:hAnsi="Times New Roman" w:eastAsia="仿宋" w:cs="Times New Roman"/>
          <w:snapToGrid w:val="0"/>
          <w:color w:val="auto"/>
          <w:sz w:val="30"/>
          <w:szCs w:val="30"/>
          <w:highlight w:val="none"/>
        </w:rPr>
      </w:pPr>
      <w:r>
        <w:rPr>
          <w:rFonts w:hint="default" w:ascii="Times New Roman" w:hAnsi="Times New Roman" w:eastAsia="仿宋" w:cs="Times New Roman"/>
          <w:snapToGrid w:val="0"/>
          <w:color w:val="auto"/>
          <w:highlight w:val="none"/>
        </w:rPr>
        <w:br w:type="page"/>
      </w:r>
      <w:bookmarkStart w:id="71" w:name="_Toc31450"/>
      <w:r>
        <w:rPr>
          <w:rFonts w:hint="default" w:ascii="Times New Roman" w:hAnsi="Times New Roman" w:cs="Times New Roman"/>
          <w:snapToGrid w:val="0"/>
          <w:color w:val="auto"/>
          <w:sz w:val="30"/>
          <w:szCs w:val="30"/>
          <w:highlight w:val="none"/>
        </w:rPr>
        <w:t>六、结论</w:t>
      </w:r>
      <w:bookmarkEnd w:id="71"/>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5C2CD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639" w:hRule="atLeast"/>
          <w:jc w:val="center"/>
        </w:trPr>
        <w:tc>
          <w:tcPr>
            <w:tcW w:w="8865" w:type="dxa"/>
          </w:tcPr>
          <w:p w14:paraId="048977C9">
            <w:pPr>
              <w:pStyle w:val="68"/>
              <w:spacing w:line="500" w:lineRule="exact"/>
              <w:ind w:firstLine="480"/>
              <w:rPr>
                <w:rFonts w:hint="default" w:ascii="Times New Roman" w:hAnsi="Times New Roman" w:eastAsia="仿宋" w:cs="Times New Roman"/>
                <w:color w:val="auto"/>
                <w:sz w:val="24"/>
                <w:highlight w:val="none"/>
              </w:rPr>
            </w:pPr>
            <w:r>
              <w:rPr>
                <w:rFonts w:hint="default" w:ascii="Times New Roman" w:hAnsi="Times New Roman" w:cs="Times New Roman"/>
                <w:color w:val="auto"/>
                <w:sz w:val="24"/>
                <w:highlight w:val="none"/>
              </w:rPr>
              <w:t>项目建设各个阶段在确保严格落实本报告表提出的污染物防治措施的前提下，对地表水环境、环境空气、声环境等的影响较小，可以被周围环境所接受，能够做到社会效益、经济效益和环境效益的统一。本项目的环保投资基本合理，因此，本项目的建设从环境保护的角度而言是可行的。</w:t>
            </w:r>
          </w:p>
        </w:tc>
      </w:tr>
    </w:tbl>
    <w:p w14:paraId="64F82DA8">
      <w:pPr>
        <w:ind w:firstLine="420"/>
        <w:rPr>
          <w:rFonts w:hint="default" w:ascii="Times New Roman" w:hAnsi="Times New Roman" w:eastAsia="仿宋"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8BAF25C">
      <w:pPr>
        <w:pStyle w:val="25"/>
        <w:adjustRightInd w:val="0"/>
        <w:snapToGrid w:val="0"/>
        <w:spacing w:before="0" w:beforeAutospacing="0" w:after="0" w:afterAutospacing="0"/>
        <w:outlineLvl w:val="0"/>
        <w:rPr>
          <w:rFonts w:hint="default" w:ascii="Times New Roman" w:hAnsi="Times New Roman" w:cs="Times New Roman"/>
          <w:snapToGrid w:val="0"/>
          <w:color w:val="auto"/>
          <w:sz w:val="30"/>
          <w:szCs w:val="30"/>
          <w:highlight w:val="none"/>
        </w:rPr>
      </w:pPr>
      <w:bookmarkStart w:id="72" w:name="_Toc16316"/>
      <w:r>
        <w:rPr>
          <w:rFonts w:hint="default" w:ascii="Times New Roman" w:hAnsi="Times New Roman" w:cs="Times New Roman"/>
          <w:snapToGrid w:val="0"/>
          <w:color w:val="auto"/>
          <w:sz w:val="30"/>
          <w:szCs w:val="30"/>
          <w:highlight w:val="none"/>
        </w:rPr>
        <w:t>附表</w:t>
      </w:r>
      <w:bookmarkEnd w:id="72"/>
    </w:p>
    <w:p w14:paraId="3364C32A">
      <w:pPr>
        <w:pStyle w:val="25"/>
        <w:adjustRightInd w:val="0"/>
        <w:snapToGrid w:val="0"/>
        <w:spacing w:before="0" w:beforeAutospacing="0" w:after="0" w:afterAutospacing="0"/>
        <w:jc w:val="center"/>
        <w:outlineLvl w:val="1"/>
        <w:rPr>
          <w:rFonts w:hint="default" w:ascii="Times New Roman" w:hAnsi="Times New Roman" w:cs="Times New Roman"/>
          <w:b/>
          <w:bCs/>
          <w:snapToGrid w:val="0"/>
          <w:color w:val="auto"/>
          <w:sz w:val="32"/>
          <w:szCs w:val="32"/>
          <w:highlight w:val="none"/>
        </w:rPr>
      </w:pPr>
      <w:bookmarkStart w:id="73" w:name="_Toc120729149"/>
      <w:bookmarkStart w:id="74" w:name="_Toc4596"/>
      <w:r>
        <w:rPr>
          <w:rFonts w:hint="default" w:ascii="Times New Roman" w:hAnsi="Times New Roman" w:cs="Times New Roman"/>
          <w:b/>
          <w:bCs/>
          <w:snapToGrid w:val="0"/>
          <w:color w:val="auto"/>
          <w:sz w:val="32"/>
          <w:szCs w:val="32"/>
          <w:highlight w:val="none"/>
        </w:rPr>
        <w:t>建设项目污染物排放量汇总表</w:t>
      </w:r>
      <w:bookmarkEnd w:id="73"/>
      <w:bookmarkEnd w:id="74"/>
    </w:p>
    <w:tbl>
      <w:tblPr>
        <w:tblStyle w:val="30"/>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1597"/>
        <w:gridCol w:w="1701"/>
        <w:gridCol w:w="1276"/>
        <w:gridCol w:w="1701"/>
        <w:gridCol w:w="1559"/>
        <w:gridCol w:w="1380"/>
        <w:gridCol w:w="1701"/>
        <w:gridCol w:w="1465"/>
      </w:tblGrid>
      <w:tr w14:paraId="25D447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408" w:type="dxa"/>
            <w:tcBorders>
              <w:tl2br w:val="single" w:color="auto" w:sz="4" w:space="0"/>
            </w:tcBorders>
            <w:tcMar>
              <w:left w:w="28" w:type="dxa"/>
              <w:right w:w="28" w:type="dxa"/>
            </w:tcMar>
            <w:vAlign w:val="center"/>
          </w:tcPr>
          <w:p w14:paraId="184F0CC7">
            <w:pPr>
              <w:pStyle w:val="51"/>
              <w:spacing w:beforeLines="0" w:afterLines="0" w:line="240" w:lineRule="auto"/>
              <w:jc w:val="right"/>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项目</w:t>
            </w:r>
          </w:p>
          <w:p w14:paraId="4AF677FF">
            <w:pPr>
              <w:pStyle w:val="51"/>
              <w:spacing w:beforeLines="0" w:afterLines="0" w:line="240" w:lineRule="auto"/>
              <w:jc w:val="left"/>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分类</w:t>
            </w:r>
          </w:p>
        </w:tc>
        <w:tc>
          <w:tcPr>
            <w:tcW w:w="1597" w:type="dxa"/>
            <w:tcMar>
              <w:left w:w="28" w:type="dxa"/>
              <w:right w:w="28" w:type="dxa"/>
            </w:tcMar>
            <w:vAlign w:val="center"/>
          </w:tcPr>
          <w:p w14:paraId="2D3A5B69">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污染物名称</w:t>
            </w:r>
          </w:p>
        </w:tc>
        <w:tc>
          <w:tcPr>
            <w:tcW w:w="1701" w:type="dxa"/>
            <w:tcMar>
              <w:left w:w="28" w:type="dxa"/>
              <w:right w:w="28" w:type="dxa"/>
            </w:tcMar>
            <w:vAlign w:val="center"/>
          </w:tcPr>
          <w:p w14:paraId="00321C0F">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现有工程</w:t>
            </w:r>
          </w:p>
          <w:p w14:paraId="0D107A2B">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排放量（固体废物产生量）</w:t>
            </w: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①</w:t>
            </w:r>
            <w:r>
              <w:rPr>
                <w:rFonts w:hint="default" w:ascii="Times New Roman" w:hAnsi="Times New Roman" w:eastAsia="黑体" w:cs="Times New Roman"/>
                <w:snapToGrid w:val="0"/>
                <w:color w:val="auto"/>
                <w:spacing w:val="-6"/>
                <w:kern w:val="21"/>
                <w:szCs w:val="21"/>
                <w:highlight w:val="none"/>
              </w:rPr>
              <w:fldChar w:fldCharType="end"/>
            </w:r>
          </w:p>
        </w:tc>
        <w:tc>
          <w:tcPr>
            <w:tcW w:w="1276" w:type="dxa"/>
            <w:tcMar>
              <w:left w:w="28" w:type="dxa"/>
              <w:right w:w="28" w:type="dxa"/>
            </w:tcMar>
            <w:vAlign w:val="center"/>
          </w:tcPr>
          <w:p w14:paraId="21C288A3">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现有工程</w:t>
            </w:r>
          </w:p>
          <w:p w14:paraId="6893F911">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许可排放量</w:t>
            </w:r>
          </w:p>
          <w:p w14:paraId="6F2C110C">
            <w:pPr>
              <w:pStyle w:val="51"/>
              <w:spacing w:beforeLines="0" w:afterLines="0"/>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cs="Times New Roman"/>
                <w:snapToGrid w:val="0"/>
                <w:color w:val="auto"/>
                <w:spacing w:val="-6"/>
                <w:kern w:val="21"/>
                <w:szCs w:val="21"/>
                <w:highlight w:val="none"/>
              </w:rPr>
              <w:t>②</w:t>
            </w:r>
            <w:r>
              <w:rPr>
                <w:rFonts w:hint="default" w:ascii="Times New Roman" w:hAnsi="Times New Roman" w:eastAsia="黑体" w:cs="Times New Roman"/>
                <w:snapToGrid w:val="0"/>
                <w:color w:val="auto"/>
                <w:spacing w:val="-6"/>
                <w:kern w:val="21"/>
                <w:szCs w:val="21"/>
                <w:highlight w:val="none"/>
              </w:rPr>
              <w:fldChar w:fldCharType="end"/>
            </w:r>
          </w:p>
        </w:tc>
        <w:tc>
          <w:tcPr>
            <w:tcW w:w="1701" w:type="dxa"/>
            <w:tcMar>
              <w:left w:w="28" w:type="dxa"/>
              <w:right w:w="28" w:type="dxa"/>
            </w:tcMar>
            <w:vAlign w:val="center"/>
          </w:tcPr>
          <w:p w14:paraId="0F271576">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在建工程</w:t>
            </w:r>
          </w:p>
          <w:p w14:paraId="1A0221A9">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排放量（固体废物产生量）</w:t>
            </w: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③</w:t>
            </w:r>
            <w:r>
              <w:rPr>
                <w:rFonts w:hint="default" w:ascii="Times New Roman" w:hAnsi="Times New Roman" w:eastAsia="黑体" w:cs="Times New Roman"/>
                <w:snapToGrid w:val="0"/>
                <w:color w:val="auto"/>
                <w:spacing w:val="-6"/>
                <w:kern w:val="21"/>
                <w:szCs w:val="21"/>
                <w:highlight w:val="none"/>
              </w:rPr>
              <w:fldChar w:fldCharType="end"/>
            </w:r>
          </w:p>
        </w:tc>
        <w:tc>
          <w:tcPr>
            <w:tcW w:w="1559" w:type="dxa"/>
            <w:tcMar>
              <w:left w:w="28" w:type="dxa"/>
              <w:right w:w="28" w:type="dxa"/>
            </w:tcMar>
            <w:vAlign w:val="center"/>
          </w:tcPr>
          <w:p w14:paraId="3FE659B5">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本项目</w:t>
            </w:r>
          </w:p>
          <w:p w14:paraId="6129AB6C">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排放量（固体废物产生量）</w:t>
            </w: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④</w:t>
            </w:r>
            <w:r>
              <w:rPr>
                <w:rFonts w:hint="default" w:ascii="Times New Roman" w:hAnsi="Times New Roman" w:eastAsia="黑体" w:cs="Times New Roman"/>
                <w:snapToGrid w:val="0"/>
                <w:color w:val="auto"/>
                <w:spacing w:val="-6"/>
                <w:kern w:val="21"/>
                <w:szCs w:val="21"/>
                <w:highlight w:val="none"/>
              </w:rPr>
              <w:fldChar w:fldCharType="end"/>
            </w:r>
          </w:p>
        </w:tc>
        <w:tc>
          <w:tcPr>
            <w:tcW w:w="1380" w:type="dxa"/>
            <w:tcMar>
              <w:left w:w="28" w:type="dxa"/>
              <w:right w:w="28" w:type="dxa"/>
            </w:tcMar>
            <w:vAlign w:val="center"/>
          </w:tcPr>
          <w:p w14:paraId="642D4310">
            <w:pPr>
              <w:pStyle w:val="51"/>
              <w:spacing w:beforeLines="0" w:afterLines="0" w:line="240" w:lineRule="auto"/>
              <w:rPr>
                <w:rFonts w:hint="default" w:ascii="Times New Roman" w:hAnsi="Times New Roman" w:eastAsia="黑体" w:cs="Times New Roman"/>
                <w:snapToGrid w:val="0"/>
                <w:color w:val="auto"/>
                <w:spacing w:val="-16"/>
                <w:kern w:val="21"/>
                <w:szCs w:val="21"/>
                <w:highlight w:val="none"/>
              </w:rPr>
            </w:pPr>
            <w:r>
              <w:rPr>
                <w:rFonts w:hint="default" w:ascii="Times New Roman" w:hAnsi="Times New Roman" w:eastAsia="黑体" w:cs="Times New Roman"/>
                <w:snapToGrid w:val="0"/>
                <w:color w:val="auto"/>
                <w:spacing w:val="-16"/>
                <w:kern w:val="21"/>
                <w:szCs w:val="21"/>
                <w:highlight w:val="none"/>
              </w:rPr>
              <w:t>以新带老削减量</w:t>
            </w:r>
          </w:p>
          <w:p w14:paraId="3C0226E5">
            <w:pPr>
              <w:pStyle w:val="51"/>
              <w:spacing w:beforeLines="0" w:afterLines="0" w:line="240" w:lineRule="auto"/>
              <w:rPr>
                <w:rFonts w:hint="default" w:ascii="Times New Roman" w:hAnsi="Times New Roman" w:eastAsia="黑体" w:cs="Times New Roman"/>
                <w:snapToGrid w:val="0"/>
                <w:color w:val="auto"/>
                <w:spacing w:val="-16"/>
                <w:kern w:val="21"/>
                <w:szCs w:val="21"/>
                <w:highlight w:val="none"/>
              </w:rPr>
            </w:pPr>
            <w:r>
              <w:rPr>
                <w:rFonts w:hint="default" w:ascii="Times New Roman" w:hAnsi="Times New Roman" w:eastAsia="黑体" w:cs="Times New Roman"/>
                <w:snapToGrid w:val="0"/>
                <w:color w:val="auto"/>
                <w:spacing w:val="-16"/>
                <w:kern w:val="21"/>
                <w:szCs w:val="21"/>
                <w:highlight w:val="none"/>
              </w:rPr>
              <w:t>（新建项目不填）</w:t>
            </w:r>
            <w:r>
              <w:rPr>
                <w:rFonts w:hint="default" w:ascii="Times New Roman" w:hAnsi="Times New Roman" w:eastAsia="黑体" w:cs="Times New Roman"/>
                <w:snapToGrid w:val="0"/>
                <w:color w:val="auto"/>
                <w:spacing w:val="-16"/>
                <w:kern w:val="21"/>
                <w:szCs w:val="21"/>
                <w:highlight w:val="none"/>
              </w:rPr>
              <w:fldChar w:fldCharType="begin"/>
            </w:r>
            <w:r>
              <w:rPr>
                <w:rFonts w:hint="default" w:ascii="Times New Roman" w:hAnsi="Times New Roman" w:eastAsia="黑体" w:cs="Times New Roman"/>
                <w:snapToGrid w:val="0"/>
                <w:color w:val="auto"/>
                <w:spacing w:val="-16"/>
                <w:kern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Cs w:val="21"/>
                <w:highlight w:val="none"/>
              </w:rPr>
              <w:fldChar w:fldCharType="separate"/>
            </w:r>
            <w:r>
              <w:rPr>
                <w:rFonts w:hint="default" w:ascii="Times New Roman" w:hAnsi="Times New Roman" w:cs="Times New Roman"/>
                <w:color w:val="auto"/>
                <w:kern w:val="2"/>
                <w:szCs w:val="21"/>
                <w:highlight w:val="none"/>
              </w:rPr>
              <w:t>⑤</w:t>
            </w:r>
            <w:r>
              <w:rPr>
                <w:rFonts w:hint="default" w:ascii="Times New Roman" w:hAnsi="Times New Roman" w:eastAsia="黑体" w:cs="Times New Roman"/>
                <w:snapToGrid w:val="0"/>
                <w:color w:val="auto"/>
                <w:spacing w:val="-16"/>
                <w:kern w:val="21"/>
                <w:szCs w:val="21"/>
                <w:highlight w:val="none"/>
              </w:rPr>
              <w:fldChar w:fldCharType="end"/>
            </w:r>
          </w:p>
        </w:tc>
        <w:tc>
          <w:tcPr>
            <w:tcW w:w="1701" w:type="dxa"/>
            <w:tcMar>
              <w:left w:w="28" w:type="dxa"/>
              <w:right w:w="28" w:type="dxa"/>
            </w:tcMar>
            <w:vAlign w:val="center"/>
          </w:tcPr>
          <w:p w14:paraId="077C8434">
            <w:pPr>
              <w:pStyle w:val="51"/>
              <w:spacing w:beforeLines="0" w:afterLines="0" w:line="240" w:lineRule="auto"/>
              <w:rPr>
                <w:rFonts w:hint="default" w:ascii="Times New Roman" w:hAnsi="Times New Roman" w:eastAsia="黑体" w:cs="Times New Roman"/>
                <w:snapToGrid w:val="0"/>
                <w:color w:val="auto"/>
                <w:spacing w:val="-16"/>
                <w:kern w:val="21"/>
                <w:szCs w:val="21"/>
                <w:highlight w:val="none"/>
              </w:rPr>
            </w:pPr>
            <w:r>
              <w:rPr>
                <w:rFonts w:hint="default" w:ascii="Times New Roman" w:hAnsi="Times New Roman" w:eastAsia="黑体" w:cs="Times New Roman"/>
                <w:snapToGrid w:val="0"/>
                <w:color w:val="auto"/>
                <w:spacing w:val="-16"/>
                <w:kern w:val="21"/>
                <w:szCs w:val="21"/>
                <w:highlight w:val="none"/>
              </w:rPr>
              <w:t>本项目建成后</w:t>
            </w:r>
          </w:p>
          <w:p w14:paraId="5AF708A3">
            <w:pPr>
              <w:pStyle w:val="51"/>
              <w:spacing w:beforeLines="0" w:afterLines="0" w:line="240" w:lineRule="auto"/>
              <w:rPr>
                <w:rFonts w:hint="default" w:ascii="Times New Roman" w:hAnsi="Times New Roman" w:eastAsia="黑体" w:cs="Times New Roman"/>
                <w:snapToGrid w:val="0"/>
                <w:color w:val="auto"/>
                <w:spacing w:val="-16"/>
                <w:kern w:val="21"/>
                <w:szCs w:val="21"/>
                <w:highlight w:val="none"/>
              </w:rPr>
            </w:pPr>
            <w:r>
              <w:rPr>
                <w:rFonts w:hint="default" w:ascii="Times New Roman" w:hAnsi="Times New Roman" w:eastAsia="黑体" w:cs="Times New Roman"/>
                <w:snapToGrid w:val="0"/>
                <w:color w:val="auto"/>
                <w:spacing w:val="-16"/>
                <w:kern w:val="21"/>
                <w:szCs w:val="21"/>
                <w:highlight w:val="none"/>
              </w:rPr>
              <w:t>全厂排放量（固体废物产生量）</w:t>
            </w:r>
            <w:r>
              <w:rPr>
                <w:rFonts w:hint="default" w:ascii="Times New Roman" w:hAnsi="Times New Roman" w:eastAsia="黑体" w:cs="Times New Roman"/>
                <w:snapToGrid w:val="0"/>
                <w:color w:val="auto"/>
                <w:spacing w:val="-16"/>
                <w:kern w:val="21"/>
                <w:szCs w:val="21"/>
                <w:highlight w:val="none"/>
              </w:rPr>
              <w:fldChar w:fldCharType="begin"/>
            </w:r>
            <w:r>
              <w:rPr>
                <w:rFonts w:hint="default" w:ascii="Times New Roman" w:hAnsi="Times New Roman" w:eastAsia="黑体" w:cs="Times New Roman"/>
                <w:snapToGrid w:val="0"/>
                <w:color w:val="auto"/>
                <w:spacing w:val="-16"/>
                <w:kern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Cs w:val="21"/>
                <w:highlight w:val="none"/>
              </w:rPr>
              <w:fldChar w:fldCharType="separate"/>
            </w:r>
            <w:r>
              <w:rPr>
                <w:rFonts w:hint="default" w:ascii="Times New Roman" w:hAnsi="Times New Roman" w:cs="Times New Roman"/>
                <w:color w:val="auto"/>
                <w:kern w:val="2"/>
                <w:szCs w:val="21"/>
                <w:highlight w:val="none"/>
              </w:rPr>
              <w:t>⑥</w:t>
            </w:r>
            <w:r>
              <w:rPr>
                <w:rFonts w:hint="default" w:ascii="Times New Roman" w:hAnsi="Times New Roman" w:eastAsia="黑体" w:cs="Times New Roman"/>
                <w:snapToGrid w:val="0"/>
                <w:color w:val="auto"/>
                <w:spacing w:val="-16"/>
                <w:kern w:val="21"/>
                <w:szCs w:val="21"/>
                <w:highlight w:val="none"/>
              </w:rPr>
              <w:fldChar w:fldCharType="end"/>
            </w:r>
          </w:p>
        </w:tc>
        <w:tc>
          <w:tcPr>
            <w:tcW w:w="1465" w:type="dxa"/>
            <w:tcMar>
              <w:left w:w="28" w:type="dxa"/>
              <w:right w:w="28" w:type="dxa"/>
            </w:tcMar>
            <w:vAlign w:val="center"/>
          </w:tcPr>
          <w:p w14:paraId="18665481">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变化量</w:t>
            </w:r>
          </w:p>
          <w:p w14:paraId="529765CE">
            <w:pPr>
              <w:pStyle w:val="51"/>
              <w:spacing w:beforeLines="0" w:afterLines="0" w:line="240" w:lineRule="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⑦</w:t>
            </w:r>
            <w:r>
              <w:rPr>
                <w:rFonts w:hint="default" w:ascii="Times New Roman" w:hAnsi="Times New Roman" w:eastAsia="黑体" w:cs="Times New Roman"/>
                <w:snapToGrid w:val="0"/>
                <w:color w:val="auto"/>
                <w:spacing w:val="-6"/>
                <w:kern w:val="21"/>
                <w:szCs w:val="21"/>
                <w:highlight w:val="none"/>
              </w:rPr>
              <w:fldChar w:fldCharType="end"/>
            </w:r>
          </w:p>
        </w:tc>
      </w:tr>
      <w:tr w14:paraId="73E53B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restart"/>
            <w:vAlign w:val="center"/>
          </w:tcPr>
          <w:p w14:paraId="621BC79E">
            <w:pPr>
              <w:pStyle w:val="12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废气</w:t>
            </w:r>
          </w:p>
        </w:tc>
        <w:tc>
          <w:tcPr>
            <w:tcW w:w="1597" w:type="dxa"/>
            <w:vAlign w:val="center"/>
          </w:tcPr>
          <w:p w14:paraId="492BE7E9">
            <w:pPr>
              <w:pStyle w:val="12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kern w:val="21"/>
                <w:szCs w:val="21"/>
                <w:highlight w:val="none"/>
              </w:rPr>
              <w:t>工业粉尘</w:t>
            </w:r>
          </w:p>
        </w:tc>
        <w:tc>
          <w:tcPr>
            <w:tcW w:w="1701" w:type="dxa"/>
            <w:vAlign w:val="center"/>
          </w:tcPr>
          <w:p w14:paraId="11752D20">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vAlign w:val="center"/>
          </w:tcPr>
          <w:p w14:paraId="2F2B8642">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52D5EDD0">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center"/>
          </w:tcPr>
          <w:p w14:paraId="20A573AD">
            <w:pPr>
              <w:pStyle w:val="126"/>
              <w:rPr>
                <w:rFonts w:hint="default" w:ascii="Times New Roman" w:hAnsi="Times New Roman" w:cs="Times New Roman"/>
                <w:color w:val="auto"/>
                <w:szCs w:val="21"/>
                <w:highlight w:val="none"/>
              </w:rPr>
            </w:pPr>
            <w:r>
              <w:rPr>
                <w:rFonts w:hint="default" w:ascii="Times New Roman" w:hAnsi="Times New Roman" w:cs="Times New Roman"/>
                <w:color w:val="auto"/>
                <w:kern w:val="0"/>
                <w:sz w:val="21"/>
                <w:szCs w:val="21"/>
                <w:highlight w:val="none"/>
                <w:lang w:val="en-US" w:eastAsia="zh-CN" w:bidi="ar-SA"/>
              </w:rPr>
              <w:t>0.1016</w:t>
            </w:r>
            <w:r>
              <w:rPr>
                <w:rFonts w:hint="default" w:ascii="Times New Roman" w:hAnsi="Times New Roman" w:cs="Times New Roman"/>
                <w:color w:val="auto"/>
                <w:szCs w:val="21"/>
                <w:highlight w:val="none"/>
              </w:rPr>
              <w:t>t/a</w:t>
            </w:r>
          </w:p>
        </w:tc>
        <w:tc>
          <w:tcPr>
            <w:tcW w:w="1380" w:type="dxa"/>
            <w:vAlign w:val="center"/>
          </w:tcPr>
          <w:p w14:paraId="72D2BD26">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5AA5D3F6">
            <w:pPr>
              <w:pStyle w:val="126"/>
              <w:rPr>
                <w:rFonts w:hint="default" w:ascii="Times New Roman" w:hAnsi="Times New Roman" w:cs="Times New Roman"/>
                <w:color w:val="auto"/>
                <w:szCs w:val="21"/>
                <w:highlight w:val="none"/>
              </w:rPr>
            </w:pPr>
            <w:r>
              <w:rPr>
                <w:rFonts w:hint="default" w:ascii="Times New Roman" w:hAnsi="Times New Roman" w:cs="Times New Roman"/>
                <w:color w:val="auto"/>
                <w:kern w:val="0"/>
                <w:sz w:val="21"/>
                <w:szCs w:val="21"/>
                <w:highlight w:val="none"/>
                <w:lang w:val="en-US" w:eastAsia="zh-CN" w:bidi="ar-SA"/>
              </w:rPr>
              <w:t>0.1016</w:t>
            </w:r>
            <w:r>
              <w:rPr>
                <w:rFonts w:hint="default" w:ascii="Times New Roman" w:hAnsi="Times New Roman" w:cs="Times New Roman"/>
                <w:color w:val="auto"/>
                <w:szCs w:val="21"/>
                <w:highlight w:val="none"/>
              </w:rPr>
              <w:t>t/a</w:t>
            </w:r>
          </w:p>
        </w:tc>
        <w:tc>
          <w:tcPr>
            <w:tcW w:w="1465" w:type="dxa"/>
            <w:vAlign w:val="center"/>
          </w:tcPr>
          <w:p w14:paraId="1D8BC052">
            <w:pPr>
              <w:pStyle w:val="126"/>
              <w:rPr>
                <w:rFonts w:hint="default" w:ascii="Times New Roman" w:hAnsi="Times New Roman" w:cs="Times New Roman"/>
                <w:color w:val="auto"/>
                <w:szCs w:val="21"/>
                <w:highlight w:val="none"/>
              </w:rPr>
            </w:pPr>
            <w:r>
              <w:rPr>
                <w:rFonts w:hint="default" w:ascii="Times New Roman" w:hAnsi="Times New Roman" w:cs="Times New Roman"/>
                <w:color w:val="auto"/>
                <w:kern w:val="0"/>
                <w:sz w:val="21"/>
                <w:szCs w:val="21"/>
                <w:highlight w:val="none"/>
                <w:lang w:val="en-US" w:eastAsia="zh-CN" w:bidi="ar-SA"/>
              </w:rPr>
              <w:t>0.1016</w:t>
            </w:r>
            <w:r>
              <w:rPr>
                <w:rFonts w:hint="default" w:ascii="Times New Roman" w:hAnsi="Times New Roman" w:cs="Times New Roman"/>
                <w:color w:val="auto"/>
                <w:szCs w:val="21"/>
                <w:highlight w:val="none"/>
              </w:rPr>
              <w:t>t/a</w:t>
            </w:r>
          </w:p>
        </w:tc>
      </w:tr>
      <w:tr w14:paraId="49A204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5C3B7040">
            <w:pPr>
              <w:pStyle w:val="126"/>
              <w:rPr>
                <w:rFonts w:hint="default" w:ascii="Times New Roman" w:hAnsi="Times New Roman" w:cs="Times New Roman"/>
                <w:snapToGrid w:val="0"/>
                <w:color w:val="auto"/>
                <w:highlight w:val="none"/>
              </w:rPr>
            </w:pPr>
          </w:p>
        </w:tc>
        <w:tc>
          <w:tcPr>
            <w:tcW w:w="1597" w:type="dxa"/>
            <w:vAlign w:val="center"/>
          </w:tcPr>
          <w:p w14:paraId="71747F12">
            <w:pPr>
              <w:pStyle w:val="12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颗粒物</w:t>
            </w:r>
          </w:p>
        </w:tc>
        <w:tc>
          <w:tcPr>
            <w:tcW w:w="1701" w:type="dxa"/>
            <w:vAlign w:val="center"/>
          </w:tcPr>
          <w:p w14:paraId="51085007">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vAlign w:val="center"/>
          </w:tcPr>
          <w:p w14:paraId="1E33BC8C">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5BEE2156">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center"/>
          </w:tcPr>
          <w:p w14:paraId="548EF21A">
            <w:pPr>
              <w:keepNext w:val="0"/>
              <w:keepLines w:val="0"/>
              <w:widowControl/>
              <w:suppressLineNumbers w:val="0"/>
              <w:jc w:val="center"/>
              <w:textAlignment w:val="center"/>
              <w:rPr>
                <w:rFonts w:hint="default" w:ascii="Times New Roman" w:hAnsi="Times New Roman" w:cs="Times New Roman"/>
                <w:snapToGrid w:val="0"/>
                <w:color w:val="auto"/>
                <w:highlight w:val="none"/>
              </w:rPr>
            </w:pPr>
            <w:r>
              <w:rPr>
                <w:rFonts w:hint="default" w:ascii="Times New Roman" w:hAnsi="Times New Roman" w:eastAsia="宋体" w:cs="Times New Roman"/>
                <w:color w:val="auto"/>
                <w:kern w:val="0"/>
                <w:sz w:val="21"/>
                <w:szCs w:val="21"/>
                <w:highlight w:val="none"/>
                <w:lang w:val="en-US" w:eastAsia="zh-CN" w:bidi="ar-SA"/>
              </w:rPr>
              <w:t>0.1</w:t>
            </w:r>
            <w:r>
              <w:rPr>
                <w:rFonts w:hint="default" w:ascii="Times New Roman" w:hAnsi="Times New Roman" w:cs="Times New Roman"/>
                <w:color w:val="auto"/>
                <w:kern w:val="0"/>
                <w:sz w:val="21"/>
                <w:szCs w:val="21"/>
                <w:highlight w:val="none"/>
                <w:lang w:val="en-US" w:eastAsia="zh-CN" w:bidi="ar-SA"/>
              </w:rPr>
              <w:t>56</w:t>
            </w:r>
            <w:r>
              <w:rPr>
                <w:rFonts w:hint="default" w:ascii="Times New Roman" w:hAnsi="Times New Roman" w:cs="Times New Roman"/>
                <w:color w:val="auto"/>
                <w:szCs w:val="21"/>
                <w:highlight w:val="none"/>
              </w:rPr>
              <w:t>t/a</w:t>
            </w:r>
          </w:p>
        </w:tc>
        <w:tc>
          <w:tcPr>
            <w:tcW w:w="1380" w:type="dxa"/>
            <w:vAlign w:val="center"/>
          </w:tcPr>
          <w:p w14:paraId="6F533D5A">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2B8E59D6">
            <w:pPr>
              <w:keepNext w:val="0"/>
              <w:keepLines w:val="0"/>
              <w:widowControl/>
              <w:suppressLineNumbers w:val="0"/>
              <w:jc w:val="center"/>
              <w:textAlignment w:val="center"/>
              <w:rPr>
                <w:rFonts w:hint="default" w:ascii="Times New Roman" w:hAnsi="Times New Roman" w:cs="Times New Roman"/>
                <w:snapToGrid w:val="0"/>
                <w:color w:val="auto"/>
                <w:highlight w:val="none"/>
              </w:rPr>
            </w:pPr>
            <w:r>
              <w:rPr>
                <w:rFonts w:hint="default" w:ascii="Times New Roman" w:hAnsi="Times New Roman" w:eastAsia="宋体" w:cs="Times New Roman"/>
                <w:color w:val="auto"/>
                <w:kern w:val="0"/>
                <w:sz w:val="21"/>
                <w:szCs w:val="21"/>
                <w:highlight w:val="none"/>
                <w:lang w:val="en-US" w:eastAsia="zh-CN" w:bidi="ar-SA"/>
              </w:rPr>
              <w:t>0.1</w:t>
            </w:r>
            <w:r>
              <w:rPr>
                <w:rFonts w:hint="default" w:ascii="Times New Roman" w:hAnsi="Times New Roman" w:cs="Times New Roman"/>
                <w:color w:val="auto"/>
                <w:kern w:val="0"/>
                <w:sz w:val="21"/>
                <w:szCs w:val="21"/>
                <w:highlight w:val="none"/>
                <w:lang w:val="en-US" w:eastAsia="zh-CN" w:bidi="ar-SA"/>
              </w:rPr>
              <w:t>56</w:t>
            </w:r>
            <w:r>
              <w:rPr>
                <w:rFonts w:hint="default" w:ascii="Times New Roman" w:hAnsi="Times New Roman" w:cs="Times New Roman"/>
                <w:color w:val="auto"/>
                <w:szCs w:val="21"/>
                <w:highlight w:val="none"/>
              </w:rPr>
              <w:t>t/a</w:t>
            </w:r>
          </w:p>
        </w:tc>
        <w:tc>
          <w:tcPr>
            <w:tcW w:w="1465" w:type="dxa"/>
            <w:vAlign w:val="center"/>
          </w:tcPr>
          <w:p w14:paraId="2E358FC6">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color w:val="auto"/>
                <w:kern w:val="0"/>
                <w:sz w:val="21"/>
                <w:szCs w:val="21"/>
                <w:highlight w:val="none"/>
                <w:lang w:val="en-US" w:eastAsia="zh-CN" w:bidi="ar-SA"/>
              </w:rPr>
              <w:t>0.1</w:t>
            </w:r>
            <w:r>
              <w:rPr>
                <w:rFonts w:hint="default" w:ascii="Times New Roman" w:hAnsi="Times New Roman" w:cs="Times New Roman"/>
                <w:color w:val="auto"/>
                <w:kern w:val="0"/>
                <w:sz w:val="21"/>
                <w:szCs w:val="21"/>
                <w:highlight w:val="none"/>
                <w:lang w:val="en-US" w:eastAsia="zh-CN" w:bidi="ar-SA"/>
              </w:rPr>
              <w:t>56</w:t>
            </w:r>
            <w:r>
              <w:rPr>
                <w:rFonts w:hint="default" w:ascii="Times New Roman" w:hAnsi="Times New Roman" w:cs="Times New Roman"/>
                <w:color w:val="auto"/>
                <w:szCs w:val="21"/>
                <w:highlight w:val="none"/>
              </w:rPr>
              <w:t>t/a</w:t>
            </w:r>
          </w:p>
        </w:tc>
      </w:tr>
      <w:tr w14:paraId="6BE3CA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44CF92A6">
            <w:pPr>
              <w:pStyle w:val="126"/>
              <w:rPr>
                <w:rFonts w:hint="default" w:ascii="Times New Roman" w:hAnsi="Times New Roman" w:cs="Times New Roman"/>
                <w:snapToGrid w:val="0"/>
                <w:color w:val="auto"/>
                <w:highlight w:val="none"/>
              </w:rPr>
            </w:pPr>
          </w:p>
        </w:tc>
        <w:tc>
          <w:tcPr>
            <w:tcW w:w="1597" w:type="dxa"/>
            <w:vAlign w:val="center"/>
          </w:tcPr>
          <w:p w14:paraId="0A703D77">
            <w:pPr>
              <w:pStyle w:val="12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SO</w:t>
            </w:r>
            <w:r>
              <w:rPr>
                <w:rFonts w:hint="default" w:ascii="Times New Roman" w:hAnsi="Times New Roman" w:cs="Times New Roman"/>
                <w:snapToGrid w:val="0"/>
                <w:color w:val="auto"/>
                <w:highlight w:val="none"/>
                <w:vertAlign w:val="subscript"/>
              </w:rPr>
              <w:t>2</w:t>
            </w:r>
          </w:p>
        </w:tc>
        <w:tc>
          <w:tcPr>
            <w:tcW w:w="1701" w:type="dxa"/>
            <w:vAlign w:val="center"/>
          </w:tcPr>
          <w:p w14:paraId="7A8EF2B0">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vAlign w:val="center"/>
          </w:tcPr>
          <w:p w14:paraId="22B0A9BD">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4AD85A75">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center"/>
          </w:tcPr>
          <w:p w14:paraId="7D39DF9E">
            <w:pPr>
              <w:keepNext w:val="0"/>
              <w:keepLines w:val="0"/>
              <w:widowControl/>
              <w:suppressLineNumbers w:val="0"/>
              <w:jc w:val="center"/>
              <w:textAlignment w:val="center"/>
              <w:rPr>
                <w:rFonts w:hint="default" w:ascii="Times New Roman" w:hAnsi="Times New Roman" w:cs="Times New Roman"/>
                <w:snapToGrid w:val="0"/>
                <w:color w:val="auto"/>
                <w:highlight w:val="none"/>
              </w:rPr>
            </w:pPr>
            <w:r>
              <w:rPr>
                <w:rFonts w:hint="default" w:ascii="Times New Roman" w:hAnsi="Times New Roman" w:cs="Times New Roman"/>
                <w:color w:val="auto"/>
                <w:kern w:val="0"/>
                <w:sz w:val="21"/>
                <w:szCs w:val="21"/>
                <w:highlight w:val="none"/>
                <w:lang w:val="en-US" w:eastAsia="zh-CN" w:bidi="ar-SA"/>
              </w:rPr>
              <w:t>0.007</w:t>
            </w:r>
            <w:r>
              <w:rPr>
                <w:rFonts w:hint="default" w:ascii="Times New Roman" w:hAnsi="Times New Roman" w:cs="Times New Roman"/>
                <w:color w:val="auto"/>
                <w:szCs w:val="21"/>
                <w:highlight w:val="none"/>
              </w:rPr>
              <w:t>t/a</w:t>
            </w:r>
          </w:p>
        </w:tc>
        <w:tc>
          <w:tcPr>
            <w:tcW w:w="1380" w:type="dxa"/>
            <w:vAlign w:val="center"/>
          </w:tcPr>
          <w:p w14:paraId="42DF3337">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31D129F3">
            <w:pPr>
              <w:keepNext w:val="0"/>
              <w:keepLines w:val="0"/>
              <w:widowControl/>
              <w:suppressLineNumbers w:val="0"/>
              <w:jc w:val="center"/>
              <w:textAlignment w:val="center"/>
              <w:rPr>
                <w:rFonts w:hint="default" w:ascii="Times New Roman" w:hAnsi="Times New Roman" w:cs="Times New Roman"/>
                <w:snapToGrid w:val="0"/>
                <w:color w:val="auto"/>
                <w:highlight w:val="none"/>
              </w:rPr>
            </w:pPr>
            <w:r>
              <w:rPr>
                <w:rFonts w:hint="default" w:ascii="Times New Roman" w:hAnsi="Times New Roman" w:cs="Times New Roman"/>
                <w:color w:val="auto"/>
                <w:kern w:val="0"/>
                <w:sz w:val="21"/>
                <w:szCs w:val="21"/>
                <w:highlight w:val="none"/>
                <w:lang w:val="en-US" w:eastAsia="zh-CN" w:bidi="ar-SA"/>
              </w:rPr>
              <w:t>0.007</w:t>
            </w:r>
            <w:r>
              <w:rPr>
                <w:rFonts w:hint="default" w:ascii="Times New Roman" w:hAnsi="Times New Roman" w:cs="Times New Roman"/>
                <w:color w:val="auto"/>
                <w:szCs w:val="21"/>
                <w:highlight w:val="none"/>
              </w:rPr>
              <w:t>t/a</w:t>
            </w:r>
          </w:p>
        </w:tc>
        <w:tc>
          <w:tcPr>
            <w:tcW w:w="1465" w:type="dxa"/>
            <w:vAlign w:val="center"/>
          </w:tcPr>
          <w:p w14:paraId="14020EC3">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kern w:val="0"/>
                <w:sz w:val="21"/>
                <w:szCs w:val="21"/>
                <w:highlight w:val="none"/>
                <w:lang w:val="en-US" w:eastAsia="zh-CN" w:bidi="ar-SA"/>
              </w:rPr>
              <w:t>0.007</w:t>
            </w:r>
            <w:r>
              <w:rPr>
                <w:rFonts w:hint="default" w:ascii="Times New Roman" w:hAnsi="Times New Roman" w:cs="Times New Roman"/>
                <w:color w:val="auto"/>
                <w:szCs w:val="21"/>
                <w:highlight w:val="none"/>
              </w:rPr>
              <w:t>t/a</w:t>
            </w:r>
          </w:p>
        </w:tc>
      </w:tr>
      <w:tr w14:paraId="7D36D0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4879930E">
            <w:pPr>
              <w:pStyle w:val="126"/>
              <w:rPr>
                <w:rFonts w:hint="default" w:ascii="Times New Roman" w:hAnsi="Times New Roman" w:cs="Times New Roman"/>
                <w:snapToGrid w:val="0"/>
                <w:color w:val="auto"/>
                <w:highlight w:val="none"/>
              </w:rPr>
            </w:pPr>
          </w:p>
        </w:tc>
        <w:tc>
          <w:tcPr>
            <w:tcW w:w="1597" w:type="dxa"/>
            <w:vAlign w:val="center"/>
          </w:tcPr>
          <w:p w14:paraId="4EA30D7A">
            <w:pPr>
              <w:pStyle w:val="12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kern w:val="21"/>
                <w:szCs w:val="21"/>
                <w:highlight w:val="none"/>
              </w:rPr>
              <w:t>NOx</w:t>
            </w:r>
          </w:p>
        </w:tc>
        <w:tc>
          <w:tcPr>
            <w:tcW w:w="1701" w:type="dxa"/>
            <w:vAlign w:val="center"/>
          </w:tcPr>
          <w:p w14:paraId="40E413FA">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vAlign w:val="center"/>
          </w:tcPr>
          <w:p w14:paraId="63E796B7">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0C943E51">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center"/>
          </w:tcPr>
          <w:p w14:paraId="3DB2EA97">
            <w:pPr>
              <w:keepNext w:val="0"/>
              <w:keepLines w:val="0"/>
              <w:widowControl/>
              <w:suppressLineNumbers w:val="0"/>
              <w:jc w:val="center"/>
              <w:textAlignment w:val="center"/>
              <w:rPr>
                <w:rFonts w:hint="default" w:ascii="Times New Roman" w:hAnsi="Times New Roman" w:cs="Times New Roman"/>
                <w:snapToGrid w:val="0"/>
                <w:color w:val="auto"/>
                <w:highlight w:val="none"/>
              </w:rPr>
            </w:pPr>
            <w:r>
              <w:rPr>
                <w:rFonts w:hint="default" w:ascii="Times New Roman" w:hAnsi="Times New Roman" w:cs="Times New Roman"/>
                <w:color w:val="auto"/>
                <w:kern w:val="0"/>
                <w:sz w:val="21"/>
                <w:szCs w:val="21"/>
                <w:highlight w:val="none"/>
                <w:lang w:val="en-US" w:eastAsia="zh-CN" w:bidi="ar-SA"/>
              </w:rPr>
              <w:t>0.787</w:t>
            </w:r>
            <w:r>
              <w:rPr>
                <w:rFonts w:hint="default" w:ascii="Times New Roman" w:hAnsi="Times New Roman" w:cs="Times New Roman"/>
                <w:color w:val="auto"/>
                <w:szCs w:val="21"/>
                <w:highlight w:val="none"/>
              </w:rPr>
              <w:t>t/a</w:t>
            </w:r>
          </w:p>
        </w:tc>
        <w:tc>
          <w:tcPr>
            <w:tcW w:w="1380" w:type="dxa"/>
            <w:vAlign w:val="center"/>
          </w:tcPr>
          <w:p w14:paraId="15E70BF9">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2CE17A75">
            <w:pPr>
              <w:keepNext w:val="0"/>
              <w:keepLines w:val="0"/>
              <w:widowControl/>
              <w:suppressLineNumbers w:val="0"/>
              <w:jc w:val="center"/>
              <w:textAlignment w:val="center"/>
              <w:rPr>
                <w:rFonts w:hint="default" w:ascii="Times New Roman" w:hAnsi="Times New Roman" w:cs="Times New Roman"/>
                <w:snapToGrid w:val="0"/>
                <w:color w:val="auto"/>
                <w:highlight w:val="none"/>
              </w:rPr>
            </w:pPr>
            <w:r>
              <w:rPr>
                <w:rFonts w:hint="default" w:ascii="Times New Roman" w:hAnsi="Times New Roman" w:cs="Times New Roman"/>
                <w:color w:val="auto"/>
                <w:kern w:val="0"/>
                <w:sz w:val="21"/>
                <w:szCs w:val="21"/>
                <w:highlight w:val="none"/>
                <w:lang w:val="en-US" w:eastAsia="zh-CN" w:bidi="ar-SA"/>
              </w:rPr>
              <w:t>0.787</w:t>
            </w:r>
            <w:r>
              <w:rPr>
                <w:rFonts w:hint="default" w:ascii="Times New Roman" w:hAnsi="Times New Roman" w:cs="Times New Roman"/>
                <w:color w:val="auto"/>
                <w:szCs w:val="21"/>
                <w:highlight w:val="none"/>
              </w:rPr>
              <w:t>t/a</w:t>
            </w:r>
          </w:p>
        </w:tc>
        <w:tc>
          <w:tcPr>
            <w:tcW w:w="1465" w:type="dxa"/>
            <w:vAlign w:val="center"/>
          </w:tcPr>
          <w:p w14:paraId="571C62C0">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kern w:val="0"/>
                <w:sz w:val="21"/>
                <w:szCs w:val="21"/>
                <w:highlight w:val="none"/>
                <w:lang w:val="en-US" w:eastAsia="zh-CN" w:bidi="ar-SA"/>
              </w:rPr>
              <w:t>0.787</w:t>
            </w:r>
            <w:r>
              <w:rPr>
                <w:rFonts w:hint="default" w:ascii="Times New Roman" w:hAnsi="Times New Roman" w:cs="Times New Roman"/>
                <w:color w:val="auto"/>
                <w:szCs w:val="21"/>
                <w:highlight w:val="none"/>
              </w:rPr>
              <w:t>t/a</w:t>
            </w:r>
          </w:p>
        </w:tc>
      </w:tr>
      <w:tr w14:paraId="187838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66AA47D9">
            <w:pPr>
              <w:pStyle w:val="126"/>
              <w:rPr>
                <w:rFonts w:hint="default" w:ascii="Times New Roman" w:hAnsi="Times New Roman" w:cs="Times New Roman"/>
                <w:snapToGrid w:val="0"/>
                <w:color w:val="auto"/>
                <w:highlight w:val="none"/>
              </w:rPr>
            </w:pPr>
          </w:p>
        </w:tc>
        <w:tc>
          <w:tcPr>
            <w:tcW w:w="1597" w:type="dxa"/>
            <w:vAlign w:val="center"/>
          </w:tcPr>
          <w:p w14:paraId="4971F42B">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szCs w:val="18"/>
                <w:highlight w:val="none"/>
              </w:rPr>
              <w:t>沥青烟</w:t>
            </w:r>
          </w:p>
        </w:tc>
        <w:tc>
          <w:tcPr>
            <w:tcW w:w="1701" w:type="dxa"/>
            <w:vAlign w:val="center"/>
          </w:tcPr>
          <w:p w14:paraId="7133771F">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vAlign w:val="center"/>
          </w:tcPr>
          <w:p w14:paraId="5D508AA7">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4401669D">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center"/>
          </w:tcPr>
          <w:p w14:paraId="19EB0726">
            <w:pPr>
              <w:keepNext w:val="0"/>
              <w:keepLines w:val="0"/>
              <w:widowControl/>
              <w:suppressLineNumbers w:val="0"/>
              <w:jc w:val="center"/>
              <w:textAlignment w:val="center"/>
              <w:rPr>
                <w:rFonts w:hint="default" w:ascii="Times New Roman" w:hAnsi="Times New Roman" w:cs="Times New Roman"/>
                <w:snapToGrid w:val="0"/>
                <w:color w:val="auto"/>
                <w:highlight w:val="none"/>
              </w:rPr>
            </w:pPr>
            <w:r>
              <w:rPr>
                <w:rFonts w:hint="default" w:ascii="Times New Roman" w:hAnsi="Times New Roman" w:eastAsia="宋体" w:cs="Times New Roman"/>
                <w:color w:val="auto"/>
                <w:kern w:val="0"/>
                <w:sz w:val="21"/>
                <w:szCs w:val="21"/>
                <w:highlight w:val="none"/>
                <w:lang w:val="en-US" w:eastAsia="zh-CN" w:bidi="ar-SA"/>
              </w:rPr>
              <w:t>0.1191</w:t>
            </w:r>
            <w:r>
              <w:rPr>
                <w:rFonts w:hint="default" w:ascii="Times New Roman" w:hAnsi="Times New Roman" w:cs="Times New Roman"/>
                <w:color w:val="auto"/>
                <w:szCs w:val="21"/>
                <w:highlight w:val="none"/>
              </w:rPr>
              <w:t>t/a</w:t>
            </w:r>
          </w:p>
        </w:tc>
        <w:tc>
          <w:tcPr>
            <w:tcW w:w="1380" w:type="dxa"/>
            <w:vAlign w:val="center"/>
          </w:tcPr>
          <w:p w14:paraId="33B277DF">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24C4D33A">
            <w:pPr>
              <w:keepNext w:val="0"/>
              <w:keepLines w:val="0"/>
              <w:widowControl/>
              <w:suppressLineNumbers w:val="0"/>
              <w:jc w:val="center"/>
              <w:textAlignment w:val="center"/>
              <w:rPr>
                <w:rFonts w:hint="default" w:ascii="Times New Roman" w:hAnsi="Times New Roman" w:cs="Times New Roman"/>
                <w:snapToGrid w:val="0"/>
                <w:color w:val="auto"/>
                <w:highlight w:val="none"/>
              </w:rPr>
            </w:pPr>
            <w:r>
              <w:rPr>
                <w:rFonts w:hint="default" w:ascii="Times New Roman" w:hAnsi="Times New Roman" w:eastAsia="宋体" w:cs="Times New Roman"/>
                <w:color w:val="auto"/>
                <w:kern w:val="0"/>
                <w:sz w:val="21"/>
                <w:szCs w:val="21"/>
                <w:highlight w:val="none"/>
                <w:lang w:val="en-US" w:eastAsia="zh-CN" w:bidi="ar-SA"/>
              </w:rPr>
              <w:t>0.1191</w:t>
            </w:r>
            <w:r>
              <w:rPr>
                <w:rFonts w:hint="default" w:ascii="Times New Roman" w:hAnsi="Times New Roman" w:cs="Times New Roman"/>
                <w:color w:val="auto"/>
                <w:szCs w:val="21"/>
                <w:highlight w:val="none"/>
              </w:rPr>
              <w:t>t/a</w:t>
            </w:r>
          </w:p>
        </w:tc>
        <w:tc>
          <w:tcPr>
            <w:tcW w:w="1465" w:type="dxa"/>
            <w:vAlign w:val="center"/>
          </w:tcPr>
          <w:p w14:paraId="16F9120F">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color w:val="auto"/>
                <w:kern w:val="0"/>
                <w:sz w:val="21"/>
                <w:szCs w:val="21"/>
                <w:highlight w:val="none"/>
                <w:lang w:val="en-US" w:eastAsia="zh-CN" w:bidi="ar-SA"/>
              </w:rPr>
              <w:t>0.1191</w:t>
            </w:r>
            <w:r>
              <w:rPr>
                <w:rFonts w:hint="default" w:ascii="Times New Roman" w:hAnsi="Times New Roman" w:cs="Times New Roman"/>
                <w:color w:val="auto"/>
                <w:szCs w:val="21"/>
                <w:highlight w:val="none"/>
              </w:rPr>
              <w:t>t/a</w:t>
            </w:r>
          </w:p>
        </w:tc>
      </w:tr>
      <w:tr w14:paraId="41F8A6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64B3BBE0">
            <w:pPr>
              <w:pStyle w:val="126"/>
              <w:rPr>
                <w:rFonts w:hint="default" w:ascii="Times New Roman" w:hAnsi="Times New Roman" w:cs="Times New Roman"/>
                <w:snapToGrid w:val="0"/>
                <w:color w:val="auto"/>
                <w:highlight w:val="none"/>
              </w:rPr>
            </w:pPr>
          </w:p>
        </w:tc>
        <w:tc>
          <w:tcPr>
            <w:tcW w:w="1597" w:type="dxa"/>
            <w:vAlign w:val="center"/>
          </w:tcPr>
          <w:p w14:paraId="0F0514CB">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szCs w:val="18"/>
                <w:highlight w:val="none"/>
              </w:rPr>
              <w:t>苯并[a]芘</w:t>
            </w:r>
          </w:p>
        </w:tc>
        <w:tc>
          <w:tcPr>
            <w:tcW w:w="1701" w:type="dxa"/>
            <w:vAlign w:val="center"/>
          </w:tcPr>
          <w:p w14:paraId="193D8100">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vAlign w:val="center"/>
          </w:tcPr>
          <w:p w14:paraId="452B9041">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35C4D9D7">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center"/>
          </w:tcPr>
          <w:p w14:paraId="73D2268A">
            <w:pPr>
              <w:pStyle w:val="20"/>
              <w:tabs>
                <w:tab w:val="right" w:leader="dot" w:pos="8720"/>
              </w:tabs>
              <w:jc w:val="center"/>
              <w:rPr>
                <w:rFonts w:hint="default" w:ascii="Times New Roman" w:hAnsi="Times New Roman" w:cs="Times New Roman"/>
                <w:snapToGrid w:val="0"/>
                <w:color w:val="auto"/>
                <w:highlight w:val="none"/>
              </w:rPr>
            </w:pPr>
            <w:r>
              <w:rPr>
                <w:rFonts w:hint="default" w:ascii="Times New Roman" w:hAnsi="Times New Roman" w:cs="Times New Roman"/>
                <w:color w:val="auto"/>
                <w:szCs w:val="21"/>
                <w:highlight w:val="none"/>
                <w:lang w:val="en-US" w:eastAsia="zh-CN"/>
              </w:rPr>
              <w:t>2.402</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w:t>
            </w:r>
            <w:r>
              <w:rPr>
                <w:rFonts w:hint="default" w:ascii="Times New Roman" w:hAnsi="Times New Roman" w:cs="Times New Roman"/>
                <w:color w:val="auto"/>
                <w:szCs w:val="21"/>
                <w:highlight w:val="none"/>
                <w:vertAlign w:val="superscript"/>
                <w:lang w:val="en-US" w:eastAsia="zh-CN"/>
              </w:rPr>
              <w:t>6</w:t>
            </w:r>
            <w:r>
              <w:rPr>
                <w:rFonts w:hint="default" w:ascii="Times New Roman" w:hAnsi="Times New Roman" w:cs="Times New Roman"/>
                <w:color w:val="auto"/>
                <w:szCs w:val="21"/>
                <w:highlight w:val="none"/>
              </w:rPr>
              <w:t>t/a</w:t>
            </w:r>
          </w:p>
        </w:tc>
        <w:tc>
          <w:tcPr>
            <w:tcW w:w="1380" w:type="dxa"/>
            <w:vAlign w:val="center"/>
          </w:tcPr>
          <w:p w14:paraId="6EE3C2DB">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1FC2D8EF">
            <w:pPr>
              <w:pStyle w:val="20"/>
              <w:tabs>
                <w:tab w:val="right" w:leader="dot" w:pos="8720"/>
              </w:tabs>
              <w:jc w:val="center"/>
              <w:rPr>
                <w:rFonts w:hint="default" w:ascii="Times New Roman" w:hAnsi="Times New Roman" w:cs="Times New Roman"/>
                <w:snapToGrid w:val="0"/>
                <w:color w:val="auto"/>
                <w:highlight w:val="none"/>
              </w:rPr>
            </w:pPr>
            <w:r>
              <w:rPr>
                <w:rFonts w:hint="default" w:ascii="Times New Roman" w:hAnsi="Times New Roman" w:cs="Times New Roman"/>
                <w:color w:val="auto"/>
                <w:szCs w:val="21"/>
                <w:highlight w:val="none"/>
                <w:lang w:val="en-US" w:eastAsia="zh-CN"/>
              </w:rPr>
              <w:t>2.402</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w:t>
            </w:r>
            <w:r>
              <w:rPr>
                <w:rFonts w:hint="default" w:ascii="Times New Roman" w:hAnsi="Times New Roman" w:cs="Times New Roman"/>
                <w:color w:val="auto"/>
                <w:szCs w:val="21"/>
                <w:highlight w:val="none"/>
                <w:vertAlign w:val="superscript"/>
                <w:lang w:val="en-US" w:eastAsia="zh-CN"/>
              </w:rPr>
              <w:t>6</w:t>
            </w:r>
            <w:r>
              <w:rPr>
                <w:rFonts w:hint="default" w:ascii="Times New Roman" w:hAnsi="Times New Roman" w:cs="Times New Roman"/>
                <w:color w:val="auto"/>
                <w:szCs w:val="21"/>
                <w:highlight w:val="none"/>
              </w:rPr>
              <w:t>t/a</w:t>
            </w:r>
          </w:p>
        </w:tc>
        <w:tc>
          <w:tcPr>
            <w:tcW w:w="1465" w:type="dxa"/>
            <w:vAlign w:val="center"/>
          </w:tcPr>
          <w:p w14:paraId="69C0A055">
            <w:pPr>
              <w:pStyle w:val="20"/>
              <w:tabs>
                <w:tab w:val="right" w:leader="dot" w:pos="8720"/>
              </w:tabs>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szCs w:val="21"/>
                <w:highlight w:val="none"/>
                <w:lang w:val="en-US" w:eastAsia="zh-CN"/>
              </w:rPr>
              <w:t>2.402</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w:t>
            </w:r>
            <w:r>
              <w:rPr>
                <w:rFonts w:hint="default" w:ascii="Times New Roman" w:hAnsi="Times New Roman" w:cs="Times New Roman"/>
                <w:color w:val="auto"/>
                <w:szCs w:val="21"/>
                <w:highlight w:val="none"/>
                <w:vertAlign w:val="superscript"/>
                <w:lang w:val="en-US" w:eastAsia="zh-CN"/>
              </w:rPr>
              <w:t>6</w:t>
            </w:r>
            <w:r>
              <w:rPr>
                <w:rFonts w:hint="default" w:ascii="Times New Roman" w:hAnsi="Times New Roman" w:cs="Times New Roman"/>
                <w:color w:val="auto"/>
                <w:szCs w:val="21"/>
                <w:highlight w:val="none"/>
              </w:rPr>
              <w:t>t/a</w:t>
            </w:r>
          </w:p>
        </w:tc>
      </w:tr>
      <w:tr w14:paraId="5DD522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401C546E">
            <w:pPr>
              <w:pStyle w:val="126"/>
              <w:rPr>
                <w:rFonts w:hint="default" w:ascii="Times New Roman" w:hAnsi="Times New Roman" w:cs="Times New Roman"/>
                <w:snapToGrid w:val="0"/>
                <w:color w:val="auto"/>
                <w:highlight w:val="none"/>
              </w:rPr>
            </w:pPr>
          </w:p>
        </w:tc>
        <w:tc>
          <w:tcPr>
            <w:tcW w:w="1597" w:type="dxa"/>
            <w:vAlign w:val="center"/>
          </w:tcPr>
          <w:p w14:paraId="0DCC89BC">
            <w:pPr>
              <w:pStyle w:val="126"/>
              <w:rPr>
                <w:rFonts w:hint="default" w:ascii="Times New Roman" w:hAnsi="Times New Roman" w:eastAsia="宋体" w:cs="Times New Roman"/>
                <w:color w:val="auto"/>
                <w:szCs w:val="18"/>
                <w:highlight w:val="none"/>
                <w:lang w:val="en-US" w:eastAsia="zh-CN"/>
              </w:rPr>
            </w:pPr>
            <w:r>
              <w:rPr>
                <w:rFonts w:hint="default" w:ascii="Times New Roman" w:hAnsi="Times New Roman" w:cs="Times New Roman"/>
                <w:color w:val="auto"/>
                <w:szCs w:val="18"/>
                <w:highlight w:val="none"/>
                <w:lang w:val="en-US" w:eastAsia="zh-CN"/>
              </w:rPr>
              <w:t>NMHC</w:t>
            </w:r>
          </w:p>
        </w:tc>
        <w:tc>
          <w:tcPr>
            <w:tcW w:w="1701" w:type="dxa"/>
            <w:vAlign w:val="center"/>
          </w:tcPr>
          <w:p w14:paraId="33D725CB">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vAlign w:val="center"/>
          </w:tcPr>
          <w:p w14:paraId="7EC2DB44">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585AC8AB">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center"/>
          </w:tcPr>
          <w:p w14:paraId="4E5E7F6D">
            <w:pPr>
              <w:keepNext w:val="0"/>
              <w:keepLines w:val="0"/>
              <w:widowControl/>
              <w:suppressLineNumbers w:val="0"/>
              <w:jc w:val="center"/>
              <w:textAlignment w:val="center"/>
              <w:rPr>
                <w:rFonts w:hint="default" w:ascii="Times New Roman" w:hAnsi="Times New Roman" w:cs="Times New Roman"/>
                <w:bCs/>
                <w:snapToGrid w:val="0"/>
                <w:color w:val="auto"/>
                <w:highlight w:val="none"/>
              </w:rPr>
            </w:pPr>
            <w:r>
              <w:rPr>
                <w:rFonts w:hint="default" w:ascii="Times New Roman" w:hAnsi="Times New Roman" w:eastAsia="宋体" w:cs="Times New Roman"/>
                <w:color w:val="auto"/>
                <w:kern w:val="0"/>
                <w:sz w:val="21"/>
                <w:szCs w:val="21"/>
                <w:highlight w:val="none"/>
                <w:lang w:val="en-US" w:eastAsia="zh-CN" w:bidi="ar-SA"/>
              </w:rPr>
              <w:t>0.</w:t>
            </w:r>
            <w:r>
              <w:rPr>
                <w:rFonts w:hint="default" w:ascii="Times New Roman" w:hAnsi="Times New Roman" w:cs="Times New Roman"/>
                <w:color w:val="auto"/>
                <w:kern w:val="0"/>
                <w:sz w:val="21"/>
                <w:szCs w:val="21"/>
                <w:highlight w:val="none"/>
                <w:lang w:val="en-US" w:eastAsia="zh-CN" w:bidi="ar-SA"/>
              </w:rPr>
              <w:t>0013176</w:t>
            </w:r>
            <w:r>
              <w:rPr>
                <w:rFonts w:hint="default" w:ascii="Times New Roman" w:hAnsi="Times New Roman" w:cs="Times New Roman"/>
                <w:color w:val="auto"/>
                <w:szCs w:val="21"/>
                <w:highlight w:val="none"/>
              </w:rPr>
              <w:t>t/a</w:t>
            </w:r>
          </w:p>
        </w:tc>
        <w:tc>
          <w:tcPr>
            <w:tcW w:w="1380" w:type="dxa"/>
            <w:vAlign w:val="center"/>
          </w:tcPr>
          <w:p w14:paraId="68B39F3A">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6293E3A2">
            <w:pPr>
              <w:keepNext w:val="0"/>
              <w:keepLines w:val="0"/>
              <w:widowControl/>
              <w:suppressLineNumbers w:val="0"/>
              <w:jc w:val="center"/>
              <w:textAlignment w:val="center"/>
              <w:rPr>
                <w:rFonts w:hint="default" w:ascii="Times New Roman" w:hAnsi="Times New Roman" w:cs="Times New Roman"/>
                <w:bCs/>
                <w:snapToGrid w:val="0"/>
                <w:color w:val="auto"/>
                <w:highlight w:val="none"/>
              </w:rPr>
            </w:pPr>
            <w:r>
              <w:rPr>
                <w:rFonts w:hint="default" w:ascii="Times New Roman" w:hAnsi="Times New Roman" w:eastAsia="宋体" w:cs="Times New Roman"/>
                <w:color w:val="auto"/>
                <w:kern w:val="0"/>
                <w:sz w:val="21"/>
                <w:szCs w:val="21"/>
                <w:highlight w:val="none"/>
                <w:lang w:val="en-US" w:eastAsia="zh-CN" w:bidi="ar-SA"/>
              </w:rPr>
              <w:t>0.</w:t>
            </w:r>
            <w:r>
              <w:rPr>
                <w:rFonts w:hint="default" w:ascii="Times New Roman" w:hAnsi="Times New Roman" w:cs="Times New Roman"/>
                <w:color w:val="auto"/>
                <w:kern w:val="0"/>
                <w:sz w:val="21"/>
                <w:szCs w:val="21"/>
                <w:highlight w:val="none"/>
                <w:lang w:val="en-US" w:eastAsia="zh-CN" w:bidi="ar-SA"/>
              </w:rPr>
              <w:t>0013176</w:t>
            </w:r>
            <w:r>
              <w:rPr>
                <w:rFonts w:hint="default" w:ascii="Times New Roman" w:hAnsi="Times New Roman" w:cs="Times New Roman"/>
                <w:color w:val="auto"/>
                <w:szCs w:val="21"/>
                <w:highlight w:val="none"/>
              </w:rPr>
              <w:t>t/a</w:t>
            </w:r>
          </w:p>
        </w:tc>
        <w:tc>
          <w:tcPr>
            <w:tcW w:w="1465" w:type="dxa"/>
            <w:vAlign w:val="center"/>
          </w:tcPr>
          <w:p w14:paraId="2817239E">
            <w:pPr>
              <w:keepNext w:val="0"/>
              <w:keepLines w:val="0"/>
              <w:widowControl/>
              <w:suppressLineNumbers w:val="0"/>
              <w:jc w:val="center"/>
              <w:textAlignment w:val="center"/>
              <w:rPr>
                <w:rFonts w:hint="default" w:ascii="Times New Roman" w:hAnsi="Times New Roman" w:cs="Times New Roman"/>
                <w:bCs/>
                <w:snapToGrid w:val="0"/>
                <w:color w:val="auto"/>
                <w:highlight w:val="none"/>
              </w:rPr>
            </w:pPr>
            <w:r>
              <w:rPr>
                <w:rFonts w:hint="default" w:ascii="Times New Roman" w:hAnsi="Times New Roman" w:eastAsia="宋体" w:cs="Times New Roman"/>
                <w:color w:val="auto"/>
                <w:kern w:val="0"/>
                <w:sz w:val="21"/>
                <w:szCs w:val="21"/>
                <w:highlight w:val="none"/>
                <w:lang w:val="en-US" w:eastAsia="zh-CN" w:bidi="ar-SA"/>
              </w:rPr>
              <w:t>0.</w:t>
            </w:r>
            <w:r>
              <w:rPr>
                <w:rFonts w:hint="default" w:ascii="Times New Roman" w:hAnsi="Times New Roman" w:cs="Times New Roman"/>
                <w:color w:val="auto"/>
                <w:kern w:val="0"/>
                <w:sz w:val="21"/>
                <w:szCs w:val="21"/>
                <w:highlight w:val="none"/>
                <w:lang w:val="en-US" w:eastAsia="zh-CN" w:bidi="ar-SA"/>
              </w:rPr>
              <w:t>0013176</w:t>
            </w:r>
            <w:r>
              <w:rPr>
                <w:rFonts w:hint="default" w:ascii="Times New Roman" w:hAnsi="Times New Roman" w:cs="Times New Roman"/>
                <w:color w:val="auto"/>
                <w:szCs w:val="21"/>
                <w:highlight w:val="none"/>
              </w:rPr>
              <w:t>t/a</w:t>
            </w:r>
          </w:p>
        </w:tc>
      </w:tr>
      <w:tr w14:paraId="370A0E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restart"/>
            <w:vAlign w:val="center"/>
          </w:tcPr>
          <w:p w14:paraId="578D5A2A">
            <w:pPr>
              <w:pStyle w:val="12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废水</w:t>
            </w:r>
          </w:p>
        </w:tc>
        <w:tc>
          <w:tcPr>
            <w:tcW w:w="1597" w:type="dxa"/>
            <w:vAlign w:val="center"/>
          </w:tcPr>
          <w:p w14:paraId="45D64974">
            <w:pPr>
              <w:pStyle w:val="126"/>
              <w:rPr>
                <w:rFonts w:hint="default" w:ascii="Times New Roman" w:hAnsi="Times New Roman" w:cs="Times New Roman"/>
                <w:color w:val="auto"/>
                <w:szCs w:val="18"/>
                <w:highlight w:val="none"/>
              </w:rPr>
            </w:pPr>
            <w:r>
              <w:rPr>
                <w:rFonts w:hint="default" w:ascii="Times New Roman" w:hAnsi="Times New Roman" w:cs="Times New Roman"/>
                <w:color w:val="auto"/>
                <w:szCs w:val="18"/>
                <w:highlight w:val="none"/>
              </w:rPr>
              <w:t>COD</w:t>
            </w:r>
          </w:p>
        </w:tc>
        <w:tc>
          <w:tcPr>
            <w:tcW w:w="1701" w:type="dxa"/>
          </w:tcPr>
          <w:p w14:paraId="1067F492">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tcPr>
          <w:p w14:paraId="27601368">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tcPr>
          <w:p w14:paraId="4028E427">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top"/>
          </w:tcPr>
          <w:p w14:paraId="263DE1DA">
            <w:pPr>
              <w:jc w:val="center"/>
              <w:rPr>
                <w:rFonts w:hint="default" w:ascii="Times New Roman" w:hAnsi="Times New Roman" w:cs="Times New Roman"/>
                <w:color w:val="auto"/>
                <w:kern w:val="2"/>
                <w:szCs w:val="21"/>
                <w:highlight w:val="none"/>
              </w:rPr>
            </w:pPr>
            <w:r>
              <w:rPr>
                <w:rFonts w:hint="default" w:ascii="Times New Roman" w:hAnsi="Times New Roman" w:cs="Times New Roman"/>
                <w:snapToGrid w:val="0"/>
                <w:color w:val="auto"/>
                <w:highlight w:val="none"/>
              </w:rPr>
              <w:t>/</w:t>
            </w:r>
          </w:p>
        </w:tc>
        <w:tc>
          <w:tcPr>
            <w:tcW w:w="1380" w:type="dxa"/>
            <w:vAlign w:val="top"/>
          </w:tcPr>
          <w:p w14:paraId="2CB7AD25">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top"/>
          </w:tcPr>
          <w:p w14:paraId="57D93730">
            <w:pPr>
              <w:jc w:val="center"/>
              <w:rPr>
                <w:rFonts w:hint="default" w:ascii="Times New Roman" w:hAnsi="Times New Roman" w:cs="Times New Roman"/>
                <w:color w:val="auto"/>
                <w:kern w:val="2"/>
                <w:szCs w:val="21"/>
                <w:highlight w:val="none"/>
              </w:rPr>
            </w:pPr>
            <w:r>
              <w:rPr>
                <w:rFonts w:hint="default" w:ascii="Times New Roman" w:hAnsi="Times New Roman" w:cs="Times New Roman"/>
                <w:snapToGrid w:val="0"/>
                <w:color w:val="auto"/>
                <w:highlight w:val="none"/>
              </w:rPr>
              <w:t>/</w:t>
            </w:r>
          </w:p>
        </w:tc>
        <w:tc>
          <w:tcPr>
            <w:tcW w:w="1465" w:type="dxa"/>
            <w:vAlign w:val="top"/>
          </w:tcPr>
          <w:p w14:paraId="5A8EB0ED">
            <w:pPr>
              <w:jc w:val="center"/>
              <w:rPr>
                <w:rFonts w:hint="default" w:ascii="Times New Roman" w:hAnsi="Times New Roman" w:cs="Times New Roman"/>
                <w:color w:val="auto"/>
                <w:kern w:val="2"/>
                <w:szCs w:val="21"/>
                <w:highlight w:val="none"/>
              </w:rPr>
            </w:pPr>
            <w:r>
              <w:rPr>
                <w:rFonts w:hint="default" w:ascii="Times New Roman" w:hAnsi="Times New Roman" w:cs="Times New Roman"/>
                <w:snapToGrid w:val="0"/>
                <w:color w:val="auto"/>
                <w:highlight w:val="none"/>
              </w:rPr>
              <w:t>/</w:t>
            </w:r>
          </w:p>
        </w:tc>
      </w:tr>
      <w:tr w14:paraId="21A141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133939AF">
            <w:pPr>
              <w:pStyle w:val="126"/>
              <w:rPr>
                <w:rFonts w:hint="default" w:ascii="Times New Roman" w:hAnsi="Times New Roman" w:cs="Times New Roman"/>
                <w:snapToGrid w:val="0"/>
                <w:color w:val="auto"/>
                <w:highlight w:val="none"/>
              </w:rPr>
            </w:pPr>
          </w:p>
        </w:tc>
        <w:tc>
          <w:tcPr>
            <w:tcW w:w="1597" w:type="dxa"/>
            <w:vAlign w:val="center"/>
          </w:tcPr>
          <w:p w14:paraId="256CDDDD">
            <w:pPr>
              <w:pStyle w:val="126"/>
              <w:rPr>
                <w:rFonts w:hint="default" w:ascii="Times New Roman" w:hAnsi="Times New Roman" w:cs="Times New Roman"/>
                <w:color w:val="auto"/>
                <w:szCs w:val="18"/>
                <w:highlight w:val="none"/>
              </w:rPr>
            </w:pPr>
            <w:r>
              <w:rPr>
                <w:rFonts w:hint="default" w:ascii="Times New Roman" w:hAnsi="Times New Roman" w:cs="Times New Roman"/>
                <w:color w:val="auto"/>
                <w:szCs w:val="18"/>
                <w:highlight w:val="none"/>
              </w:rPr>
              <w:t>氨氮</w:t>
            </w:r>
          </w:p>
        </w:tc>
        <w:tc>
          <w:tcPr>
            <w:tcW w:w="1701" w:type="dxa"/>
          </w:tcPr>
          <w:p w14:paraId="47D21104">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tcPr>
          <w:p w14:paraId="79EB823E">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tcPr>
          <w:p w14:paraId="0973F042">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top"/>
          </w:tcPr>
          <w:p w14:paraId="545409C3">
            <w:pPr>
              <w:jc w:val="center"/>
              <w:rPr>
                <w:rFonts w:hint="default" w:ascii="Times New Roman" w:hAnsi="Times New Roman" w:cs="Times New Roman"/>
                <w:color w:val="auto"/>
                <w:kern w:val="2"/>
                <w:szCs w:val="21"/>
                <w:highlight w:val="none"/>
              </w:rPr>
            </w:pPr>
            <w:r>
              <w:rPr>
                <w:rFonts w:hint="default" w:ascii="Times New Roman" w:hAnsi="Times New Roman" w:cs="Times New Roman"/>
                <w:snapToGrid w:val="0"/>
                <w:color w:val="auto"/>
                <w:highlight w:val="none"/>
              </w:rPr>
              <w:t>/</w:t>
            </w:r>
          </w:p>
        </w:tc>
        <w:tc>
          <w:tcPr>
            <w:tcW w:w="1380" w:type="dxa"/>
            <w:vAlign w:val="top"/>
          </w:tcPr>
          <w:p w14:paraId="649F71DD">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top"/>
          </w:tcPr>
          <w:p w14:paraId="21A65401">
            <w:pPr>
              <w:jc w:val="center"/>
              <w:rPr>
                <w:rFonts w:hint="default" w:ascii="Times New Roman" w:hAnsi="Times New Roman" w:cs="Times New Roman"/>
                <w:color w:val="auto"/>
                <w:kern w:val="2"/>
                <w:szCs w:val="21"/>
                <w:highlight w:val="none"/>
              </w:rPr>
            </w:pPr>
            <w:r>
              <w:rPr>
                <w:rFonts w:hint="default" w:ascii="Times New Roman" w:hAnsi="Times New Roman" w:cs="Times New Roman"/>
                <w:snapToGrid w:val="0"/>
                <w:color w:val="auto"/>
                <w:highlight w:val="none"/>
              </w:rPr>
              <w:t>/</w:t>
            </w:r>
          </w:p>
        </w:tc>
        <w:tc>
          <w:tcPr>
            <w:tcW w:w="1465" w:type="dxa"/>
            <w:vAlign w:val="top"/>
          </w:tcPr>
          <w:p w14:paraId="4051A751">
            <w:pPr>
              <w:jc w:val="center"/>
              <w:rPr>
                <w:rFonts w:hint="default" w:ascii="Times New Roman" w:hAnsi="Times New Roman" w:cs="Times New Roman"/>
                <w:color w:val="auto"/>
                <w:kern w:val="2"/>
                <w:szCs w:val="21"/>
                <w:highlight w:val="none"/>
              </w:rPr>
            </w:pPr>
            <w:r>
              <w:rPr>
                <w:rFonts w:hint="default" w:ascii="Times New Roman" w:hAnsi="Times New Roman" w:cs="Times New Roman"/>
                <w:snapToGrid w:val="0"/>
                <w:color w:val="auto"/>
                <w:highlight w:val="none"/>
              </w:rPr>
              <w:t>/</w:t>
            </w:r>
          </w:p>
        </w:tc>
      </w:tr>
      <w:tr w14:paraId="48E74B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restart"/>
            <w:vAlign w:val="center"/>
          </w:tcPr>
          <w:p w14:paraId="24A24A71">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一般工业</w:t>
            </w:r>
          </w:p>
          <w:p w14:paraId="3E8A5890">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固体废物</w:t>
            </w:r>
          </w:p>
        </w:tc>
        <w:tc>
          <w:tcPr>
            <w:tcW w:w="1597" w:type="dxa"/>
            <w:vAlign w:val="center"/>
          </w:tcPr>
          <w:p w14:paraId="0B622DD0">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rPr>
              <w:t>生活垃圾</w:t>
            </w:r>
          </w:p>
        </w:tc>
        <w:tc>
          <w:tcPr>
            <w:tcW w:w="1701" w:type="dxa"/>
            <w:vAlign w:val="center"/>
          </w:tcPr>
          <w:p w14:paraId="527ADB16">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276" w:type="dxa"/>
            <w:vAlign w:val="center"/>
          </w:tcPr>
          <w:p w14:paraId="4876D1FB">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3B882D0A">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559" w:type="dxa"/>
            <w:vAlign w:val="center"/>
          </w:tcPr>
          <w:p w14:paraId="36E915FD">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eastAsia="zh-CN"/>
              </w:rPr>
              <w:t>1.125</w:t>
            </w:r>
            <w:r>
              <w:rPr>
                <w:rFonts w:hint="default" w:ascii="Times New Roman" w:hAnsi="Times New Roman" w:cs="Times New Roman"/>
                <w:snapToGrid w:val="0"/>
                <w:color w:val="auto"/>
                <w:highlight w:val="none"/>
              </w:rPr>
              <w:t>t/a</w:t>
            </w:r>
          </w:p>
        </w:tc>
        <w:tc>
          <w:tcPr>
            <w:tcW w:w="1380" w:type="dxa"/>
            <w:vAlign w:val="center"/>
          </w:tcPr>
          <w:p w14:paraId="1EE3DE52">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18663EAE">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eastAsia="zh-CN"/>
              </w:rPr>
              <w:t>1.125</w:t>
            </w:r>
            <w:r>
              <w:rPr>
                <w:rFonts w:hint="default" w:ascii="Times New Roman" w:hAnsi="Times New Roman" w:cs="Times New Roman"/>
                <w:snapToGrid w:val="0"/>
                <w:color w:val="auto"/>
                <w:highlight w:val="none"/>
              </w:rPr>
              <w:t>t/a</w:t>
            </w:r>
          </w:p>
        </w:tc>
        <w:tc>
          <w:tcPr>
            <w:tcW w:w="1465" w:type="dxa"/>
            <w:vAlign w:val="center"/>
          </w:tcPr>
          <w:p w14:paraId="2AE108F4">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eastAsia="zh-CN"/>
              </w:rPr>
              <w:t>1.125</w:t>
            </w:r>
            <w:r>
              <w:rPr>
                <w:rFonts w:hint="default" w:ascii="Times New Roman" w:hAnsi="Times New Roman" w:cs="Times New Roman"/>
                <w:snapToGrid w:val="0"/>
                <w:color w:val="auto"/>
                <w:highlight w:val="none"/>
              </w:rPr>
              <w:t>t/a</w:t>
            </w:r>
          </w:p>
        </w:tc>
      </w:tr>
      <w:tr w14:paraId="056382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2530E84D">
            <w:pPr>
              <w:pStyle w:val="126"/>
              <w:rPr>
                <w:rFonts w:hint="default" w:ascii="Times New Roman" w:hAnsi="Times New Roman" w:cs="Times New Roman"/>
                <w:snapToGrid w:val="0"/>
                <w:color w:val="auto"/>
                <w:kern w:val="21"/>
                <w:szCs w:val="21"/>
                <w:highlight w:val="none"/>
              </w:rPr>
            </w:pPr>
          </w:p>
        </w:tc>
        <w:tc>
          <w:tcPr>
            <w:tcW w:w="1597" w:type="dxa"/>
            <w:vAlign w:val="center"/>
          </w:tcPr>
          <w:p w14:paraId="213AD454">
            <w:pPr>
              <w:pStyle w:val="126"/>
              <w:rPr>
                <w:rFonts w:hint="default" w:ascii="Times New Roman" w:hAnsi="Times New Roman" w:cs="Times New Roman"/>
                <w:color w:val="auto"/>
                <w:highlight w:val="none"/>
              </w:rPr>
            </w:pPr>
            <w:r>
              <w:rPr>
                <w:rFonts w:hint="default" w:ascii="Times New Roman" w:hAnsi="Times New Roman" w:cs="Times New Roman"/>
                <w:color w:val="auto"/>
                <w:highlight w:val="none"/>
              </w:rPr>
              <w:t>除尘器收尘</w:t>
            </w:r>
          </w:p>
        </w:tc>
        <w:tc>
          <w:tcPr>
            <w:tcW w:w="1701" w:type="dxa"/>
            <w:vAlign w:val="center"/>
          </w:tcPr>
          <w:p w14:paraId="2EB80411">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276" w:type="dxa"/>
            <w:vAlign w:val="center"/>
          </w:tcPr>
          <w:p w14:paraId="7A9A0FFD">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5CBCAF4F">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559" w:type="dxa"/>
            <w:vAlign w:val="center"/>
          </w:tcPr>
          <w:p w14:paraId="71D017D0">
            <w:pPr>
              <w:pStyle w:val="126"/>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23.816</w:t>
            </w:r>
            <w:r>
              <w:rPr>
                <w:rFonts w:hint="default" w:ascii="Times New Roman" w:hAnsi="Times New Roman" w:cs="Times New Roman"/>
                <w:color w:val="auto"/>
                <w:highlight w:val="none"/>
              </w:rPr>
              <w:t>t/a</w:t>
            </w:r>
          </w:p>
        </w:tc>
        <w:tc>
          <w:tcPr>
            <w:tcW w:w="1380" w:type="dxa"/>
            <w:vAlign w:val="center"/>
          </w:tcPr>
          <w:p w14:paraId="35114737">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0AEC4C63">
            <w:pPr>
              <w:pStyle w:val="126"/>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23.816</w:t>
            </w:r>
            <w:r>
              <w:rPr>
                <w:rFonts w:hint="default" w:ascii="Times New Roman" w:hAnsi="Times New Roman" w:cs="Times New Roman"/>
                <w:color w:val="auto"/>
                <w:highlight w:val="none"/>
              </w:rPr>
              <w:t>t/a</w:t>
            </w:r>
          </w:p>
        </w:tc>
        <w:tc>
          <w:tcPr>
            <w:tcW w:w="1465" w:type="dxa"/>
            <w:vAlign w:val="center"/>
          </w:tcPr>
          <w:p w14:paraId="1F621FFF">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23.816</w:t>
            </w:r>
            <w:r>
              <w:rPr>
                <w:rFonts w:hint="default" w:ascii="Times New Roman" w:hAnsi="Times New Roman" w:cs="Times New Roman"/>
                <w:color w:val="auto"/>
                <w:highlight w:val="none"/>
              </w:rPr>
              <w:t>t/a</w:t>
            </w:r>
          </w:p>
        </w:tc>
      </w:tr>
      <w:tr w14:paraId="4B54C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3E35BD9E">
            <w:pPr>
              <w:pStyle w:val="126"/>
              <w:rPr>
                <w:rFonts w:hint="default" w:ascii="Times New Roman" w:hAnsi="Times New Roman" w:cs="Times New Roman"/>
                <w:snapToGrid w:val="0"/>
                <w:color w:val="auto"/>
                <w:kern w:val="21"/>
                <w:szCs w:val="21"/>
                <w:highlight w:val="none"/>
              </w:rPr>
            </w:pPr>
          </w:p>
        </w:tc>
        <w:tc>
          <w:tcPr>
            <w:tcW w:w="1597" w:type="dxa"/>
            <w:vAlign w:val="center"/>
          </w:tcPr>
          <w:p w14:paraId="3653D493">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rPr>
              <w:t>不合格石料</w:t>
            </w:r>
          </w:p>
        </w:tc>
        <w:tc>
          <w:tcPr>
            <w:tcW w:w="1701" w:type="dxa"/>
            <w:vAlign w:val="center"/>
          </w:tcPr>
          <w:p w14:paraId="1B72BB9B">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276" w:type="dxa"/>
            <w:vAlign w:val="center"/>
          </w:tcPr>
          <w:p w14:paraId="2E81D8B1">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4D72EEF4">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559" w:type="dxa"/>
            <w:vAlign w:val="center"/>
          </w:tcPr>
          <w:p w14:paraId="4CCDF513">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lang w:val="en-US" w:eastAsia="zh-CN"/>
              </w:rPr>
              <w:t>72.757</w:t>
            </w:r>
            <w:r>
              <w:rPr>
                <w:rFonts w:hint="default" w:ascii="Times New Roman" w:hAnsi="Times New Roman" w:cs="Times New Roman"/>
                <w:snapToGrid w:val="0"/>
                <w:color w:val="auto"/>
                <w:highlight w:val="none"/>
              </w:rPr>
              <w:t>t/a</w:t>
            </w:r>
          </w:p>
        </w:tc>
        <w:tc>
          <w:tcPr>
            <w:tcW w:w="1380" w:type="dxa"/>
            <w:vAlign w:val="center"/>
          </w:tcPr>
          <w:p w14:paraId="2603C847">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05FE74C5">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lang w:val="en-US" w:eastAsia="zh-CN"/>
              </w:rPr>
              <w:t>72.757</w:t>
            </w:r>
            <w:r>
              <w:rPr>
                <w:rFonts w:hint="default" w:ascii="Times New Roman" w:hAnsi="Times New Roman" w:cs="Times New Roman"/>
                <w:snapToGrid w:val="0"/>
                <w:color w:val="auto"/>
                <w:highlight w:val="none"/>
              </w:rPr>
              <w:t>t/a</w:t>
            </w:r>
          </w:p>
        </w:tc>
        <w:tc>
          <w:tcPr>
            <w:tcW w:w="1465" w:type="dxa"/>
            <w:vAlign w:val="center"/>
          </w:tcPr>
          <w:p w14:paraId="674FFC4C">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lang w:val="en-US" w:eastAsia="zh-CN"/>
              </w:rPr>
              <w:t>72.757</w:t>
            </w:r>
            <w:r>
              <w:rPr>
                <w:rFonts w:hint="default" w:ascii="Times New Roman" w:hAnsi="Times New Roman" w:cs="Times New Roman"/>
                <w:snapToGrid w:val="0"/>
                <w:color w:val="auto"/>
                <w:highlight w:val="none"/>
              </w:rPr>
              <w:t>t/a</w:t>
            </w:r>
          </w:p>
        </w:tc>
      </w:tr>
      <w:tr w14:paraId="176EC4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3CCE6308">
            <w:pPr>
              <w:pStyle w:val="126"/>
              <w:rPr>
                <w:rFonts w:hint="default" w:ascii="Times New Roman" w:hAnsi="Times New Roman" w:cs="Times New Roman"/>
                <w:snapToGrid w:val="0"/>
                <w:color w:val="auto"/>
                <w:kern w:val="21"/>
                <w:szCs w:val="21"/>
                <w:highlight w:val="none"/>
              </w:rPr>
            </w:pPr>
          </w:p>
        </w:tc>
        <w:tc>
          <w:tcPr>
            <w:tcW w:w="1597" w:type="dxa"/>
            <w:vAlign w:val="center"/>
          </w:tcPr>
          <w:p w14:paraId="7332BBEC">
            <w:pPr>
              <w:pStyle w:val="126"/>
              <w:rPr>
                <w:rFonts w:hint="default" w:ascii="Times New Roman" w:hAnsi="Times New Roman" w:cs="Times New Roman"/>
                <w:color w:val="auto"/>
                <w:highlight w:val="none"/>
              </w:rPr>
            </w:pPr>
            <w:r>
              <w:rPr>
                <w:rFonts w:hint="default" w:ascii="Times New Roman" w:hAnsi="Times New Roman" w:cs="Times New Roman"/>
                <w:color w:val="auto"/>
                <w:highlight w:val="none"/>
              </w:rPr>
              <w:t>除尘器废布袋</w:t>
            </w:r>
          </w:p>
        </w:tc>
        <w:tc>
          <w:tcPr>
            <w:tcW w:w="1701" w:type="dxa"/>
            <w:vAlign w:val="center"/>
          </w:tcPr>
          <w:p w14:paraId="47C6D3E6">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276" w:type="dxa"/>
            <w:vAlign w:val="center"/>
          </w:tcPr>
          <w:p w14:paraId="0A045610">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11547C24">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559" w:type="dxa"/>
            <w:vAlign w:val="center"/>
          </w:tcPr>
          <w:p w14:paraId="03C21E1B">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0.1t/a</w:t>
            </w:r>
          </w:p>
        </w:tc>
        <w:tc>
          <w:tcPr>
            <w:tcW w:w="1380" w:type="dxa"/>
            <w:vAlign w:val="center"/>
          </w:tcPr>
          <w:p w14:paraId="7E6FF9AE">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07953233">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0.1t/a</w:t>
            </w:r>
          </w:p>
        </w:tc>
        <w:tc>
          <w:tcPr>
            <w:tcW w:w="1465" w:type="dxa"/>
            <w:vAlign w:val="center"/>
          </w:tcPr>
          <w:p w14:paraId="4A03F023">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0.1t/a</w:t>
            </w:r>
          </w:p>
        </w:tc>
      </w:tr>
      <w:tr w14:paraId="388E40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restart"/>
            <w:vAlign w:val="center"/>
          </w:tcPr>
          <w:p w14:paraId="71D6C6A1">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危险废物</w:t>
            </w:r>
          </w:p>
        </w:tc>
        <w:tc>
          <w:tcPr>
            <w:tcW w:w="1597" w:type="dxa"/>
            <w:vAlign w:val="center"/>
          </w:tcPr>
          <w:p w14:paraId="38F9EAAC">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rPr>
              <w:t>废活性炭</w:t>
            </w:r>
          </w:p>
        </w:tc>
        <w:tc>
          <w:tcPr>
            <w:tcW w:w="1701" w:type="dxa"/>
            <w:vAlign w:val="center"/>
          </w:tcPr>
          <w:p w14:paraId="2438E316">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276" w:type="dxa"/>
            <w:vAlign w:val="center"/>
          </w:tcPr>
          <w:p w14:paraId="45C12600">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12133EC1">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559" w:type="dxa"/>
            <w:vAlign w:val="center"/>
          </w:tcPr>
          <w:p w14:paraId="2EA78502">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9.5115</w:t>
            </w:r>
            <w:r>
              <w:rPr>
                <w:rFonts w:hint="default" w:ascii="Times New Roman" w:hAnsi="Times New Roman" w:cs="Times New Roman"/>
                <w:snapToGrid w:val="0"/>
                <w:color w:val="auto"/>
                <w:kern w:val="21"/>
                <w:szCs w:val="21"/>
                <w:highlight w:val="none"/>
              </w:rPr>
              <w:t>t/a</w:t>
            </w:r>
          </w:p>
        </w:tc>
        <w:tc>
          <w:tcPr>
            <w:tcW w:w="1380" w:type="dxa"/>
            <w:vAlign w:val="center"/>
          </w:tcPr>
          <w:p w14:paraId="677F2956">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44B26249">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9.5115</w:t>
            </w:r>
            <w:r>
              <w:rPr>
                <w:rFonts w:hint="default" w:ascii="Times New Roman" w:hAnsi="Times New Roman" w:cs="Times New Roman"/>
                <w:snapToGrid w:val="0"/>
                <w:color w:val="auto"/>
                <w:kern w:val="21"/>
                <w:szCs w:val="21"/>
                <w:highlight w:val="none"/>
              </w:rPr>
              <w:t>t/a</w:t>
            </w:r>
          </w:p>
        </w:tc>
        <w:tc>
          <w:tcPr>
            <w:tcW w:w="1465" w:type="dxa"/>
            <w:vAlign w:val="center"/>
          </w:tcPr>
          <w:p w14:paraId="78149BA2">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9.5115</w:t>
            </w:r>
            <w:r>
              <w:rPr>
                <w:rFonts w:hint="default" w:ascii="Times New Roman" w:hAnsi="Times New Roman" w:cs="Times New Roman"/>
                <w:snapToGrid w:val="0"/>
                <w:color w:val="auto"/>
                <w:kern w:val="21"/>
                <w:szCs w:val="21"/>
                <w:highlight w:val="none"/>
              </w:rPr>
              <w:t>t/a</w:t>
            </w:r>
          </w:p>
        </w:tc>
      </w:tr>
      <w:tr w14:paraId="79C5FC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6F07CD23">
            <w:pPr>
              <w:pStyle w:val="126"/>
              <w:rPr>
                <w:rFonts w:hint="default" w:ascii="Times New Roman" w:hAnsi="Times New Roman" w:cs="Times New Roman"/>
                <w:snapToGrid w:val="0"/>
                <w:color w:val="auto"/>
                <w:kern w:val="21"/>
                <w:szCs w:val="21"/>
                <w:highlight w:val="none"/>
              </w:rPr>
            </w:pPr>
          </w:p>
        </w:tc>
        <w:tc>
          <w:tcPr>
            <w:tcW w:w="1597" w:type="dxa"/>
            <w:vAlign w:val="center"/>
          </w:tcPr>
          <w:p w14:paraId="23ED037E">
            <w:pPr>
              <w:pStyle w:val="126"/>
              <w:rPr>
                <w:rFonts w:hint="default" w:ascii="Times New Roman" w:hAnsi="Times New Roman" w:cs="Times New Roman"/>
                <w:color w:val="auto"/>
                <w:highlight w:val="none"/>
              </w:rPr>
            </w:pPr>
            <w:r>
              <w:rPr>
                <w:rFonts w:hint="default" w:ascii="Times New Roman" w:hAnsi="Times New Roman" w:cs="Times New Roman"/>
                <w:color w:val="auto"/>
                <w:highlight w:val="none"/>
              </w:rPr>
              <w:t>废导热油</w:t>
            </w:r>
          </w:p>
        </w:tc>
        <w:tc>
          <w:tcPr>
            <w:tcW w:w="1701" w:type="dxa"/>
            <w:vAlign w:val="center"/>
          </w:tcPr>
          <w:p w14:paraId="7E18ADEF">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276" w:type="dxa"/>
            <w:vAlign w:val="center"/>
          </w:tcPr>
          <w:p w14:paraId="3149A589">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7D68361D">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559" w:type="dxa"/>
            <w:vAlign w:val="center"/>
          </w:tcPr>
          <w:p w14:paraId="3FB3C6BC">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w:t>
            </w:r>
            <w:r>
              <w:rPr>
                <w:rFonts w:hint="default" w:ascii="Times New Roman" w:hAnsi="Times New Roman" w:cs="Times New Roman"/>
                <w:snapToGrid w:val="0"/>
                <w:color w:val="auto"/>
                <w:kern w:val="21"/>
                <w:szCs w:val="21"/>
                <w:highlight w:val="none"/>
                <w:lang w:val="en-US" w:eastAsia="zh-CN"/>
              </w:rPr>
              <w:t>3</w:t>
            </w:r>
            <w:r>
              <w:rPr>
                <w:rFonts w:hint="default" w:ascii="Times New Roman" w:hAnsi="Times New Roman" w:cs="Times New Roman"/>
                <w:snapToGrid w:val="0"/>
                <w:color w:val="auto"/>
                <w:kern w:val="21"/>
                <w:szCs w:val="21"/>
                <w:highlight w:val="none"/>
              </w:rPr>
              <w:t>t/a</w:t>
            </w:r>
          </w:p>
        </w:tc>
        <w:tc>
          <w:tcPr>
            <w:tcW w:w="1380" w:type="dxa"/>
            <w:vAlign w:val="center"/>
          </w:tcPr>
          <w:p w14:paraId="5826F917">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79B01F34">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w:t>
            </w:r>
            <w:r>
              <w:rPr>
                <w:rFonts w:hint="default" w:ascii="Times New Roman" w:hAnsi="Times New Roman" w:cs="Times New Roman"/>
                <w:snapToGrid w:val="0"/>
                <w:color w:val="auto"/>
                <w:kern w:val="21"/>
                <w:szCs w:val="21"/>
                <w:highlight w:val="none"/>
                <w:lang w:val="en-US" w:eastAsia="zh-CN"/>
              </w:rPr>
              <w:t>3</w:t>
            </w:r>
            <w:r>
              <w:rPr>
                <w:rFonts w:hint="default" w:ascii="Times New Roman" w:hAnsi="Times New Roman" w:cs="Times New Roman"/>
                <w:snapToGrid w:val="0"/>
                <w:color w:val="auto"/>
                <w:kern w:val="21"/>
                <w:szCs w:val="21"/>
                <w:highlight w:val="none"/>
              </w:rPr>
              <w:t>t/a</w:t>
            </w:r>
          </w:p>
        </w:tc>
        <w:tc>
          <w:tcPr>
            <w:tcW w:w="1465" w:type="dxa"/>
            <w:vAlign w:val="center"/>
          </w:tcPr>
          <w:p w14:paraId="4E7CAA48">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w:t>
            </w:r>
            <w:r>
              <w:rPr>
                <w:rFonts w:hint="default" w:ascii="Times New Roman" w:hAnsi="Times New Roman" w:cs="Times New Roman"/>
                <w:snapToGrid w:val="0"/>
                <w:color w:val="auto"/>
                <w:kern w:val="21"/>
                <w:szCs w:val="21"/>
                <w:highlight w:val="none"/>
                <w:lang w:val="en-US" w:eastAsia="zh-CN"/>
              </w:rPr>
              <w:t>3</w:t>
            </w:r>
            <w:r>
              <w:rPr>
                <w:rFonts w:hint="default" w:ascii="Times New Roman" w:hAnsi="Times New Roman" w:cs="Times New Roman"/>
                <w:snapToGrid w:val="0"/>
                <w:color w:val="auto"/>
                <w:kern w:val="21"/>
                <w:szCs w:val="21"/>
                <w:highlight w:val="none"/>
              </w:rPr>
              <w:t>t/a</w:t>
            </w:r>
          </w:p>
        </w:tc>
      </w:tr>
      <w:tr w14:paraId="4CCF61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339AE909">
            <w:pPr>
              <w:pStyle w:val="126"/>
              <w:rPr>
                <w:rFonts w:hint="default" w:ascii="Times New Roman" w:hAnsi="Times New Roman" w:cs="Times New Roman"/>
                <w:snapToGrid w:val="0"/>
                <w:color w:val="auto"/>
                <w:kern w:val="21"/>
                <w:szCs w:val="21"/>
                <w:highlight w:val="none"/>
              </w:rPr>
            </w:pPr>
          </w:p>
        </w:tc>
        <w:tc>
          <w:tcPr>
            <w:tcW w:w="1597" w:type="dxa"/>
            <w:vAlign w:val="center"/>
          </w:tcPr>
          <w:p w14:paraId="4496E4AD">
            <w:pPr>
              <w:pStyle w:val="126"/>
              <w:rPr>
                <w:rFonts w:hint="default" w:ascii="Times New Roman" w:hAnsi="Times New Roman" w:cs="Times New Roman"/>
                <w:color w:val="auto"/>
                <w:highlight w:val="none"/>
              </w:rPr>
            </w:pPr>
            <w:r>
              <w:rPr>
                <w:rFonts w:hint="default" w:ascii="Times New Roman" w:hAnsi="Times New Roman" w:cs="Times New Roman"/>
                <w:color w:val="auto"/>
                <w:highlight w:val="none"/>
              </w:rPr>
              <w:t>滴漏沥青及</w:t>
            </w:r>
            <w:r>
              <w:rPr>
                <w:rFonts w:hint="default" w:ascii="Times New Roman" w:hAnsi="Times New Roman" w:cs="Times New Roman"/>
                <w:color w:val="auto"/>
                <w:highlight w:val="none"/>
                <w:lang w:eastAsia="zh-CN"/>
              </w:rPr>
              <w:t>拌合</w:t>
            </w:r>
            <w:r>
              <w:rPr>
                <w:rFonts w:hint="default" w:ascii="Times New Roman" w:hAnsi="Times New Roman" w:cs="Times New Roman"/>
                <w:color w:val="auto"/>
                <w:highlight w:val="none"/>
              </w:rPr>
              <w:t>残渣</w:t>
            </w:r>
          </w:p>
        </w:tc>
        <w:tc>
          <w:tcPr>
            <w:tcW w:w="1701" w:type="dxa"/>
            <w:vAlign w:val="center"/>
          </w:tcPr>
          <w:p w14:paraId="0B631766">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276" w:type="dxa"/>
            <w:vAlign w:val="center"/>
          </w:tcPr>
          <w:p w14:paraId="2688FC91">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3DBE2249">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559" w:type="dxa"/>
            <w:vAlign w:val="center"/>
          </w:tcPr>
          <w:p w14:paraId="65986458">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0.1t/a</w:t>
            </w:r>
          </w:p>
        </w:tc>
        <w:tc>
          <w:tcPr>
            <w:tcW w:w="1380" w:type="dxa"/>
            <w:vAlign w:val="center"/>
          </w:tcPr>
          <w:p w14:paraId="6305B61A">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highlight w:val="none"/>
              </w:rPr>
              <w:t>/</w:t>
            </w:r>
          </w:p>
        </w:tc>
        <w:tc>
          <w:tcPr>
            <w:tcW w:w="1701" w:type="dxa"/>
            <w:vAlign w:val="center"/>
          </w:tcPr>
          <w:p w14:paraId="4FEC33B7">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0.1t/a</w:t>
            </w:r>
          </w:p>
        </w:tc>
        <w:tc>
          <w:tcPr>
            <w:tcW w:w="1465" w:type="dxa"/>
            <w:vAlign w:val="center"/>
          </w:tcPr>
          <w:p w14:paraId="2AC67EA0">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0.1t/a</w:t>
            </w:r>
          </w:p>
        </w:tc>
      </w:tr>
      <w:tr w14:paraId="4220CF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135FFC93">
            <w:pPr>
              <w:pStyle w:val="126"/>
              <w:rPr>
                <w:rFonts w:hint="default" w:ascii="Times New Roman" w:hAnsi="Times New Roman" w:cs="Times New Roman"/>
                <w:snapToGrid w:val="0"/>
                <w:color w:val="auto"/>
                <w:kern w:val="21"/>
                <w:szCs w:val="21"/>
                <w:highlight w:val="none"/>
              </w:rPr>
            </w:pPr>
          </w:p>
        </w:tc>
        <w:tc>
          <w:tcPr>
            <w:tcW w:w="1597" w:type="dxa"/>
            <w:vAlign w:val="center"/>
          </w:tcPr>
          <w:p w14:paraId="47687FD1">
            <w:pPr>
              <w:pStyle w:val="126"/>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废焦油</w:t>
            </w:r>
          </w:p>
        </w:tc>
        <w:tc>
          <w:tcPr>
            <w:tcW w:w="1701" w:type="dxa"/>
          </w:tcPr>
          <w:p w14:paraId="00EA41E8">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tcPr>
          <w:p w14:paraId="7DE592AC">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tcPr>
          <w:p w14:paraId="7EFB83F7">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center"/>
          </w:tcPr>
          <w:p w14:paraId="0853B90F">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w:t>
            </w:r>
            <w:r>
              <w:rPr>
                <w:rFonts w:hint="default" w:ascii="Times New Roman" w:hAnsi="Times New Roman" w:cs="Times New Roman"/>
                <w:snapToGrid w:val="0"/>
                <w:color w:val="auto"/>
                <w:kern w:val="21"/>
                <w:szCs w:val="21"/>
                <w:highlight w:val="none"/>
                <w:lang w:val="en-US" w:eastAsia="zh-CN"/>
              </w:rPr>
              <w:t>1</w:t>
            </w:r>
            <w:r>
              <w:rPr>
                <w:rFonts w:hint="default" w:ascii="Times New Roman" w:hAnsi="Times New Roman" w:cs="Times New Roman"/>
                <w:snapToGrid w:val="0"/>
                <w:color w:val="auto"/>
                <w:kern w:val="21"/>
                <w:szCs w:val="21"/>
                <w:highlight w:val="none"/>
              </w:rPr>
              <w:t>t/a</w:t>
            </w:r>
          </w:p>
        </w:tc>
        <w:tc>
          <w:tcPr>
            <w:tcW w:w="1380" w:type="dxa"/>
            <w:vAlign w:val="center"/>
          </w:tcPr>
          <w:p w14:paraId="6865FFDB">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4F76F44E">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w:t>
            </w:r>
            <w:r>
              <w:rPr>
                <w:rFonts w:hint="default" w:ascii="Times New Roman" w:hAnsi="Times New Roman" w:cs="Times New Roman"/>
                <w:snapToGrid w:val="0"/>
                <w:color w:val="auto"/>
                <w:kern w:val="21"/>
                <w:szCs w:val="21"/>
                <w:highlight w:val="none"/>
                <w:lang w:val="en-US" w:eastAsia="zh-CN"/>
              </w:rPr>
              <w:t>1</w:t>
            </w:r>
            <w:r>
              <w:rPr>
                <w:rFonts w:hint="default" w:ascii="Times New Roman" w:hAnsi="Times New Roman" w:cs="Times New Roman"/>
                <w:snapToGrid w:val="0"/>
                <w:color w:val="auto"/>
                <w:kern w:val="21"/>
                <w:szCs w:val="21"/>
                <w:highlight w:val="none"/>
              </w:rPr>
              <w:t>t/a</w:t>
            </w:r>
          </w:p>
        </w:tc>
        <w:tc>
          <w:tcPr>
            <w:tcW w:w="1465" w:type="dxa"/>
            <w:vAlign w:val="center"/>
          </w:tcPr>
          <w:p w14:paraId="62E936B3">
            <w:pPr>
              <w:pStyle w:val="126"/>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w:t>
            </w:r>
            <w:r>
              <w:rPr>
                <w:rFonts w:hint="default" w:ascii="Times New Roman" w:hAnsi="Times New Roman" w:cs="Times New Roman"/>
                <w:snapToGrid w:val="0"/>
                <w:color w:val="auto"/>
                <w:kern w:val="21"/>
                <w:szCs w:val="21"/>
                <w:highlight w:val="none"/>
                <w:lang w:val="en-US" w:eastAsia="zh-CN"/>
              </w:rPr>
              <w:t>1</w:t>
            </w:r>
            <w:r>
              <w:rPr>
                <w:rFonts w:hint="default" w:ascii="Times New Roman" w:hAnsi="Times New Roman" w:cs="Times New Roman"/>
                <w:snapToGrid w:val="0"/>
                <w:color w:val="auto"/>
                <w:kern w:val="21"/>
                <w:szCs w:val="21"/>
                <w:highlight w:val="none"/>
              </w:rPr>
              <w:t>t/a</w:t>
            </w:r>
          </w:p>
        </w:tc>
      </w:tr>
      <w:tr w14:paraId="5B5C1E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13A90C00">
            <w:pPr>
              <w:pStyle w:val="126"/>
              <w:rPr>
                <w:rFonts w:hint="default" w:ascii="Times New Roman" w:hAnsi="Times New Roman" w:cs="Times New Roman"/>
                <w:snapToGrid w:val="0"/>
                <w:color w:val="auto"/>
                <w:kern w:val="21"/>
                <w:szCs w:val="21"/>
                <w:highlight w:val="none"/>
              </w:rPr>
            </w:pPr>
          </w:p>
        </w:tc>
        <w:tc>
          <w:tcPr>
            <w:tcW w:w="1597" w:type="dxa"/>
            <w:shd w:val="clear" w:color="auto" w:fill="auto"/>
            <w:vAlign w:val="center"/>
          </w:tcPr>
          <w:p w14:paraId="14CC1035">
            <w:pPr>
              <w:pStyle w:val="126"/>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废机油</w:t>
            </w:r>
          </w:p>
        </w:tc>
        <w:tc>
          <w:tcPr>
            <w:tcW w:w="1701" w:type="dxa"/>
            <w:shd w:val="clear" w:color="auto" w:fill="auto"/>
            <w:vAlign w:val="top"/>
          </w:tcPr>
          <w:p w14:paraId="414F3241">
            <w:pPr>
              <w:jc w:val="center"/>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cs="Times New Roman"/>
                <w:snapToGrid w:val="0"/>
                <w:color w:val="auto"/>
                <w:highlight w:val="none"/>
              </w:rPr>
              <w:t>/</w:t>
            </w:r>
          </w:p>
        </w:tc>
        <w:tc>
          <w:tcPr>
            <w:tcW w:w="1276" w:type="dxa"/>
            <w:shd w:val="clear" w:color="auto" w:fill="auto"/>
            <w:vAlign w:val="top"/>
          </w:tcPr>
          <w:p w14:paraId="1AB566CC">
            <w:pPr>
              <w:jc w:val="center"/>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cs="Times New Roman"/>
                <w:snapToGrid w:val="0"/>
                <w:color w:val="auto"/>
                <w:highlight w:val="none"/>
              </w:rPr>
              <w:t>/</w:t>
            </w:r>
          </w:p>
        </w:tc>
        <w:tc>
          <w:tcPr>
            <w:tcW w:w="1701" w:type="dxa"/>
            <w:shd w:val="clear" w:color="auto" w:fill="auto"/>
            <w:vAlign w:val="top"/>
          </w:tcPr>
          <w:p w14:paraId="4982BE2A">
            <w:pPr>
              <w:jc w:val="center"/>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cs="Times New Roman"/>
                <w:snapToGrid w:val="0"/>
                <w:color w:val="auto"/>
                <w:highlight w:val="none"/>
              </w:rPr>
              <w:t>/</w:t>
            </w:r>
          </w:p>
        </w:tc>
        <w:tc>
          <w:tcPr>
            <w:tcW w:w="1559" w:type="dxa"/>
            <w:shd w:val="clear" w:color="auto" w:fill="auto"/>
            <w:vAlign w:val="center"/>
          </w:tcPr>
          <w:p w14:paraId="098E934F">
            <w:pPr>
              <w:pStyle w:val="126"/>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0.05t/a</w:t>
            </w:r>
          </w:p>
        </w:tc>
        <w:tc>
          <w:tcPr>
            <w:tcW w:w="1380" w:type="dxa"/>
            <w:shd w:val="clear" w:color="auto" w:fill="auto"/>
            <w:vAlign w:val="center"/>
          </w:tcPr>
          <w:p w14:paraId="1045C9ED">
            <w:pPr>
              <w:jc w:val="center"/>
              <w:rPr>
                <w:rFonts w:hint="default"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cs="Times New Roman"/>
                <w:snapToGrid w:val="0"/>
                <w:color w:val="auto"/>
                <w:highlight w:val="none"/>
              </w:rPr>
              <w:t>/</w:t>
            </w:r>
          </w:p>
        </w:tc>
        <w:tc>
          <w:tcPr>
            <w:tcW w:w="1701" w:type="dxa"/>
            <w:shd w:val="clear" w:color="auto" w:fill="auto"/>
            <w:vAlign w:val="center"/>
          </w:tcPr>
          <w:p w14:paraId="22CE5DCD">
            <w:pPr>
              <w:pStyle w:val="126"/>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0.05t/a</w:t>
            </w:r>
          </w:p>
        </w:tc>
        <w:tc>
          <w:tcPr>
            <w:tcW w:w="1465" w:type="dxa"/>
            <w:shd w:val="clear" w:color="auto" w:fill="auto"/>
            <w:vAlign w:val="center"/>
          </w:tcPr>
          <w:p w14:paraId="0DD6851C">
            <w:pPr>
              <w:pStyle w:val="126"/>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0.05t/a</w:t>
            </w:r>
          </w:p>
        </w:tc>
      </w:tr>
      <w:tr w14:paraId="58A28E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8" w:type="dxa"/>
            <w:vMerge w:val="continue"/>
            <w:vAlign w:val="center"/>
          </w:tcPr>
          <w:p w14:paraId="042E0FB8">
            <w:pPr>
              <w:pStyle w:val="126"/>
              <w:rPr>
                <w:rFonts w:hint="default" w:ascii="Times New Roman" w:hAnsi="Times New Roman" w:cs="Times New Roman"/>
                <w:snapToGrid w:val="0"/>
                <w:color w:val="auto"/>
                <w:kern w:val="21"/>
                <w:szCs w:val="21"/>
                <w:highlight w:val="none"/>
              </w:rPr>
            </w:pPr>
          </w:p>
        </w:tc>
        <w:tc>
          <w:tcPr>
            <w:tcW w:w="1597" w:type="dxa"/>
            <w:vAlign w:val="center"/>
          </w:tcPr>
          <w:p w14:paraId="606AFD2C">
            <w:pPr>
              <w:pStyle w:val="126"/>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油泥</w:t>
            </w:r>
          </w:p>
        </w:tc>
        <w:tc>
          <w:tcPr>
            <w:tcW w:w="1701" w:type="dxa"/>
            <w:vAlign w:val="top"/>
          </w:tcPr>
          <w:p w14:paraId="48C0035A">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276" w:type="dxa"/>
            <w:vAlign w:val="top"/>
          </w:tcPr>
          <w:p w14:paraId="35F600F0">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top"/>
          </w:tcPr>
          <w:p w14:paraId="650C0037">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559" w:type="dxa"/>
            <w:vAlign w:val="center"/>
          </w:tcPr>
          <w:p w14:paraId="48D58CA3">
            <w:pPr>
              <w:pStyle w:val="126"/>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0.1t/5a</w:t>
            </w:r>
          </w:p>
        </w:tc>
        <w:tc>
          <w:tcPr>
            <w:tcW w:w="1380" w:type="dxa"/>
            <w:vAlign w:val="center"/>
          </w:tcPr>
          <w:p w14:paraId="11F355D5">
            <w:pPr>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p>
        </w:tc>
        <w:tc>
          <w:tcPr>
            <w:tcW w:w="1701" w:type="dxa"/>
            <w:vAlign w:val="center"/>
          </w:tcPr>
          <w:p w14:paraId="71750147">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0.1t/5a</w:t>
            </w:r>
          </w:p>
        </w:tc>
        <w:tc>
          <w:tcPr>
            <w:tcW w:w="1465" w:type="dxa"/>
            <w:vAlign w:val="center"/>
          </w:tcPr>
          <w:p w14:paraId="1BAC1054">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0.1t/5a</w:t>
            </w:r>
          </w:p>
        </w:tc>
      </w:tr>
    </w:tbl>
    <w:p w14:paraId="2C0DE18C">
      <w:pPr>
        <w:pStyle w:val="51"/>
        <w:spacing w:beforeLines="0" w:afterLines="0" w:line="240" w:lineRule="auto"/>
        <w:ind w:firstLine="420"/>
        <w:jc w:val="left"/>
        <w:rPr>
          <w:rFonts w:hint="default" w:ascii="Times New Roman" w:hAnsi="Times New Roman" w:eastAsia="仿宋" w:cs="Times New Roman"/>
          <w:color w:val="auto"/>
          <w:highlight w:val="none"/>
        </w:rPr>
      </w:pPr>
      <w:r>
        <w:rPr>
          <w:rFonts w:hint="default" w:ascii="Times New Roman" w:hAnsi="Times New Roman" w:eastAsia="仿宋" w:cs="Times New Roman"/>
          <w:snapToGrid w:val="0"/>
          <w:color w:val="auto"/>
          <w:kern w:val="21"/>
          <w:szCs w:val="21"/>
          <w:highlight w:val="none"/>
        </w:rPr>
        <w:t>注：</w:t>
      </w:r>
      <w:r>
        <w:rPr>
          <w:rFonts w:hint="default" w:ascii="Times New Roman" w:hAnsi="Times New Roman" w:eastAsia="仿宋" w:cs="Times New Roman"/>
          <w:snapToGrid w:val="0"/>
          <w:color w:val="auto"/>
          <w:spacing w:val="-16"/>
          <w:kern w:val="21"/>
          <w:szCs w:val="21"/>
          <w:highlight w:val="none"/>
        </w:rPr>
        <w:fldChar w:fldCharType="begin"/>
      </w:r>
      <w:r>
        <w:rPr>
          <w:rFonts w:hint="default" w:ascii="Times New Roman" w:hAnsi="Times New Roman" w:eastAsia="仿宋" w:cs="Times New Roman"/>
          <w:snapToGrid w:val="0"/>
          <w:color w:val="auto"/>
          <w:spacing w:val="-16"/>
          <w:kern w:val="21"/>
          <w:szCs w:val="21"/>
          <w:highlight w:val="none"/>
        </w:rPr>
        <w:instrText xml:space="preserve"> = 6 \* GB3 \* MERGEFORMAT </w:instrText>
      </w:r>
      <w:r>
        <w:rPr>
          <w:rFonts w:hint="default" w:ascii="Times New Roman" w:hAnsi="Times New Roman" w:eastAsia="仿宋"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eastAsia="仿宋" w:cs="Times New Roman"/>
          <w:snapToGrid w:val="0"/>
          <w:color w:val="auto"/>
          <w:spacing w:val="-16"/>
          <w:kern w:val="21"/>
          <w:szCs w:val="21"/>
          <w:highlight w:val="none"/>
        </w:rPr>
        <w:fldChar w:fldCharType="end"/>
      </w:r>
      <w:r>
        <w:rPr>
          <w:rFonts w:hint="default" w:ascii="Times New Roman" w:hAnsi="Times New Roman" w:eastAsia="仿宋" w:cs="Times New Roman"/>
          <w:snapToGrid w:val="0"/>
          <w:color w:val="auto"/>
          <w:spacing w:val="-1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1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eastAsia="仿宋" w:cs="Times New Roman"/>
          <w:snapToGrid w:val="0"/>
          <w:color w:val="auto"/>
          <w:spacing w:val="-6"/>
          <w:kern w:val="21"/>
          <w:szCs w:val="21"/>
          <w:highlight w:val="none"/>
        </w:rPr>
        <w:fldChar w:fldCharType="end"/>
      </w:r>
      <w:r>
        <w:rPr>
          <w:rFonts w:hint="default" w:ascii="Times New Roman" w:hAnsi="Times New Roman" w:eastAsia="仿宋" w:cs="Times New Roman"/>
          <w:snapToGrid w:val="0"/>
          <w:color w:val="auto"/>
          <w:spacing w:val="-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3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eastAsia="仿宋" w:cs="Times New Roman"/>
          <w:snapToGrid w:val="0"/>
          <w:color w:val="auto"/>
          <w:spacing w:val="-6"/>
          <w:kern w:val="21"/>
          <w:szCs w:val="21"/>
          <w:highlight w:val="none"/>
        </w:rPr>
        <w:fldChar w:fldCharType="end"/>
      </w:r>
      <w:r>
        <w:rPr>
          <w:rFonts w:hint="default" w:ascii="Times New Roman" w:hAnsi="Times New Roman" w:eastAsia="仿宋" w:cs="Times New Roman"/>
          <w:snapToGrid w:val="0"/>
          <w:color w:val="auto"/>
          <w:spacing w:val="-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4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eastAsia="仿宋" w:cs="Times New Roman"/>
          <w:snapToGrid w:val="0"/>
          <w:color w:val="auto"/>
          <w:spacing w:val="-6"/>
          <w:kern w:val="21"/>
          <w:szCs w:val="21"/>
          <w:highlight w:val="none"/>
        </w:rPr>
        <w:fldChar w:fldCharType="end"/>
      </w:r>
      <w:r>
        <w:rPr>
          <w:rFonts w:hint="default" w:ascii="Times New Roman" w:hAnsi="Times New Roman" w:eastAsia="仿宋" w:cs="Times New Roman"/>
          <w:snapToGrid w:val="0"/>
          <w:color w:val="auto"/>
          <w:spacing w:val="-6"/>
          <w:kern w:val="21"/>
          <w:szCs w:val="21"/>
          <w:highlight w:val="none"/>
        </w:rPr>
        <w:t>-</w:t>
      </w:r>
      <w:r>
        <w:rPr>
          <w:rFonts w:hint="default" w:ascii="Times New Roman" w:hAnsi="Times New Roman" w:eastAsia="仿宋" w:cs="Times New Roman"/>
          <w:snapToGrid w:val="0"/>
          <w:color w:val="auto"/>
          <w:spacing w:val="-16"/>
          <w:kern w:val="21"/>
          <w:szCs w:val="21"/>
          <w:highlight w:val="none"/>
        </w:rPr>
        <w:fldChar w:fldCharType="begin"/>
      </w:r>
      <w:r>
        <w:rPr>
          <w:rFonts w:hint="default" w:ascii="Times New Roman" w:hAnsi="Times New Roman" w:eastAsia="仿宋" w:cs="Times New Roman"/>
          <w:snapToGrid w:val="0"/>
          <w:color w:val="auto"/>
          <w:spacing w:val="-16"/>
          <w:kern w:val="21"/>
          <w:szCs w:val="21"/>
          <w:highlight w:val="none"/>
        </w:rPr>
        <w:instrText xml:space="preserve"> = 5 \* GB3 \* MERGEFORMAT </w:instrText>
      </w:r>
      <w:r>
        <w:rPr>
          <w:rFonts w:hint="default" w:ascii="Times New Roman" w:hAnsi="Times New Roman" w:eastAsia="仿宋"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eastAsia="仿宋" w:cs="Times New Roman"/>
          <w:snapToGrid w:val="0"/>
          <w:color w:val="auto"/>
          <w:spacing w:val="-16"/>
          <w:kern w:val="21"/>
          <w:szCs w:val="21"/>
          <w:highlight w:val="none"/>
        </w:rPr>
        <w:fldChar w:fldCharType="end"/>
      </w:r>
      <w:r>
        <w:rPr>
          <w:rFonts w:hint="default" w:ascii="Times New Roman" w:hAnsi="Times New Roman" w:eastAsia="仿宋" w:cs="Times New Roman"/>
          <w:snapToGrid w:val="0"/>
          <w:color w:val="auto"/>
          <w:spacing w:val="-1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7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eastAsia="仿宋" w:cs="Times New Roman"/>
          <w:snapToGrid w:val="0"/>
          <w:color w:val="auto"/>
          <w:spacing w:val="-6"/>
          <w:kern w:val="21"/>
          <w:szCs w:val="21"/>
          <w:highlight w:val="none"/>
        </w:rPr>
        <w:fldChar w:fldCharType="end"/>
      </w:r>
      <w:r>
        <w:rPr>
          <w:rFonts w:hint="default" w:ascii="Times New Roman" w:hAnsi="Times New Roman" w:eastAsia="仿宋" w:cs="Times New Roman"/>
          <w:snapToGrid w:val="0"/>
          <w:color w:val="auto"/>
          <w:spacing w:val="-6"/>
          <w:kern w:val="21"/>
          <w:szCs w:val="21"/>
          <w:highlight w:val="none"/>
        </w:rPr>
        <w:t>=</w:t>
      </w:r>
      <w:r>
        <w:rPr>
          <w:rFonts w:hint="default" w:ascii="Times New Roman" w:hAnsi="Times New Roman" w:eastAsia="仿宋" w:cs="Times New Roman"/>
          <w:snapToGrid w:val="0"/>
          <w:color w:val="auto"/>
          <w:spacing w:val="-16"/>
          <w:kern w:val="21"/>
          <w:szCs w:val="21"/>
          <w:highlight w:val="none"/>
        </w:rPr>
        <w:fldChar w:fldCharType="begin"/>
      </w:r>
      <w:r>
        <w:rPr>
          <w:rFonts w:hint="default" w:ascii="Times New Roman" w:hAnsi="Times New Roman" w:eastAsia="仿宋" w:cs="Times New Roman"/>
          <w:snapToGrid w:val="0"/>
          <w:color w:val="auto"/>
          <w:spacing w:val="-16"/>
          <w:kern w:val="21"/>
          <w:szCs w:val="21"/>
          <w:highlight w:val="none"/>
        </w:rPr>
        <w:instrText xml:space="preserve"> = 6 \* GB3 \* MERGEFORMAT </w:instrText>
      </w:r>
      <w:r>
        <w:rPr>
          <w:rFonts w:hint="default" w:ascii="Times New Roman" w:hAnsi="Times New Roman" w:eastAsia="仿宋"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eastAsia="仿宋" w:cs="Times New Roman"/>
          <w:snapToGrid w:val="0"/>
          <w:color w:val="auto"/>
          <w:spacing w:val="-16"/>
          <w:kern w:val="21"/>
          <w:szCs w:val="21"/>
          <w:highlight w:val="none"/>
        </w:rPr>
        <w:fldChar w:fldCharType="end"/>
      </w:r>
      <w:r>
        <w:rPr>
          <w:rFonts w:hint="default" w:ascii="Times New Roman" w:hAnsi="Times New Roman" w:eastAsia="仿宋" w:cs="Times New Roman"/>
          <w:snapToGrid w:val="0"/>
          <w:color w:val="auto"/>
          <w:spacing w:val="-16"/>
          <w:kern w:val="21"/>
          <w:szCs w:val="21"/>
          <w:highlight w:val="none"/>
        </w:rPr>
        <w:t>-</w:t>
      </w:r>
      <w:r>
        <w:rPr>
          <w:rFonts w:hint="default" w:ascii="Times New Roman" w:hAnsi="Times New Roman" w:eastAsia="仿宋" w:cs="Times New Roman"/>
          <w:snapToGrid w:val="0"/>
          <w:color w:val="auto"/>
          <w:spacing w:val="-6"/>
          <w:kern w:val="21"/>
          <w:szCs w:val="21"/>
          <w:highlight w:val="none"/>
        </w:rPr>
        <w:fldChar w:fldCharType="begin"/>
      </w:r>
      <w:r>
        <w:rPr>
          <w:rFonts w:hint="default" w:ascii="Times New Roman" w:hAnsi="Times New Roman" w:eastAsia="仿宋" w:cs="Times New Roman"/>
          <w:snapToGrid w:val="0"/>
          <w:color w:val="auto"/>
          <w:spacing w:val="-6"/>
          <w:kern w:val="21"/>
          <w:szCs w:val="21"/>
          <w:highlight w:val="none"/>
        </w:rPr>
        <w:instrText xml:space="preserve"> = 1 \* GB3 \* MERGEFORMAT </w:instrText>
      </w:r>
      <w:r>
        <w:rPr>
          <w:rFonts w:hint="default" w:ascii="Times New Roman" w:hAnsi="Times New Roman" w:eastAsia="仿宋"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eastAsia="仿宋" w:cs="Times New Roman"/>
          <w:snapToGrid w:val="0"/>
          <w:color w:val="auto"/>
          <w:spacing w:val="-6"/>
          <w:kern w:val="21"/>
          <w:szCs w:val="21"/>
          <w:highlight w:val="none"/>
        </w:rPr>
        <w:fldChar w:fldCharType="end"/>
      </w:r>
    </w:p>
    <w:p w14:paraId="43C25839">
      <w:pPr>
        <w:pStyle w:val="25"/>
        <w:adjustRightInd w:val="0"/>
        <w:snapToGrid w:val="0"/>
        <w:spacing w:before="0" w:beforeAutospacing="0" w:after="0" w:afterAutospacing="0"/>
        <w:outlineLvl w:val="0"/>
        <w:rPr>
          <w:rFonts w:hint="default" w:ascii="Times New Roman" w:hAnsi="Times New Roman" w:cs="Times New Roman"/>
          <w:snapToGrid w:val="0"/>
          <w:color w:val="auto"/>
          <w:sz w:val="30"/>
          <w:szCs w:val="30"/>
          <w:highlight w:val="none"/>
        </w:r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4BEFDD0B">
      <w:pPr>
        <w:pStyle w:val="25"/>
        <w:adjustRightInd w:val="0"/>
        <w:snapToGrid w:val="0"/>
        <w:spacing w:before="0" w:beforeAutospacing="0" w:after="0" w:afterAutospacing="0"/>
        <w:outlineLvl w:val="0"/>
        <w:rPr>
          <w:rFonts w:hint="default" w:ascii="Times New Roman" w:hAnsi="Times New Roman" w:cs="Times New Roman"/>
          <w:snapToGrid w:val="0"/>
          <w:color w:val="auto"/>
          <w:sz w:val="30"/>
          <w:szCs w:val="30"/>
          <w:highlight w:val="none"/>
        </w:rPr>
      </w:pPr>
      <w:bookmarkStart w:id="75" w:name="_Toc10791"/>
      <w:r>
        <w:rPr>
          <w:rFonts w:hint="default" w:ascii="Times New Roman" w:hAnsi="Times New Roman" w:cs="Times New Roman"/>
          <w:snapToGrid w:val="0"/>
          <w:color w:val="auto"/>
          <w:sz w:val="30"/>
          <w:szCs w:val="30"/>
          <w:highlight w:val="none"/>
        </w:rPr>
        <w:t>附图</w:t>
      </w:r>
      <w:bookmarkEnd w:id="75"/>
    </w:p>
    <w:p w14:paraId="28C7E64A">
      <w:pPr>
        <w:pStyle w:val="25"/>
        <w:adjustRightInd w:val="0"/>
        <w:snapToGrid w:val="0"/>
        <w:spacing w:before="0" w:beforeAutospacing="0" w:after="0" w:afterAutospacing="0"/>
        <w:outlineLvl w:val="1"/>
        <w:rPr>
          <w:rFonts w:hint="default" w:ascii="Times New Roman" w:hAnsi="Times New Roman" w:cs="Times New Roman"/>
          <w:snapToGrid w:val="0"/>
          <w:color w:val="auto"/>
          <w:sz w:val="28"/>
          <w:szCs w:val="28"/>
          <w:highlight w:val="none"/>
        </w:rPr>
      </w:pPr>
      <w:bookmarkStart w:id="76" w:name="_Toc3434"/>
      <w:r>
        <w:rPr>
          <w:rFonts w:hint="default" w:ascii="Times New Roman" w:hAnsi="Times New Roman" w:cs="Times New Roman"/>
          <w:color w:val="auto"/>
          <w:highlight w:val="none"/>
        </w:rPr>
        <w:drawing>
          <wp:anchor distT="0" distB="0" distL="114300" distR="114300" simplePos="0" relativeHeight="251674624" behindDoc="0" locked="0" layoutInCell="1" allowOverlap="1">
            <wp:simplePos x="0" y="0"/>
            <wp:positionH relativeFrom="column">
              <wp:posOffset>6898005</wp:posOffset>
            </wp:positionH>
            <wp:positionV relativeFrom="paragraph">
              <wp:posOffset>214630</wp:posOffset>
            </wp:positionV>
            <wp:extent cx="890270" cy="916940"/>
            <wp:effectExtent l="0" t="0" r="5080" b="16510"/>
            <wp:wrapNone/>
            <wp:docPr id="5" name="图片 95" descr="说明: 微信截图_2022100415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5" descr="说明: 微信截图_20221004150806"/>
                    <pic:cNvPicPr>
                      <a:picLocks noChangeAspect="1"/>
                    </pic:cNvPicPr>
                  </pic:nvPicPr>
                  <pic:blipFill>
                    <a:blip r:embed="rId23"/>
                    <a:stretch>
                      <a:fillRect/>
                    </a:stretch>
                  </pic:blipFill>
                  <pic:spPr>
                    <a:xfrm>
                      <a:off x="0" y="0"/>
                      <a:ext cx="890270" cy="916940"/>
                    </a:xfrm>
                    <a:prstGeom prst="rect">
                      <a:avLst/>
                    </a:prstGeom>
                    <a:noFill/>
                    <a:ln>
                      <a:noFill/>
                    </a:ln>
                  </pic:spPr>
                </pic:pic>
              </a:graphicData>
            </a:graphic>
          </wp:anchor>
        </w:drawing>
      </w:r>
      <w:r>
        <w:rPr>
          <w:rFonts w:hint="default" w:ascii="Times New Roman" w:hAnsi="Times New Roman" w:cs="Times New Roman"/>
          <w:snapToGrid w:val="0"/>
          <w:color w:val="auto"/>
          <w:sz w:val="28"/>
          <w:szCs w:val="28"/>
          <w:highlight w:val="none"/>
        </w:rPr>
        <w:t>附图1 地理位置图</w:t>
      </w:r>
      <w:bookmarkEnd w:id="76"/>
    </w:p>
    <w:p w14:paraId="1F348B5E">
      <w:pPr>
        <w:pStyle w:val="61"/>
        <w:ind w:firstLine="480"/>
        <w:rPr>
          <w:rFonts w:hint="default" w:ascii="Times New Roman" w:hAnsi="Times New Roman" w:eastAsia="仿宋" w:cs="Times New Roman"/>
          <w:snapToGrid w:val="0"/>
          <w:color w:val="auto"/>
          <w:highlight w:val="none"/>
        </w:rPr>
      </w:pPr>
      <w:r>
        <w:rPr>
          <w:rFonts w:hint="default" w:ascii="Times New Roman" w:hAnsi="Times New Roman" w:eastAsia="仿宋" w:cs="Times New Roman"/>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7310120</wp:posOffset>
                </wp:positionH>
                <wp:positionV relativeFrom="paragraph">
                  <wp:posOffset>4723765</wp:posOffset>
                </wp:positionV>
                <wp:extent cx="213995" cy="180340"/>
                <wp:effectExtent l="21590" t="18415" r="31115" b="29845"/>
                <wp:wrapNone/>
                <wp:docPr id="33" name="星形: 五角 14"/>
                <wp:cNvGraphicFramePr/>
                <a:graphic xmlns:a="http://schemas.openxmlformats.org/drawingml/2006/main">
                  <a:graphicData uri="http://schemas.microsoft.com/office/word/2010/wordprocessingShape">
                    <wps:wsp>
                      <wps:cNvSpPr/>
                      <wps:spPr>
                        <a:xfrm>
                          <a:off x="0" y="0"/>
                          <a:ext cx="213995" cy="18034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4" o:spid="_x0000_s1026" style="position:absolute;left:0pt;margin-left:575.6pt;margin-top:371.95pt;height:14.2pt;width:16.85pt;z-index:251668480;v-text-anchor:middle;mso-width-relative:page;mso-height-relative:page;" fillcolor="#FF0000" filled="t" stroked="t" coordsize="213995,180340" o:gfxdata="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Pee0ILbAAAADQEAAA8AAAAAAAAAAQAg&#10;AAAAIgAAAGRycy9kb3ducmV2LnhtbFBLAQIUABQAAAAIAIdO4kDb0lGrfQIAAP4EAAAOAAAAAAAA&#10;AAEAIAAAACoBAABkcnMvZTJvRG9jLnhtbFBLBQYAAAAABgAGAFkBAAAZBgAAAAA=&#10;" path="m0,68883l81739,68884,106997,0,132255,68884,213994,68883,147866,111455,173125,180339,106997,137766,40869,180339,66128,111455xe">
                <v:path o:connectlocs="106997,0;0,68883;40869,180339;173125,180339;213994,68883" o:connectangles="247,164,82,82,0"/>
                <v:fill on="t" focussize="0,0"/>
                <v:stroke weight="1pt" color="#FF0000 [3204]"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7456" behindDoc="0" locked="0" layoutInCell="1" allowOverlap="1">
                <wp:simplePos x="0" y="0"/>
                <wp:positionH relativeFrom="margin">
                  <wp:posOffset>6410325</wp:posOffset>
                </wp:positionH>
                <wp:positionV relativeFrom="paragraph">
                  <wp:posOffset>4543425</wp:posOffset>
                </wp:positionV>
                <wp:extent cx="1329055" cy="492760"/>
                <wp:effectExtent l="4445" t="4445" r="19050" b="17145"/>
                <wp:wrapNone/>
                <wp:docPr id="32" name="文本框 32"/>
                <wp:cNvGraphicFramePr/>
                <a:graphic xmlns:a="http://schemas.openxmlformats.org/drawingml/2006/main">
                  <a:graphicData uri="http://schemas.microsoft.com/office/word/2010/wordprocessingShape">
                    <wps:wsp>
                      <wps:cNvSpPr txBox="1"/>
                      <wps:spPr>
                        <a:xfrm>
                          <a:off x="0" y="0"/>
                          <a:ext cx="1329055" cy="492760"/>
                        </a:xfrm>
                        <a:prstGeom prst="rect">
                          <a:avLst/>
                        </a:prstGeom>
                        <a:solidFill>
                          <a:schemeClr val="lt1"/>
                        </a:solidFill>
                        <a:ln w="6350">
                          <a:solidFill>
                            <a:prstClr val="black"/>
                          </a:solidFill>
                        </a:ln>
                      </wps:spPr>
                      <wps:txbx>
                        <w:txbxContent>
                          <w:p w14:paraId="58F4DFAE">
                            <w:pPr>
                              <w:jc w:val="center"/>
                              <w:rPr>
                                <w:b/>
                                <w:bCs/>
                              </w:rPr>
                            </w:pPr>
                            <w:r>
                              <w:rPr>
                                <w:rFonts w:hint="eastAsia"/>
                                <w:b/>
                                <w:bCs/>
                              </w:rPr>
                              <w:t>图例</w:t>
                            </w:r>
                          </w:p>
                          <w:p w14:paraId="273206CB">
                            <w:r>
                              <w:rPr>
                                <w:rFonts w:hint="eastAsia"/>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75pt;margin-top:357.75pt;height:38.8pt;width:104.65pt;mso-position-horizontal-relative:margin;z-index:251667456;mso-width-relative:page;mso-height-relative:page;" fillcolor="#FFFFFF [3201]" filled="t" stroked="t" coordsize="21600,21600" o:gfxdata="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jL&#10;SKbYAAAADQEAAA8AAAAAAAAAAQAgAAAAIgAAAGRycy9kb3ducmV2LnhtbFBLAQIUABQAAAAIAIdO&#10;4kCKv7I3XAIAALkEAAAOAAAAAAAAAAEAIAAAACcBAABkcnMvZTJvRG9jLnhtbFBLBQYAAAAABgAG&#10;AFkBAAD1BQAAAAA=&#10;">
                <v:fill on="t" focussize="0,0"/>
                <v:stroke weight="0.5pt" color="#000000" joinstyle="round"/>
                <v:imagedata o:title=""/>
                <o:lock v:ext="edit" aspectratio="f"/>
                <v:textbox>
                  <w:txbxContent>
                    <w:p w14:paraId="58F4DFAE">
                      <w:pPr>
                        <w:jc w:val="center"/>
                        <w:rPr>
                          <w:b/>
                          <w:bCs/>
                        </w:rPr>
                      </w:pPr>
                      <w:r>
                        <w:rPr>
                          <w:rFonts w:hint="eastAsia"/>
                          <w:b/>
                          <w:bCs/>
                        </w:rPr>
                        <w:t>图例</w:t>
                      </w:r>
                    </w:p>
                    <w:p w14:paraId="273206CB">
                      <w:r>
                        <w:rPr>
                          <w:rFonts w:hint="eastAsia"/>
                        </w:rPr>
                        <w:t>本项目位置</w:t>
                      </w:r>
                    </w:p>
                  </w:txbxContent>
                </v:textbox>
              </v:shape>
            </w:pict>
          </mc:Fallback>
        </mc:AlternateContent>
      </w:r>
      <w:r>
        <w:rPr>
          <w:rFonts w:hint="default" w:ascii="Times New Roman" w:hAnsi="Times New Roman" w:eastAsia="仿宋" w:cs="Times New Roman"/>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4317365</wp:posOffset>
                </wp:positionH>
                <wp:positionV relativeFrom="paragraph">
                  <wp:posOffset>2065655</wp:posOffset>
                </wp:positionV>
                <wp:extent cx="213360" cy="207645"/>
                <wp:effectExtent l="19050" t="20955" r="34290" b="19050"/>
                <wp:wrapNone/>
                <wp:docPr id="14" name="星形: 五角 14"/>
                <wp:cNvGraphicFramePr/>
                <a:graphic xmlns:a="http://schemas.openxmlformats.org/drawingml/2006/main">
                  <a:graphicData uri="http://schemas.microsoft.com/office/word/2010/wordprocessingShape">
                    <wps:wsp>
                      <wps:cNvSpPr/>
                      <wps:spPr>
                        <a:xfrm>
                          <a:off x="0" y="0"/>
                          <a:ext cx="213360" cy="20764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4" o:spid="_x0000_s1026" style="position:absolute;left:0pt;margin-left:339.95pt;margin-top:162.65pt;height:16.35pt;width:16.8pt;z-index:251666432;v-text-anchor:middle;mso-width-relative:page;mso-height-relative:page;" fillcolor="#FF0000" filled="t" stroked="t" coordsize="213360,207645" o:gfxdata="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KfyL0rbAAAACwEAAA8AAAAAAAAAAQAgAAAA&#10;IgAAAGRycy9kb3ducmV2LnhtbFBLAQIUABQAAAAIAIdO4kA5S2a7egIAAP4EAAAOAAAAAAAAAAEA&#10;IAAAACoBAABkcnMvZTJvRG9jLnhtbFBLBQYAAAAABgAGAFkBAAAWBgAAAAA=&#10;" path="m0,79313l81496,79313,106680,0,131863,79313,213359,79313,147427,128331,172611,207644,106680,158625,40748,207644,65932,128331xe">
                <v:path o:connectlocs="106680,0;0,79313;40748,207644;172611,207644;213359,79313" o:connectangles="247,164,82,82,0"/>
                <v:fill on="t" focussize="0,0"/>
                <v:stroke weight="1pt" color="#FF0000 [3204]" miterlimit="8" joinstyle="miter"/>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6764020" cy="5086350"/>
            <wp:effectExtent l="0" t="0" r="1778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4"/>
                    <a:stretch>
                      <a:fillRect/>
                    </a:stretch>
                  </pic:blipFill>
                  <pic:spPr>
                    <a:xfrm>
                      <a:off x="0" y="0"/>
                      <a:ext cx="6764020" cy="5086350"/>
                    </a:xfrm>
                    <a:prstGeom prst="rect">
                      <a:avLst/>
                    </a:prstGeom>
                    <a:noFill/>
                    <a:ln>
                      <a:noFill/>
                    </a:ln>
                  </pic:spPr>
                </pic:pic>
              </a:graphicData>
            </a:graphic>
          </wp:inline>
        </w:drawing>
      </w:r>
    </w:p>
    <w:p w14:paraId="7EDED92B">
      <w:pPr>
        <w:pStyle w:val="61"/>
        <w:ind w:firstLine="480"/>
        <w:rPr>
          <w:rFonts w:hint="default" w:ascii="Times New Roman" w:hAnsi="Times New Roman" w:eastAsia="仿宋" w:cs="Times New Roman"/>
          <w:snapToGrid w:val="0"/>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1239741D">
      <w:pPr>
        <w:pStyle w:val="25"/>
        <w:adjustRightInd w:val="0"/>
        <w:snapToGrid w:val="0"/>
        <w:spacing w:before="0" w:beforeAutospacing="0" w:after="0" w:afterAutospacing="0"/>
        <w:outlineLvl w:val="1"/>
        <w:rPr>
          <w:rFonts w:hint="default" w:ascii="Times New Roman" w:hAnsi="Times New Roman" w:eastAsia="宋体" w:cs="Times New Roman"/>
          <w:snapToGrid w:val="0"/>
          <w:color w:val="auto"/>
          <w:sz w:val="28"/>
          <w:szCs w:val="28"/>
          <w:highlight w:val="none"/>
          <w:lang w:eastAsia="zh-CN"/>
        </w:rPr>
      </w:pPr>
      <w:bookmarkStart w:id="77" w:name="_Toc5816"/>
      <w:r>
        <w:rPr>
          <w:rFonts w:hint="default" w:ascii="Times New Roman" w:hAnsi="Times New Roman" w:cs="Times New Roman"/>
          <w:color w:val="auto"/>
          <w:highlight w:val="none"/>
        </w:rPr>
        <w:drawing>
          <wp:anchor distT="0" distB="0" distL="114300" distR="114300" simplePos="0" relativeHeight="251691008" behindDoc="0" locked="0" layoutInCell="1" allowOverlap="1">
            <wp:simplePos x="0" y="0"/>
            <wp:positionH relativeFrom="column">
              <wp:posOffset>7833360</wp:posOffset>
            </wp:positionH>
            <wp:positionV relativeFrom="paragraph">
              <wp:posOffset>210820</wp:posOffset>
            </wp:positionV>
            <wp:extent cx="682625" cy="702945"/>
            <wp:effectExtent l="0" t="0" r="3175" b="1905"/>
            <wp:wrapNone/>
            <wp:docPr id="48" name="图片 95" descr="说明: 微信截图_2022100415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5" descr="说明: 微信截图_20221004150806"/>
                    <pic:cNvPicPr>
                      <a:picLocks noChangeAspect="1"/>
                    </pic:cNvPicPr>
                  </pic:nvPicPr>
                  <pic:blipFill>
                    <a:blip r:embed="rId23"/>
                    <a:stretch>
                      <a:fillRect/>
                    </a:stretch>
                  </pic:blipFill>
                  <pic:spPr>
                    <a:xfrm>
                      <a:off x="0" y="0"/>
                      <a:ext cx="682625" cy="702945"/>
                    </a:xfrm>
                    <a:prstGeom prst="rect">
                      <a:avLst/>
                    </a:prstGeom>
                    <a:noFill/>
                    <a:ln>
                      <a:noFill/>
                    </a:ln>
                  </pic:spPr>
                </pic:pic>
              </a:graphicData>
            </a:graphic>
          </wp:anchor>
        </w:drawing>
      </w:r>
      <w:r>
        <w:rPr>
          <w:rFonts w:hint="default" w:ascii="Times New Roman" w:hAnsi="Times New Roman" w:cs="Times New Roman"/>
          <w:snapToGrid w:val="0"/>
          <w:color w:val="auto"/>
          <w:sz w:val="28"/>
          <w:szCs w:val="28"/>
          <w:highlight w:val="none"/>
        </w:rPr>
        <mc:AlternateContent>
          <mc:Choice Requires="wps">
            <w:drawing>
              <wp:anchor distT="0" distB="0" distL="114300" distR="114300" simplePos="0" relativeHeight="251670528" behindDoc="0" locked="0" layoutInCell="1" allowOverlap="1">
                <wp:simplePos x="0" y="0"/>
                <wp:positionH relativeFrom="column">
                  <wp:posOffset>4887595</wp:posOffset>
                </wp:positionH>
                <wp:positionV relativeFrom="paragraph">
                  <wp:posOffset>2812415</wp:posOffset>
                </wp:positionV>
                <wp:extent cx="668020" cy="368935"/>
                <wp:effectExtent l="0" t="0" r="0" b="0"/>
                <wp:wrapNone/>
                <wp:docPr id="9" name="文本框 9"/>
                <wp:cNvGraphicFramePr/>
                <a:graphic xmlns:a="http://schemas.openxmlformats.org/drawingml/2006/main">
                  <a:graphicData uri="http://schemas.microsoft.com/office/word/2010/wordprocessingShape">
                    <wps:wsp>
                      <wps:cNvSpPr txBox="1"/>
                      <wps:spPr>
                        <a:xfrm>
                          <a:off x="0" y="0"/>
                          <a:ext cx="668020" cy="368935"/>
                        </a:xfrm>
                        <a:prstGeom prst="rect">
                          <a:avLst/>
                        </a:prstGeom>
                        <a:noFill/>
                        <a:ln w="6350">
                          <a:noFill/>
                        </a:ln>
                      </wps:spPr>
                      <wps:txbx>
                        <w:txbxContent>
                          <w:p w14:paraId="190FAF7B">
                            <w:pPr>
                              <w:rPr>
                                <w:b/>
                                <w:bCs/>
                                <w:sz w:val="15"/>
                                <w:szCs w:val="15"/>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4.85pt;margin-top:221.45pt;height:29.05pt;width:52.6pt;z-index:251670528;mso-width-relative:page;mso-height-relative:page;" filled="f" stroked="f" coordsize="21600,21600" o:gfxdata="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cP7MU3QAAAAsBAAAPAAAAAAAAAAEAIAAAACIAAABk&#10;cnMvZG93bnJldi54bWxQSwECFAAUAAAACACHTuJAi+75YDoCAABlBAAADgAAAAAAAAABACAAAAAs&#10;AQAAZHJzL2Uyb0RvYy54bWxQSwUGAAAAAAYABgBZAQAA2AUAAAAA&#10;">
                <v:fill on="f" focussize="0,0"/>
                <v:stroke on="f" weight="0.5pt"/>
                <v:imagedata o:title=""/>
                <o:lock v:ext="edit" aspectratio="f"/>
                <v:textbox>
                  <w:txbxContent>
                    <w:p w14:paraId="190FAF7B">
                      <w:pPr>
                        <w:rPr>
                          <w:b/>
                          <w:bCs/>
                          <w:sz w:val="15"/>
                          <w:szCs w:val="15"/>
                        </w:rPr>
                      </w:pPr>
                    </w:p>
                  </w:txbxContent>
                </v:textbox>
              </v:shape>
            </w:pict>
          </mc:Fallback>
        </mc:AlternateContent>
      </w:r>
      <w:r>
        <w:rPr>
          <w:rFonts w:hint="default" w:ascii="Times New Roman" w:hAnsi="Times New Roman" w:cs="Times New Roman"/>
          <w:snapToGrid w:val="0"/>
          <w:color w:val="auto"/>
          <w:sz w:val="28"/>
          <w:szCs w:val="28"/>
          <w:highlight w:val="none"/>
        </w:rPr>
        <mc:AlternateContent>
          <mc:Choice Requires="wps">
            <w:drawing>
              <wp:anchor distT="0" distB="0" distL="114300" distR="114300" simplePos="0" relativeHeight="251669504" behindDoc="0" locked="0" layoutInCell="1" allowOverlap="1">
                <wp:simplePos x="0" y="0"/>
                <wp:positionH relativeFrom="column">
                  <wp:posOffset>4592320</wp:posOffset>
                </wp:positionH>
                <wp:positionV relativeFrom="paragraph">
                  <wp:posOffset>2135505</wp:posOffset>
                </wp:positionV>
                <wp:extent cx="981075" cy="36893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981075" cy="368935"/>
                        </a:xfrm>
                        <a:prstGeom prst="rect">
                          <a:avLst/>
                        </a:prstGeom>
                        <a:noFill/>
                        <a:ln w="6350">
                          <a:noFill/>
                        </a:ln>
                      </wps:spPr>
                      <wps:txbx>
                        <w:txbxContent>
                          <w:p w14:paraId="0CC694BC">
                            <w:pPr>
                              <w:rPr>
                                <w:b/>
                                <w:bCs/>
                                <w:sz w:val="15"/>
                                <w:szCs w:val="15"/>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1.6pt;margin-top:168.15pt;height:29.05pt;width:77.25pt;z-index:251669504;mso-width-relative:page;mso-height-relative:page;" filled="f" stroked="f" coordsize="21600,21600" o:gfxdata="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4BZqTcAAAACwEAAA8AAAAAAAAAAQAgAAAAIgAA&#10;AGRycy9kb3ducmV2LnhtbFBLAQIUABQAAAAIAIdO4kDBJYb8PQIAAGcEAAAOAAAAAAAAAAEAIAAA&#10;ACsBAABkcnMvZTJvRG9jLnhtbFBLBQYAAAAABgAGAFkBAADaBQAAAAA=&#10;">
                <v:fill on="f" focussize="0,0"/>
                <v:stroke on="f" weight="0.5pt"/>
                <v:imagedata o:title=""/>
                <o:lock v:ext="edit" aspectratio="f"/>
                <v:textbox>
                  <w:txbxContent>
                    <w:p w14:paraId="0CC694BC">
                      <w:pPr>
                        <w:rPr>
                          <w:b/>
                          <w:bCs/>
                          <w:sz w:val="15"/>
                          <w:szCs w:val="15"/>
                        </w:rPr>
                      </w:pPr>
                    </w:p>
                  </w:txbxContent>
                </v:textbox>
              </v:shape>
            </w:pict>
          </mc:Fallback>
        </mc:AlternateContent>
      </w:r>
      <w:r>
        <w:rPr>
          <w:rFonts w:hint="default" w:ascii="Times New Roman" w:hAnsi="Times New Roman" w:cs="Times New Roman"/>
          <w:snapToGrid w:val="0"/>
          <w:color w:val="auto"/>
          <w:sz w:val="28"/>
          <w:szCs w:val="28"/>
          <w:highlight w:val="none"/>
        </w:rPr>
        <w:t xml:space="preserve">附图2 </w:t>
      </w:r>
      <w:r>
        <w:rPr>
          <w:rFonts w:hint="default" w:ascii="Times New Roman" w:hAnsi="Times New Roman" w:cs="Times New Roman"/>
          <w:snapToGrid w:val="0"/>
          <w:color w:val="auto"/>
          <w:sz w:val="28"/>
          <w:szCs w:val="28"/>
          <w:highlight w:val="none"/>
          <w:lang w:val="en-US" w:eastAsia="zh-CN"/>
        </w:rPr>
        <w:t>平面布置图</w:t>
      </w:r>
      <w:bookmarkEnd w:id="77"/>
    </w:p>
    <w:p w14:paraId="62D31542">
      <w:pPr>
        <w:pStyle w:val="61"/>
        <w:jc w:val="both"/>
        <w:rPr>
          <w:rFonts w:hint="default" w:ascii="Times New Roman" w:hAnsi="Times New Roman" w:eastAsia="仿宋" w:cs="Times New Roman"/>
          <w:snapToGrid w:val="0"/>
          <w:color w:val="auto"/>
          <w:highlight w:val="none"/>
        </w:rPr>
      </w:pPr>
      <w:r>
        <w:rPr>
          <w:rFonts w:hint="default" w:ascii="Times New Roman" w:hAnsi="Times New Roman" w:cs="Times New Roman"/>
          <w:color w:val="auto"/>
          <w:sz w:val="20"/>
          <w:highlight w:val="none"/>
        </w:rPr>
        <mc:AlternateContent>
          <mc:Choice Requires="wps">
            <w:drawing>
              <wp:anchor distT="0" distB="0" distL="114300" distR="114300" simplePos="0" relativeHeight="251698176" behindDoc="0" locked="0" layoutInCell="1" allowOverlap="1">
                <wp:simplePos x="0" y="0"/>
                <wp:positionH relativeFrom="column">
                  <wp:posOffset>7840980</wp:posOffset>
                </wp:positionH>
                <wp:positionV relativeFrom="paragraph">
                  <wp:posOffset>3754755</wp:posOffset>
                </wp:positionV>
                <wp:extent cx="632460" cy="285115"/>
                <wp:effectExtent l="0" t="0" r="0" b="0"/>
                <wp:wrapNone/>
                <wp:docPr id="82" name="矩形 82"/>
                <wp:cNvGraphicFramePr/>
                <a:graphic xmlns:a="http://schemas.openxmlformats.org/drawingml/2006/main">
                  <a:graphicData uri="http://schemas.microsoft.com/office/word/2010/wordprocessingShape">
                    <wps:wsp>
                      <wps:cNvSpPr/>
                      <wps:spPr>
                        <a:xfrm>
                          <a:off x="0" y="0"/>
                          <a:ext cx="632460" cy="2851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BC760E5">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排气筒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7.4pt;margin-top:295.65pt;height:22.45pt;width:49.8pt;z-index:251698176;v-text-anchor:middle;mso-width-relative:page;mso-height-relative:page;" filled="f" stroked="f" coordsize="21600,21600" o:gfxdata="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yrjsI2QAAAA0BAAAPAAAAAAAAAAEAIAAAACIAAABkcnMvZG93bnJldi54bWxQSwECFAAUAAAA&#10;CACHTuJApYhkmF8CAACuBAAADgAAAAAAAAABACAAAAAoAQAAZHJzL2Uyb0RvYy54bWxQSwUGAAAA&#10;AAYABgBZAQAA+QUAAAAA&#10;">
                <v:fill on="f" focussize="0,0"/>
                <v:stroke on="f" weight="1pt" miterlimit="8" joinstyle="miter"/>
                <v:imagedata o:title=""/>
                <o:lock v:ext="edit" aspectratio="f"/>
                <v:textbox>
                  <w:txbxContent>
                    <w:p w14:paraId="0BC760E5">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排气筒</w:t>
                      </w:r>
                    </w:p>
                  </w:txbxContent>
                </v:textbox>
              </v:rect>
            </w:pict>
          </mc:Fallback>
        </mc:AlternateContent>
      </w:r>
      <w:r>
        <w:rPr>
          <w:rFonts w:hint="default" w:ascii="Times New Roman" w:hAnsi="Times New Roman" w:cs="Times New Roman"/>
          <w:color w:val="auto"/>
          <w:sz w:val="20"/>
          <w:highlight w:val="none"/>
        </w:rPr>
        <mc:AlternateContent>
          <mc:Choice Requires="wps">
            <w:drawing>
              <wp:anchor distT="0" distB="0" distL="114300" distR="114300" simplePos="0" relativeHeight="251699200" behindDoc="0" locked="0" layoutInCell="1" allowOverlap="1">
                <wp:simplePos x="0" y="0"/>
                <wp:positionH relativeFrom="column">
                  <wp:posOffset>7621270</wp:posOffset>
                </wp:positionH>
                <wp:positionV relativeFrom="paragraph">
                  <wp:posOffset>3867150</wp:posOffset>
                </wp:positionV>
                <wp:extent cx="86995" cy="78105"/>
                <wp:effectExtent l="6350" t="6350" r="20955" b="10795"/>
                <wp:wrapNone/>
                <wp:docPr id="83" name="椭圆 83"/>
                <wp:cNvGraphicFramePr/>
                <a:graphic xmlns:a="http://schemas.openxmlformats.org/drawingml/2006/main">
                  <a:graphicData uri="http://schemas.microsoft.com/office/word/2010/wordprocessingShape">
                    <wps:wsp>
                      <wps:cNvSpPr/>
                      <wps:spPr>
                        <a:xfrm>
                          <a:off x="0" y="0"/>
                          <a:ext cx="86995" cy="7810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00.1pt;margin-top:304.5pt;height:6.15pt;width:6.85pt;z-index:251699200;v-text-anchor:middle;mso-width-relative:page;mso-height-relative:page;" fillcolor="#FF0000" filled="t" stroked="t" coordsize="21600,21600" o:gfxdata="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fPsL51gAAAA0BAAAPAAAAAAAAAAEAIAAAACIAAABkcnMvZG93bnJldi54&#10;bWxQSwECFAAUAAAACACHTuJAG/FPNW4CAAD2BAAADgAAAAAAAAABACAAAAAlAQAAZHJzL2Uyb0Rv&#10;Yy54bWxQSwUGAAAAAAYABgBZAQAABQYAAAAA&#1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0"/>
          <w:highlight w:val="none"/>
        </w:rPr>
        <mc:AlternateContent>
          <mc:Choice Requires="wps">
            <w:drawing>
              <wp:anchor distT="0" distB="0" distL="114300" distR="114300" simplePos="0" relativeHeight="251697152" behindDoc="0" locked="0" layoutInCell="1" allowOverlap="1">
                <wp:simplePos x="0" y="0"/>
                <wp:positionH relativeFrom="column">
                  <wp:posOffset>7835900</wp:posOffset>
                </wp:positionH>
                <wp:positionV relativeFrom="paragraph">
                  <wp:posOffset>3481705</wp:posOffset>
                </wp:positionV>
                <wp:extent cx="632460" cy="285115"/>
                <wp:effectExtent l="0" t="0" r="0" b="0"/>
                <wp:wrapNone/>
                <wp:docPr id="79" name="矩形 79"/>
                <wp:cNvGraphicFramePr/>
                <a:graphic xmlns:a="http://schemas.openxmlformats.org/drawingml/2006/main">
                  <a:graphicData uri="http://schemas.microsoft.com/office/word/2010/wordprocessingShape">
                    <wps:wsp>
                      <wps:cNvSpPr/>
                      <wps:spPr>
                        <a:xfrm>
                          <a:off x="0" y="0"/>
                          <a:ext cx="632460" cy="2851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0F428FB">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厂 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7pt;margin-top:274.15pt;height:22.45pt;width:49.8pt;z-index:251697152;v-text-anchor:middle;mso-width-relative:page;mso-height-relative:page;" filled="f" stroked="f" coordsize="21600,21600" o:gfxdata="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5zPIXaAAAADQEAAA8AAAAAAAAAAQAgAAAAIgAAAGRycy9kb3ducmV2LnhtbFBLAQIUABQA&#10;AAAIAIdO4kDHRnLwYAIAAK4EAAAOAAAAAAAAAAEAIAAAACkBAABkcnMvZTJvRG9jLnhtbFBLBQYA&#10;AAAABgAGAFkBAAD7BQAAAAA=&#10;">
                <v:fill on="f" focussize="0,0"/>
                <v:stroke on="f" weight="1pt" miterlimit="8" joinstyle="miter"/>
                <v:imagedata o:title=""/>
                <o:lock v:ext="edit" aspectratio="f"/>
                <v:textbox>
                  <w:txbxContent>
                    <w:p w14:paraId="50F428FB">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厂 界</w:t>
                      </w:r>
                    </w:p>
                  </w:txbxContent>
                </v:textbox>
              </v:rect>
            </w:pict>
          </mc:Fallback>
        </mc:AlternateContent>
      </w:r>
      <w:r>
        <w:rPr>
          <w:rFonts w:hint="default" w:ascii="Times New Roman" w:hAnsi="Times New Roman" w:cs="Times New Roman"/>
          <w:color w:val="auto"/>
          <w:sz w:val="20"/>
          <w:highlight w:val="none"/>
        </w:rPr>
        <mc:AlternateContent>
          <mc:Choice Requires="wps">
            <w:drawing>
              <wp:anchor distT="0" distB="0" distL="114300" distR="114300" simplePos="0" relativeHeight="251700224" behindDoc="0" locked="0" layoutInCell="1" allowOverlap="1">
                <wp:simplePos x="0" y="0"/>
                <wp:positionH relativeFrom="column">
                  <wp:posOffset>7533005</wp:posOffset>
                </wp:positionH>
                <wp:positionV relativeFrom="paragraph">
                  <wp:posOffset>3535680</wp:posOffset>
                </wp:positionV>
                <wp:extent cx="268605" cy="138430"/>
                <wp:effectExtent l="9525" t="9525" r="26670" b="23495"/>
                <wp:wrapNone/>
                <wp:docPr id="84" name="矩形 84"/>
                <wp:cNvGraphicFramePr/>
                <a:graphic xmlns:a="http://schemas.openxmlformats.org/drawingml/2006/main">
                  <a:graphicData uri="http://schemas.microsoft.com/office/word/2010/wordprocessingShape">
                    <wps:wsp>
                      <wps:cNvSpPr/>
                      <wps:spPr>
                        <a:xfrm>
                          <a:off x="8649335" y="5220970"/>
                          <a:ext cx="268605" cy="13843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3.15pt;margin-top:278.4pt;height:10.9pt;width:21.15pt;z-index:251700224;v-text-anchor:middle;mso-width-relative:page;mso-height-relative:page;" filled="f" stroked="t" coordsize="21600,21600" o:gfxdata="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38vTx9sAAAANAQAADwAAAAAAAAABACAAAAAiAAAAZHJz&#10;L2Rvd25yZXYueG1sUEsBAhQAFAAAAAgAh07iQCIjmFxzAgAA2AQAAA4AAAAAAAAAAQAgAAAAKgEA&#10;AGRycy9lMm9Eb2MueG1sUEsFBgAAAAAGAAYAWQEAAA8GAAAAAA==&#10;">
                <v:fill on="f" focussize="0,0"/>
                <v:stroke weight="1.5pt" color="#000000 [3213]" miterlimit="8" joinstyle="miter"/>
                <v:imagedata o:title=""/>
                <o:lock v:ext="edit" aspectratio="f"/>
              </v:rect>
            </w:pict>
          </mc:Fallback>
        </mc:AlternateContent>
      </w:r>
      <w:r>
        <w:rPr>
          <w:rFonts w:hint="default" w:ascii="Times New Roman" w:hAnsi="Times New Roman" w:cs="Times New Roman"/>
          <w:color w:val="auto"/>
          <w:sz w:val="20"/>
          <w:highlight w:val="none"/>
        </w:rPr>
        <mc:AlternateContent>
          <mc:Choice Requires="wps">
            <w:drawing>
              <wp:anchor distT="0" distB="0" distL="114300" distR="114300" simplePos="0" relativeHeight="251696128" behindDoc="0" locked="0" layoutInCell="1" allowOverlap="1">
                <wp:simplePos x="0" y="0"/>
                <wp:positionH relativeFrom="column">
                  <wp:posOffset>7681595</wp:posOffset>
                </wp:positionH>
                <wp:positionV relativeFrom="paragraph">
                  <wp:posOffset>3173095</wp:posOffset>
                </wp:positionV>
                <wp:extent cx="632460" cy="285115"/>
                <wp:effectExtent l="0" t="0" r="0" b="0"/>
                <wp:wrapNone/>
                <wp:docPr id="78" name="矩形 78"/>
                <wp:cNvGraphicFramePr/>
                <a:graphic xmlns:a="http://schemas.openxmlformats.org/drawingml/2006/main">
                  <a:graphicData uri="http://schemas.microsoft.com/office/word/2010/wordprocessingShape">
                    <wps:wsp>
                      <wps:cNvSpPr/>
                      <wps:spPr>
                        <a:xfrm>
                          <a:off x="8709660" y="4779010"/>
                          <a:ext cx="632460" cy="2851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9660A76">
                            <w:pPr>
                              <w:jc w:val="cente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 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4.85pt;margin-top:249.85pt;height:22.45pt;width:49.8pt;z-index:251696128;v-text-anchor:middle;mso-width-relative:page;mso-height-relative:page;" filled="f" stroked="f" coordsize="21600,21600" o:gfxdata="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QRUaE2gAAAA0BAAAPAAAAAAAAAAEAIAAAACIAAABkcnMvZG93bnJldi54&#10;bWxQSwECFAAUAAAACACHTuJAtZP4e2oCAAC6BAAADgAAAAAAAAABACAAAAApAQAAZHJzL2Uyb0Rv&#10;Yy54bWxQSwUGAAAAAAYABgBZAQAABQYAAAAA&#10;">
                <v:fill on="f" focussize="0,0"/>
                <v:stroke on="f" weight="1pt" miterlimit="8" joinstyle="miter"/>
                <v:imagedata o:title=""/>
                <o:lock v:ext="edit" aspectratio="f"/>
                <v:textbox>
                  <w:txbxContent>
                    <w:p w14:paraId="39660A76">
                      <w:pPr>
                        <w:jc w:val="cente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 例</w:t>
                      </w:r>
                    </w:p>
                  </w:txbxContent>
                </v:textbox>
              </v:rect>
            </w:pict>
          </mc:Fallback>
        </mc:AlternateContent>
      </w:r>
      <w:r>
        <w:rPr>
          <w:rFonts w:hint="default" w:ascii="Times New Roman" w:hAnsi="Times New Roman" w:cs="Times New Roman"/>
          <w:color w:val="auto"/>
          <w:sz w:val="20"/>
          <w:highlight w:val="none"/>
        </w:rPr>
        <mc:AlternateContent>
          <mc:Choice Requires="wps">
            <w:drawing>
              <wp:anchor distT="0" distB="0" distL="114300" distR="114300" simplePos="0" relativeHeight="251695104" behindDoc="0" locked="0" layoutInCell="1" allowOverlap="1">
                <wp:simplePos x="0" y="0"/>
                <wp:positionH relativeFrom="column">
                  <wp:posOffset>7440930</wp:posOffset>
                </wp:positionH>
                <wp:positionV relativeFrom="paragraph">
                  <wp:posOffset>3180080</wp:posOffset>
                </wp:positionV>
                <wp:extent cx="1082675" cy="927100"/>
                <wp:effectExtent l="6350" t="6350" r="15875" b="19050"/>
                <wp:wrapNone/>
                <wp:docPr id="77" name="矩形 77"/>
                <wp:cNvGraphicFramePr/>
                <a:graphic xmlns:a="http://schemas.openxmlformats.org/drawingml/2006/main">
                  <a:graphicData uri="http://schemas.microsoft.com/office/word/2010/wordprocessingShape">
                    <wps:wsp>
                      <wps:cNvSpPr/>
                      <wps:spPr>
                        <a:xfrm>
                          <a:off x="8502015" y="4657725"/>
                          <a:ext cx="1082675" cy="92710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5.9pt;margin-top:250.4pt;height:73pt;width:85.25pt;z-index:251695104;v-text-anchor:middle;mso-width-relative:page;mso-height-relative:page;" fillcolor="#FFFFFF [3212]" filled="t" stroked="t" coordsize="21600,21600" o:gfxdata="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CsWWL3b&#10;AAAADQEAAA8AAAAAAAAAAQAgAAAAIgAAAGRycy9kb3ducmV2LnhtbFBLAQIUABQAAAAIAIdO4kB6&#10;laySjwIAACQFAAAOAAAAAAAAAAEAIAAAACoBAABkcnMvZTJvRG9jLnhtbFBLBQYAAAAABgAGAFkB&#10;AAArBgAAAAA=&#10;">
                <v:fill on="t" focussize="0,0"/>
                <v:stroke weight="1pt" color="#2F5597 [2404]" miterlimit="8" joinstyle="miter"/>
                <v:imagedata o:title=""/>
                <o:lock v:ext="edit" aspectratio="f"/>
              </v:rect>
            </w:pict>
          </mc:Fallback>
        </mc:AlternateContent>
      </w:r>
      <w:r>
        <w:rPr>
          <w:rFonts w:hint="default" w:ascii="Times New Roman" w:hAnsi="Times New Roman" w:cs="Times New Roman"/>
          <w:color w:val="auto"/>
          <w:sz w:val="20"/>
          <w:highlight w:val="none"/>
        </w:rPr>
        <mc:AlternateContent>
          <mc:Choice Requires="wps">
            <w:drawing>
              <wp:anchor distT="0" distB="0" distL="114300" distR="114300" simplePos="0" relativeHeight="251694080" behindDoc="0" locked="0" layoutInCell="1" allowOverlap="1">
                <wp:simplePos x="0" y="0"/>
                <wp:positionH relativeFrom="column">
                  <wp:posOffset>2164080</wp:posOffset>
                </wp:positionH>
                <wp:positionV relativeFrom="paragraph">
                  <wp:posOffset>1185545</wp:posOffset>
                </wp:positionV>
                <wp:extent cx="743585" cy="241935"/>
                <wp:effectExtent l="0" t="0" r="0" b="0"/>
                <wp:wrapNone/>
                <wp:docPr id="73" name="矩形 73"/>
                <wp:cNvGraphicFramePr/>
                <a:graphic xmlns:a="http://schemas.openxmlformats.org/drawingml/2006/main">
                  <a:graphicData uri="http://schemas.microsoft.com/office/word/2010/wordprocessingShape">
                    <wps:wsp>
                      <wps:cNvSpPr/>
                      <wps:spPr>
                        <a:xfrm>
                          <a:off x="0" y="0"/>
                          <a:ext cx="743585" cy="24193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FD00F4B">
                            <w:pPr>
                              <w:jc w:val="center"/>
                              <w:rPr>
                                <w:rFonts w:hint="default" w:eastAsia="宋体"/>
                                <w:lang w:val="en-US" w:eastAsia="zh-CN"/>
                              </w:rPr>
                            </w:pPr>
                            <w:r>
                              <w:rPr>
                                <w:rFonts w:hint="eastAsia"/>
                                <w:lang w:val="en-US" w:eastAsia="zh-CN"/>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0.4pt;margin-top:93.35pt;height:19.05pt;width:58.55pt;z-index:251694080;v-text-anchor:middle;mso-width-relative:page;mso-height-relative:page;" filled="f" stroked="f" coordsize="21600,21600" o:gfxdata="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4Pf9h2QAAAAsBAAAPAAAAAAAAAAEAIAAAACIAAABkcnMvZG93bnJldi54bWxQSwECFAAU&#10;AAAACACHTuJA8cOI12ICAACuBAAADgAAAAAAAAABACAAAAAoAQAAZHJzL2Uyb0RvYy54bWxQSwUG&#10;AAAAAAYABgBZAQAA/AUAAAAA&#10;">
                <v:fill on="f" focussize="0,0"/>
                <v:stroke on="f" weight="1pt" miterlimit="8" joinstyle="miter"/>
                <v:imagedata o:title=""/>
                <o:lock v:ext="edit" aspectratio="f"/>
                <v:textbox>
                  <w:txbxContent>
                    <w:p w14:paraId="3FD00F4B">
                      <w:pPr>
                        <w:jc w:val="center"/>
                        <w:rPr>
                          <w:rFonts w:hint="default" w:eastAsia="宋体"/>
                          <w:lang w:val="en-US" w:eastAsia="zh-CN"/>
                        </w:rPr>
                      </w:pPr>
                      <w:r>
                        <w:rPr>
                          <w:rFonts w:hint="eastAsia"/>
                          <w:lang w:val="en-US" w:eastAsia="zh-CN"/>
                        </w:rPr>
                        <w:t>DA002</w:t>
                      </w:r>
                    </w:p>
                  </w:txbxContent>
                </v:textbox>
              </v:rect>
            </w:pict>
          </mc:Fallback>
        </mc:AlternateContent>
      </w:r>
      <w:r>
        <w:rPr>
          <w:rFonts w:hint="default" w:ascii="Times New Roman" w:hAnsi="Times New Roman" w:cs="Times New Roman"/>
          <w:color w:val="auto"/>
          <w:sz w:val="20"/>
          <w:highlight w:val="none"/>
        </w:rPr>
        <mc:AlternateContent>
          <mc:Choice Requires="wps">
            <w:drawing>
              <wp:anchor distT="0" distB="0" distL="114300" distR="114300" simplePos="0" relativeHeight="251692032" behindDoc="0" locked="0" layoutInCell="1" allowOverlap="1">
                <wp:simplePos x="0" y="0"/>
                <wp:positionH relativeFrom="column">
                  <wp:posOffset>1135380</wp:posOffset>
                </wp:positionH>
                <wp:positionV relativeFrom="paragraph">
                  <wp:posOffset>1426210</wp:posOffset>
                </wp:positionV>
                <wp:extent cx="743585" cy="241935"/>
                <wp:effectExtent l="0" t="0" r="0" b="0"/>
                <wp:wrapNone/>
                <wp:docPr id="71" name="矩形 71"/>
                <wp:cNvGraphicFramePr/>
                <a:graphic xmlns:a="http://schemas.openxmlformats.org/drawingml/2006/main">
                  <a:graphicData uri="http://schemas.microsoft.com/office/word/2010/wordprocessingShape">
                    <wps:wsp>
                      <wps:cNvSpPr/>
                      <wps:spPr>
                        <a:xfrm>
                          <a:off x="2345690" y="3044190"/>
                          <a:ext cx="743585" cy="24193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1828D3A">
                            <w:pPr>
                              <w:jc w:val="center"/>
                              <w:rPr>
                                <w:rFonts w:hint="default" w:eastAsia="宋体"/>
                                <w:lang w:val="en-US" w:eastAsia="zh-CN"/>
                              </w:rPr>
                            </w:pPr>
                            <w:r>
                              <w:rPr>
                                <w:rFonts w:hint="eastAsia"/>
                                <w:lang w:val="en-US" w:eastAsia="zh-CN"/>
                              </w:rPr>
                              <w:t>DA003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4pt;margin-top:112.3pt;height:19.05pt;width:58.55pt;z-index:251692032;v-text-anchor:middle;mso-width-relative:page;mso-height-relative:page;" filled="f" stroked="f" coordsize="21600,21600" o:gfxdata="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VAzA3ZAAAACwEAAA8AAAAAAAAAAQAgAAAAIgAAAGRycy9kb3ducmV2Lnht&#10;bFBLAQIUABQAAAAIAIdO4kB39s8fagIAALoEAAAOAAAAAAAAAAEAIAAAACgBAABkcnMvZTJvRG9j&#10;LnhtbFBLBQYAAAAABgAGAFkBAAAEBgAAAAA=&#10;">
                <v:fill on="f" focussize="0,0"/>
                <v:stroke on="f" weight="1pt" miterlimit="8" joinstyle="miter"/>
                <v:imagedata o:title=""/>
                <o:lock v:ext="edit" aspectratio="f"/>
                <v:textbox>
                  <w:txbxContent>
                    <w:p w14:paraId="31828D3A">
                      <w:pPr>
                        <w:jc w:val="center"/>
                        <w:rPr>
                          <w:rFonts w:hint="default" w:eastAsia="宋体"/>
                          <w:lang w:val="en-US" w:eastAsia="zh-CN"/>
                        </w:rPr>
                      </w:pPr>
                      <w:r>
                        <w:rPr>
                          <w:rFonts w:hint="eastAsia"/>
                          <w:lang w:val="en-US" w:eastAsia="zh-CN"/>
                        </w:rPr>
                        <w:t>DA003</w:t>
                      </w:r>
                    </w:p>
                  </w:txbxContent>
                </v:textbox>
              </v:rect>
            </w:pict>
          </mc:Fallback>
        </mc:AlternateContent>
      </w:r>
      <w:r>
        <w:rPr>
          <w:rFonts w:hint="default" w:ascii="Times New Roman" w:hAnsi="Times New Roman" w:cs="Times New Roman"/>
          <w:color w:val="auto"/>
          <w:sz w:val="20"/>
          <w:highlight w:val="none"/>
        </w:rPr>
        <mc:AlternateContent>
          <mc:Choice Requires="wps">
            <w:drawing>
              <wp:anchor distT="0" distB="0" distL="114300" distR="114300" simplePos="0" relativeHeight="251693056" behindDoc="0" locked="0" layoutInCell="1" allowOverlap="1">
                <wp:simplePos x="0" y="0"/>
                <wp:positionH relativeFrom="column">
                  <wp:posOffset>1496060</wp:posOffset>
                </wp:positionH>
                <wp:positionV relativeFrom="paragraph">
                  <wp:posOffset>1976755</wp:posOffset>
                </wp:positionV>
                <wp:extent cx="743585" cy="241935"/>
                <wp:effectExtent l="0" t="0" r="0" b="0"/>
                <wp:wrapNone/>
                <wp:docPr id="72" name="矩形 72"/>
                <wp:cNvGraphicFramePr/>
                <a:graphic xmlns:a="http://schemas.openxmlformats.org/drawingml/2006/main">
                  <a:graphicData uri="http://schemas.microsoft.com/office/word/2010/wordprocessingShape">
                    <wps:wsp>
                      <wps:cNvSpPr/>
                      <wps:spPr>
                        <a:xfrm>
                          <a:off x="0" y="0"/>
                          <a:ext cx="743585" cy="24193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FBA9442">
                            <w:pPr>
                              <w:jc w:val="cente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8pt;margin-top:155.65pt;height:19.05pt;width:58.55pt;z-index:251693056;v-text-anchor:middle;mso-width-relative:page;mso-height-relative:page;" filled="f" stroked="f" coordsize="21600,21600" o:gfxdata="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oXtXT2gAAAAsBAAAPAAAAAAAAAAEAIAAAACIAAABkcnMvZG93bnJldi54bWxQSwECFAAU&#10;AAAACACHTuJAaxvKoWECAACuBAAADgAAAAAAAAABACAAAAApAQAAZHJzL2Uyb0RvYy54bWxQSwUG&#10;AAAAAAYABgBZAQAA/AUAAAAA&#10;">
                <v:fill on="f" focussize="0,0"/>
                <v:stroke on="f" weight="1pt" miterlimit="8" joinstyle="miter"/>
                <v:imagedata o:title=""/>
                <o:lock v:ext="edit" aspectratio="f"/>
                <v:textbox>
                  <w:txbxContent>
                    <w:p w14:paraId="6FBA9442">
                      <w:pPr>
                        <w:jc w:val="center"/>
                        <w:rPr>
                          <w:rFonts w:hint="default" w:eastAsia="宋体"/>
                          <w:lang w:val="en-US" w:eastAsia="zh-CN"/>
                        </w:rPr>
                      </w:pPr>
                      <w:r>
                        <w:rPr>
                          <w:rFonts w:hint="eastAsia"/>
                          <w:lang w:val="en-US" w:eastAsia="zh-CN"/>
                        </w:rPr>
                        <w:t>DA001</w:t>
                      </w:r>
                    </w:p>
                  </w:txbxContent>
                </v:textbox>
              </v:rect>
            </w:pict>
          </mc:Fallback>
        </mc:AlternateContent>
      </w:r>
      <w:r>
        <w:rPr>
          <w:rFonts w:hint="default" w:ascii="Times New Roman" w:hAnsi="Times New Roman" w:cs="Times New Roman"/>
          <w:color w:val="auto"/>
          <w:highlight w:val="none"/>
        </w:rPr>
        <w:drawing>
          <wp:inline distT="0" distB="0" distL="114300" distR="114300">
            <wp:extent cx="8528050" cy="4112260"/>
            <wp:effectExtent l="0" t="0" r="6350" b="254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5"/>
                    <a:stretch>
                      <a:fillRect/>
                    </a:stretch>
                  </pic:blipFill>
                  <pic:spPr>
                    <a:xfrm>
                      <a:off x="0" y="0"/>
                      <a:ext cx="8528050" cy="4112260"/>
                    </a:xfrm>
                    <a:prstGeom prst="rect">
                      <a:avLst/>
                    </a:prstGeom>
                    <a:noFill/>
                    <a:ln>
                      <a:noFill/>
                    </a:ln>
                  </pic:spPr>
                </pic:pic>
              </a:graphicData>
            </a:graphic>
          </wp:inline>
        </w:drawing>
      </w:r>
    </w:p>
    <w:p w14:paraId="2600D5D4">
      <w:pPr>
        <w:pStyle w:val="61"/>
        <w:ind w:firstLine="480"/>
        <w:rPr>
          <w:rFonts w:hint="default" w:ascii="Times New Roman" w:hAnsi="Times New Roman" w:eastAsia="仿宋" w:cs="Times New Roman"/>
          <w:snapToGrid w:val="0"/>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79E0C5CD">
      <w:pPr>
        <w:pStyle w:val="25"/>
        <w:adjustRightInd w:val="0"/>
        <w:snapToGrid w:val="0"/>
        <w:spacing w:before="0" w:beforeAutospacing="0" w:after="0" w:afterAutospacing="0"/>
        <w:outlineLvl w:val="1"/>
        <w:rPr>
          <w:rFonts w:hint="default" w:ascii="Times New Roman" w:hAnsi="Times New Roman" w:cs="Times New Roman"/>
          <w:snapToGrid w:val="0"/>
          <w:color w:val="auto"/>
          <w:szCs w:val="24"/>
          <w:highlight w:val="none"/>
        </w:rPr>
      </w:pPr>
      <w:bookmarkStart w:id="78" w:name="_Toc32125"/>
      <w:bookmarkStart w:id="79" w:name="_Toc184043989"/>
      <w:r>
        <w:rPr>
          <w:rFonts w:hint="default" w:ascii="Times New Roman" w:hAnsi="Times New Roman" w:cs="Times New Roman"/>
          <w:color w:val="auto"/>
          <w:highlight w:val="none"/>
        </w:rPr>
        <w:drawing>
          <wp:anchor distT="0" distB="0" distL="114300" distR="114300" simplePos="0" relativeHeight="251701248" behindDoc="0" locked="0" layoutInCell="1" allowOverlap="1">
            <wp:simplePos x="0" y="0"/>
            <wp:positionH relativeFrom="column">
              <wp:posOffset>7839710</wp:posOffset>
            </wp:positionH>
            <wp:positionV relativeFrom="paragraph">
              <wp:posOffset>184785</wp:posOffset>
            </wp:positionV>
            <wp:extent cx="682625" cy="702945"/>
            <wp:effectExtent l="0" t="0" r="3175" b="1905"/>
            <wp:wrapNone/>
            <wp:docPr id="85" name="图片 95" descr="说明: 微信截图_2022100415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5" descr="说明: 微信截图_20221004150806"/>
                    <pic:cNvPicPr>
                      <a:picLocks noChangeAspect="1"/>
                    </pic:cNvPicPr>
                  </pic:nvPicPr>
                  <pic:blipFill>
                    <a:blip r:embed="rId23"/>
                    <a:stretch>
                      <a:fillRect/>
                    </a:stretch>
                  </pic:blipFill>
                  <pic:spPr>
                    <a:xfrm>
                      <a:off x="0" y="0"/>
                      <a:ext cx="682625" cy="702945"/>
                    </a:xfrm>
                    <a:prstGeom prst="rect">
                      <a:avLst/>
                    </a:prstGeom>
                    <a:noFill/>
                    <a:ln>
                      <a:noFill/>
                    </a:ln>
                  </pic:spPr>
                </pic:pic>
              </a:graphicData>
            </a:graphic>
          </wp:anchor>
        </w:drawing>
      </w:r>
      <w:r>
        <w:rPr>
          <w:rFonts w:hint="default" w:ascii="Times New Roman" w:hAnsi="Times New Roman" w:cs="Times New Roman"/>
          <w:snapToGrid w:val="0"/>
          <w:color w:val="auto"/>
          <w:szCs w:val="24"/>
          <w:highlight w:val="none"/>
        </w:rPr>
        <w:t>附图</w:t>
      </w:r>
      <w:r>
        <w:rPr>
          <w:rFonts w:hint="default" w:ascii="Times New Roman" w:hAnsi="Times New Roman" w:cs="Times New Roman"/>
          <w:snapToGrid w:val="0"/>
          <w:color w:val="auto"/>
          <w:szCs w:val="24"/>
          <w:highlight w:val="none"/>
          <w:lang w:val="en-US" w:eastAsia="zh-CN"/>
        </w:rPr>
        <w:t>3</w:t>
      </w:r>
      <w:r>
        <w:rPr>
          <w:rFonts w:hint="default" w:ascii="Times New Roman" w:hAnsi="Times New Roman" w:cs="Times New Roman"/>
          <w:snapToGrid w:val="0"/>
          <w:color w:val="auto"/>
          <w:szCs w:val="24"/>
          <w:highlight w:val="none"/>
        </w:rPr>
        <w:t xml:space="preserve"> 分区防渗图</w:t>
      </w:r>
      <w:bookmarkEnd w:id="78"/>
    </w:p>
    <w:p w14:paraId="05E33270">
      <w:pPr>
        <w:pStyle w:val="25"/>
        <w:adjustRightInd w:val="0"/>
        <w:snapToGrid w:val="0"/>
        <w:spacing w:before="0" w:beforeAutospacing="0" w:after="0" w:afterAutospacing="0"/>
        <w:jc w:val="center"/>
        <w:rPr>
          <w:rFonts w:hint="default" w:ascii="Times New Roman" w:hAnsi="Times New Roman" w:cs="Times New Roman"/>
          <w:snapToGrid w:val="0"/>
          <w:color w:val="auto"/>
          <w:highlight w:val="none"/>
        </w:rPr>
      </w:pPr>
      <w:r>
        <w:rPr>
          <w:rFonts w:hint="default" w:ascii="Times New Roman" w:hAnsi="Times New Roman" w:cs="Times New Roman"/>
          <w:color w:val="auto"/>
          <w:highlight w:val="none"/>
        </w:rPr>
        <w:drawing>
          <wp:inline distT="0" distB="0" distL="114300" distR="114300">
            <wp:extent cx="8521065" cy="4460875"/>
            <wp:effectExtent l="0" t="0" r="13335" b="15875"/>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26"/>
                    <a:stretch>
                      <a:fillRect/>
                    </a:stretch>
                  </pic:blipFill>
                  <pic:spPr>
                    <a:xfrm>
                      <a:off x="0" y="0"/>
                      <a:ext cx="8521065" cy="4460875"/>
                    </a:xfrm>
                    <a:prstGeom prst="rect">
                      <a:avLst/>
                    </a:prstGeom>
                    <a:noFill/>
                    <a:ln>
                      <a:noFill/>
                    </a:ln>
                  </pic:spPr>
                </pic:pic>
              </a:graphicData>
            </a:graphic>
          </wp:inline>
        </w:drawing>
      </w:r>
      <w:r>
        <w:rPr>
          <w:rFonts w:hint="default" w:ascii="Times New Roman" w:hAnsi="Times New Roman" w:cs="Times New Roman"/>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7228840</wp:posOffset>
                </wp:positionH>
                <wp:positionV relativeFrom="paragraph">
                  <wp:posOffset>4240530</wp:posOffset>
                </wp:positionV>
                <wp:extent cx="288290" cy="147955"/>
                <wp:effectExtent l="19050" t="19050" r="16510" b="23495"/>
                <wp:wrapNone/>
                <wp:docPr id="2052721232" name="任意多边形: 形状 39"/>
                <wp:cNvGraphicFramePr/>
                <a:graphic xmlns:a="http://schemas.openxmlformats.org/drawingml/2006/main">
                  <a:graphicData uri="http://schemas.microsoft.com/office/word/2010/wordprocessingShape">
                    <wps:wsp>
                      <wps:cNvSpPr/>
                      <wps:spPr>
                        <a:xfrm>
                          <a:off x="0" y="0"/>
                          <a:ext cx="288447" cy="148163"/>
                        </a:xfrm>
                        <a:custGeom>
                          <a:avLst/>
                          <a:gdLst>
                            <a:gd name="connsiteX0" fmla="*/ 8092 w 493614"/>
                            <a:gd name="connsiteY0" fmla="*/ 0 h 833479"/>
                            <a:gd name="connsiteX1" fmla="*/ 0 w 493614"/>
                            <a:gd name="connsiteY1" fmla="*/ 833479 h 833479"/>
                            <a:gd name="connsiteX2" fmla="*/ 493614 w 493614"/>
                            <a:gd name="connsiteY2" fmla="*/ 833479 h 833479"/>
                            <a:gd name="connsiteX3" fmla="*/ 493614 w 493614"/>
                            <a:gd name="connsiteY3" fmla="*/ 8092 h 833479"/>
                            <a:gd name="connsiteX4" fmla="*/ 8092 w 493614"/>
                            <a:gd name="connsiteY4" fmla="*/ 0 h 8334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3614" h="833479">
                              <a:moveTo>
                                <a:pt x="8092" y="0"/>
                              </a:moveTo>
                              <a:cubicBezTo>
                                <a:pt x="5395" y="277826"/>
                                <a:pt x="2697" y="555653"/>
                                <a:pt x="0" y="833479"/>
                              </a:cubicBezTo>
                              <a:lnTo>
                                <a:pt x="493614" y="833479"/>
                              </a:lnTo>
                              <a:lnTo>
                                <a:pt x="493614" y="8092"/>
                              </a:lnTo>
                              <a:lnTo>
                                <a:pt x="8092" y="0"/>
                              </a:lnTo>
                              <a:close/>
                            </a:path>
                          </a:pathLst>
                        </a:custGeom>
                        <a:solidFill>
                          <a:srgbClr val="009242">
                            <a:alpha val="69804"/>
                          </a:srgbClr>
                        </a:solidFill>
                        <a:ln>
                          <a:solidFill>
                            <a:srgbClr val="172C51">
                              <a:alpha val="69804"/>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39" o:spid="_x0000_s1026" o:spt="100" style="position:absolute;left:0pt;margin-left:569.2pt;margin-top:333.9pt;height:11.65pt;width:22.7pt;z-index:251673600;v-text-anchor:middle;mso-width-relative:page;mso-height-relative:page;" fillcolor="#009242" filled="t" stroked="t" coordsize="493614,833479" o:gfxdata="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" path="m8092,0c5395,277826,2697,555653,0,833479l493614,833479,493614,8092,8092,0xe">
                <v:path o:connectlocs="4728,0;0,148163;288447,148163;288447,1438;4728,0" o:connectangles="0,0,0,0,0"/>
                <v:fill on="t" opacity="45746f" focussize="0,0"/>
                <v:stroke weight="1pt" color="#172C51 [3204]" opacity="45746f"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7222490</wp:posOffset>
                </wp:positionH>
                <wp:positionV relativeFrom="paragraph">
                  <wp:posOffset>3994785</wp:posOffset>
                </wp:positionV>
                <wp:extent cx="288290" cy="147955"/>
                <wp:effectExtent l="19050" t="19050" r="16510" b="23495"/>
                <wp:wrapNone/>
                <wp:docPr id="784578919" name="任意多边形: 形状 39"/>
                <wp:cNvGraphicFramePr/>
                <a:graphic xmlns:a="http://schemas.openxmlformats.org/drawingml/2006/main">
                  <a:graphicData uri="http://schemas.microsoft.com/office/word/2010/wordprocessingShape">
                    <wps:wsp>
                      <wps:cNvSpPr/>
                      <wps:spPr>
                        <a:xfrm>
                          <a:off x="0" y="0"/>
                          <a:ext cx="288447" cy="148163"/>
                        </a:xfrm>
                        <a:custGeom>
                          <a:avLst/>
                          <a:gdLst>
                            <a:gd name="connsiteX0" fmla="*/ 8092 w 493614"/>
                            <a:gd name="connsiteY0" fmla="*/ 0 h 833479"/>
                            <a:gd name="connsiteX1" fmla="*/ 0 w 493614"/>
                            <a:gd name="connsiteY1" fmla="*/ 833479 h 833479"/>
                            <a:gd name="connsiteX2" fmla="*/ 493614 w 493614"/>
                            <a:gd name="connsiteY2" fmla="*/ 833479 h 833479"/>
                            <a:gd name="connsiteX3" fmla="*/ 493614 w 493614"/>
                            <a:gd name="connsiteY3" fmla="*/ 8092 h 833479"/>
                            <a:gd name="connsiteX4" fmla="*/ 8092 w 493614"/>
                            <a:gd name="connsiteY4" fmla="*/ 0 h 8334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3614" h="833479">
                              <a:moveTo>
                                <a:pt x="8092" y="0"/>
                              </a:moveTo>
                              <a:cubicBezTo>
                                <a:pt x="5395" y="277826"/>
                                <a:pt x="2697" y="555653"/>
                                <a:pt x="0" y="833479"/>
                              </a:cubicBezTo>
                              <a:lnTo>
                                <a:pt x="493614" y="833479"/>
                              </a:lnTo>
                              <a:lnTo>
                                <a:pt x="493614" y="8092"/>
                              </a:lnTo>
                              <a:lnTo>
                                <a:pt x="8092" y="0"/>
                              </a:lnTo>
                              <a:close/>
                            </a:path>
                          </a:pathLst>
                        </a:custGeom>
                        <a:solidFill>
                          <a:srgbClr val="FF0000">
                            <a:alpha val="69804"/>
                          </a:srgbClr>
                        </a:solidFill>
                        <a:ln>
                          <a:solidFill>
                            <a:srgbClr val="172C51">
                              <a:alpha val="69804"/>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39" o:spid="_x0000_s1026" o:spt="100" style="position:absolute;left:0pt;margin-left:568.7pt;margin-top:314.55pt;height:11.65pt;width:22.7pt;z-index:251672576;v-text-anchor:middle;mso-width-relative:page;mso-height-relative:page;" fillcolor="#FF0000" filled="t" stroked="t" coordsize="493614,833479" o:gfxdata="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" path="m8092,0c5395,277826,2697,555653,0,833479l493614,833479,493614,8092,8092,0xe">
                <v:path o:connectlocs="4728,0;0,148163;288447,148163;288447,1438;4728,0" o:connectangles="0,0,0,0,0"/>
                <v:fill on="t" opacity="45746f" focussize="0,0"/>
                <v:stroke weight="1pt" color="#172C51 [3204]" opacity="45746f"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1552" behindDoc="0" locked="0" layoutInCell="1" allowOverlap="1">
                <wp:simplePos x="0" y="0"/>
                <wp:positionH relativeFrom="margin">
                  <wp:posOffset>7122795</wp:posOffset>
                </wp:positionH>
                <wp:positionV relativeFrom="paragraph">
                  <wp:posOffset>3675380</wp:posOffset>
                </wp:positionV>
                <wp:extent cx="1375410" cy="772795"/>
                <wp:effectExtent l="4445" t="4445" r="10795" b="22860"/>
                <wp:wrapNone/>
                <wp:docPr id="22" name="文本框 22"/>
                <wp:cNvGraphicFramePr/>
                <a:graphic xmlns:a="http://schemas.openxmlformats.org/drawingml/2006/main">
                  <a:graphicData uri="http://schemas.microsoft.com/office/word/2010/wordprocessingShape">
                    <wps:wsp>
                      <wps:cNvSpPr txBox="1"/>
                      <wps:spPr>
                        <a:xfrm>
                          <a:off x="0" y="0"/>
                          <a:ext cx="1375646" cy="772795"/>
                        </a:xfrm>
                        <a:prstGeom prst="rect">
                          <a:avLst/>
                        </a:prstGeom>
                        <a:solidFill>
                          <a:schemeClr val="bg1"/>
                        </a:solidFill>
                        <a:ln w="6350">
                          <a:solidFill>
                            <a:prstClr val="black"/>
                          </a:solidFill>
                        </a:ln>
                      </wps:spPr>
                      <wps:txbx>
                        <w:txbxContent>
                          <w:p w14:paraId="6F9B276C">
                            <w:pPr>
                              <w:spacing w:line="360" w:lineRule="auto"/>
                              <w:jc w:val="center"/>
                            </w:pPr>
                            <w:r>
                              <w:rPr>
                                <w:rFonts w:hint="eastAsia"/>
                              </w:rPr>
                              <w:t>图例</w:t>
                            </w:r>
                          </w:p>
                          <w:p w14:paraId="540D4E73">
                            <w:pPr>
                              <w:spacing w:line="360" w:lineRule="auto"/>
                              <w:ind w:firstLine="630" w:firstLineChars="300"/>
                            </w:pPr>
                            <w:r>
                              <w:rPr>
                                <w:rFonts w:hint="eastAsia"/>
                              </w:rPr>
                              <w:t>重点防渗区</w:t>
                            </w:r>
                          </w:p>
                          <w:p w14:paraId="03AC0C18">
                            <w:pPr>
                              <w:spacing w:line="360" w:lineRule="auto"/>
                              <w:ind w:firstLine="630" w:firstLineChars="300"/>
                            </w:pPr>
                            <w:r>
                              <w:rPr>
                                <w:rFonts w:hint="eastAsia"/>
                              </w:rPr>
                              <w:t>一般防渗区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0.85pt;margin-top:289.4pt;height:60.85pt;width:108.3pt;mso-position-horizontal-relative:margin;z-index:251671552;mso-width-relative:page;mso-height-relative:page;" fillcolor="#FFFFFF [3212]" filled="t" stroked="t" coordsize="21600,21600" o:gfxdata="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AD9z&#10;D9gAAAANAQAADwAAAAAAAAABACAAAAAiAAAAZHJzL2Rvd25yZXYueG1sUEsBAhQAFAAAAAgAh07i&#10;QO6zXCBbAgAAuQQAAA4AAAAAAAAAAQAgAAAAJwEAAGRycy9lMm9Eb2MueG1sUEsFBgAAAAAGAAYA&#10;WQEAAPQFAAAAAA==&#10;">
                <v:fill on="t" focussize="0,0"/>
                <v:stroke weight="0.5pt" color="#000000" joinstyle="round"/>
                <v:imagedata o:title=""/>
                <o:lock v:ext="edit" aspectratio="f"/>
                <v:textbox>
                  <w:txbxContent>
                    <w:p w14:paraId="6F9B276C">
                      <w:pPr>
                        <w:spacing w:line="360" w:lineRule="auto"/>
                        <w:jc w:val="center"/>
                      </w:pPr>
                      <w:r>
                        <w:rPr>
                          <w:rFonts w:hint="eastAsia"/>
                        </w:rPr>
                        <w:t>图例</w:t>
                      </w:r>
                    </w:p>
                    <w:p w14:paraId="540D4E73">
                      <w:pPr>
                        <w:spacing w:line="360" w:lineRule="auto"/>
                        <w:ind w:firstLine="630" w:firstLineChars="300"/>
                      </w:pPr>
                      <w:r>
                        <w:rPr>
                          <w:rFonts w:hint="eastAsia"/>
                        </w:rPr>
                        <w:t>重点防渗区</w:t>
                      </w:r>
                    </w:p>
                    <w:p w14:paraId="03AC0C18">
                      <w:pPr>
                        <w:spacing w:line="360" w:lineRule="auto"/>
                        <w:ind w:firstLine="630" w:firstLineChars="300"/>
                      </w:pPr>
                      <w:r>
                        <w:rPr>
                          <w:rFonts w:hint="eastAsia"/>
                        </w:rPr>
                        <w:t>一般防渗区</w:t>
                      </w:r>
                    </w:p>
                  </w:txbxContent>
                </v:textbox>
              </v:shape>
            </w:pict>
          </mc:Fallback>
        </mc:AlternateContent>
      </w:r>
    </w:p>
    <w:p w14:paraId="07F12BAB">
      <w:pPr>
        <w:pStyle w:val="25"/>
        <w:adjustRightInd w:val="0"/>
        <w:snapToGrid w:val="0"/>
        <w:spacing w:before="0" w:beforeAutospacing="0" w:after="0" w:afterAutospacing="0"/>
        <w:outlineLvl w:val="1"/>
        <w:rPr>
          <w:rFonts w:hint="default" w:ascii="Times New Roman" w:hAnsi="Times New Roman" w:cs="Times New Roman"/>
          <w:snapToGrid w:val="0"/>
          <w:color w:val="auto"/>
          <w:szCs w:val="24"/>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0DD38F54">
      <w:pPr>
        <w:pStyle w:val="25"/>
        <w:adjustRightInd w:val="0"/>
        <w:snapToGrid w:val="0"/>
        <w:spacing w:before="0" w:beforeAutospacing="0" w:after="0" w:afterAutospacing="0"/>
        <w:outlineLvl w:val="1"/>
        <w:rPr>
          <w:rFonts w:hint="default" w:ascii="Times New Roman" w:hAnsi="Times New Roman" w:cs="Times New Roman"/>
          <w:snapToGrid w:val="0"/>
          <w:color w:val="auto"/>
          <w:szCs w:val="24"/>
          <w:highlight w:val="none"/>
        </w:rPr>
      </w:pPr>
      <w:bookmarkStart w:id="80" w:name="_Toc11605"/>
      <w:r>
        <w:rPr>
          <w:rFonts w:hint="default" w:ascii="Times New Roman" w:hAnsi="Times New Roman" w:cs="Times New Roman"/>
          <w:color w:val="auto"/>
          <w:highlight w:val="none"/>
        </w:rPr>
        <w:drawing>
          <wp:anchor distT="0" distB="0" distL="114300" distR="114300" simplePos="0" relativeHeight="251675648" behindDoc="0" locked="0" layoutInCell="1" allowOverlap="1">
            <wp:simplePos x="0" y="0"/>
            <wp:positionH relativeFrom="column">
              <wp:posOffset>7263130</wp:posOffset>
            </wp:positionH>
            <wp:positionV relativeFrom="paragraph">
              <wp:posOffset>182245</wp:posOffset>
            </wp:positionV>
            <wp:extent cx="617855" cy="636270"/>
            <wp:effectExtent l="0" t="0" r="10795" b="11430"/>
            <wp:wrapNone/>
            <wp:docPr id="8" name="图片 95" descr="说明: 微信截图_2022100415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5" descr="说明: 微信截图_20221004150806"/>
                    <pic:cNvPicPr>
                      <a:picLocks noChangeAspect="1"/>
                    </pic:cNvPicPr>
                  </pic:nvPicPr>
                  <pic:blipFill>
                    <a:blip r:embed="rId23"/>
                    <a:stretch>
                      <a:fillRect/>
                    </a:stretch>
                  </pic:blipFill>
                  <pic:spPr>
                    <a:xfrm>
                      <a:off x="0" y="0"/>
                      <a:ext cx="617855" cy="636270"/>
                    </a:xfrm>
                    <a:prstGeom prst="rect">
                      <a:avLst/>
                    </a:prstGeom>
                    <a:noFill/>
                    <a:ln>
                      <a:noFill/>
                    </a:ln>
                  </pic:spPr>
                </pic:pic>
              </a:graphicData>
            </a:graphic>
          </wp:anchor>
        </w:drawing>
      </w:r>
      <w:r>
        <w:rPr>
          <w:rFonts w:hint="default" w:ascii="Times New Roman" w:hAnsi="Times New Roman" w:cs="Times New Roman"/>
          <w:snapToGrid w:val="0"/>
          <w:color w:val="auto"/>
          <w:szCs w:val="24"/>
          <w:highlight w:val="none"/>
        </w:rPr>
        <w:t>附图</w:t>
      </w:r>
      <w:r>
        <w:rPr>
          <w:rFonts w:hint="default" w:ascii="Times New Roman" w:hAnsi="Times New Roman" w:cs="Times New Roman"/>
          <w:snapToGrid w:val="0"/>
          <w:color w:val="auto"/>
          <w:szCs w:val="24"/>
          <w:highlight w:val="none"/>
          <w:lang w:val="en-US" w:eastAsia="zh-CN"/>
        </w:rPr>
        <w:t>4</w:t>
      </w:r>
      <w:r>
        <w:rPr>
          <w:rFonts w:hint="default" w:ascii="Times New Roman" w:hAnsi="Times New Roman" w:cs="Times New Roman"/>
          <w:snapToGrid w:val="0"/>
          <w:color w:val="auto"/>
          <w:szCs w:val="24"/>
          <w:highlight w:val="none"/>
        </w:rPr>
        <w:t xml:space="preserve"> 环境敏感目标分布图</w:t>
      </w:r>
      <w:bookmarkEnd w:id="79"/>
      <w:bookmarkEnd w:id="80"/>
    </w:p>
    <w:p w14:paraId="5301BBD2">
      <w:pPr>
        <w:pStyle w:val="25"/>
        <w:adjustRightInd w:val="0"/>
        <w:snapToGrid w:val="0"/>
        <w:spacing w:before="0" w:beforeAutospacing="0" w:after="0" w:afterAutospacing="0"/>
        <w:jc w:val="center"/>
        <w:rPr>
          <w:rFonts w:hint="default" w:ascii="Times New Roman" w:hAnsi="Times New Roman" w:cs="Times New Roman"/>
          <w:snapToGrid w:val="0"/>
          <w:color w:val="auto"/>
          <w:sz w:val="30"/>
          <w:szCs w:val="30"/>
          <w:highlight w:val="none"/>
        </w:rPr>
      </w:pPr>
      <w:bookmarkStart w:id="81" w:name="_Toc188005251"/>
      <w:bookmarkStart w:id="82" w:name="_Toc186815279"/>
      <w:bookmarkStart w:id="83" w:name="_Toc187135992"/>
      <w:r>
        <w:rPr>
          <w:rFonts w:hint="default" w:ascii="Times New Roman" w:hAnsi="Times New Roman" w:cs="Times New Roman"/>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6250940</wp:posOffset>
                </wp:positionH>
                <wp:positionV relativeFrom="paragraph">
                  <wp:posOffset>4576445</wp:posOffset>
                </wp:positionV>
                <wp:extent cx="309880" cy="158750"/>
                <wp:effectExtent l="9525" t="9525" r="23495" b="22225"/>
                <wp:wrapNone/>
                <wp:docPr id="69" name="矩形 69"/>
                <wp:cNvGraphicFramePr/>
                <a:graphic xmlns:a="http://schemas.openxmlformats.org/drawingml/2006/main">
                  <a:graphicData uri="http://schemas.microsoft.com/office/word/2010/wordprocessingShape">
                    <wps:wsp>
                      <wps:cNvSpPr/>
                      <wps:spPr>
                        <a:xfrm>
                          <a:off x="0" y="0"/>
                          <a:ext cx="309880" cy="15875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2.2pt;margin-top:360.35pt;height:12.5pt;width:24.4pt;z-index:251711488;v-text-anchor:middle;mso-width-relative:page;mso-height-relative:page;" filled="f" stroked="t" coordsize="21600,21600" o:gfxdata="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fuO5NoAAAAMAQAADwAAAAAAAAABACAAAAAiAAAAZHJzL2Rvd25yZXYu&#10;eG1sUEsBAhQAFAAAAAgAh07iQHTuZU5rAgAAzAQAAA4AAAAAAAAAAQAgAAAAKQEAAGRycy9lMm9E&#10;b2MueG1sUEsFBgAAAAAGAAYAWQEAAAYGAAAAAA==&#10;">
                <v:fill on="f" focussize="0,0"/>
                <v:stroke weight="1.5pt" color="#FF0000 [2404]"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6254115</wp:posOffset>
                </wp:positionH>
                <wp:positionV relativeFrom="paragraph">
                  <wp:posOffset>4829810</wp:posOffset>
                </wp:positionV>
                <wp:extent cx="309880" cy="158750"/>
                <wp:effectExtent l="9525" t="9525" r="23495" b="22225"/>
                <wp:wrapNone/>
                <wp:docPr id="20" name="矩形 20"/>
                <wp:cNvGraphicFramePr/>
                <a:graphic xmlns:a="http://schemas.openxmlformats.org/drawingml/2006/main">
                  <a:graphicData uri="http://schemas.microsoft.com/office/word/2010/wordprocessingShape">
                    <wps:wsp>
                      <wps:cNvSpPr/>
                      <wps:spPr>
                        <a:xfrm>
                          <a:off x="0" y="0"/>
                          <a:ext cx="309880" cy="158750"/>
                        </a:xfrm>
                        <a:prstGeom prst="rect">
                          <a:avLst/>
                        </a:prstGeom>
                        <a:noFill/>
                        <a:ln w="19050">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2.45pt;margin-top:380.3pt;height:12.5pt;width:24.4pt;z-index:251680768;v-text-anchor:middle;mso-width-relative:page;mso-height-relative:page;" filled="f" stroked="t" coordsize="21600,21600" o:gfxdata="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YhZc/cAAAADAEAAA8AAAAAAAAAAQAgAAAAIgAAAGRycy9kb3ducmV2&#10;LnhtbFBLAQIUABQAAAAIAIdO4kDlUBWgagIAAMwEAAAOAAAAAAAAAAEAIAAAACsBAABkcnMvZTJv&#10;RG9jLnhtbFBLBQYAAAAABgAGAFkBAAAHBgAAAAA=&#10;">
                <v:fill on="f" focussize="0,0"/>
                <v:stroke weight="1.5pt" color="#0070C0 [2404]"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6252210</wp:posOffset>
                </wp:positionH>
                <wp:positionV relativeFrom="paragraph">
                  <wp:posOffset>4349750</wp:posOffset>
                </wp:positionV>
                <wp:extent cx="309880" cy="158750"/>
                <wp:effectExtent l="9525" t="9525" r="23495" b="22225"/>
                <wp:wrapNone/>
                <wp:docPr id="18" name="矩形 18"/>
                <wp:cNvGraphicFramePr/>
                <a:graphic xmlns:a="http://schemas.openxmlformats.org/drawingml/2006/main">
                  <a:graphicData uri="http://schemas.microsoft.com/office/word/2010/wordprocessingShape">
                    <wps:wsp>
                      <wps:cNvSpPr/>
                      <wps:spPr>
                        <a:xfrm>
                          <a:off x="7200265" y="5583555"/>
                          <a:ext cx="309880" cy="15875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2.3pt;margin-top:342.5pt;height:12.5pt;width:24.4pt;z-index:251678720;v-text-anchor:middle;mso-width-relative:page;mso-height-relative:page;" filled="f" stroked="t" coordsize="21600,21600" o:gfxdata="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&#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V7MSTbAAAADAEAAA8AAAAAAAAAAQAgAAAAIgAAAGRy&#10;cy9kb3ducmV2LnhtbFBLAQIUABQAAAAIAIdO4kBspRIydAIAANgEAAAOAAAAAAAAAAEAIAAAACoB&#10;AABkcnMvZTJvRG9jLnhtbFBLBQYAAAAABgAGAFkBAAAQBgAAAAA=&#10;">
                <v:fill on="f" focussize="0,0"/>
                <v:stroke weight="1.5pt" color="#000000 [3213]"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6722745</wp:posOffset>
                </wp:positionH>
                <wp:positionV relativeFrom="paragraph">
                  <wp:posOffset>4301490</wp:posOffset>
                </wp:positionV>
                <wp:extent cx="856615" cy="277495"/>
                <wp:effectExtent l="0" t="0" r="0" b="0"/>
                <wp:wrapNone/>
                <wp:docPr id="19" name="矩形 19"/>
                <wp:cNvGraphicFramePr/>
                <a:graphic xmlns:a="http://schemas.openxmlformats.org/drawingml/2006/main">
                  <a:graphicData uri="http://schemas.microsoft.com/office/word/2010/wordprocessingShape">
                    <wps:wsp>
                      <wps:cNvSpPr/>
                      <wps:spPr>
                        <a:xfrm>
                          <a:off x="0" y="0"/>
                          <a:ext cx="856615" cy="2774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20F70EE">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厂  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9.35pt;margin-top:338.7pt;height:21.85pt;width:67.45pt;z-index:251679744;v-text-anchor:middle;mso-width-relative:page;mso-height-relative:page;" filled="f" stroked="f" coordsize="21600,21600" o:gfxdata="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5v3nbaAAAADQEAAA8AAAAAAAAAAQAgAAAAIgAAAGRycy9kb3ducmV2LnhtbFBLAQIUABQA&#10;AAAIAIdO4kC+4Cp2YAIAAK4EAAAOAAAAAAAAAAEAIAAAACkBAABkcnMvZTJvRG9jLnhtbFBLBQYA&#10;AAAABgAGAFkBAAD7BQAAAAA=&#10;">
                <v:fill on="f" focussize="0,0"/>
                <v:stroke on="f" weight="1pt" miterlimit="8" joinstyle="miter"/>
                <v:imagedata o:title=""/>
                <o:lock v:ext="edit" aspectratio="f"/>
                <v:textbox>
                  <w:txbxContent>
                    <w:p w14:paraId="320F70EE">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厂  界</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6643370</wp:posOffset>
                </wp:positionH>
                <wp:positionV relativeFrom="paragraph">
                  <wp:posOffset>4511675</wp:posOffset>
                </wp:positionV>
                <wp:extent cx="1316355" cy="277495"/>
                <wp:effectExtent l="0" t="0" r="0" b="0"/>
                <wp:wrapNone/>
                <wp:docPr id="70" name="矩形 70"/>
                <wp:cNvGraphicFramePr/>
                <a:graphic xmlns:a="http://schemas.openxmlformats.org/drawingml/2006/main">
                  <a:graphicData uri="http://schemas.microsoft.com/office/word/2010/wordprocessingShape">
                    <wps:wsp>
                      <wps:cNvSpPr/>
                      <wps:spPr>
                        <a:xfrm>
                          <a:off x="0" y="0"/>
                          <a:ext cx="1316355" cy="2774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2B81FC4">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3.1pt;margin-top:355.25pt;height:21.85pt;width:103.65pt;z-index:251712512;v-text-anchor:middle;mso-width-relative:page;mso-height-relative:page;" filled="f" stroked="f" coordsize="21600,21600" o:gfxdata="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iLiBu2QAAAA0BAAAPAAAAAAAAAAEAIAAAACIAAABkcnMvZG93bnJldi54bWxQSwECFAAU&#10;AAAACACHTuJAVC76NWICAACvBAAADgAAAAAAAAABACAAAAAoAQAAZHJzL2Uyb0RvYy54bWxQSwUG&#10;AAAAAAYABgBZAQAA/AUAAAAA&#10;">
                <v:fill on="f" focussize="0,0"/>
                <v:stroke on="f" weight="1pt" miterlimit="8" joinstyle="miter"/>
                <v:imagedata o:title=""/>
                <o:lock v:ext="edit" aspectratio="f"/>
                <v:textbox>
                  <w:txbxContent>
                    <w:p w14:paraId="42B81FC4">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6595110</wp:posOffset>
                </wp:positionH>
                <wp:positionV relativeFrom="paragraph">
                  <wp:posOffset>4756785</wp:posOffset>
                </wp:positionV>
                <wp:extent cx="1316355" cy="277495"/>
                <wp:effectExtent l="0" t="0" r="0" b="0"/>
                <wp:wrapNone/>
                <wp:docPr id="23" name="矩形 23"/>
                <wp:cNvGraphicFramePr/>
                <a:graphic xmlns:a="http://schemas.openxmlformats.org/drawingml/2006/main">
                  <a:graphicData uri="http://schemas.microsoft.com/office/word/2010/wordprocessingShape">
                    <wps:wsp>
                      <wps:cNvSpPr/>
                      <wps:spPr>
                        <a:xfrm>
                          <a:off x="0" y="0"/>
                          <a:ext cx="1316355" cy="2774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E58916E">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9.3pt;margin-top:374.55pt;height:21.85pt;width:103.65pt;z-index:251681792;v-text-anchor:middle;mso-width-relative:page;mso-height-relative:page;" filled="f" stroked="f" coordsize="21600,21600" o:gfxdata="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RrmqtoAAAANAQAADwAAAAAAAAABACAAAAAiAAAAZHJzL2Rvd25yZXYueG1sUEsBAhQA&#10;FAAAAAgAh07iQDYRMQliAgAArwQAAA4AAAAAAAAAAQAgAAAAKQEAAGRycy9lMm9Eb2MueG1sUEsF&#10;BgAAAAAGAAYAWQEAAP0FAAAAAA==&#10;">
                <v:fill on="f" focussize="0,0"/>
                <v:stroke on="f" weight="1pt" miterlimit="8" joinstyle="miter"/>
                <v:imagedata o:title=""/>
                <o:lock v:ext="edit" aspectratio="f"/>
                <v:textbox>
                  <w:txbxContent>
                    <w:p w14:paraId="0E58916E">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大气环境评价范围</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6855460</wp:posOffset>
                </wp:positionH>
                <wp:positionV relativeFrom="paragraph">
                  <wp:posOffset>5004435</wp:posOffset>
                </wp:positionV>
                <wp:extent cx="744855" cy="277495"/>
                <wp:effectExtent l="0" t="0" r="0" b="0"/>
                <wp:wrapNone/>
                <wp:docPr id="27" name="矩形 27"/>
                <wp:cNvGraphicFramePr/>
                <a:graphic xmlns:a="http://schemas.openxmlformats.org/drawingml/2006/main">
                  <a:graphicData uri="http://schemas.microsoft.com/office/word/2010/wordprocessingShape">
                    <wps:wsp>
                      <wps:cNvSpPr/>
                      <wps:spPr>
                        <a:xfrm>
                          <a:off x="0" y="0"/>
                          <a:ext cx="744855" cy="2774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44C4B33">
                            <w:pPr>
                              <w:jc w:val="both"/>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敏感目标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9.8pt;margin-top:394.05pt;height:21.85pt;width:58.65pt;z-index:251683840;v-text-anchor:middle;mso-width-relative:page;mso-height-relative:page;" filled="f" stroked="f" coordsize="21600,21600" o:gfxdata="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j3b9LZAAAADQEAAA8AAAAAAAAAAQAgAAAAIgAAAGRycy9kb3ducmV2LnhtbFBLAQIUABQA&#10;AAAIAIdO4kBYRipZYQIAAK4EAAAOAAAAAAAAAAEAIAAAACgBAABkcnMvZTJvRG9jLnhtbFBLBQYA&#10;AAAABgAGAFkBAAD7BQAAAAA=&#10;">
                <v:fill on="f" focussize="0,0"/>
                <v:stroke on="f" weight="1pt" miterlimit="8" joinstyle="miter"/>
                <v:imagedata o:title=""/>
                <o:lock v:ext="edit" aspectratio="f"/>
                <v:textbox>
                  <w:txbxContent>
                    <w:p w14:paraId="144C4B33">
                      <w:pPr>
                        <w:jc w:val="both"/>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敏感目标</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6256655</wp:posOffset>
                </wp:positionH>
                <wp:positionV relativeFrom="paragraph">
                  <wp:posOffset>5083810</wp:posOffset>
                </wp:positionV>
                <wp:extent cx="309880" cy="158750"/>
                <wp:effectExtent l="0" t="0" r="13970" b="12700"/>
                <wp:wrapNone/>
                <wp:docPr id="26" name="矩形 26"/>
                <wp:cNvGraphicFramePr/>
                <a:graphic xmlns:a="http://schemas.openxmlformats.org/drawingml/2006/main">
                  <a:graphicData uri="http://schemas.microsoft.com/office/word/2010/wordprocessingShape">
                    <wps:wsp>
                      <wps:cNvSpPr/>
                      <wps:spPr>
                        <a:xfrm>
                          <a:off x="0" y="0"/>
                          <a:ext cx="309880" cy="158750"/>
                        </a:xfrm>
                        <a:prstGeom prst="rect">
                          <a:avLst/>
                        </a:prstGeom>
                        <a:solidFill>
                          <a:srgbClr val="0000FE"/>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2.65pt;margin-top:400.3pt;height:12.5pt;width:24.4pt;z-index:251682816;v-text-anchor:middle;mso-width-relative:page;mso-height-relative:page;" fillcolor="#0000FE" filled="t" stroked="f" coordsize="21600,21600" o:gfxdata="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c6L662QAAAAwBAAAPAAAAAAAAAAEAIAAAACIAAABkcnMvZG93bnJldi54&#10;bWxQSwECFAAUAAAACACHTuJABDUmUWsCAADMBAAADgAAAAAAAAABACAAAAAoAQAAZHJzL2Uyb0Rv&#10;Yy54bWxQSwUGAAAAAAYABgBZAQAABQYAAAAA&#10;">
                <v:fill on="t" focussize="0,0"/>
                <v:stroke on="f" weight="1pt"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6113780</wp:posOffset>
                </wp:positionH>
                <wp:positionV relativeFrom="paragraph">
                  <wp:posOffset>4115435</wp:posOffset>
                </wp:positionV>
                <wp:extent cx="1767840" cy="1207770"/>
                <wp:effectExtent l="0" t="0" r="3810" b="11430"/>
                <wp:wrapNone/>
                <wp:docPr id="10" name="矩形 10"/>
                <wp:cNvGraphicFramePr/>
                <a:graphic xmlns:a="http://schemas.openxmlformats.org/drawingml/2006/main">
                  <a:graphicData uri="http://schemas.microsoft.com/office/word/2010/wordprocessingShape">
                    <wps:wsp>
                      <wps:cNvSpPr/>
                      <wps:spPr>
                        <a:xfrm>
                          <a:off x="7565390" y="5241290"/>
                          <a:ext cx="1767840" cy="120777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1.4pt;margin-top:324.05pt;height:95.1pt;width:139.2pt;z-index:251676672;v-text-anchor:middle;mso-width-relative:page;mso-height-relative:page;" fillcolor="#FFFFFF [3212]" filled="t" stroked="f" coordsize="21600,21600" o:gfxdata="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BWUhvbAAAADAEAAA8AAAAAAAAAAQAgAAAAIgAA&#10;AGRycy9kb3ducmV2LnhtbFBLAQIUABQAAAAIAIdO4kBjTM8mdwIAANoEAAAOAAAAAAAAAAEAIAAA&#10;ACoBAABkcnMvZTJvRG9jLnhtbFBLBQYAAAAABgAGAFkBAAATBgAAAAA=&#10;">
                <v:fill on="t" focussize="0,0"/>
                <v:stroke on="f" weight="1pt" miterlimit="8" joinstyle="miter"/>
                <v:imagedata o:title=""/>
                <o:lock v:ext="edit" aspectratio="f"/>
              </v:rect>
            </w:pict>
          </mc:Fallback>
        </mc:AlternateContent>
      </w:r>
      <w:r>
        <w:rPr>
          <w:rFonts w:hint="default" w:ascii="Times New Roman" w:hAnsi="Times New Roman" w:cs="Times New Roman"/>
          <w:color w:val="auto"/>
          <w:highlight w:val="none"/>
        </w:rPr>
        <w:drawing>
          <wp:inline distT="0" distB="0" distL="114300" distR="114300">
            <wp:extent cx="7263130" cy="5324475"/>
            <wp:effectExtent l="0" t="0" r="13970" b="952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27"/>
                    <a:stretch>
                      <a:fillRect/>
                    </a:stretch>
                  </pic:blipFill>
                  <pic:spPr>
                    <a:xfrm>
                      <a:off x="0" y="0"/>
                      <a:ext cx="7263130" cy="5324475"/>
                    </a:xfrm>
                    <a:prstGeom prst="rect">
                      <a:avLst/>
                    </a:prstGeom>
                    <a:noFill/>
                    <a:ln>
                      <a:noFill/>
                    </a:ln>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6402070</wp:posOffset>
                </wp:positionH>
                <wp:positionV relativeFrom="paragraph">
                  <wp:posOffset>4050665</wp:posOffset>
                </wp:positionV>
                <wp:extent cx="856615" cy="277495"/>
                <wp:effectExtent l="0" t="0" r="0" b="0"/>
                <wp:wrapNone/>
                <wp:docPr id="17" name="矩形 17"/>
                <wp:cNvGraphicFramePr/>
                <a:graphic xmlns:a="http://schemas.openxmlformats.org/drawingml/2006/main">
                  <a:graphicData uri="http://schemas.microsoft.com/office/word/2010/wordprocessingShape">
                    <wps:wsp>
                      <wps:cNvSpPr/>
                      <wps:spPr>
                        <a:xfrm>
                          <a:off x="7573645" y="5258435"/>
                          <a:ext cx="856615" cy="2774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D1C540D">
                            <w:pPr>
                              <w:jc w:val="cente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   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4.1pt;margin-top:318.95pt;height:21.85pt;width:67.45pt;z-index:251677696;v-text-anchor:middle;mso-width-relative:page;mso-height-relative:page;" filled="f" stroked="f" coordsize="21600,21600" o:gfxdata="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ICv1i2QAAAA0BAAAPAAAAAAAAAAEAIAAAACIAAABkcnMvZG93bnJl&#10;di54bWxQSwECFAAUAAAACACHTuJAMvvvtm4CAAC6BAAADgAAAAAAAAABACAAAAAoAQAAZHJzL2Uy&#10;b0RvYy54bWxQSwUGAAAAAAYABgBZAQAACAYAAAAA&#10;">
                <v:fill on="f" focussize="0,0"/>
                <v:stroke on="f" weight="1pt" miterlimit="8" joinstyle="miter"/>
                <v:imagedata o:title=""/>
                <o:lock v:ext="edit" aspectratio="f"/>
                <v:textbox>
                  <w:txbxContent>
                    <w:p w14:paraId="1D1C540D">
                      <w:pPr>
                        <w:jc w:val="cente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   例</w:t>
                      </w:r>
                    </w:p>
                  </w:txbxContent>
                </v:textbox>
              </v:rect>
            </w:pict>
          </mc:Fallback>
        </mc:AlternateContent>
      </w:r>
      <w:bookmarkEnd w:id="81"/>
      <w:bookmarkEnd w:id="82"/>
      <w:bookmarkEnd w:id="83"/>
      <w:r>
        <w:rPr>
          <w:rFonts w:hint="default" w:ascii="Times New Roman" w:hAnsi="Times New Roman" w:cs="Times New Roman"/>
          <w:color w:val="auto"/>
          <w:highlight w:val="none"/>
        </w:rPr>
        <w:br w:type="page"/>
      </w:r>
    </w:p>
    <w:p w14:paraId="6E08DCFA">
      <w:pPr>
        <w:pStyle w:val="25"/>
        <w:adjustRightInd w:val="0"/>
        <w:snapToGrid w:val="0"/>
        <w:spacing w:before="0" w:beforeAutospacing="0" w:after="0" w:afterAutospacing="0"/>
        <w:outlineLvl w:val="0"/>
        <w:rPr>
          <w:rFonts w:hint="default" w:ascii="Times New Roman" w:hAnsi="Times New Roman" w:cs="Times New Roman"/>
          <w:snapToGrid w:val="0"/>
          <w:color w:val="auto"/>
          <w:sz w:val="30"/>
          <w:szCs w:val="30"/>
          <w:highlight w:val="none"/>
        </w:rPr>
      </w:pPr>
      <w:bookmarkStart w:id="84" w:name="_Toc3904"/>
      <w:r>
        <w:rPr>
          <w:rFonts w:hint="default" w:ascii="Times New Roman" w:hAnsi="Times New Roman" w:cs="Times New Roman"/>
          <w:snapToGrid w:val="0"/>
          <w:color w:val="auto"/>
          <w:sz w:val="30"/>
          <w:szCs w:val="30"/>
          <w:highlight w:val="none"/>
        </w:rPr>
        <w:t>附件</w:t>
      </w:r>
      <w:bookmarkEnd w:id="84"/>
    </w:p>
    <w:p w14:paraId="4AF9BC03">
      <w:pPr>
        <w:pStyle w:val="25"/>
        <w:adjustRightInd w:val="0"/>
        <w:snapToGrid w:val="0"/>
        <w:spacing w:before="0" w:beforeAutospacing="0" w:after="0" w:afterAutospacing="0"/>
        <w:outlineLvl w:val="1"/>
        <w:rPr>
          <w:rFonts w:hint="default" w:ascii="Times New Roman" w:hAnsi="Times New Roman" w:eastAsia="仿宋" w:cs="Times New Roman"/>
          <w:snapToGrid w:val="0"/>
          <w:color w:val="auto"/>
          <w:highlight w:val="none"/>
        </w:rPr>
      </w:pPr>
      <w:bookmarkStart w:id="85" w:name="_Toc23651"/>
      <w:r>
        <w:rPr>
          <w:rFonts w:hint="default" w:ascii="Times New Roman" w:hAnsi="Times New Roman" w:cs="Times New Roman"/>
          <w:snapToGrid w:val="0"/>
          <w:color w:val="auto"/>
          <w:sz w:val="28"/>
          <w:szCs w:val="28"/>
          <w:highlight w:val="none"/>
        </w:rPr>
        <w:t>附件1 营业执照</w:t>
      </w:r>
      <w:bookmarkEnd w:id="85"/>
    </w:p>
    <w:p w14:paraId="75CCF1BF">
      <w:pPr>
        <w:pStyle w:val="61"/>
        <w:ind w:firstLine="480"/>
        <w:rPr>
          <w:rFonts w:hint="default" w:ascii="Times New Roman" w:hAnsi="Times New Roman" w:eastAsia="仿宋" w:cs="Times New Roman"/>
          <w:snapToGrid w:val="0"/>
          <w:color w:val="auto"/>
          <w:highlight w:val="none"/>
          <w:lang w:eastAsia="zh-CN"/>
        </w:rPr>
      </w:pPr>
      <w:r>
        <w:rPr>
          <w:rFonts w:hint="default" w:ascii="Times New Roman" w:hAnsi="Times New Roman" w:eastAsia="仿宋" w:cs="Times New Roman"/>
          <w:snapToGrid w:val="0"/>
          <w:color w:val="auto"/>
          <w:highlight w:val="none"/>
          <w:lang w:eastAsia="zh-CN"/>
        </w:rPr>
        <w:drawing>
          <wp:inline distT="0" distB="0" distL="114300" distR="114300">
            <wp:extent cx="4786630" cy="6909435"/>
            <wp:effectExtent l="0" t="0" r="5715" b="13970"/>
            <wp:docPr id="28" name="图片 28"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营业执照"/>
                    <pic:cNvPicPr>
                      <a:picLocks noChangeAspect="1"/>
                    </pic:cNvPicPr>
                  </pic:nvPicPr>
                  <pic:blipFill>
                    <a:blip r:embed="rId28"/>
                    <a:srcRect l="7935" t="17979" r="1802" b="8733"/>
                    <a:stretch>
                      <a:fillRect/>
                    </a:stretch>
                  </pic:blipFill>
                  <pic:spPr>
                    <a:xfrm rot="5400000">
                      <a:off x="0" y="0"/>
                      <a:ext cx="4786630" cy="6909435"/>
                    </a:xfrm>
                    <a:prstGeom prst="rect">
                      <a:avLst/>
                    </a:prstGeom>
                  </pic:spPr>
                </pic:pic>
              </a:graphicData>
            </a:graphic>
          </wp:inline>
        </w:drawing>
      </w:r>
    </w:p>
    <w:p w14:paraId="40C7FF2C">
      <w:pPr>
        <w:pStyle w:val="61"/>
        <w:ind w:firstLine="480"/>
        <w:rPr>
          <w:rFonts w:hint="default" w:ascii="Times New Roman" w:hAnsi="Times New Roman" w:eastAsia="仿宋" w:cs="Times New Roman"/>
          <w:snapToGrid w:val="0"/>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557C8FFF">
      <w:pPr>
        <w:pStyle w:val="25"/>
        <w:adjustRightInd w:val="0"/>
        <w:snapToGrid w:val="0"/>
        <w:spacing w:before="0" w:beforeAutospacing="0" w:after="0" w:afterAutospacing="0"/>
        <w:outlineLvl w:val="1"/>
        <w:rPr>
          <w:rFonts w:hint="default" w:ascii="Times New Roman" w:hAnsi="Times New Roman" w:eastAsia="宋体" w:cs="Times New Roman"/>
          <w:snapToGrid w:val="0"/>
          <w:color w:val="auto"/>
          <w:sz w:val="28"/>
          <w:szCs w:val="28"/>
          <w:highlight w:val="none"/>
          <w:lang w:val="en-US" w:eastAsia="zh-CN"/>
        </w:rPr>
      </w:pPr>
      <w:bookmarkStart w:id="86" w:name="_Toc4713"/>
      <w:r>
        <w:rPr>
          <w:rFonts w:hint="default" w:ascii="Times New Roman" w:hAnsi="Times New Roman" w:cs="Times New Roman"/>
          <w:snapToGrid w:val="0"/>
          <w:color w:val="auto"/>
          <w:sz w:val="28"/>
          <w:szCs w:val="28"/>
          <w:highlight w:val="none"/>
        </w:rPr>
        <w:t xml:space="preserve">附件2 </w:t>
      </w:r>
      <w:r>
        <w:rPr>
          <w:rFonts w:hint="default" w:ascii="Times New Roman" w:hAnsi="Times New Roman" w:cs="Times New Roman"/>
          <w:snapToGrid w:val="0"/>
          <w:color w:val="auto"/>
          <w:sz w:val="28"/>
          <w:szCs w:val="28"/>
          <w:highlight w:val="none"/>
          <w:lang w:val="en-US" w:eastAsia="zh-CN"/>
        </w:rPr>
        <w:t>用地性质</w:t>
      </w:r>
      <w:bookmarkEnd w:id="86"/>
    </w:p>
    <w:p w14:paraId="30FE2244">
      <w:pPr>
        <w:widowControl/>
        <w:jc w:val="center"/>
        <w:rPr>
          <w:rFonts w:hint="default" w:ascii="Times New Roman" w:hAnsi="Times New Roman" w:cs="Times New Roman"/>
          <w:color w:val="auto"/>
          <w:highlight w:val="none"/>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color w:val="auto"/>
          <w:highlight w:val="none"/>
        </w:rPr>
        <w:drawing>
          <wp:inline distT="0" distB="0" distL="114300" distR="114300">
            <wp:extent cx="7120890" cy="5168265"/>
            <wp:effectExtent l="0" t="0" r="3810" b="1333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29"/>
                    <a:stretch>
                      <a:fillRect/>
                    </a:stretch>
                  </pic:blipFill>
                  <pic:spPr>
                    <a:xfrm>
                      <a:off x="0" y="0"/>
                      <a:ext cx="7120890" cy="5168265"/>
                    </a:xfrm>
                    <a:prstGeom prst="rect">
                      <a:avLst/>
                    </a:prstGeom>
                    <a:noFill/>
                    <a:ln>
                      <a:no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87936" behindDoc="0" locked="0" layoutInCell="1" allowOverlap="1">
                <wp:simplePos x="0" y="0"/>
                <wp:positionH relativeFrom="column">
                  <wp:posOffset>5163185</wp:posOffset>
                </wp:positionH>
                <wp:positionV relativeFrom="paragraph">
                  <wp:posOffset>1898015</wp:posOffset>
                </wp:positionV>
                <wp:extent cx="1263650" cy="467995"/>
                <wp:effectExtent l="384175" t="6350" r="9525" b="516255"/>
                <wp:wrapNone/>
                <wp:docPr id="64" name="圆角矩形标注 64"/>
                <wp:cNvGraphicFramePr/>
                <a:graphic xmlns:a="http://schemas.openxmlformats.org/drawingml/2006/main">
                  <a:graphicData uri="http://schemas.microsoft.com/office/word/2010/wordprocessingShape">
                    <wps:wsp>
                      <wps:cNvSpPr/>
                      <wps:spPr>
                        <a:xfrm>
                          <a:off x="5515610" y="2564130"/>
                          <a:ext cx="1263650" cy="467995"/>
                        </a:xfrm>
                        <a:prstGeom prst="wedgeRoundRectCallout">
                          <a:avLst>
                            <a:gd name="adj1" fmla="val -77035"/>
                            <a:gd name="adj2" fmla="val 151356"/>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4E964C7">
                            <w:pPr>
                              <w:jc w:val="center"/>
                              <w:rPr>
                                <w:rFonts w:hint="eastAsia" w:eastAsia="宋体"/>
                                <w:color w:val="000000" w:themeColor="text1"/>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06.55pt;margin-top:149.45pt;height:36.85pt;width:99.5pt;z-index:251687936;v-text-anchor:middle;mso-width-relative:page;mso-height-relative:page;" fillcolor="#FFFFFF [3212]" filled="t" stroked="t" coordsize="21600,21600" o:gfxdata="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iQsZh9oAAAAMAQAADwAAAAAAAAABACAAAAAiAAAAZHJzL2Rvd25yZXYueG1sUEsBAhQA&#10;FAAAAAgAh07iQLww7DvUAgAAoQUAAA4AAAAAAAAAAQAgAAAAKQEAAGRycy9lMm9Eb2MueG1sUEsF&#10;BgAAAAAGAAYAWQEAAG8GAAAAAA==&#10;" adj="-5840,43493,14400">
                <v:fill on="t" focussize="0,0"/>
                <v:stroke weight="1pt" color="#000000 [3213]" miterlimit="8" joinstyle="miter"/>
                <v:imagedata o:title=""/>
                <o:lock v:ext="edit" aspectratio="f"/>
                <v:textbox>
                  <w:txbxContent>
                    <w:p w14:paraId="64E964C7">
                      <w:pPr>
                        <w:jc w:val="center"/>
                        <w:rPr>
                          <w:rFonts w:hint="eastAsia" w:eastAsia="宋体"/>
                          <w:color w:val="000000" w:themeColor="text1"/>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4712335</wp:posOffset>
                </wp:positionH>
                <wp:positionV relativeFrom="paragraph">
                  <wp:posOffset>2755265</wp:posOffset>
                </wp:positionV>
                <wp:extent cx="190500" cy="190500"/>
                <wp:effectExtent l="19050" t="21590" r="19050" b="35560"/>
                <wp:wrapNone/>
                <wp:docPr id="63" name="五角星 63"/>
                <wp:cNvGraphicFramePr/>
                <a:graphic xmlns:a="http://schemas.openxmlformats.org/drawingml/2006/main">
                  <a:graphicData uri="http://schemas.microsoft.com/office/word/2010/wordprocessingShape">
                    <wps:wsp>
                      <wps:cNvSpPr/>
                      <wps:spPr>
                        <a:xfrm>
                          <a:off x="5247005" y="3265805"/>
                          <a:ext cx="190500" cy="1905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71.05pt;margin-top:216.95pt;height:15pt;width:15pt;z-index:251686912;v-text-anchor:middle;mso-width-relative:page;mso-height-relative:page;" fillcolor="#FF0000" filled="t" stroked="t" coordsize="190500,190500" o:gfxdata="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qOL1m9gAAAALAQAADwAAAAAAAAABACAAAAAi&#10;AAAAZHJzL2Rvd25yZXYueG1sUEsBAhQAFAAAAAgAh07iQLmmXbt8AgAABQUAAA4AAAAAAAAAAQAg&#10;AAAAJwEAAGRycy9lMm9Eb2MueG1sUEsFBgAAAAAGAAYAWQEAABUGAAAAAA==&#10;" path="m0,72764l72764,72764,95250,0,117735,72764,190499,72764,131631,117734,154117,190499,95250,145528,36382,190499,58868,117734xe">
                <v:path o:connectlocs="95250,0;0,72764;36382,190499;154117,190499;190499,72764"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highlight w:val="none"/>
        </w:rPr>
        <w:br w:type="page"/>
      </w:r>
    </w:p>
    <w:p w14:paraId="699B214E">
      <w:pPr>
        <w:pStyle w:val="25"/>
        <w:adjustRightInd w:val="0"/>
        <w:snapToGrid w:val="0"/>
        <w:spacing w:before="0" w:beforeAutospacing="0" w:after="0" w:afterAutospacing="0"/>
        <w:outlineLvl w:val="1"/>
        <w:rPr>
          <w:rFonts w:hint="default" w:ascii="Times New Roman" w:hAnsi="Times New Roman" w:cs="Times New Roman"/>
          <w:snapToGrid w:val="0"/>
          <w:color w:val="auto"/>
          <w:sz w:val="28"/>
          <w:szCs w:val="28"/>
          <w:highlight w:val="none"/>
        </w:rPr>
      </w:pPr>
      <w:bookmarkStart w:id="87" w:name="_Toc184043995"/>
      <w:bookmarkStart w:id="88" w:name="_Toc9844"/>
      <w:r>
        <w:rPr>
          <w:rFonts w:hint="default" w:ascii="Times New Roman" w:hAnsi="Times New Roman" w:cs="Times New Roman"/>
          <w:snapToGrid w:val="0"/>
          <w:color w:val="auto"/>
          <w:sz w:val="28"/>
          <w:szCs w:val="28"/>
          <w:highlight w:val="none"/>
        </w:rPr>
        <w:t>附件</w:t>
      </w:r>
      <w:r>
        <w:rPr>
          <w:rFonts w:hint="default" w:ascii="Times New Roman" w:hAnsi="Times New Roman" w:cs="Times New Roman"/>
          <w:snapToGrid w:val="0"/>
          <w:color w:val="auto"/>
          <w:sz w:val="28"/>
          <w:szCs w:val="28"/>
          <w:highlight w:val="none"/>
          <w:lang w:val="en-US" w:eastAsia="zh-CN"/>
        </w:rPr>
        <w:t>3</w:t>
      </w:r>
      <w:r>
        <w:rPr>
          <w:rFonts w:hint="default" w:ascii="Times New Roman" w:hAnsi="Times New Roman" w:cs="Times New Roman"/>
          <w:snapToGrid w:val="0"/>
          <w:color w:val="auto"/>
          <w:sz w:val="28"/>
          <w:szCs w:val="28"/>
          <w:highlight w:val="none"/>
        </w:rPr>
        <w:t xml:space="preserve"> 现状监测报告</w:t>
      </w:r>
      <w:bookmarkEnd w:id="87"/>
      <w:bookmarkEnd w:id="88"/>
    </w:p>
    <w:p w14:paraId="299DA6A5">
      <w:pPr>
        <w:pStyle w:val="25"/>
        <w:adjustRightInd w:val="0"/>
        <w:snapToGrid w:val="0"/>
        <w:spacing w:before="0" w:beforeAutospacing="0" w:after="0" w:afterAutospacing="0"/>
        <w:rPr>
          <w:rFonts w:hint="default" w:ascii="Times New Roman" w:hAnsi="Times New Roman" w:cs="Times New Roman"/>
          <w:snapToGrid w:val="0"/>
          <w:color w:val="auto"/>
          <w:sz w:val="28"/>
          <w:szCs w:val="28"/>
          <w:highlight w:val="none"/>
        </w:rPr>
      </w:pPr>
    </w:p>
    <w:p w14:paraId="4335FB9E">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614035" cy="7840980"/>
            <wp:effectExtent l="0" t="0" r="5715" b="762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0"/>
                    <a:stretch>
                      <a:fillRect/>
                    </a:stretch>
                  </pic:blipFill>
                  <pic:spPr>
                    <a:xfrm>
                      <a:off x="0" y="0"/>
                      <a:ext cx="5614035" cy="784098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91175" cy="7886700"/>
            <wp:effectExtent l="0" t="0" r="9525" b="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31"/>
                    <a:stretch>
                      <a:fillRect/>
                    </a:stretch>
                  </pic:blipFill>
                  <pic:spPr>
                    <a:xfrm>
                      <a:off x="0" y="0"/>
                      <a:ext cx="5591175" cy="788670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14670" cy="7962265"/>
            <wp:effectExtent l="0" t="0" r="5080" b="635"/>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32"/>
                    <a:stretch>
                      <a:fillRect/>
                    </a:stretch>
                  </pic:blipFill>
                  <pic:spPr>
                    <a:xfrm>
                      <a:off x="0" y="0"/>
                      <a:ext cx="5614670" cy="796226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14670" cy="7886700"/>
            <wp:effectExtent l="0" t="0" r="5080" b="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33"/>
                    <a:stretch>
                      <a:fillRect/>
                    </a:stretch>
                  </pic:blipFill>
                  <pic:spPr>
                    <a:xfrm>
                      <a:off x="0" y="0"/>
                      <a:ext cx="5614670" cy="7886700"/>
                    </a:xfrm>
                    <a:prstGeom prst="rect">
                      <a:avLst/>
                    </a:prstGeom>
                    <a:noFill/>
                    <a:ln>
                      <a:noFill/>
                    </a:ln>
                  </pic:spPr>
                </pic:pic>
              </a:graphicData>
            </a:graphic>
          </wp:inline>
        </w:drawing>
      </w:r>
    </w:p>
    <w:p w14:paraId="3AEA2714">
      <w:pPr>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p>
    <w:p w14:paraId="5886214E">
      <w:pPr>
        <w:pStyle w:val="3"/>
        <w:bidi w:val="0"/>
        <w:rPr>
          <w:rFonts w:hint="default" w:ascii="Times New Roman" w:hAnsi="Times New Roman" w:eastAsia="宋体" w:cs="Times New Roman"/>
          <w:b w:val="0"/>
          <w:bCs w:val="0"/>
          <w:snapToGrid w:val="0"/>
          <w:color w:val="auto"/>
          <w:kern w:val="0"/>
          <w:sz w:val="28"/>
          <w:szCs w:val="28"/>
          <w:highlight w:val="none"/>
          <w:lang w:val="en-US" w:eastAsia="zh-CN" w:bidi="ar-SA"/>
        </w:rPr>
      </w:pPr>
      <w:bookmarkStart w:id="89" w:name="_Toc23723"/>
      <w:r>
        <w:rPr>
          <w:rFonts w:hint="default" w:ascii="Times New Roman" w:hAnsi="Times New Roman" w:eastAsia="宋体" w:cs="Times New Roman"/>
          <w:b w:val="0"/>
          <w:bCs w:val="0"/>
          <w:snapToGrid w:val="0"/>
          <w:color w:val="auto"/>
          <w:kern w:val="0"/>
          <w:sz w:val="28"/>
          <w:szCs w:val="28"/>
          <w:highlight w:val="none"/>
          <w:lang w:val="en-US" w:eastAsia="zh-CN" w:bidi="ar-SA"/>
        </w:rPr>
        <w:t>附件4补充监测报告</w:t>
      </w:r>
      <w:bookmarkEnd w:id="89"/>
    </w:p>
    <w:p w14:paraId="1C859E08">
      <w:pPr>
        <w:rPr>
          <w:rFonts w:hint="default" w:ascii="Times New Roman" w:hAnsi="Times New Roman" w:cs="Times New Roman"/>
          <w:color w:val="auto"/>
          <w:highlight w:val="none"/>
          <w:lang w:val="en-US" w:eastAsia="zh-CN"/>
        </w:rPr>
      </w:pPr>
    </w:p>
    <w:p w14:paraId="0ABB4150">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429250" cy="7705725"/>
            <wp:effectExtent l="0" t="0" r="0" b="952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34"/>
                    <a:stretch>
                      <a:fillRect/>
                    </a:stretch>
                  </pic:blipFill>
                  <pic:spPr>
                    <a:xfrm>
                      <a:off x="0" y="0"/>
                      <a:ext cx="5429250" cy="77057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457825" cy="7696200"/>
            <wp:effectExtent l="0" t="0" r="9525" b="0"/>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35"/>
                    <a:stretch>
                      <a:fillRect/>
                    </a:stretch>
                  </pic:blipFill>
                  <pic:spPr>
                    <a:xfrm>
                      <a:off x="0" y="0"/>
                      <a:ext cx="5457825" cy="769620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438775" cy="7705725"/>
            <wp:effectExtent l="0" t="0" r="9525" b="9525"/>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pic:cNvPicPr>
                      <a:picLocks noChangeAspect="1"/>
                    </pic:cNvPicPr>
                  </pic:nvPicPr>
                  <pic:blipFill>
                    <a:blip r:embed="rId36"/>
                    <a:stretch>
                      <a:fillRect/>
                    </a:stretch>
                  </pic:blipFill>
                  <pic:spPr>
                    <a:xfrm>
                      <a:off x="0" y="0"/>
                      <a:ext cx="5438775" cy="77057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400675" cy="7658100"/>
            <wp:effectExtent l="0" t="0" r="9525" b="0"/>
            <wp:docPr id="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pic:cNvPicPr>
                      <a:picLocks noChangeAspect="1"/>
                    </pic:cNvPicPr>
                  </pic:nvPicPr>
                  <pic:blipFill>
                    <a:blip r:embed="rId37"/>
                    <a:stretch>
                      <a:fillRect/>
                    </a:stretch>
                  </pic:blipFill>
                  <pic:spPr>
                    <a:xfrm>
                      <a:off x="0" y="0"/>
                      <a:ext cx="5400675" cy="765810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419725" cy="7724775"/>
            <wp:effectExtent l="0" t="0" r="9525" b="9525"/>
            <wp:docPr id="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
                    <pic:cNvPicPr>
                      <a:picLocks noChangeAspect="1"/>
                    </pic:cNvPicPr>
                  </pic:nvPicPr>
                  <pic:blipFill>
                    <a:blip r:embed="rId38"/>
                    <a:stretch>
                      <a:fillRect/>
                    </a:stretch>
                  </pic:blipFill>
                  <pic:spPr>
                    <a:xfrm>
                      <a:off x="0" y="0"/>
                      <a:ext cx="5419725" cy="7724775"/>
                    </a:xfrm>
                    <a:prstGeom prst="rect">
                      <a:avLst/>
                    </a:prstGeom>
                    <a:noFill/>
                    <a:ln>
                      <a:noFill/>
                    </a:ln>
                  </pic:spPr>
                </pic:pic>
              </a:graphicData>
            </a:graphic>
          </wp:inline>
        </w:drawing>
      </w:r>
      <w:r>
        <w:rPr>
          <w:rFonts w:hint="default" w:ascii="Times New Roman" w:hAnsi="Times New Roman" w:cs="Times New Roman"/>
          <w:color w:val="auto"/>
          <w:highlight w:val="none"/>
        </w:rPr>
        <w:br w:type="page"/>
      </w:r>
    </w:p>
    <w:p w14:paraId="02344A6C">
      <w:pPr>
        <w:pStyle w:val="25"/>
        <w:adjustRightInd w:val="0"/>
        <w:snapToGrid w:val="0"/>
        <w:spacing w:before="0" w:beforeAutospacing="0" w:after="0" w:afterAutospacing="0" w:line="360" w:lineRule="auto"/>
        <w:outlineLvl w:val="1"/>
        <w:rPr>
          <w:rFonts w:hint="default" w:ascii="Times New Roman" w:hAnsi="Times New Roman" w:eastAsia="宋体" w:cs="Times New Roman"/>
          <w:snapToGrid w:val="0"/>
          <w:color w:val="auto"/>
          <w:sz w:val="28"/>
          <w:szCs w:val="28"/>
          <w:highlight w:val="none"/>
          <w:lang w:val="en-US" w:eastAsia="zh-CN"/>
        </w:rPr>
      </w:pPr>
      <w:bookmarkStart w:id="90" w:name="_Toc25839"/>
      <w:bookmarkStart w:id="91" w:name="_Toc184043996"/>
      <w:r>
        <w:rPr>
          <w:rFonts w:hint="default" w:ascii="Times New Roman" w:hAnsi="Times New Roman" w:cs="Times New Roman"/>
          <w:snapToGrid w:val="0"/>
          <w:color w:val="auto"/>
          <w:sz w:val="28"/>
          <w:szCs w:val="28"/>
          <w:highlight w:val="none"/>
        </w:rPr>
        <w:t>附件</w:t>
      </w:r>
      <w:r>
        <w:rPr>
          <w:rFonts w:hint="default" w:ascii="Times New Roman" w:hAnsi="Times New Roman" w:cs="Times New Roman"/>
          <w:snapToGrid w:val="0"/>
          <w:color w:val="auto"/>
          <w:sz w:val="28"/>
          <w:szCs w:val="28"/>
          <w:highlight w:val="none"/>
          <w:lang w:val="en-US" w:eastAsia="zh-CN"/>
        </w:rPr>
        <w:t>5</w:t>
      </w:r>
      <w:r>
        <w:rPr>
          <w:rFonts w:hint="default" w:ascii="Times New Roman" w:hAnsi="Times New Roman" w:cs="Times New Roman"/>
          <w:snapToGrid w:val="0"/>
          <w:color w:val="auto"/>
          <w:sz w:val="28"/>
          <w:szCs w:val="28"/>
          <w:highlight w:val="none"/>
        </w:rPr>
        <w:t xml:space="preserve"> </w:t>
      </w:r>
      <w:r>
        <w:rPr>
          <w:rFonts w:hint="default" w:ascii="Times New Roman" w:hAnsi="Times New Roman" w:cs="Times New Roman"/>
          <w:snapToGrid w:val="0"/>
          <w:color w:val="auto"/>
          <w:sz w:val="28"/>
          <w:szCs w:val="28"/>
          <w:highlight w:val="none"/>
          <w:lang w:val="en-US" w:eastAsia="zh-CN"/>
        </w:rPr>
        <w:t>租赁协议</w:t>
      </w:r>
      <w:bookmarkEnd w:id="90"/>
    </w:p>
    <w:p w14:paraId="546B5201">
      <w:pPr>
        <w:rPr>
          <w:rFonts w:hint="default" w:ascii="Times New Roman" w:hAnsi="Times New Roman" w:cs="Times New Roman"/>
          <w:snapToGrid w:val="0"/>
          <w:color w:val="auto"/>
          <w:sz w:val="28"/>
          <w:szCs w:val="28"/>
          <w:highlight w:val="none"/>
          <w:lang w:val="en-US" w:eastAsia="zh-CN"/>
        </w:rPr>
      </w:pPr>
      <w:r>
        <w:rPr>
          <w:rFonts w:hint="default" w:ascii="Times New Roman" w:hAnsi="Times New Roman" w:cs="Times New Roman"/>
          <w:snapToGrid w:val="0"/>
          <w:color w:val="auto"/>
          <w:sz w:val="28"/>
          <w:szCs w:val="28"/>
          <w:highlight w:val="none"/>
          <w:lang w:val="en-US" w:eastAsia="zh-CN"/>
        </w:rPr>
        <w:drawing>
          <wp:inline distT="0" distB="0" distL="114300" distR="114300">
            <wp:extent cx="5610225" cy="7783195"/>
            <wp:effectExtent l="0" t="0" r="9525" b="8255"/>
            <wp:docPr id="4" name="图片 4" descr="b4a1cf9ef2c86803573d7e9976d2b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4a1cf9ef2c86803573d7e9976d2b61"/>
                    <pic:cNvPicPr>
                      <a:picLocks noChangeAspect="1"/>
                    </pic:cNvPicPr>
                  </pic:nvPicPr>
                  <pic:blipFill>
                    <a:blip r:embed="rId39"/>
                    <a:stretch>
                      <a:fillRect/>
                    </a:stretch>
                  </pic:blipFill>
                  <pic:spPr>
                    <a:xfrm>
                      <a:off x="0" y="0"/>
                      <a:ext cx="5610225" cy="7783195"/>
                    </a:xfrm>
                    <a:prstGeom prst="rect">
                      <a:avLst/>
                    </a:prstGeom>
                  </pic:spPr>
                </pic:pic>
              </a:graphicData>
            </a:graphic>
          </wp:inline>
        </w:drawing>
      </w:r>
      <w:r>
        <w:rPr>
          <w:rFonts w:hint="default" w:ascii="Times New Roman" w:hAnsi="Times New Roman" w:cs="Times New Roman"/>
          <w:snapToGrid w:val="0"/>
          <w:color w:val="auto"/>
          <w:sz w:val="28"/>
          <w:szCs w:val="28"/>
          <w:highlight w:val="none"/>
          <w:lang w:val="en-US" w:eastAsia="zh-CN"/>
        </w:rPr>
        <w:br w:type="page"/>
      </w:r>
    </w:p>
    <w:p w14:paraId="016DC175">
      <w:pPr>
        <w:rPr>
          <w:rFonts w:hint="default" w:ascii="Times New Roman" w:hAnsi="Times New Roman" w:eastAsia="宋体" w:cs="Times New Roman"/>
          <w:snapToGrid w:val="0"/>
          <w:color w:val="auto"/>
          <w:sz w:val="28"/>
          <w:szCs w:val="28"/>
          <w:highlight w:val="none"/>
          <w:lang w:eastAsia="zh-CN"/>
        </w:rPr>
      </w:pPr>
    </w:p>
    <w:p w14:paraId="60972CA9">
      <w:pPr>
        <w:rPr>
          <w:rFonts w:hint="default" w:ascii="Times New Roman" w:hAnsi="Times New Roman" w:cs="Times New Roman"/>
          <w:snapToGrid w:val="0"/>
          <w:color w:val="auto"/>
          <w:sz w:val="28"/>
          <w:szCs w:val="28"/>
          <w:highlight w:val="none"/>
          <w:lang w:val="en-US" w:eastAsia="zh-CN"/>
        </w:rPr>
      </w:pPr>
      <w:bookmarkStart w:id="92" w:name="_Toc1434"/>
      <w:r>
        <w:rPr>
          <w:rFonts w:hint="default" w:ascii="Times New Roman" w:hAnsi="Times New Roman" w:cs="Times New Roman"/>
          <w:snapToGrid w:val="0"/>
          <w:color w:val="auto"/>
          <w:sz w:val="28"/>
          <w:szCs w:val="28"/>
          <w:highlight w:val="none"/>
          <w:lang w:val="en-US" w:eastAsia="zh-CN"/>
        </w:rPr>
        <w:drawing>
          <wp:inline distT="0" distB="0" distL="114300" distR="114300">
            <wp:extent cx="5448300" cy="7559040"/>
            <wp:effectExtent l="0" t="0" r="0" b="3810"/>
            <wp:docPr id="7" name="图片 7" descr="e8e772a68ddc705c68bada8612af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8e772a68ddc705c68bada8612afa29"/>
                    <pic:cNvPicPr>
                      <a:picLocks noChangeAspect="1"/>
                    </pic:cNvPicPr>
                  </pic:nvPicPr>
                  <pic:blipFill>
                    <a:blip r:embed="rId40"/>
                    <a:stretch>
                      <a:fillRect/>
                    </a:stretch>
                  </pic:blipFill>
                  <pic:spPr>
                    <a:xfrm>
                      <a:off x="0" y="0"/>
                      <a:ext cx="5448300" cy="7559040"/>
                    </a:xfrm>
                    <a:prstGeom prst="rect">
                      <a:avLst/>
                    </a:prstGeom>
                  </pic:spPr>
                </pic:pic>
              </a:graphicData>
            </a:graphic>
          </wp:inline>
        </w:drawing>
      </w:r>
    </w:p>
    <w:p w14:paraId="563275ED">
      <w:pPr>
        <w:rPr>
          <w:rFonts w:hint="default" w:ascii="Times New Roman" w:hAnsi="Times New Roman" w:cs="Times New Roman"/>
          <w:snapToGrid w:val="0"/>
          <w:color w:val="auto"/>
          <w:sz w:val="28"/>
          <w:szCs w:val="28"/>
          <w:highlight w:val="none"/>
          <w:lang w:val="en-US" w:eastAsia="zh-CN"/>
        </w:rPr>
      </w:pPr>
      <w:r>
        <w:rPr>
          <w:rFonts w:hint="default" w:ascii="Times New Roman" w:hAnsi="Times New Roman" w:cs="Times New Roman"/>
          <w:snapToGrid w:val="0"/>
          <w:color w:val="auto"/>
          <w:sz w:val="28"/>
          <w:szCs w:val="28"/>
          <w:highlight w:val="none"/>
          <w:lang w:val="en-US" w:eastAsia="zh-CN"/>
        </w:rPr>
        <w:br w:type="page"/>
      </w:r>
    </w:p>
    <w:p w14:paraId="6E642182">
      <w:pPr>
        <w:pStyle w:val="25"/>
        <w:adjustRightInd w:val="0"/>
        <w:snapToGrid w:val="0"/>
        <w:spacing w:before="0" w:beforeAutospacing="0" w:after="0" w:afterAutospacing="0" w:line="360" w:lineRule="auto"/>
        <w:outlineLvl w:val="1"/>
        <w:rPr>
          <w:rFonts w:hint="default" w:ascii="Times New Roman" w:hAnsi="Times New Roman" w:cs="Times New Roman"/>
          <w:snapToGrid w:val="0"/>
          <w:color w:val="auto"/>
          <w:sz w:val="28"/>
          <w:szCs w:val="28"/>
          <w:highlight w:val="none"/>
        </w:rPr>
      </w:pPr>
      <w:r>
        <w:rPr>
          <w:rFonts w:hint="default" w:ascii="Times New Roman" w:hAnsi="Times New Roman" w:cs="Times New Roman"/>
          <w:snapToGrid w:val="0"/>
          <w:color w:val="auto"/>
          <w:sz w:val="28"/>
          <w:szCs w:val="28"/>
          <w:highlight w:val="none"/>
          <w:lang w:val="en-US" w:eastAsia="zh-CN"/>
        </w:rPr>
        <w:t xml:space="preserve">附件6 </w:t>
      </w:r>
      <w:r>
        <w:rPr>
          <w:rFonts w:hint="default" w:ascii="Times New Roman" w:hAnsi="Times New Roman" w:cs="Times New Roman"/>
          <w:snapToGrid w:val="0"/>
          <w:color w:val="auto"/>
          <w:sz w:val="28"/>
          <w:szCs w:val="28"/>
          <w:highlight w:val="none"/>
        </w:rPr>
        <w:t>生态环境分区管控分析报告</w:t>
      </w:r>
      <w:bookmarkEnd w:id="91"/>
      <w:bookmarkEnd w:id="92"/>
    </w:p>
    <w:p w14:paraId="28BEF9BB">
      <w:pPr>
        <w:spacing w:line="360" w:lineRule="auto"/>
        <w:jc w:val="center"/>
        <w:rPr>
          <w:rFonts w:hint="default" w:ascii="Times New Roman" w:hAnsi="Times New Roman" w:eastAsia="仿宋" w:cs="Times New Roman"/>
          <w:color w:val="auto"/>
          <w:sz w:val="24"/>
          <w:highlight w:val="none"/>
        </w:rPr>
      </w:pPr>
      <w:r>
        <w:rPr>
          <w:rFonts w:hint="default" w:ascii="Times New Roman" w:hAnsi="Times New Roman" w:cs="Times New Roman"/>
          <w:color w:val="auto"/>
          <w:highlight w:val="none"/>
        </w:rPr>
        <w:drawing>
          <wp:inline distT="0" distB="0" distL="114300" distR="114300">
            <wp:extent cx="5615305" cy="3927475"/>
            <wp:effectExtent l="0" t="0" r="4445" b="1587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41"/>
                    <a:stretch>
                      <a:fillRect/>
                    </a:stretch>
                  </pic:blipFill>
                  <pic:spPr>
                    <a:xfrm>
                      <a:off x="0" y="0"/>
                      <a:ext cx="5615305" cy="3927475"/>
                    </a:xfrm>
                    <a:prstGeom prst="rect">
                      <a:avLst/>
                    </a:prstGeom>
                    <a:noFill/>
                    <a:ln>
                      <a:noFill/>
                    </a:ln>
                  </pic:spPr>
                </pic:pic>
              </a:graphicData>
            </a:graphic>
          </wp:inline>
        </w:drawing>
      </w:r>
    </w:p>
    <w:p w14:paraId="38DDDB1B">
      <w:pPr>
        <w:spacing w:line="360" w:lineRule="auto"/>
        <w:jc w:val="center"/>
        <w:rPr>
          <w:rFonts w:hint="default" w:ascii="Times New Roman" w:hAnsi="Times New Roman" w:eastAsia="仿宋" w:cs="Times New Roman"/>
          <w:color w:val="auto"/>
          <w:sz w:val="24"/>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color w:val="auto"/>
          <w:highlight w:val="none"/>
        </w:rPr>
        <w:drawing>
          <wp:inline distT="0" distB="0" distL="114300" distR="114300">
            <wp:extent cx="5611495" cy="3950335"/>
            <wp:effectExtent l="0" t="0" r="8255" b="12065"/>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42"/>
                    <a:stretch>
                      <a:fillRect/>
                    </a:stretch>
                  </pic:blipFill>
                  <pic:spPr>
                    <a:xfrm>
                      <a:off x="0" y="0"/>
                      <a:ext cx="5611495" cy="395033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08320" cy="3927475"/>
            <wp:effectExtent l="0" t="0" r="11430" b="15875"/>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43"/>
                    <a:stretch>
                      <a:fillRect/>
                    </a:stretch>
                  </pic:blipFill>
                  <pic:spPr>
                    <a:xfrm>
                      <a:off x="0" y="0"/>
                      <a:ext cx="5608320" cy="39274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08320" cy="3940810"/>
            <wp:effectExtent l="0" t="0" r="11430" b="254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44"/>
                    <a:stretch>
                      <a:fillRect/>
                    </a:stretch>
                  </pic:blipFill>
                  <pic:spPr>
                    <a:xfrm>
                      <a:off x="0" y="0"/>
                      <a:ext cx="5608320" cy="394081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08320" cy="3973830"/>
            <wp:effectExtent l="0" t="0" r="11430" b="7620"/>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45"/>
                    <a:stretch>
                      <a:fillRect/>
                    </a:stretch>
                  </pic:blipFill>
                  <pic:spPr>
                    <a:xfrm>
                      <a:off x="0" y="0"/>
                      <a:ext cx="5608320" cy="397383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09590" cy="3932555"/>
            <wp:effectExtent l="0" t="0" r="10160" b="10795"/>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46"/>
                    <a:stretch>
                      <a:fillRect/>
                    </a:stretch>
                  </pic:blipFill>
                  <pic:spPr>
                    <a:xfrm>
                      <a:off x="0" y="0"/>
                      <a:ext cx="5609590" cy="39325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12130" cy="3930650"/>
            <wp:effectExtent l="0" t="0" r="7620" b="1270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47"/>
                    <a:stretch>
                      <a:fillRect/>
                    </a:stretch>
                  </pic:blipFill>
                  <pic:spPr>
                    <a:xfrm>
                      <a:off x="0" y="0"/>
                      <a:ext cx="5612130" cy="39306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08320" cy="3907155"/>
            <wp:effectExtent l="0" t="0" r="11430" b="17145"/>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48"/>
                    <a:stretch>
                      <a:fillRect/>
                    </a:stretch>
                  </pic:blipFill>
                  <pic:spPr>
                    <a:xfrm>
                      <a:off x="0" y="0"/>
                      <a:ext cx="5608320" cy="39071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11495" cy="3977005"/>
            <wp:effectExtent l="0" t="0" r="8255" b="4445"/>
            <wp:docPr id="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pic:cNvPicPr>
                      <a:picLocks noChangeAspect="1"/>
                    </pic:cNvPicPr>
                  </pic:nvPicPr>
                  <pic:blipFill>
                    <a:blip r:embed="rId49"/>
                    <a:stretch>
                      <a:fillRect/>
                    </a:stretch>
                  </pic:blipFill>
                  <pic:spPr>
                    <a:xfrm>
                      <a:off x="0" y="0"/>
                      <a:ext cx="5611495" cy="397700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613400" cy="3909060"/>
            <wp:effectExtent l="0" t="0" r="6350" b="15240"/>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50"/>
                    <a:stretch>
                      <a:fillRect/>
                    </a:stretch>
                  </pic:blipFill>
                  <pic:spPr>
                    <a:xfrm>
                      <a:off x="0" y="0"/>
                      <a:ext cx="5613400" cy="3909060"/>
                    </a:xfrm>
                    <a:prstGeom prst="rect">
                      <a:avLst/>
                    </a:prstGeom>
                    <a:noFill/>
                    <a:ln>
                      <a:noFill/>
                    </a:ln>
                  </pic:spPr>
                </pic:pic>
              </a:graphicData>
            </a:graphic>
          </wp:inline>
        </w:drawing>
      </w:r>
    </w:p>
    <w:p w14:paraId="6869CF89">
      <w:pPr>
        <w:widowControl/>
        <w:adjustRightInd w:val="0"/>
        <w:snapToGrid w:val="0"/>
        <w:jc w:val="left"/>
        <w:outlineLvl w:val="1"/>
        <w:rPr>
          <w:rFonts w:hint="default" w:ascii="Times New Roman" w:hAnsi="Times New Roman" w:cs="Times New Roman"/>
          <w:snapToGrid w:val="0"/>
          <w:color w:val="auto"/>
          <w:kern w:val="0"/>
          <w:sz w:val="28"/>
          <w:szCs w:val="28"/>
          <w:highlight w:val="none"/>
        </w:rPr>
      </w:pPr>
      <w:bookmarkStart w:id="93" w:name="_Toc143246838"/>
      <w:bookmarkStart w:id="94" w:name="_Toc2214"/>
      <w:r>
        <w:rPr>
          <w:rFonts w:hint="default" w:ascii="Times New Roman" w:hAnsi="Times New Roman" w:cs="Times New Roman"/>
          <w:snapToGrid w:val="0"/>
          <w:color w:val="auto"/>
          <w:kern w:val="0"/>
          <w:sz w:val="28"/>
          <w:szCs w:val="28"/>
          <w:highlight w:val="none"/>
        </w:rPr>
        <w:t>附件</w:t>
      </w:r>
      <w:r>
        <w:rPr>
          <w:rFonts w:hint="default" w:ascii="Times New Roman" w:hAnsi="Times New Roman" w:cs="Times New Roman"/>
          <w:snapToGrid w:val="0"/>
          <w:color w:val="auto"/>
          <w:kern w:val="0"/>
          <w:sz w:val="28"/>
          <w:szCs w:val="28"/>
          <w:highlight w:val="none"/>
          <w:lang w:val="en-US" w:eastAsia="zh-CN"/>
        </w:rPr>
        <w:t>7</w:t>
      </w:r>
      <w:r>
        <w:rPr>
          <w:rFonts w:hint="default" w:ascii="Times New Roman" w:hAnsi="Times New Roman" w:cs="Times New Roman"/>
          <w:snapToGrid w:val="0"/>
          <w:color w:val="auto"/>
          <w:kern w:val="0"/>
          <w:sz w:val="28"/>
          <w:szCs w:val="28"/>
          <w:highlight w:val="none"/>
        </w:rPr>
        <w:t xml:space="preserve"> 总量计算说明</w:t>
      </w:r>
      <w:bookmarkEnd w:id="93"/>
      <w:bookmarkEnd w:id="94"/>
    </w:p>
    <w:p w14:paraId="224F662E">
      <w:pPr>
        <w:widowControl/>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一、大气污染物总量控制指标</w:t>
      </w:r>
    </w:p>
    <w:p w14:paraId="1D6709CF">
      <w:pPr>
        <w:widowControl/>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（1）烘干燃烧器燃油废气及烘干筛分粉尘污染物总量控制指标（DA00</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w:t>
      </w:r>
    </w:p>
    <w:p w14:paraId="77AE0F8A">
      <w:pPr>
        <w:widowControl/>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本项目采用燃烧器向烘干滚筒喷入火焰的方式对骨料进行加热，燃烧器以轻质柴油为燃料，轻质柴油燃烧会产生燃油烟气。根据《排污许可证申请与核发技术规范 总则（HJ942—2018）》中无规定的基准排气的计算公式：</w:t>
      </w:r>
    </w:p>
    <w:p w14:paraId="023612F9">
      <w:pPr>
        <w:pStyle w:val="40"/>
        <w:ind w:firstLine="560"/>
        <w:jc w:val="center"/>
        <w:rPr>
          <w:rFonts w:hint="default" w:ascii="Times New Roman" w:hAnsi="Times New Roman" w:cs="Times New Roman"/>
          <w:color w:val="auto"/>
          <w:sz w:val="28"/>
          <w:szCs w:val="36"/>
          <w:highlight w:val="none"/>
        </w:rPr>
      </w:pPr>
      <w:r>
        <w:rPr>
          <w:rFonts w:hint="default" w:ascii="Times New Roman" w:hAnsi="Times New Roman" w:cs="Times New Roman"/>
          <w:color w:val="auto"/>
          <w:sz w:val="28"/>
          <w:szCs w:val="36"/>
          <w:highlight w:val="none"/>
        </w:rPr>
        <w:drawing>
          <wp:inline distT="0" distB="0" distL="114300" distR="114300">
            <wp:extent cx="2209800" cy="847725"/>
            <wp:effectExtent l="0" t="0" r="0" b="9525"/>
            <wp:docPr id="12" name="图片 4" descr="1638518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descr="1638518466(1)"/>
                    <pic:cNvPicPr>
                      <a:picLocks noChangeAspect="1"/>
                    </pic:cNvPicPr>
                  </pic:nvPicPr>
                  <pic:blipFill>
                    <a:blip r:embed="rId51"/>
                    <a:stretch>
                      <a:fillRect/>
                    </a:stretch>
                  </pic:blipFill>
                  <pic:spPr>
                    <a:xfrm>
                      <a:off x="0" y="0"/>
                      <a:ext cx="2209800" cy="847725"/>
                    </a:xfrm>
                    <a:prstGeom prst="rect">
                      <a:avLst/>
                    </a:prstGeom>
                    <a:noFill/>
                    <a:ln>
                      <a:noFill/>
                    </a:ln>
                  </pic:spPr>
                </pic:pic>
              </a:graphicData>
            </a:graphic>
          </wp:inline>
        </w:drawing>
      </w:r>
    </w:p>
    <w:p w14:paraId="4EA26E7E">
      <w:pPr>
        <w:pStyle w:val="20"/>
        <w:tabs>
          <w:tab w:val="right" w:leader="dot" w:pos="8720"/>
        </w:tabs>
        <w:spacing w:line="500" w:lineRule="exact"/>
        <w:ind w:firstLine="720" w:firstLineChars="3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式中：Mi—第i个排放口污染物年许可排放量，t；</w:t>
      </w:r>
    </w:p>
    <w:p w14:paraId="10D475DC">
      <w:pPr>
        <w:widowControl/>
        <w:spacing w:line="500" w:lineRule="exact"/>
        <w:ind w:firstLine="1440" w:firstLineChars="6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Q—第i个主要排放口风量（标态），m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p>
    <w:p w14:paraId="4EB3290C">
      <w:pPr>
        <w:pStyle w:val="38"/>
        <w:spacing w:line="500" w:lineRule="exact"/>
        <w:ind w:firstLine="1440" w:firstLineChars="6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C—污染物许可排放浓度限值（标态），mg/m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14:paraId="1BA9970B">
      <w:pPr>
        <w:widowControl/>
        <w:spacing w:line="500" w:lineRule="exact"/>
        <w:ind w:firstLine="1440" w:firstLineChars="6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T—第i个主要排放口对应装置设计年生产时间，h； </w:t>
      </w:r>
    </w:p>
    <w:p w14:paraId="04D0E7CC">
      <w:pPr>
        <w:widowControl/>
        <w:spacing w:line="500" w:lineRule="exact"/>
        <w:ind w:firstLine="1440" w:firstLineChars="6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E</w:t>
      </w:r>
      <w:r>
        <w:rPr>
          <w:rFonts w:hint="default" w:ascii="Times New Roman" w:hAnsi="Times New Roman" w:cs="Times New Roman"/>
          <w:color w:val="auto"/>
          <w:sz w:val="24"/>
          <w:highlight w:val="none"/>
          <w:vertAlign w:val="subscript"/>
        </w:rPr>
        <w:t>年许可</w:t>
      </w:r>
      <w:r>
        <w:rPr>
          <w:rFonts w:hint="default" w:ascii="Times New Roman" w:hAnsi="Times New Roman" w:cs="Times New Roman"/>
          <w:color w:val="auto"/>
          <w:sz w:val="24"/>
          <w:highlight w:val="none"/>
        </w:rPr>
        <w:t>——污染物年许可排放量，t/a。</w:t>
      </w:r>
    </w:p>
    <w:p w14:paraId="16E68AD8">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本项目DA00</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排气筒设计排放量Q为</w:t>
      </w:r>
      <w:r>
        <w:rPr>
          <w:rFonts w:hint="default" w:ascii="Times New Roman" w:hAnsi="Times New Roman" w:cs="Times New Roman"/>
          <w:color w:val="auto"/>
          <w:sz w:val="24"/>
          <w:highlight w:val="none"/>
          <w:lang w:val="en-US" w:eastAsia="zh-CN"/>
        </w:rPr>
        <w:t>13154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/h，年运行时间</w:t>
      </w:r>
      <w:r>
        <w:rPr>
          <w:rFonts w:hint="default" w:ascii="Times New Roman" w:hAnsi="Times New Roman" w:cs="Times New Roman"/>
          <w:color w:val="auto"/>
          <w:sz w:val="24"/>
          <w:highlight w:val="none"/>
          <w:lang w:val="en-US" w:eastAsia="zh-CN"/>
        </w:rPr>
        <w:t>1200</w:t>
      </w:r>
      <w:r>
        <w:rPr>
          <w:rFonts w:hint="default" w:ascii="Times New Roman" w:hAnsi="Times New Roman" w:cs="Times New Roman"/>
          <w:color w:val="auto"/>
          <w:sz w:val="24"/>
          <w:highlight w:val="none"/>
        </w:rPr>
        <w:t>h，颗粒物排放浓度标准限值为120mg/m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，二氧化硫排放浓度标准限值为550mg/m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，氮氧化物排放浓度标准限值为240mg/m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，计算过程如下：</w:t>
      </w:r>
    </w:p>
    <w:p w14:paraId="5E2A22DD">
      <w:pPr>
        <w:pStyle w:val="28"/>
        <w:spacing w:after="0"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E</w:t>
      </w:r>
      <w:r>
        <w:rPr>
          <w:rFonts w:hint="default" w:ascii="Times New Roman" w:hAnsi="Times New Roman" w:cs="Times New Roman"/>
          <w:color w:val="auto"/>
          <w:sz w:val="24"/>
          <w:highlight w:val="none"/>
          <w:vertAlign w:val="subscript"/>
        </w:rPr>
        <w:t>颗粒物</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13154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/h×120mg/m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1200</w:t>
      </w:r>
      <w:r>
        <w:rPr>
          <w:rFonts w:hint="default" w:ascii="Times New Roman" w:hAnsi="Times New Roman" w:cs="Times New Roman"/>
          <w:color w:val="auto"/>
          <w:sz w:val="24"/>
          <w:highlight w:val="none"/>
        </w:rPr>
        <w:t>h×10</w:t>
      </w:r>
      <w:r>
        <w:rPr>
          <w:rFonts w:hint="default" w:ascii="Times New Roman" w:hAnsi="Times New Roman" w:cs="Times New Roman"/>
          <w:color w:val="auto"/>
          <w:sz w:val="24"/>
          <w:highlight w:val="none"/>
          <w:vertAlign w:val="superscript"/>
        </w:rPr>
        <w:t>-9</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1.894</w:t>
      </w:r>
      <w:r>
        <w:rPr>
          <w:rFonts w:hint="default" w:ascii="Times New Roman" w:hAnsi="Times New Roman" w:cs="Times New Roman"/>
          <w:color w:val="auto"/>
          <w:sz w:val="24"/>
          <w:highlight w:val="none"/>
        </w:rPr>
        <w:t>t/a；</w:t>
      </w:r>
    </w:p>
    <w:p w14:paraId="68462011">
      <w:pPr>
        <w:pStyle w:val="28"/>
        <w:spacing w:after="0"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E</w:t>
      </w:r>
      <w:r>
        <w:rPr>
          <w:rFonts w:hint="default" w:ascii="Times New Roman" w:hAnsi="Times New Roman" w:cs="Times New Roman"/>
          <w:color w:val="auto"/>
          <w:sz w:val="24"/>
          <w:highlight w:val="none"/>
          <w:vertAlign w:val="subscript"/>
        </w:rPr>
        <w:t>二氧化硫</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13154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/h×550mg/m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1200</w:t>
      </w:r>
      <w:r>
        <w:rPr>
          <w:rFonts w:hint="default" w:ascii="Times New Roman" w:hAnsi="Times New Roman" w:cs="Times New Roman"/>
          <w:color w:val="auto"/>
          <w:sz w:val="24"/>
          <w:highlight w:val="none"/>
        </w:rPr>
        <w:t>h×10</w:t>
      </w:r>
      <w:r>
        <w:rPr>
          <w:rFonts w:hint="default" w:ascii="Times New Roman" w:hAnsi="Times New Roman" w:cs="Times New Roman"/>
          <w:color w:val="auto"/>
          <w:sz w:val="24"/>
          <w:highlight w:val="none"/>
          <w:vertAlign w:val="superscript"/>
        </w:rPr>
        <w:t>-9</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8.682</w:t>
      </w:r>
      <w:r>
        <w:rPr>
          <w:rFonts w:hint="default" w:ascii="Times New Roman" w:hAnsi="Times New Roman" w:cs="Times New Roman"/>
          <w:color w:val="auto"/>
          <w:sz w:val="24"/>
          <w:highlight w:val="none"/>
        </w:rPr>
        <w:t>t/a；</w:t>
      </w:r>
    </w:p>
    <w:p w14:paraId="5D87A9BE">
      <w:pPr>
        <w:tabs>
          <w:tab w:val="left" w:pos="-210"/>
        </w:tabs>
        <w:adjustRightInd w:val="0"/>
        <w:snapToGrid w:val="0"/>
        <w:spacing w:line="500" w:lineRule="exact"/>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E</w:t>
      </w:r>
      <w:r>
        <w:rPr>
          <w:rFonts w:hint="default" w:ascii="Times New Roman" w:hAnsi="Times New Roman" w:cs="Times New Roman"/>
          <w:color w:val="auto"/>
          <w:sz w:val="24"/>
          <w:highlight w:val="none"/>
          <w:vertAlign w:val="subscript"/>
        </w:rPr>
        <w:t>NOx</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13154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/h×240mg/m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1200</w:t>
      </w:r>
      <w:r>
        <w:rPr>
          <w:rFonts w:hint="default" w:ascii="Times New Roman" w:hAnsi="Times New Roman" w:cs="Times New Roman"/>
          <w:color w:val="auto"/>
          <w:sz w:val="24"/>
          <w:highlight w:val="none"/>
        </w:rPr>
        <w:t>h×10</w:t>
      </w:r>
      <w:r>
        <w:rPr>
          <w:rFonts w:hint="default" w:ascii="Times New Roman" w:hAnsi="Times New Roman" w:cs="Times New Roman"/>
          <w:color w:val="auto"/>
          <w:sz w:val="24"/>
          <w:highlight w:val="none"/>
          <w:vertAlign w:val="superscript"/>
        </w:rPr>
        <w:t>-9</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3.788</w:t>
      </w:r>
      <w:r>
        <w:rPr>
          <w:rFonts w:hint="default" w:ascii="Times New Roman" w:hAnsi="Times New Roman" w:cs="Times New Roman"/>
          <w:color w:val="auto"/>
          <w:sz w:val="24"/>
          <w:highlight w:val="none"/>
        </w:rPr>
        <w:t>t/a。</w:t>
      </w:r>
    </w:p>
    <w:p w14:paraId="4721F721">
      <w:pPr>
        <w:tabs>
          <w:tab w:val="left" w:pos="-210"/>
        </w:tabs>
        <w:adjustRightInd w:val="0"/>
        <w:snapToGrid w:val="0"/>
        <w:spacing w:line="500" w:lineRule="exact"/>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）导热油炉污染物总量控制指标（DA00</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w:t>
      </w:r>
    </w:p>
    <w:p w14:paraId="57744C1C">
      <w:pPr>
        <w:tabs>
          <w:tab w:val="left" w:pos="-210"/>
        </w:tabs>
        <w:adjustRightInd w:val="0"/>
        <w:snapToGrid w:val="0"/>
        <w:spacing w:line="500" w:lineRule="exact"/>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本项目导热油炉采用轻质柴油为燃料，根据《排污许可证申请与核发技术规范锅炉》（HJ953-2018）计算许可排放量。</w:t>
      </w:r>
    </w:p>
    <w:p w14:paraId="63888820">
      <w:pPr>
        <w:tabs>
          <w:tab w:val="left" w:pos="-210"/>
        </w:tabs>
        <w:adjustRightInd w:val="0"/>
        <w:snapToGrid w:val="0"/>
        <w:spacing w:line="500" w:lineRule="exact"/>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执行《锅炉大气污染物排放标准》（GB13271-2014）的锅炉计算公式根据《排污许可证申请与核发技术规范锅炉》（HJ953-2018）中表5可知：</w:t>
      </w:r>
    </w:p>
    <w:p w14:paraId="5B67E1BD">
      <w:pPr>
        <w:widowControl/>
        <w:adjustRightInd w:val="0"/>
        <w:snapToGrid w:val="0"/>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4862195" cy="3338830"/>
            <wp:effectExtent l="0" t="0" r="14605" b="1397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52"/>
                    <a:stretch>
                      <a:fillRect/>
                    </a:stretch>
                  </pic:blipFill>
                  <pic:spPr>
                    <a:xfrm>
                      <a:off x="0" y="0"/>
                      <a:ext cx="4862195" cy="3338830"/>
                    </a:xfrm>
                    <a:prstGeom prst="rect">
                      <a:avLst/>
                    </a:prstGeom>
                    <a:noFill/>
                    <a:ln>
                      <a:noFill/>
                    </a:ln>
                  </pic:spPr>
                </pic:pic>
              </a:graphicData>
            </a:graphic>
          </wp:inline>
        </w:drawing>
      </w:r>
    </w:p>
    <w:p w14:paraId="2FA21B97">
      <w:pPr>
        <w:adjustRightInd w:val="0"/>
        <w:snapToGrid w:val="0"/>
        <w:spacing w:line="360" w:lineRule="auto"/>
        <w:ind w:firstLine="48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 w:val="24"/>
          <w:highlight w:val="none"/>
        </w:rPr>
        <w:t>根据《综合能耗计算通则》（GB</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T2589-2020），柴油低位发热量为42705KJ/kg（10200kcal/kg）。</w:t>
      </w:r>
    </w:p>
    <w:p w14:paraId="707443FB">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本项目基准烟气量计算如下：</w:t>
      </w:r>
    </w:p>
    <w:p w14:paraId="3DC9025C">
      <w:pPr>
        <w:widowControl/>
        <w:adjustRightInd w:val="0"/>
        <w:snapToGrid w:val="0"/>
        <w:spacing w:line="500" w:lineRule="exact"/>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Vgy=0.29Qnet,ar+0.379=0.29×42.705+0.379=12.76</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Nm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/kg</w:t>
      </w:r>
    </w:p>
    <w:p w14:paraId="3837409C">
      <w:pPr>
        <w:widowControl/>
        <w:adjustRightInd w:val="0"/>
        <w:snapToGrid w:val="0"/>
        <w:spacing w:line="360" w:lineRule="auto"/>
        <w:ind w:firstLine="420" w:firstLineChars="200"/>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object>
          <v:shape id="_x0000_i1025" o:spt="75" type="#_x0000_t75" style="height:20.8pt;width:174.4pt;" o:ole="t" filled="f" o:preferrelative="t" stroked="f" coordsize="21600,21600">
            <v:path/>
            <v:fill on="f" focussize="0,0"/>
            <v:stroke on="f" joinstyle="miter"/>
            <v:imagedata r:id="rId54" o:title=""/>
            <o:lock v:ext="edit" aspectratio="t"/>
            <w10:wrap type="none"/>
            <w10:anchorlock/>
          </v:shape>
          <o:OLEObject Type="Embed" ProgID="Equations" ShapeID="_x0000_i1025" DrawAspect="Content" ObjectID="_1468075725" r:id="rId53">
            <o:LockedField>false</o:LockedField>
          </o:OLEObject>
        </w:object>
      </w:r>
    </w:p>
    <w:p w14:paraId="06119CB7">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r>
        <w:rPr>
          <w:rFonts w:hint="default" w:ascii="Times New Roman" w:hAnsi="Times New Roman" w:cs="Times New Roman"/>
          <w:i/>
          <w:color w:val="auto"/>
          <w:sz w:val="24"/>
          <w:highlight w:val="none"/>
        </w:rPr>
        <w:t>E</w:t>
      </w:r>
      <w:r>
        <w:rPr>
          <w:rFonts w:hint="default" w:ascii="Times New Roman" w:hAnsi="Times New Roman" w:cs="Times New Roman"/>
          <w:color w:val="auto"/>
          <w:sz w:val="24"/>
          <w:highlight w:val="none"/>
          <w:vertAlign w:val="subscript"/>
        </w:rPr>
        <w:t>年许可</w:t>
      </w:r>
      <w:r>
        <w:rPr>
          <w:rFonts w:hint="default" w:ascii="Times New Roman" w:hAnsi="Times New Roman" w:cs="Times New Roman"/>
          <w:color w:val="auto"/>
          <w:sz w:val="24"/>
          <w:highlight w:val="none"/>
        </w:rPr>
        <w:t>——锅炉排污单位污染物年许可排放量，吨；</w:t>
      </w:r>
    </w:p>
    <w:p w14:paraId="74CA750B">
      <w:pPr>
        <w:adjustRightInd w:val="0"/>
        <w:snapToGrid w:val="0"/>
        <w:spacing w:line="500" w:lineRule="exact"/>
        <w:ind w:firstLine="1200" w:firstLineChars="500"/>
        <w:rPr>
          <w:rFonts w:hint="default" w:ascii="Times New Roman" w:hAnsi="Times New Roman" w:cs="Times New Roman"/>
          <w:color w:val="auto"/>
          <w:sz w:val="24"/>
          <w:highlight w:val="none"/>
        </w:rPr>
      </w:pPr>
      <w:r>
        <w:rPr>
          <w:rFonts w:hint="default" w:ascii="Times New Roman" w:hAnsi="Times New Roman" w:cs="Times New Roman"/>
          <w:i/>
          <w:color w:val="auto"/>
          <w:sz w:val="24"/>
          <w:highlight w:val="none"/>
        </w:rPr>
        <w:t>Ci</w:t>
      </w:r>
      <w:r>
        <w:rPr>
          <w:rFonts w:hint="default" w:ascii="Times New Roman" w:hAnsi="Times New Roman" w:cs="Times New Roman"/>
          <w:color w:val="auto"/>
          <w:sz w:val="24"/>
          <w:highlight w:val="none"/>
        </w:rPr>
        <w:t>——第</w:t>
      </w:r>
      <w:r>
        <w:rPr>
          <w:rFonts w:hint="default" w:ascii="Times New Roman" w:hAnsi="Times New Roman" w:cs="Times New Roman"/>
          <w:i/>
          <w:iCs/>
          <w:color w:val="auto"/>
          <w:sz w:val="24"/>
          <w:highlight w:val="none"/>
        </w:rPr>
        <w:t>i</w:t>
      </w:r>
      <w:r>
        <w:rPr>
          <w:rFonts w:hint="default" w:ascii="Times New Roman" w:hAnsi="Times New Roman" w:cs="Times New Roman"/>
          <w:color w:val="auto"/>
          <w:sz w:val="24"/>
          <w:highlight w:val="none"/>
        </w:rPr>
        <w:t>个主要排放口污染物排放标准浓度限值，mg/m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（颗粒物30，SO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200，NOx250）；</w:t>
      </w:r>
    </w:p>
    <w:p w14:paraId="4C5545D6">
      <w:pPr>
        <w:adjustRightInd w:val="0"/>
        <w:snapToGrid w:val="0"/>
        <w:spacing w:line="500" w:lineRule="exact"/>
        <w:ind w:firstLine="1200" w:firstLineChars="500"/>
        <w:rPr>
          <w:rFonts w:hint="default" w:ascii="Times New Roman" w:hAnsi="Times New Roman" w:cs="Times New Roman"/>
          <w:color w:val="auto"/>
          <w:sz w:val="24"/>
          <w:highlight w:val="none"/>
        </w:rPr>
      </w:pPr>
      <w:r>
        <w:rPr>
          <w:rFonts w:hint="default" w:ascii="Times New Roman" w:hAnsi="Times New Roman" w:cs="Times New Roman"/>
          <w:i/>
          <w:color w:val="auto"/>
          <w:sz w:val="24"/>
          <w:highlight w:val="none"/>
        </w:rPr>
        <w:t>Vi</w:t>
      </w:r>
      <w:r>
        <w:rPr>
          <w:rFonts w:hint="default" w:ascii="Times New Roman" w:hAnsi="Times New Roman" w:cs="Times New Roman"/>
          <w:color w:val="auto"/>
          <w:sz w:val="24"/>
          <w:highlight w:val="none"/>
        </w:rPr>
        <w:t>——第</w:t>
      </w:r>
      <w:r>
        <w:rPr>
          <w:rFonts w:hint="default" w:ascii="Times New Roman" w:hAnsi="Times New Roman" w:cs="Times New Roman"/>
          <w:i/>
          <w:iCs/>
          <w:color w:val="auto"/>
          <w:sz w:val="24"/>
          <w:highlight w:val="none"/>
        </w:rPr>
        <w:t>i</w:t>
      </w:r>
      <w:r>
        <w:rPr>
          <w:rFonts w:hint="default" w:ascii="Times New Roman" w:hAnsi="Times New Roman" w:cs="Times New Roman"/>
          <w:color w:val="auto"/>
          <w:sz w:val="24"/>
          <w:highlight w:val="none"/>
        </w:rPr>
        <w:t>个主要排放口基准烟气量，Nm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/kg，取12.76</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w:t>
      </w:r>
    </w:p>
    <w:p w14:paraId="4E4C281E">
      <w:pPr>
        <w:adjustRightInd w:val="0"/>
        <w:snapToGrid w:val="0"/>
        <w:spacing w:line="500" w:lineRule="exact"/>
        <w:ind w:firstLine="1200" w:firstLineChars="500"/>
        <w:textAlignment w:val="center"/>
        <w:rPr>
          <w:rFonts w:hint="default" w:ascii="Times New Roman" w:hAnsi="Times New Roman" w:cs="Times New Roman"/>
          <w:color w:val="auto"/>
          <w:position w:val="-4"/>
          <w:sz w:val="24"/>
          <w:highlight w:val="none"/>
        </w:rPr>
      </w:pPr>
      <w:r>
        <w:rPr>
          <w:rFonts w:hint="default" w:ascii="Times New Roman" w:hAnsi="Times New Roman" w:cs="Times New Roman"/>
          <w:i/>
          <w:color w:val="auto"/>
          <w:sz w:val="24"/>
          <w:highlight w:val="none"/>
        </w:rPr>
        <w:t>Ri</w:t>
      </w:r>
      <w:r>
        <w:rPr>
          <w:rFonts w:hint="default" w:ascii="Times New Roman" w:hAnsi="Times New Roman" w:cs="Times New Roman"/>
          <w:color w:val="auto"/>
          <w:position w:val="-4"/>
          <w:sz w:val="24"/>
          <w:highlight w:val="none"/>
        </w:rPr>
        <w:t>——</w:t>
      </w:r>
      <w:r>
        <w:rPr>
          <w:rFonts w:hint="default" w:ascii="Times New Roman" w:hAnsi="Times New Roman" w:cs="Times New Roman"/>
          <w:color w:val="auto"/>
          <w:sz w:val="24"/>
          <w:highlight w:val="none"/>
        </w:rPr>
        <w:t>第</w:t>
      </w:r>
      <w:r>
        <w:rPr>
          <w:rFonts w:hint="default" w:ascii="Times New Roman" w:hAnsi="Times New Roman" w:cs="Times New Roman"/>
          <w:i/>
          <w:iCs/>
          <w:color w:val="auto"/>
          <w:sz w:val="24"/>
          <w:highlight w:val="none"/>
        </w:rPr>
        <w:t>i</w:t>
      </w:r>
      <w:r>
        <w:rPr>
          <w:rFonts w:hint="default" w:ascii="Times New Roman" w:hAnsi="Times New Roman" w:cs="Times New Roman"/>
          <w:color w:val="auto"/>
          <w:sz w:val="24"/>
          <w:highlight w:val="none"/>
        </w:rPr>
        <w:t>个主要排放口所对应的锅炉前三年年平均燃料使用量（本项目取设计值</w:t>
      </w:r>
      <w:r>
        <w:rPr>
          <w:rFonts w:hint="default" w:ascii="Times New Roman" w:hAnsi="Times New Roman" w:cs="Times New Roman"/>
          <w:color w:val="auto"/>
          <w:sz w:val="24"/>
          <w:highlight w:val="none"/>
          <w:lang w:val="en-US" w:eastAsia="zh-CN"/>
        </w:rPr>
        <w:t>48.01</w:t>
      </w:r>
      <w:r>
        <w:rPr>
          <w:rFonts w:hint="default" w:ascii="Times New Roman" w:hAnsi="Times New Roman" w:cs="Times New Roman"/>
          <w:color w:val="auto"/>
          <w:sz w:val="24"/>
          <w:highlight w:val="none"/>
        </w:rPr>
        <w:t>t）；</w:t>
      </w:r>
    </w:p>
    <w:p w14:paraId="3968A44E">
      <w:pPr>
        <w:adjustRightInd w:val="0"/>
        <w:snapToGrid w:val="0"/>
        <w:spacing w:line="500" w:lineRule="exact"/>
        <w:ind w:firstLine="1200" w:firstLineChars="500"/>
        <w:rPr>
          <w:rFonts w:hint="default" w:ascii="Times New Roman" w:hAnsi="Times New Roman" w:cs="Times New Roman"/>
          <w:color w:val="auto"/>
          <w:sz w:val="24"/>
          <w:highlight w:val="none"/>
        </w:rPr>
      </w:pPr>
      <w:r>
        <w:rPr>
          <w:rFonts w:hint="default" w:ascii="Times New Roman" w:hAnsi="Times New Roman" w:cs="Times New Roman"/>
          <w:i/>
          <w:color w:val="auto"/>
          <w:sz w:val="24"/>
          <w:highlight w:val="none"/>
        </w:rPr>
        <w:t>δi</w:t>
      </w:r>
      <w:r>
        <w:rPr>
          <w:rFonts w:hint="default" w:ascii="Times New Roman" w:hAnsi="Times New Roman" w:cs="Times New Roman"/>
          <w:color w:val="auto"/>
          <w:sz w:val="24"/>
          <w:highlight w:val="none"/>
        </w:rPr>
        <w:t>——第</w:t>
      </w:r>
      <w:r>
        <w:rPr>
          <w:rFonts w:hint="default" w:ascii="Times New Roman" w:hAnsi="Times New Roman" w:cs="Times New Roman"/>
          <w:i/>
          <w:iCs/>
          <w:color w:val="auto"/>
          <w:sz w:val="24"/>
          <w:highlight w:val="none"/>
        </w:rPr>
        <w:t>i</w:t>
      </w:r>
      <w:r>
        <w:rPr>
          <w:rFonts w:hint="default" w:ascii="Times New Roman" w:hAnsi="Times New Roman" w:cs="Times New Roman"/>
          <w:color w:val="auto"/>
          <w:sz w:val="24"/>
          <w:highlight w:val="none"/>
        </w:rPr>
        <w:t>个主要排放口所对应的大气污染物许可排放量调整系数，按下表取值，颗粒物1，二氧化硫0.8，氮氧化物1；</w:t>
      </w:r>
    </w:p>
    <w:p w14:paraId="516B5101">
      <w:pPr>
        <w:widowControl/>
        <w:adjustRightInd w:val="0"/>
        <w:snapToGrid w:val="0"/>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drawing>
          <wp:inline distT="0" distB="0" distL="114300" distR="114300">
            <wp:extent cx="5266690" cy="2098040"/>
            <wp:effectExtent l="0" t="0" r="10160" b="1651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55"/>
                    <a:stretch>
                      <a:fillRect/>
                    </a:stretch>
                  </pic:blipFill>
                  <pic:spPr>
                    <a:xfrm>
                      <a:off x="0" y="0"/>
                      <a:ext cx="5266690" cy="2098040"/>
                    </a:xfrm>
                    <a:prstGeom prst="rect">
                      <a:avLst/>
                    </a:prstGeom>
                    <a:noFill/>
                    <a:ln>
                      <a:noFill/>
                    </a:ln>
                  </pic:spPr>
                </pic:pic>
              </a:graphicData>
            </a:graphic>
          </wp:inline>
        </w:drawing>
      </w:r>
    </w:p>
    <w:p w14:paraId="0EC711AE">
      <w:pPr>
        <w:widowControl/>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本项目执行《锅炉大气污染物排放标准》（GB13271-2014）中表2燃油排放限值SO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取值200mg/m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，NO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取值250mg/m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，颗粒物取值30mg/m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14:paraId="7F9613BD">
      <w:pPr>
        <w:widowControl/>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经计算：</w:t>
      </w:r>
    </w:p>
    <w:p w14:paraId="72F7EC09">
      <w:pPr>
        <w:widowControl/>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E（颗粒物）=30mg/m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×12.763Nm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/kg×</w:t>
      </w:r>
      <w:r>
        <w:rPr>
          <w:rFonts w:hint="default" w:ascii="Times New Roman" w:hAnsi="Times New Roman" w:cs="Times New Roman"/>
          <w:color w:val="auto"/>
          <w:sz w:val="24"/>
          <w:highlight w:val="none"/>
          <w:lang w:val="en-US" w:eastAsia="zh-CN"/>
        </w:rPr>
        <w:t>48.01</w:t>
      </w:r>
      <w:r>
        <w:rPr>
          <w:rFonts w:hint="default" w:ascii="Times New Roman" w:hAnsi="Times New Roman" w:cs="Times New Roman"/>
          <w:color w:val="auto"/>
          <w:sz w:val="24"/>
          <w:highlight w:val="none"/>
        </w:rPr>
        <w:t>t/a×1×10</w:t>
      </w:r>
      <w:r>
        <w:rPr>
          <w:rFonts w:hint="default" w:ascii="Times New Roman" w:hAnsi="Times New Roman" w:cs="Times New Roman"/>
          <w:color w:val="auto"/>
          <w:sz w:val="24"/>
          <w:highlight w:val="none"/>
          <w:vertAlign w:val="superscript"/>
        </w:rPr>
        <w:t>-6</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0.018</w:t>
      </w:r>
      <w:r>
        <w:rPr>
          <w:rFonts w:hint="default" w:ascii="Times New Roman" w:hAnsi="Times New Roman" w:cs="Times New Roman"/>
          <w:color w:val="auto"/>
          <w:sz w:val="24"/>
          <w:highlight w:val="none"/>
        </w:rPr>
        <w:t>t/a；</w:t>
      </w:r>
    </w:p>
    <w:p w14:paraId="20BA5BC6">
      <w:pPr>
        <w:widowControl/>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E（SO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）=200mg/m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×12.763Nm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/kg×</w:t>
      </w:r>
      <w:r>
        <w:rPr>
          <w:rFonts w:hint="default" w:ascii="Times New Roman" w:hAnsi="Times New Roman" w:cs="Times New Roman"/>
          <w:color w:val="auto"/>
          <w:sz w:val="24"/>
          <w:highlight w:val="none"/>
          <w:lang w:val="en-US" w:eastAsia="zh-CN"/>
        </w:rPr>
        <w:t>48.01</w:t>
      </w:r>
      <w:r>
        <w:rPr>
          <w:rFonts w:hint="default" w:ascii="Times New Roman" w:hAnsi="Times New Roman" w:cs="Times New Roman"/>
          <w:color w:val="auto"/>
          <w:sz w:val="24"/>
          <w:highlight w:val="none"/>
        </w:rPr>
        <w:t>t/a×0.8×10</w:t>
      </w:r>
      <w:r>
        <w:rPr>
          <w:rFonts w:hint="default" w:ascii="Times New Roman" w:hAnsi="Times New Roman" w:cs="Times New Roman"/>
          <w:color w:val="auto"/>
          <w:sz w:val="24"/>
          <w:highlight w:val="none"/>
          <w:vertAlign w:val="superscript"/>
        </w:rPr>
        <w:t>-6</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0.098</w:t>
      </w:r>
      <w:r>
        <w:rPr>
          <w:rFonts w:hint="default" w:ascii="Times New Roman" w:hAnsi="Times New Roman" w:cs="Times New Roman"/>
          <w:color w:val="auto"/>
          <w:sz w:val="24"/>
          <w:highlight w:val="none"/>
        </w:rPr>
        <w:t>t/a；</w:t>
      </w:r>
    </w:p>
    <w:p w14:paraId="322416A6">
      <w:pPr>
        <w:widowControl/>
        <w:adjustRightInd w:val="0"/>
        <w:snapToGrid w:val="0"/>
        <w:spacing w:line="50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E（NO</w:t>
      </w:r>
      <w:r>
        <w:rPr>
          <w:rFonts w:hint="default" w:ascii="Times New Roman" w:hAnsi="Times New Roman" w:cs="Times New Roman"/>
          <w:color w:val="auto"/>
          <w:sz w:val="24"/>
          <w:highlight w:val="none"/>
          <w:vertAlign w:val="subscript"/>
        </w:rPr>
        <w:t>x</w:t>
      </w:r>
      <w:r>
        <w:rPr>
          <w:rFonts w:hint="default" w:ascii="Times New Roman" w:hAnsi="Times New Roman" w:cs="Times New Roman"/>
          <w:color w:val="auto"/>
          <w:sz w:val="24"/>
          <w:highlight w:val="none"/>
        </w:rPr>
        <w:t>）=250mg/m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×12.763Nm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/kg×</w:t>
      </w:r>
      <w:r>
        <w:rPr>
          <w:rFonts w:hint="default" w:ascii="Times New Roman" w:hAnsi="Times New Roman" w:cs="Times New Roman"/>
          <w:color w:val="auto"/>
          <w:sz w:val="24"/>
          <w:highlight w:val="none"/>
          <w:lang w:val="en-US" w:eastAsia="zh-CN"/>
        </w:rPr>
        <w:t>48.01</w:t>
      </w:r>
      <w:r>
        <w:rPr>
          <w:rFonts w:hint="default" w:ascii="Times New Roman" w:hAnsi="Times New Roman" w:cs="Times New Roman"/>
          <w:color w:val="auto"/>
          <w:sz w:val="24"/>
          <w:highlight w:val="none"/>
        </w:rPr>
        <w:t>t/a×1×10</w:t>
      </w:r>
      <w:r>
        <w:rPr>
          <w:rFonts w:hint="default" w:ascii="Times New Roman" w:hAnsi="Times New Roman" w:cs="Times New Roman"/>
          <w:color w:val="auto"/>
          <w:sz w:val="24"/>
          <w:highlight w:val="none"/>
          <w:vertAlign w:val="superscript"/>
        </w:rPr>
        <w:t>-6</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0.153</w:t>
      </w:r>
      <w:r>
        <w:rPr>
          <w:rFonts w:hint="default" w:ascii="Times New Roman" w:hAnsi="Times New Roman" w:cs="Times New Roman"/>
          <w:color w:val="auto"/>
          <w:sz w:val="24"/>
          <w:highlight w:val="none"/>
        </w:rPr>
        <w:t>t/a。</w:t>
      </w:r>
    </w:p>
    <w:p w14:paraId="1CA794EE">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）加热沥青储罐、搅拌及出料产生的沥青烟气污染物总量控制指标（DA00</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p>
    <w:p w14:paraId="373F82FD">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本项目设置负压抽风废气整体收集系统，沥青储罐通过集气管收集沥青烟气、出料区设置自动升降门及集气管，密闭收集沥青烟气，沥青烟气基本可做到完全收集，沥青烟气通过引风机（设计风量20000m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/h）经负压收集后经</w:t>
      </w:r>
      <w:r>
        <w:rPr>
          <w:rFonts w:hint="default" w:ascii="Times New Roman" w:hAnsi="Times New Roman" w:cs="Times New Roman"/>
          <w:color w:val="auto"/>
          <w:highlight w:val="none"/>
          <w:lang w:val="en-US" w:eastAsia="zh-CN"/>
        </w:rPr>
        <w:t>电捕焦油器+</w:t>
      </w:r>
      <w:r>
        <w:rPr>
          <w:rFonts w:hint="default" w:ascii="Times New Roman" w:hAnsi="Times New Roman" w:cs="Times New Roman"/>
          <w:color w:val="auto"/>
          <w:highlight w:val="none"/>
        </w:rPr>
        <w:t>活性炭吸附装置处理后通过</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m烟囱DA00</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排放。</w:t>
      </w:r>
    </w:p>
    <w:p w14:paraId="500BF673">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本项目DA00</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排气筒设计排放量Q为20000m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/h，年运行时间</w:t>
      </w:r>
      <w:r>
        <w:rPr>
          <w:rFonts w:hint="default" w:ascii="Times New Roman" w:hAnsi="Times New Roman" w:cs="Times New Roman"/>
          <w:color w:val="auto"/>
          <w:sz w:val="24"/>
          <w:highlight w:val="none"/>
          <w:lang w:val="en-US" w:eastAsia="zh-CN"/>
        </w:rPr>
        <w:t>120</w:t>
      </w:r>
      <w:r>
        <w:rPr>
          <w:rFonts w:hint="default" w:ascii="Times New Roman" w:hAnsi="Times New Roman" w:cs="Times New Roman"/>
          <w:color w:val="auto"/>
          <w:sz w:val="24"/>
          <w:highlight w:val="none"/>
        </w:rPr>
        <w:t>0h，沥青烟排放浓度标准限值为75mg/m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；苯并[a]芘排放浓度标准限值为0.3×10</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NMHC</w:t>
      </w:r>
      <w:r>
        <w:rPr>
          <w:rFonts w:hint="default" w:ascii="Times New Roman" w:hAnsi="Times New Roman" w:cs="Times New Roman"/>
          <w:color w:val="auto"/>
          <w:sz w:val="24"/>
          <w:highlight w:val="none"/>
        </w:rPr>
        <w:t>排放浓度标准限值为</w:t>
      </w:r>
      <w:r>
        <w:rPr>
          <w:rFonts w:hint="default" w:ascii="Times New Roman" w:hAnsi="Times New Roman" w:cs="Times New Roman"/>
          <w:color w:val="auto"/>
          <w:sz w:val="24"/>
          <w:highlight w:val="none"/>
          <w:lang w:val="en-US" w:eastAsia="zh-CN"/>
        </w:rPr>
        <w:t>120</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计算过程如下：</w:t>
      </w:r>
    </w:p>
    <w:p w14:paraId="56E88E8E">
      <w:pPr>
        <w:pStyle w:val="4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E</w:t>
      </w:r>
      <w:r>
        <w:rPr>
          <w:rFonts w:hint="default" w:ascii="Times New Roman" w:hAnsi="Times New Roman" w:cs="Times New Roman"/>
          <w:color w:val="auto"/>
          <w:highlight w:val="none"/>
          <w:vertAlign w:val="subscript"/>
        </w:rPr>
        <w:t>沥青烟</w:t>
      </w:r>
      <w:r>
        <w:rPr>
          <w:rFonts w:hint="default" w:ascii="Times New Roman" w:hAnsi="Times New Roman" w:cs="Times New Roman"/>
          <w:color w:val="auto"/>
          <w:highlight w:val="none"/>
        </w:rPr>
        <w:t>=20000m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/h×75mg/m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120</w:t>
      </w:r>
      <w:r>
        <w:rPr>
          <w:rFonts w:hint="default" w:ascii="Times New Roman" w:hAnsi="Times New Roman" w:cs="Times New Roman"/>
          <w:color w:val="auto"/>
          <w:highlight w:val="none"/>
        </w:rPr>
        <w:t>0h×10</w:t>
      </w:r>
      <w:r>
        <w:rPr>
          <w:rFonts w:hint="default" w:ascii="Times New Roman" w:hAnsi="Times New Roman" w:cs="Times New Roman"/>
          <w:color w:val="auto"/>
          <w:highlight w:val="none"/>
          <w:vertAlign w:val="superscript"/>
        </w:rPr>
        <w:t>-9</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1.8</w:t>
      </w:r>
      <w:r>
        <w:rPr>
          <w:rFonts w:hint="default" w:ascii="Times New Roman" w:hAnsi="Times New Roman" w:cs="Times New Roman"/>
          <w:color w:val="auto"/>
          <w:highlight w:val="none"/>
        </w:rPr>
        <w:t>t/a；</w:t>
      </w:r>
    </w:p>
    <w:p w14:paraId="1EC061D0">
      <w:pPr>
        <w:tabs>
          <w:tab w:val="left" w:pos="-210"/>
        </w:tabs>
        <w:adjustRightInd w:val="0"/>
        <w:snapToGrid w:val="0"/>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E</w:t>
      </w:r>
      <w:r>
        <w:rPr>
          <w:rFonts w:hint="default" w:ascii="Times New Roman" w:hAnsi="Times New Roman" w:cs="Times New Roman"/>
          <w:color w:val="auto"/>
          <w:sz w:val="24"/>
          <w:highlight w:val="none"/>
          <w:vertAlign w:val="subscript"/>
        </w:rPr>
        <w:t>苯并[a]芘</w:t>
      </w:r>
      <w:r>
        <w:rPr>
          <w:rFonts w:hint="default" w:ascii="Times New Roman" w:hAnsi="Times New Roman" w:cs="Times New Roman"/>
          <w:color w:val="auto"/>
          <w:sz w:val="24"/>
          <w:highlight w:val="none"/>
        </w:rPr>
        <w:t>=20000m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/h×0.3×10</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120</w:t>
      </w:r>
      <w:r>
        <w:rPr>
          <w:rFonts w:hint="default" w:ascii="Times New Roman" w:hAnsi="Times New Roman" w:cs="Times New Roman"/>
          <w:color w:val="auto"/>
          <w:sz w:val="24"/>
          <w:highlight w:val="none"/>
        </w:rPr>
        <w:t>0h×10</w:t>
      </w:r>
      <w:r>
        <w:rPr>
          <w:rFonts w:hint="default" w:ascii="Times New Roman" w:hAnsi="Times New Roman" w:cs="Times New Roman"/>
          <w:color w:val="auto"/>
          <w:sz w:val="24"/>
          <w:highlight w:val="none"/>
          <w:vertAlign w:val="superscript"/>
        </w:rPr>
        <w:t>-9</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7.2</w:t>
      </w:r>
      <w:r>
        <w:rPr>
          <w:rFonts w:hint="default" w:ascii="Times New Roman" w:hAnsi="Times New Roman" w:cs="Times New Roman"/>
          <w:color w:val="auto"/>
          <w:sz w:val="24"/>
          <w:highlight w:val="none"/>
        </w:rPr>
        <w:t>×10</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vertAlign w:val="superscript"/>
          <w:lang w:val="en-US" w:eastAsia="zh-CN"/>
        </w:rPr>
        <w:t>6</w:t>
      </w:r>
      <w:r>
        <w:rPr>
          <w:rFonts w:hint="default" w:ascii="Times New Roman" w:hAnsi="Times New Roman" w:cs="Times New Roman"/>
          <w:color w:val="auto"/>
          <w:sz w:val="24"/>
          <w:highlight w:val="none"/>
        </w:rPr>
        <w:t>t/a；</w:t>
      </w:r>
    </w:p>
    <w:p w14:paraId="0EE39698">
      <w:pPr>
        <w:pStyle w:val="38"/>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E</w:t>
      </w:r>
      <w:r>
        <w:rPr>
          <w:rFonts w:hint="default" w:ascii="Times New Roman" w:hAnsi="Times New Roman" w:cs="Times New Roman"/>
          <w:color w:val="auto"/>
          <w:sz w:val="24"/>
          <w:highlight w:val="none"/>
          <w:vertAlign w:val="subscript"/>
          <w:lang w:val="en-US" w:eastAsia="zh-CN"/>
        </w:rPr>
        <w:t>NMHC</w:t>
      </w:r>
      <w:r>
        <w:rPr>
          <w:rFonts w:hint="default" w:ascii="Times New Roman" w:hAnsi="Times New Roman" w:cs="Times New Roman"/>
          <w:color w:val="auto"/>
          <w:sz w:val="24"/>
          <w:highlight w:val="none"/>
        </w:rPr>
        <w:t>=20000m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default" w:ascii="Times New Roman" w:hAnsi="Times New Roman" w:cs="Times New Roman"/>
          <w:color w:val="auto"/>
          <w:sz w:val="24"/>
          <w:highlight w:val="none"/>
          <w:lang w:val="en-US" w:eastAsia="zh-CN"/>
        </w:rPr>
        <w:t>120</w:t>
      </w:r>
      <w:r>
        <w:rPr>
          <w:rFonts w:hint="default" w:ascii="Times New Roman" w:hAnsi="Times New Roman" w:cs="Times New Roman"/>
          <w:color w:val="auto"/>
          <w:sz w:val="24"/>
          <w:highlight w:val="none"/>
        </w:rPr>
        <w:t>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120</w:t>
      </w:r>
      <w:r>
        <w:rPr>
          <w:rFonts w:hint="default" w:ascii="Times New Roman" w:hAnsi="Times New Roman" w:cs="Times New Roman"/>
          <w:color w:val="auto"/>
          <w:sz w:val="24"/>
          <w:highlight w:val="none"/>
        </w:rPr>
        <w:t>0h×10</w:t>
      </w:r>
      <w:r>
        <w:rPr>
          <w:rFonts w:hint="default" w:ascii="Times New Roman" w:hAnsi="Times New Roman" w:cs="Times New Roman"/>
          <w:color w:val="auto"/>
          <w:sz w:val="24"/>
          <w:highlight w:val="none"/>
          <w:vertAlign w:val="superscript"/>
        </w:rPr>
        <w:t>-9</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2.88</w:t>
      </w:r>
      <w:r>
        <w:rPr>
          <w:rFonts w:hint="default" w:ascii="Times New Roman" w:hAnsi="Times New Roman" w:cs="Times New Roman"/>
          <w:color w:val="auto"/>
          <w:sz w:val="24"/>
          <w:highlight w:val="none"/>
        </w:rPr>
        <w:t>t/a</w:t>
      </w:r>
    </w:p>
    <w:p w14:paraId="7F064F25">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车辆运输无组织排放粉尘为0.08t/a，</w:t>
      </w:r>
      <w:r>
        <w:rPr>
          <w:rFonts w:hint="default" w:ascii="Times New Roman" w:hAnsi="Times New Roman" w:cs="Times New Roman"/>
          <w:color w:val="auto"/>
          <w:sz w:val="24"/>
          <w:highlight w:val="none"/>
        </w:rPr>
        <w:t>原料堆场无组织排放的粉尘为</w:t>
      </w:r>
      <w:r>
        <w:rPr>
          <w:rFonts w:hint="default" w:ascii="Times New Roman" w:hAnsi="Times New Roman" w:cs="Times New Roman"/>
          <w:color w:val="auto"/>
          <w:sz w:val="24"/>
          <w:highlight w:val="none"/>
          <w:lang w:eastAsia="zh-CN"/>
        </w:rPr>
        <w:t>0.001</w:t>
      </w:r>
      <w:r>
        <w:rPr>
          <w:rFonts w:hint="default" w:ascii="Times New Roman" w:hAnsi="Times New Roman" w:cs="Times New Roman"/>
          <w:color w:val="auto"/>
          <w:sz w:val="24"/>
          <w:highlight w:val="none"/>
        </w:rPr>
        <w:t>t/a，冷料上料无组织排放的粉尘为0.0</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t/a，</w:t>
      </w:r>
      <w:r>
        <w:rPr>
          <w:rFonts w:hint="default" w:ascii="Times New Roman" w:hAnsi="Times New Roman" w:cs="Times New Roman"/>
          <w:color w:val="auto"/>
          <w:sz w:val="24"/>
          <w:highlight w:val="none"/>
          <w:lang w:val="en-US" w:eastAsia="zh-CN"/>
        </w:rPr>
        <w:t>矿粉仓无组织排放粉尘为0.0006t/a，干燥筒有组织排放颗粒物为0.1434t/a，沥青储罐无组织排放量为沥青烟0.0201t/a，</w:t>
      </w:r>
      <w:r>
        <w:rPr>
          <w:rFonts w:hint="default" w:ascii="Times New Roman" w:hAnsi="Times New Roman" w:cs="Times New Roman"/>
          <w:color w:val="auto"/>
          <w:sz w:val="24"/>
          <w:highlight w:val="none"/>
        </w:rPr>
        <w:t>苯并[a]芘</w:t>
      </w:r>
      <w:r>
        <w:rPr>
          <w:rFonts w:hint="default" w:ascii="Times New Roman" w:hAnsi="Times New Roman" w:cs="Times New Roman"/>
          <w:color w:val="auto"/>
          <w:sz w:val="24"/>
          <w:highlight w:val="none"/>
          <w:lang w:val="en-US" w:eastAsia="zh-CN"/>
        </w:rPr>
        <w:t>排放量为4.02×10</w:t>
      </w:r>
      <w:r>
        <w:rPr>
          <w:rFonts w:hint="default" w:ascii="Times New Roman" w:hAnsi="Times New Roman" w:cs="Times New Roman"/>
          <w:color w:val="auto"/>
          <w:sz w:val="24"/>
          <w:highlight w:val="none"/>
          <w:vertAlign w:val="superscript"/>
          <w:lang w:val="en-US" w:eastAsia="zh-CN"/>
        </w:rPr>
        <w:t>-7</w:t>
      </w:r>
      <w:r>
        <w:rPr>
          <w:rFonts w:hint="default" w:ascii="Times New Roman" w:hAnsi="Times New Roman" w:cs="Times New Roman"/>
          <w:color w:val="auto"/>
          <w:sz w:val="24"/>
          <w:highlight w:val="none"/>
          <w:lang w:val="en-US" w:eastAsia="zh-CN"/>
        </w:rPr>
        <w:t>t/a，NMHC排放量为0.0001206t/a；</w:t>
      </w:r>
      <w:r>
        <w:rPr>
          <w:rFonts w:hint="default" w:ascii="Times New Roman" w:hAnsi="Times New Roman" w:cs="Times New Roman"/>
          <w:color w:val="auto"/>
          <w:sz w:val="24"/>
          <w:highlight w:val="none"/>
        </w:rPr>
        <w:t>柴油储罐无组织排放的非甲烷总烃为0.</w:t>
      </w:r>
      <w:r>
        <w:rPr>
          <w:rFonts w:hint="default" w:ascii="Times New Roman" w:hAnsi="Times New Roman" w:cs="Times New Roman"/>
          <w:color w:val="auto"/>
          <w:sz w:val="24"/>
          <w:highlight w:val="none"/>
          <w:lang w:val="en-US" w:eastAsia="zh-CN"/>
        </w:rPr>
        <w:t>0006</w:t>
      </w:r>
      <w:r>
        <w:rPr>
          <w:rFonts w:hint="default" w:ascii="Times New Roman" w:hAnsi="Times New Roman" w:cs="Times New Roman"/>
          <w:color w:val="auto"/>
          <w:sz w:val="24"/>
          <w:highlight w:val="none"/>
        </w:rPr>
        <w:t>t/a。</w:t>
      </w:r>
    </w:p>
    <w:p w14:paraId="55F9A4A8">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本项目大气污染物总量控制指标如下：</w:t>
      </w:r>
    </w:p>
    <w:p w14:paraId="7E761F96">
      <w:pPr>
        <w:pStyle w:val="28"/>
        <w:widowControl/>
        <w:snapToGrid w:val="0"/>
        <w:spacing w:after="0" w:line="480" w:lineRule="exact"/>
        <w:ind w:firstLine="0" w:firstLineChars="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附表2 本项目大气污染物总量控制指标一览表 （</w:t>
      </w:r>
      <w:r>
        <w:rPr>
          <w:rFonts w:hint="default" w:ascii="Times New Roman" w:hAnsi="Times New Roman" w:cs="Times New Roman"/>
          <w:b/>
          <w:bCs/>
          <w:color w:val="auto"/>
          <w:sz w:val="24"/>
          <w:highlight w:val="none"/>
          <w:lang w:val="en-US" w:eastAsia="zh-CN"/>
        </w:rPr>
        <w:t>单位：</w:t>
      </w:r>
      <w:r>
        <w:rPr>
          <w:rFonts w:hint="default" w:ascii="Times New Roman" w:hAnsi="Times New Roman" w:cs="Times New Roman"/>
          <w:b/>
          <w:bCs/>
          <w:color w:val="auto"/>
          <w:sz w:val="24"/>
          <w:highlight w:val="none"/>
        </w:rPr>
        <w:t>t）</w:t>
      </w:r>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4525"/>
        <w:gridCol w:w="4535"/>
      </w:tblGrid>
      <w:tr w14:paraId="1248787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2497" w:type="pct"/>
            <w:vAlign w:val="center"/>
          </w:tcPr>
          <w:p w14:paraId="15BFCF2D">
            <w:pPr>
              <w:pStyle w:val="20"/>
              <w:tabs>
                <w:tab w:val="right" w:leader="dot" w:pos="8720"/>
              </w:tabs>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污染因子</w:t>
            </w:r>
          </w:p>
        </w:tc>
        <w:tc>
          <w:tcPr>
            <w:tcW w:w="2502" w:type="pct"/>
            <w:vAlign w:val="center"/>
          </w:tcPr>
          <w:p w14:paraId="558C88C1">
            <w:pPr>
              <w:pStyle w:val="20"/>
              <w:tabs>
                <w:tab w:val="right" w:leader="dot" w:pos="8720"/>
              </w:tabs>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核定排放量</w:t>
            </w:r>
          </w:p>
        </w:tc>
      </w:tr>
      <w:tr w14:paraId="79C464B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2497" w:type="pct"/>
            <w:vAlign w:val="center"/>
          </w:tcPr>
          <w:p w14:paraId="4039CFB2">
            <w:pPr>
              <w:pStyle w:val="20"/>
              <w:tabs>
                <w:tab w:val="right" w:leader="dot" w:pos="8720"/>
              </w:tabs>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4535" w:type="dxa"/>
            <w:vAlign w:val="center"/>
          </w:tcPr>
          <w:p w14:paraId="0812EC0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2.0554</w:t>
            </w:r>
          </w:p>
        </w:tc>
      </w:tr>
      <w:tr w14:paraId="563503D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2497" w:type="pct"/>
            <w:vAlign w:val="center"/>
          </w:tcPr>
          <w:p w14:paraId="525F6DDE">
            <w:pPr>
              <w:pStyle w:val="20"/>
              <w:tabs>
                <w:tab w:val="right" w:leader="dot" w:pos="8720"/>
              </w:tabs>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二氧化硫</w:t>
            </w:r>
          </w:p>
        </w:tc>
        <w:tc>
          <w:tcPr>
            <w:tcW w:w="4535" w:type="dxa"/>
            <w:vAlign w:val="center"/>
          </w:tcPr>
          <w:p w14:paraId="7593DD2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8.78</w:t>
            </w:r>
          </w:p>
        </w:tc>
      </w:tr>
      <w:tr w14:paraId="77225A5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2497" w:type="pct"/>
            <w:vAlign w:val="center"/>
          </w:tcPr>
          <w:p w14:paraId="1F1B0594">
            <w:pPr>
              <w:pStyle w:val="20"/>
              <w:tabs>
                <w:tab w:val="right" w:leader="dot" w:pos="8720"/>
              </w:tabs>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氮氧化物</w:t>
            </w:r>
          </w:p>
        </w:tc>
        <w:tc>
          <w:tcPr>
            <w:tcW w:w="4535" w:type="dxa"/>
            <w:vAlign w:val="center"/>
          </w:tcPr>
          <w:p w14:paraId="11D8D83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3.941</w:t>
            </w:r>
          </w:p>
        </w:tc>
      </w:tr>
      <w:tr w14:paraId="1CF155C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2497" w:type="pct"/>
            <w:vAlign w:val="center"/>
          </w:tcPr>
          <w:p w14:paraId="36FD8464">
            <w:pPr>
              <w:pStyle w:val="20"/>
              <w:tabs>
                <w:tab w:val="right" w:leader="dot" w:pos="8720"/>
              </w:tabs>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沥青烟</w:t>
            </w:r>
          </w:p>
        </w:tc>
        <w:tc>
          <w:tcPr>
            <w:tcW w:w="4535" w:type="dxa"/>
            <w:vAlign w:val="center"/>
          </w:tcPr>
          <w:p w14:paraId="4A47BF1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1.8201</w:t>
            </w:r>
          </w:p>
        </w:tc>
      </w:tr>
      <w:tr w14:paraId="1607A28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2497" w:type="pct"/>
            <w:vAlign w:val="center"/>
          </w:tcPr>
          <w:p w14:paraId="3DF7C530">
            <w:pPr>
              <w:pStyle w:val="20"/>
              <w:tabs>
                <w:tab w:val="right" w:leader="dot" w:pos="8720"/>
              </w:tabs>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苯并[a]芘</w:t>
            </w:r>
          </w:p>
        </w:tc>
        <w:tc>
          <w:tcPr>
            <w:tcW w:w="4535" w:type="dxa"/>
            <w:vAlign w:val="center"/>
          </w:tcPr>
          <w:p w14:paraId="7A3279A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7.602</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w:t>
            </w:r>
            <w:r>
              <w:rPr>
                <w:rFonts w:hint="default" w:ascii="Times New Roman" w:hAnsi="Times New Roman" w:cs="Times New Roman"/>
                <w:color w:val="auto"/>
                <w:szCs w:val="21"/>
                <w:highlight w:val="none"/>
                <w:vertAlign w:val="superscript"/>
                <w:lang w:val="en-US" w:eastAsia="zh-CN"/>
              </w:rPr>
              <w:t>6</w:t>
            </w:r>
          </w:p>
        </w:tc>
      </w:tr>
      <w:tr w14:paraId="7BCDFBE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2497" w:type="pct"/>
            <w:vAlign w:val="center"/>
          </w:tcPr>
          <w:p w14:paraId="35FA0C49">
            <w:pPr>
              <w:pStyle w:val="20"/>
              <w:tabs>
                <w:tab w:val="right" w:leader="dot" w:pos="8720"/>
              </w:tabs>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NMHC</w:t>
            </w:r>
          </w:p>
        </w:tc>
        <w:tc>
          <w:tcPr>
            <w:tcW w:w="4535" w:type="dxa"/>
            <w:vAlign w:val="center"/>
          </w:tcPr>
          <w:p w14:paraId="57A7685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2.8807206</w:t>
            </w:r>
          </w:p>
        </w:tc>
      </w:tr>
      <w:tr w14:paraId="38677FC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2497" w:type="pct"/>
            <w:vAlign w:val="center"/>
          </w:tcPr>
          <w:p w14:paraId="5A19B03E">
            <w:pPr>
              <w:pStyle w:val="20"/>
              <w:tabs>
                <w:tab w:val="right" w:leader="dot" w:pos="8720"/>
              </w:tabs>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工业粉尘</w:t>
            </w:r>
          </w:p>
        </w:tc>
        <w:tc>
          <w:tcPr>
            <w:tcW w:w="4535" w:type="dxa"/>
            <w:vAlign w:val="center"/>
          </w:tcPr>
          <w:p w14:paraId="4D3F880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0.1016</w:t>
            </w:r>
          </w:p>
        </w:tc>
      </w:tr>
    </w:tbl>
    <w:p w14:paraId="5A6446BF">
      <w:pPr>
        <w:widowControl/>
        <w:adjustRightInd w:val="0"/>
        <w:snapToGrid w:val="0"/>
        <w:jc w:val="left"/>
        <w:outlineLvl w:val="1"/>
        <w:rPr>
          <w:rFonts w:hint="default" w:ascii="Times New Roman" w:hAnsi="Times New Roman" w:cs="Times New Roman"/>
          <w:color w:val="auto"/>
          <w:highlight w:val="none"/>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8BE82B0">
      <w:pPr>
        <w:widowControl/>
        <w:adjustRightInd w:val="0"/>
        <w:snapToGrid w:val="0"/>
        <w:jc w:val="left"/>
        <w:outlineLvl w:val="1"/>
        <w:rPr>
          <w:rFonts w:hint="default" w:ascii="Times New Roman" w:hAnsi="Times New Roman" w:cs="Times New Roman"/>
          <w:snapToGrid w:val="0"/>
          <w:color w:val="auto"/>
          <w:kern w:val="0"/>
          <w:sz w:val="28"/>
          <w:szCs w:val="28"/>
          <w:highlight w:val="none"/>
        </w:rPr>
      </w:pPr>
      <w:bookmarkStart w:id="95" w:name="_Toc23557"/>
      <w:r>
        <w:rPr>
          <w:rFonts w:hint="default" w:ascii="Times New Roman" w:hAnsi="Times New Roman" w:cs="Times New Roman"/>
          <w:snapToGrid w:val="0"/>
          <w:color w:val="auto"/>
          <w:kern w:val="0"/>
          <w:sz w:val="28"/>
          <w:szCs w:val="28"/>
          <w:highlight w:val="none"/>
        </w:rPr>
        <w:t>附件</w:t>
      </w:r>
      <w:r>
        <w:rPr>
          <w:rFonts w:hint="default" w:ascii="Times New Roman" w:hAnsi="Times New Roman" w:cs="Times New Roman"/>
          <w:snapToGrid w:val="0"/>
          <w:color w:val="auto"/>
          <w:kern w:val="0"/>
          <w:sz w:val="28"/>
          <w:szCs w:val="28"/>
          <w:highlight w:val="none"/>
          <w:lang w:val="en-US" w:eastAsia="zh-CN"/>
        </w:rPr>
        <w:t>8</w:t>
      </w:r>
      <w:r>
        <w:rPr>
          <w:rFonts w:hint="default" w:ascii="Times New Roman" w:hAnsi="Times New Roman" w:cs="Times New Roman"/>
          <w:snapToGrid w:val="0"/>
          <w:color w:val="auto"/>
          <w:kern w:val="0"/>
          <w:sz w:val="28"/>
          <w:szCs w:val="28"/>
          <w:highlight w:val="none"/>
        </w:rPr>
        <w:t xml:space="preserve"> 大气环境影响专项评价</w:t>
      </w:r>
      <w:bookmarkEnd w:id="95"/>
    </w:p>
    <w:p w14:paraId="09B5ED18">
      <w:pPr>
        <w:spacing w:line="300" w:lineRule="auto"/>
        <w:jc w:val="center"/>
        <w:rPr>
          <w:rFonts w:hint="default" w:ascii="Times New Roman" w:hAnsi="Times New Roman" w:eastAsia="仿宋" w:cs="Times New Roman"/>
          <w:color w:val="auto"/>
          <w:sz w:val="24"/>
          <w:highlight w:val="none"/>
        </w:rPr>
      </w:pPr>
    </w:p>
    <w:p w14:paraId="7761860D">
      <w:pPr>
        <w:spacing w:line="300" w:lineRule="auto"/>
        <w:jc w:val="center"/>
        <w:rPr>
          <w:rFonts w:hint="default" w:ascii="Times New Roman" w:hAnsi="Times New Roman" w:eastAsia="仿宋" w:cs="Times New Roman"/>
          <w:color w:val="auto"/>
          <w:sz w:val="24"/>
          <w:highlight w:val="none"/>
        </w:rPr>
      </w:pPr>
    </w:p>
    <w:p w14:paraId="40DB907E">
      <w:pPr>
        <w:spacing w:line="500" w:lineRule="exact"/>
        <w:rPr>
          <w:rFonts w:hint="default" w:ascii="Times New Roman" w:hAnsi="Times New Roman" w:cs="Times New Roman"/>
          <w:color w:val="auto"/>
          <w:sz w:val="24"/>
          <w:highlight w:val="none"/>
        </w:rPr>
      </w:pPr>
    </w:p>
    <w:p w14:paraId="121EF98A">
      <w:pPr>
        <w:spacing w:line="500" w:lineRule="exact"/>
        <w:rPr>
          <w:rFonts w:hint="default" w:ascii="Times New Roman" w:hAnsi="Times New Roman" w:cs="Times New Roman"/>
          <w:color w:val="auto"/>
          <w:sz w:val="24"/>
          <w:highlight w:val="none"/>
        </w:rPr>
      </w:pPr>
    </w:p>
    <w:p w14:paraId="26A97412">
      <w:pPr>
        <w:adjustRightInd w:val="0"/>
        <w:snapToGrid w:val="0"/>
        <w:spacing w:line="500" w:lineRule="exact"/>
        <w:jc w:val="center"/>
        <w:rPr>
          <w:rFonts w:hint="default" w:ascii="Times New Roman" w:hAnsi="Times New Roman" w:cs="Times New Roman"/>
          <w:b/>
          <w:color w:val="auto"/>
          <w:sz w:val="52"/>
          <w:szCs w:val="52"/>
          <w:highlight w:val="none"/>
        </w:rPr>
      </w:pPr>
    </w:p>
    <w:p w14:paraId="719807E4">
      <w:pPr>
        <w:adjustRightInd w:val="0"/>
        <w:snapToGrid w:val="0"/>
        <w:spacing w:line="500" w:lineRule="exact"/>
        <w:jc w:val="center"/>
        <w:rPr>
          <w:rFonts w:hint="default" w:ascii="Times New Roman" w:hAnsi="Times New Roman" w:cs="Times New Roman"/>
          <w:b/>
          <w:color w:val="auto"/>
          <w:sz w:val="52"/>
          <w:szCs w:val="52"/>
          <w:highlight w:val="none"/>
        </w:rPr>
      </w:pPr>
    </w:p>
    <w:p w14:paraId="231E322D">
      <w:pPr>
        <w:adjustRightInd w:val="0"/>
        <w:snapToGrid w:val="0"/>
        <w:spacing w:line="500" w:lineRule="exact"/>
        <w:jc w:val="center"/>
        <w:rPr>
          <w:rFonts w:hint="default" w:ascii="Times New Roman" w:hAnsi="Times New Roman" w:cs="Times New Roman"/>
          <w:b/>
          <w:color w:val="auto"/>
          <w:sz w:val="52"/>
          <w:szCs w:val="52"/>
          <w:highlight w:val="none"/>
        </w:rPr>
      </w:pPr>
    </w:p>
    <w:p w14:paraId="58E0CE0B">
      <w:pPr>
        <w:adjustRightInd w:val="0"/>
        <w:snapToGrid w:val="0"/>
        <w:spacing w:line="500" w:lineRule="exact"/>
        <w:jc w:val="center"/>
        <w:rPr>
          <w:rFonts w:hint="default" w:ascii="Times New Roman" w:hAnsi="Times New Roman" w:cs="Times New Roman"/>
          <w:b/>
          <w:color w:val="auto"/>
          <w:sz w:val="52"/>
          <w:szCs w:val="52"/>
          <w:highlight w:val="none"/>
        </w:rPr>
      </w:pPr>
    </w:p>
    <w:p w14:paraId="58FC67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52"/>
          <w:szCs w:val="52"/>
          <w:highlight w:val="none"/>
        </w:rPr>
      </w:pPr>
      <w:r>
        <w:rPr>
          <w:rFonts w:hint="default" w:ascii="Times New Roman" w:hAnsi="Times New Roman" w:cs="Times New Roman"/>
          <w:b/>
          <w:color w:val="auto"/>
          <w:sz w:val="52"/>
          <w:szCs w:val="52"/>
          <w:highlight w:val="none"/>
          <w:lang w:eastAsia="zh-CN"/>
        </w:rPr>
        <w:t>虎林市迎胜沥青混凝土搅拌有限公司</w:t>
      </w:r>
      <w:r>
        <w:rPr>
          <w:rFonts w:hint="default" w:ascii="Times New Roman" w:hAnsi="Times New Roman" w:cs="Times New Roman"/>
          <w:b/>
          <w:color w:val="auto"/>
          <w:sz w:val="52"/>
          <w:szCs w:val="52"/>
          <w:highlight w:val="none"/>
        </w:rPr>
        <w:t>沥青混凝土搅拌站建设项目</w:t>
      </w:r>
    </w:p>
    <w:p w14:paraId="51E309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52"/>
          <w:szCs w:val="52"/>
          <w:highlight w:val="none"/>
        </w:rPr>
      </w:pPr>
      <w:r>
        <w:rPr>
          <w:rFonts w:hint="default" w:ascii="Times New Roman" w:hAnsi="Times New Roman" w:cs="Times New Roman"/>
          <w:b/>
          <w:color w:val="auto"/>
          <w:sz w:val="52"/>
          <w:szCs w:val="52"/>
          <w:highlight w:val="none"/>
        </w:rPr>
        <w:t>大气环境影响专项评价报告</w:t>
      </w:r>
    </w:p>
    <w:p w14:paraId="1A375162">
      <w:pPr>
        <w:spacing w:line="300" w:lineRule="auto"/>
        <w:jc w:val="center"/>
        <w:rPr>
          <w:rFonts w:hint="default" w:ascii="Times New Roman" w:hAnsi="Times New Roman" w:eastAsia="仿宋" w:cs="Times New Roman"/>
          <w:color w:val="auto"/>
          <w:sz w:val="24"/>
          <w:highlight w:val="none"/>
        </w:rPr>
      </w:pPr>
    </w:p>
    <w:p w14:paraId="511213E6">
      <w:pPr>
        <w:spacing w:line="300" w:lineRule="auto"/>
        <w:jc w:val="center"/>
        <w:rPr>
          <w:rFonts w:hint="default" w:ascii="Times New Roman" w:hAnsi="Times New Roman" w:eastAsia="仿宋" w:cs="Times New Roman"/>
          <w:color w:val="auto"/>
          <w:sz w:val="24"/>
          <w:highlight w:val="none"/>
        </w:rPr>
      </w:pPr>
    </w:p>
    <w:p w14:paraId="6833E3C6">
      <w:pPr>
        <w:spacing w:line="300" w:lineRule="auto"/>
        <w:jc w:val="center"/>
        <w:rPr>
          <w:rFonts w:hint="default" w:ascii="Times New Roman" w:hAnsi="Times New Roman" w:eastAsia="仿宋" w:cs="Times New Roman"/>
          <w:color w:val="auto"/>
          <w:sz w:val="24"/>
          <w:highlight w:val="none"/>
        </w:rPr>
      </w:pPr>
    </w:p>
    <w:p w14:paraId="5D784FB6">
      <w:pPr>
        <w:spacing w:line="300" w:lineRule="auto"/>
        <w:jc w:val="center"/>
        <w:rPr>
          <w:rFonts w:hint="default" w:ascii="Times New Roman" w:hAnsi="Times New Roman" w:eastAsia="仿宋" w:cs="Times New Roman"/>
          <w:color w:val="auto"/>
          <w:sz w:val="24"/>
          <w:highlight w:val="none"/>
        </w:rPr>
      </w:pPr>
    </w:p>
    <w:p w14:paraId="46FE310A">
      <w:pPr>
        <w:spacing w:line="300" w:lineRule="auto"/>
        <w:jc w:val="center"/>
        <w:rPr>
          <w:rFonts w:hint="default" w:ascii="Times New Roman" w:hAnsi="Times New Roman" w:eastAsia="仿宋" w:cs="Times New Roman"/>
          <w:color w:val="auto"/>
          <w:sz w:val="24"/>
          <w:highlight w:val="none"/>
        </w:rPr>
      </w:pPr>
    </w:p>
    <w:p w14:paraId="22D2D31D">
      <w:pPr>
        <w:spacing w:line="300" w:lineRule="auto"/>
        <w:jc w:val="center"/>
        <w:rPr>
          <w:rFonts w:hint="default" w:ascii="Times New Roman" w:hAnsi="Times New Roman" w:eastAsia="仿宋" w:cs="Times New Roman"/>
          <w:color w:val="auto"/>
          <w:sz w:val="24"/>
          <w:highlight w:val="none"/>
        </w:rPr>
      </w:pPr>
    </w:p>
    <w:p w14:paraId="45989B5F">
      <w:pPr>
        <w:spacing w:line="300" w:lineRule="auto"/>
        <w:jc w:val="center"/>
        <w:rPr>
          <w:rFonts w:hint="default" w:ascii="Times New Roman" w:hAnsi="Times New Roman" w:eastAsia="仿宋" w:cs="Times New Roman"/>
          <w:color w:val="auto"/>
          <w:sz w:val="24"/>
          <w:highlight w:val="none"/>
        </w:rPr>
      </w:pPr>
    </w:p>
    <w:p w14:paraId="793E74B9">
      <w:pPr>
        <w:spacing w:line="300" w:lineRule="auto"/>
        <w:jc w:val="center"/>
        <w:rPr>
          <w:rFonts w:hint="default" w:ascii="Times New Roman" w:hAnsi="Times New Roman" w:eastAsia="仿宋" w:cs="Times New Roman"/>
          <w:color w:val="auto"/>
          <w:sz w:val="24"/>
          <w:highlight w:val="none"/>
        </w:rPr>
      </w:pPr>
    </w:p>
    <w:p w14:paraId="6EF34704">
      <w:pPr>
        <w:spacing w:line="300" w:lineRule="auto"/>
        <w:jc w:val="center"/>
        <w:rPr>
          <w:rFonts w:hint="default" w:ascii="Times New Roman" w:hAnsi="Times New Roman" w:eastAsia="仿宋" w:cs="Times New Roman"/>
          <w:color w:val="auto"/>
          <w:sz w:val="24"/>
          <w:highlight w:val="none"/>
        </w:rPr>
      </w:pPr>
    </w:p>
    <w:p w14:paraId="1A9B3656">
      <w:pPr>
        <w:spacing w:line="300" w:lineRule="auto"/>
        <w:jc w:val="center"/>
        <w:rPr>
          <w:rFonts w:hint="default" w:ascii="Times New Roman" w:hAnsi="Times New Roman" w:eastAsia="仿宋" w:cs="Times New Roman"/>
          <w:color w:val="auto"/>
          <w:sz w:val="24"/>
          <w:highlight w:val="none"/>
        </w:rPr>
      </w:pPr>
    </w:p>
    <w:p w14:paraId="15B9C946">
      <w:pPr>
        <w:spacing w:line="300" w:lineRule="auto"/>
        <w:jc w:val="center"/>
        <w:rPr>
          <w:rFonts w:hint="default" w:ascii="Times New Roman" w:hAnsi="Times New Roman" w:eastAsia="仿宋" w:cs="Times New Roman"/>
          <w:color w:val="auto"/>
          <w:sz w:val="24"/>
          <w:highlight w:val="none"/>
        </w:rPr>
      </w:pPr>
    </w:p>
    <w:p w14:paraId="35A1E201">
      <w:pPr>
        <w:spacing w:line="300" w:lineRule="auto"/>
        <w:jc w:val="center"/>
        <w:rPr>
          <w:rFonts w:hint="default" w:ascii="Times New Roman" w:hAnsi="Times New Roman" w:eastAsia="仿宋" w:cs="Times New Roman"/>
          <w:color w:val="auto"/>
          <w:sz w:val="24"/>
          <w:highlight w:val="none"/>
        </w:rPr>
      </w:pPr>
    </w:p>
    <w:p w14:paraId="6938D1BD">
      <w:pPr>
        <w:spacing w:line="300" w:lineRule="auto"/>
        <w:rPr>
          <w:rFonts w:hint="default" w:ascii="Times New Roman" w:hAnsi="Times New Roman" w:eastAsia="仿宋" w:cs="Times New Roman"/>
          <w:color w:val="auto"/>
          <w:sz w:val="24"/>
          <w:highlight w:val="none"/>
        </w:rPr>
      </w:pPr>
    </w:p>
    <w:p w14:paraId="6B1888EC">
      <w:pPr>
        <w:adjustRightInd w:val="0"/>
        <w:snapToGrid w:val="0"/>
        <w:spacing w:line="480" w:lineRule="auto"/>
        <w:jc w:val="center"/>
        <w:rPr>
          <w:rFonts w:hint="default" w:ascii="Times New Roman" w:hAnsi="Times New Roman" w:cs="Times New Roman"/>
          <w:b/>
          <w:color w:val="auto"/>
          <w:sz w:val="32"/>
          <w:szCs w:val="32"/>
          <w:highlight w:val="none"/>
        </w:rPr>
      </w:pPr>
      <w:r>
        <w:rPr>
          <w:rFonts w:hint="default" w:ascii="Times New Roman" w:hAnsi="Times New Roman" w:cs="Times New Roman"/>
          <w:b/>
          <w:color w:val="auto"/>
          <w:sz w:val="32"/>
          <w:szCs w:val="32"/>
          <w:highlight w:val="none"/>
        </w:rPr>
        <w:t>黑龙江盛为科技有限公司</w:t>
      </w:r>
    </w:p>
    <w:p w14:paraId="45356694">
      <w:pPr>
        <w:adjustRightInd w:val="0"/>
        <w:snapToGrid w:val="0"/>
        <w:spacing w:line="480" w:lineRule="auto"/>
        <w:jc w:val="center"/>
        <w:rPr>
          <w:rFonts w:hint="default" w:ascii="Times New Roman" w:hAnsi="Times New Roman" w:cs="Times New Roman"/>
          <w:b/>
          <w:color w:val="auto"/>
          <w:sz w:val="32"/>
          <w:szCs w:val="32"/>
          <w:highlight w:val="none"/>
        </w:rPr>
      </w:pPr>
      <w:r>
        <w:rPr>
          <w:rFonts w:hint="default" w:ascii="Times New Roman" w:hAnsi="Times New Roman" w:cs="Times New Roman"/>
          <w:b/>
          <w:color w:val="auto"/>
          <w:sz w:val="32"/>
          <w:szCs w:val="32"/>
          <w:highlight w:val="none"/>
        </w:rPr>
        <w:t>编制日期：202</w:t>
      </w:r>
      <w:r>
        <w:rPr>
          <w:rFonts w:hint="default" w:ascii="Times New Roman" w:hAnsi="Times New Roman" w:cs="Times New Roman"/>
          <w:b/>
          <w:color w:val="auto"/>
          <w:sz w:val="32"/>
          <w:szCs w:val="32"/>
          <w:highlight w:val="none"/>
          <w:lang w:val="en-US" w:eastAsia="zh-CN"/>
        </w:rPr>
        <w:t>5</w:t>
      </w:r>
      <w:r>
        <w:rPr>
          <w:rFonts w:hint="default" w:ascii="Times New Roman" w:hAnsi="Times New Roman" w:cs="Times New Roman"/>
          <w:b/>
          <w:color w:val="auto"/>
          <w:sz w:val="32"/>
          <w:szCs w:val="32"/>
          <w:highlight w:val="none"/>
        </w:rPr>
        <w:t>年</w:t>
      </w:r>
      <w:r>
        <w:rPr>
          <w:rFonts w:hint="eastAsia" w:cs="Times New Roman"/>
          <w:b/>
          <w:color w:val="auto"/>
          <w:sz w:val="32"/>
          <w:szCs w:val="32"/>
          <w:highlight w:val="none"/>
          <w:lang w:val="en-US" w:eastAsia="zh-CN"/>
        </w:rPr>
        <w:t>9</w:t>
      </w:r>
      <w:bookmarkStart w:id="558" w:name="_GoBack"/>
      <w:bookmarkEnd w:id="558"/>
      <w:r>
        <w:rPr>
          <w:rFonts w:hint="default" w:ascii="Times New Roman" w:hAnsi="Times New Roman" w:cs="Times New Roman"/>
          <w:b/>
          <w:color w:val="auto"/>
          <w:sz w:val="32"/>
          <w:szCs w:val="32"/>
          <w:highlight w:val="none"/>
        </w:rPr>
        <w:t>月</w:t>
      </w:r>
    </w:p>
    <w:p w14:paraId="4A2DA4A0">
      <w:pPr>
        <w:spacing w:line="300" w:lineRule="auto"/>
        <w:jc w:val="center"/>
        <w:rPr>
          <w:rFonts w:hint="default" w:ascii="Times New Roman" w:hAnsi="Times New Roman" w:eastAsia="仿宋" w:cs="Times New Roman"/>
          <w:color w:val="auto"/>
          <w:sz w:val="24"/>
          <w:highlight w:val="none"/>
        </w:rPr>
      </w:pPr>
    </w:p>
    <w:p w14:paraId="3FA0742A">
      <w:pPr>
        <w:rPr>
          <w:rFonts w:hint="default" w:ascii="Times New Roman" w:hAnsi="Times New Roman" w:eastAsia="黑体" w:cs="Times New Roman"/>
          <w:bCs/>
          <w:color w:val="auto"/>
          <w:kern w:val="44"/>
          <w:sz w:val="28"/>
          <w:szCs w:val="28"/>
          <w:highlight w:val="none"/>
        </w:rPr>
      </w:pPr>
      <w:bookmarkStart w:id="96" w:name="_Toc14971"/>
      <w:bookmarkStart w:id="97" w:name="_Toc8418"/>
      <w:bookmarkStart w:id="98" w:name="_Toc6338"/>
      <w:bookmarkStart w:id="99" w:name="_Toc1224"/>
      <w:bookmarkStart w:id="100" w:name="_Toc13956"/>
      <w:bookmarkStart w:id="101" w:name="_Toc193459973"/>
      <w:bookmarkStart w:id="102" w:name="_Toc192758884"/>
      <w:bookmarkStart w:id="103" w:name="_Toc23326"/>
      <w:r>
        <w:rPr>
          <w:rFonts w:hint="default" w:ascii="Times New Roman" w:hAnsi="Times New Roman" w:eastAsia="黑体" w:cs="Times New Roman"/>
          <w:bCs/>
          <w:color w:val="auto"/>
          <w:kern w:val="44"/>
          <w:sz w:val="28"/>
          <w:szCs w:val="28"/>
          <w:highlight w:val="none"/>
        </w:rPr>
        <w:br w:type="page"/>
      </w:r>
    </w:p>
    <w:p w14:paraId="0CCDF8F8">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8"/>
          <w:szCs w:val="28"/>
          <w:highlight w:val="none"/>
        </w:rPr>
      </w:pPr>
      <w:bookmarkStart w:id="104" w:name="_Toc1776"/>
      <w:bookmarkStart w:id="105" w:name="_Toc26961"/>
      <w:r>
        <w:rPr>
          <w:rFonts w:hint="default" w:ascii="Times New Roman" w:hAnsi="Times New Roman" w:eastAsia="黑体" w:cs="Times New Roman"/>
          <w:bCs/>
          <w:color w:val="auto"/>
          <w:kern w:val="44"/>
          <w:sz w:val="28"/>
          <w:szCs w:val="28"/>
          <w:highlight w:val="none"/>
        </w:rPr>
        <w:t>1</w:t>
      </w:r>
      <w:bookmarkEnd w:id="96"/>
      <w:bookmarkEnd w:id="97"/>
      <w:r>
        <w:rPr>
          <w:rFonts w:hint="default" w:ascii="Times New Roman" w:hAnsi="Times New Roman" w:eastAsia="黑体" w:cs="Times New Roman"/>
          <w:bCs/>
          <w:color w:val="auto"/>
          <w:kern w:val="44"/>
          <w:sz w:val="28"/>
          <w:szCs w:val="28"/>
          <w:highlight w:val="none"/>
        </w:rPr>
        <w:t>总则</w:t>
      </w:r>
      <w:bookmarkEnd w:id="98"/>
      <w:bookmarkEnd w:id="99"/>
      <w:bookmarkEnd w:id="100"/>
      <w:bookmarkEnd w:id="101"/>
      <w:bookmarkEnd w:id="102"/>
      <w:bookmarkEnd w:id="103"/>
      <w:bookmarkEnd w:id="104"/>
      <w:bookmarkEnd w:id="105"/>
    </w:p>
    <w:p w14:paraId="1F812AE6">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根据《环境影响评价技术导则 大气环境》（HJ2.2-2018）的相关要求编制完成本项目大气环境影响评价专篇内容。</w:t>
      </w:r>
    </w:p>
    <w:p w14:paraId="4DB07F10">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106" w:name="_Toc9575"/>
      <w:bookmarkStart w:id="107" w:name="_Toc12495"/>
      <w:bookmarkStart w:id="108" w:name="_Toc27453"/>
      <w:bookmarkStart w:id="109" w:name="_Toc19639"/>
      <w:bookmarkStart w:id="110" w:name="_Toc17996"/>
      <w:bookmarkStart w:id="111" w:name="_Toc192758885"/>
      <w:bookmarkStart w:id="112" w:name="_Toc5219"/>
      <w:bookmarkStart w:id="113" w:name="_Toc193459974"/>
      <w:bookmarkStart w:id="114" w:name="_Toc4241"/>
      <w:bookmarkStart w:id="115" w:name="_Toc11123"/>
      <w:r>
        <w:rPr>
          <w:rFonts w:hint="default" w:ascii="Times New Roman" w:hAnsi="Times New Roman" w:eastAsia="黑体" w:cs="Times New Roman"/>
          <w:bCs/>
          <w:color w:val="auto"/>
          <w:kern w:val="44"/>
          <w:sz w:val="24"/>
          <w:highlight w:val="none"/>
        </w:rPr>
        <w:t>1.1</w:t>
      </w:r>
      <w:bookmarkEnd w:id="106"/>
      <w:bookmarkEnd w:id="107"/>
      <w:r>
        <w:rPr>
          <w:rFonts w:hint="default" w:ascii="Times New Roman" w:hAnsi="Times New Roman" w:eastAsia="黑体" w:cs="Times New Roman"/>
          <w:bCs/>
          <w:color w:val="auto"/>
          <w:kern w:val="44"/>
          <w:sz w:val="24"/>
          <w:highlight w:val="none"/>
        </w:rPr>
        <w:t>编制目的</w:t>
      </w:r>
      <w:bookmarkEnd w:id="108"/>
      <w:bookmarkEnd w:id="109"/>
      <w:bookmarkEnd w:id="110"/>
      <w:bookmarkEnd w:id="111"/>
      <w:bookmarkEnd w:id="112"/>
      <w:bookmarkEnd w:id="113"/>
      <w:bookmarkEnd w:id="114"/>
      <w:bookmarkEnd w:id="115"/>
    </w:p>
    <w:p w14:paraId="4AEBD4DA">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（1）通过对本项目所在区域的大气环境质量现状调查与分析，评价该区域大气现状及其存在的问题；</w:t>
      </w:r>
    </w:p>
    <w:p w14:paraId="2CC3BCA3">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（2）预测本项目建设对区域大气环境的影响；</w:t>
      </w:r>
    </w:p>
    <w:p w14:paraId="01400905">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（3）从大气环境影响角度论述本项目建设的可行性；</w:t>
      </w:r>
    </w:p>
    <w:p w14:paraId="2FB41D5F">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（4）通过本评价专篇为环境保护管理提供科学建设依据，改善区域环境质量，推动经济区的建设和发展。</w:t>
      </w:r>
    </w:p>
    <w:p w14:paraId="52F8DF48">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116" w:name="_Toc19450"/>
      <w:bookmarkStart w:id="117" w:name="_Toc22073"/>
      <w:bookmarkStart w:id="118" w:name="_Toc472605237"/>
      <w:bookmarkStart w:id="119" w:name="_Toc25796"/>
      <w:bookmarkStart w:id="120" w:name="_Toc28807"/>
      <w:bookmarkStart w:id="121" w:name="_Toc7867"/>
      <w:bookmarkStart w:id="122" w:name="_Toc16337"/>
      <w:bookmarkStart w:id="123" w:name="_Toc14592"/>
      <w:bookmarkStart w:id="124" w:name="_Toc192758886"/>
      <w:bookmarkStart w:id="125" w:name="_Toc193459975"/>
      <w:bookmarkStart w:id="126" w:name="_Toc7482"/>
      <w:r>
        <w:rPr>
          <w:rFonts w:hint="default" w:ascii="Times New Roman" w:hAnsi="Times New Roman" w:eastAsia="黑体" w:cs="Times New Roman"/>
          <w:bCs/>
          <w:color w:val="auto"/>
          <w:kern w:val="44"/>
          <w:sz w:val="24"/>
          <w:highlight w:val="none"/>
        </w:rPr>
        <w:t>1.2</w:t>
      </w:r>
      <w:bookmarkEnd w:id="116"/>
      <w:bookmarkEnd w:id="117"/>
      <w:bookmarkEnd w:id="118"/>
      <w:r>
        <w:rPr>
          <w:rFonts w:hint="default" w:ascii="Times New Roman" w:hAnsi="Times New Roman" w:eastAsia="黑体" w:cs="Times New Roman"/>
          <w:bCs/>
          <w:color w:val="auto"/>
          <w:kern w:val="44"/>
          <w:sz w:val="24"/>
          <w:highlight w:val="none"/>
        </w:rPr>
        <w:t>编制依据</w:t>
      </w:r>
      <w:bookmarkEnd w:id="119"/>
      <w:bookmarkEnd w:id="120"/>
      <w:bookmarkEnd w:id="121"/>
      <w:bookmarkEnd w:id="122"/>
      <w:bookmarkEnd w:id="123"/>
      <w:bookmarkEnd w:id="124"/>
      <w:bookmarkEnd w:id="125"/>
      <w:bookmarkEnd w:id="126"/>
    </w:p>
    <w:p w14:paraId="413C431B">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（1）《中华人民共和国环境保护法》，2015年1月1日；</w:t>
      </w:r>
    </w:p>
    <w:p w14:paraId="4C8CBB45">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（2）《中华人民共和国环境影响评价法》，2018年12月29日修订；</w:t>
      </w:r>
    </w:p>
    <w:p w14:paraId="6C50030D">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（3）《中华人民共和国大气污染防治法》，2018年10月26日修订；</w:t>
      </w:r>
    </w:p>
    <w:p w14:paraId="34EAE4F7">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（4）《建设项目环境影响评价技术导则 总纲》（HJ2.1-2016）；</w:t>
      </w:r>
    </w:p>
    <w:p w14:paraId="031C63BF">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（5）《环境影响评价技术导则 大气环境》（HJ2.2-2018）。</w:t>
      </w:r>
    </w:p>
    <w:p w14:paraId="07B9BA33">
      <w:pPr>
        <w:overflowPunct w:val="0"/>
        <w:adjustRightInd w:val="0"/>
        <w:snapToGrid w:val="0"/>
        <w:spacing w:line="500" w:lineRule="exact"/>
        <w:ind w:left="431" w:hanging="431"/>
        <w:outlineLvl w:val="0"/>
        <w:rPr>
          <w:rFonts w:hint="default" w:ascii="Times New Roman" w:hAnsi="Times New Roman" w:eastAsia="黑体" w:cs="Times New Roman"/>
          <w:bCs/>
          <w:color w:val="auto"/>
          <w:kern w:val="44"/>
          <w:sz w:val="24"/>
          <w:highlight w:val="none"/>
        </w:rPr>
      </w:pPr>
      <w:bookmarkStart w:id="127" w:name="_Toc4029"/>
      <w:bookmarkStart w:id="128" w:name="_Toc193459976"/>
      <w:bookmarkStart w:id="129" w:name="_Toc21175"/>
      <w:bookmarkStart w:id="130" w:name="_Toc22054"/>
      <w:bookmarkStart w:id="131" w:name="_Toc192758887"/>
      <w:bookmarkStart w:id="132" w:name="_Toc19176"/>
      <w:bookmarkStart w:id="133" w:name="_Toc13640"/>
      <w:bookmarkStart w:id="134" w:name="_Toc13906"/>
      <w:r>
        <w:rPr>
          <w:rFonts w:hint="default" w:ascii="Times New Roman" w:hAnsi="Times New Roman" w:eastAsia="黑体" w:cs="Times New Roman"/>
          <w:bCs/>
          <w:color w:val="auto"/>
          <w:kern w:val="44"/>
          <w:sz w:val="24"/>
          <w:highlight w:val="none"/>
        </w:rPr>
        <w:t>1.3评价因子与评价标准</w:t>
      </w:r>
      <w:bookmarkEnd w:id="127"/>
      <w:bookmarkEnd w:id="128"/>
      <w:bookmarkEnd w:id="129"/>
      <w:bookmarkEnd w:id="130"/>
      <w:bookmarkEnd w:id="131"/>
      <w:bookmarkEnd w:id="132"/>
      <w:bookmarkEnd w:id="133"/>
      <w:bookmarkEnd w:id="134"/>
    </w:p>
    <w:p w14:paraId="566089D2">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135" w:name="_Toc16751"/>
      <w:bookmarkStart w:id="136" w:name="_Toc18313"/>
      <w:bookmarkStart w:id="137" w:name="_Toc21505"/>
      <w:bookmarkStart w:id="138" w:name="_Toc13450"/>
      <w:bookmarkStart w:id="139" w:name="_Toc193459977"/>
      <w:bookmarkStart w:id="140" w:name="_Toc25483"/>
      <w:bookmarkStart w:id="141" w:name="_Toc192758888"/>
      <w:bookmarkStart w:id="142" w:name="_Toc11565"/>
      <w:r>
        <w:rPr>
          <w:rFonts w:hint="default" w:ascii="Times New Roman" w:hAnsi="Times New Roman" w:eastAsia="黑体" w:cs="Times New Roman"/>
          <w:bCs/>
          <w:color w:val="auto"/>
          <w:kern w:val="44"/>
          <w:sz w:val="24"/>
          <w:highlight w:val="none"/>
        </w:rPr>
        <w:t>1.3.1评价因子</w:t>
      </w:r>
      <w:bookmarkEnd w:id="135"/>
      <w:bookmarkEnd w:id="136"/>
      <w:bookmarkEnd w:id="137"/>
      <w:bookmarkEnd w:id="138"/>
      <w:bookmarkEnd w:id="139"/>
      <w:bookmarkEnd w:id="140"/>
      <w:bookmarkEnd w:id="141"/>
      <w:bookmarkEnd w:id="142"/>
    </w:p>
    <w:p w14:paraId="6BA39130">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根据项目识别出的污染因子，项目所在地区的环境特征，以及国家和地方环保标准规定的控制指标，筛选出的评价因子见下表。</w:t>
      </w:r>
    </w:p>
    <w:p w14:paraId="14692B5C">
      <w:pPr>
        <w:adjustRightInd w:val="0"/>
        <w:snapToGrid w:val="0"/>
        <w:spacing w:line="400" w:lineRule="exact"/>
        <w:ind w:firstLine="420" w:firstLineChars="200"/>
        <w:jc w:val="center"/>
        <w:rPr>
          <w:rFonts w:hint="default" w:ascii="Times New Roman" w:hAnsi="Times New Roman" w:eastAsia="黑体" w:cs="Times New Roman"/>
          <w:color w:val="auto"/>
          <w:kern w:val="0"/>
          <w:szCs w:val="20"/>
          <w:highlight w:val="none"/>
        </w:rPr>
      </w:pPr>
      <w:r>
        <w:rPr>
          <w:rFonts w:hint="default" w:ascii="Times New Roman" w:hAnsi="Times New Roman" w:eastAsia="黑体" w:cs="Times New Roman"/>
          <w:color w:val="auto"/>
          <w:kern w:val="0"/>
          <w:szCs w:val="20"/>
          <w:highlight w:val="none"/>
        </w:rPr>
        <w:t>表1-1评价因子一览表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78"/>
        <w:gridCol w:w="1867"/>
        <w:gridCol w:w="5477"/>
      </w:tblGrid>
      <w:tr w14:paraId="5B6D90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91" w:type="pct"/>
            <w:vAlign w:val="center"/>
          </w:tcPr>
          <w:p w14:paraId="2A10AD21">
            <w:pPr>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环境要素</w:t>
            </w:r>
          </w:p>
        </w:tc>
        <w:tc>
          <w:tcPr>
            <w:tcW w:w="1095" w:type="pct"/>
            <w:vAlign w:val="center"/>
          </w:tcPr>
          <w:p w14:paraId="4DF83623">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评价类别</w:t>
            </w:r>
          </w:p>
        </w:tc>
        <w:tc>
          <w:tcPr>
            <w:tcW w:w="3212" w:type="pct"/>
            <w:vAlign w:val="center"/>
          </w:tcPr>
          <w:p w14:paraId="079A2BA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评价因子</w:t>
            </w:r>
          </w:p>
        </w:tc>
      </w:tr>
      <w:tr w14:paraId="1A064B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91" w:type="pct"/>
            <w:vMerge w:val="restart"/>
            <w:vAlign w:val="center"/>
          </w:tcPr>
          <w:p w14:paraId="0CCCCADA">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环境空气</w:t>
            </w:r>
          </w:p>
        </w:tc>
        <w:tc>
          <w:tcPr>
            <w:tcW w:w="1095" w:type="pct"/>
            <w:vAlign w:val="center"/>
          </w:tcPr>
          <w:p w14:paraId="34CDF87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环境现状评价</w:t>
            </w:r>
          </w:p>
        </w:tc>
        <w:tc>
          <w:tcPr>
            <w:tcW w:w="3212" w:type="pct"/>
            <w:vAlign w:val="center"/>
          </w:tcPr>
          <w:p w14:paraId="14000BDC">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NO</w:t>
            </w:r>
            <w:r>
              <w:rPr>
                <w:rFonts w:hint="default" w:ascii="Times New Roman" w:hAnsi="Times New Roman" w:cs="Times New Roman"/>
                <w:snapToGrid w:val="0"/>
                <w:color w:val="auto"/>
                <w:kern w:val="0"/>
                <w:szCs w:val="21"/>
                <w:highlight w:val="none"/>
                <w:vertAlign w:val="subscript"/>
              </w:rPr>
              <w:t>2</w:t>
            </w:r>
            <w:r>
              <w:rPr>
                <w:rFonts w:hint="default" w:ascii="Times New Roman" w:hAnsi="Times New Roman" w:cs="Times New Roman"/>
                <w:snapToGrid w:val="0"/>
                <w:color w:val="auto"/>
                <w:kern w:val="0"/>
                <w:szCs w:val="21"/>
                <w:highlight w:val="none"/>
              </w:rPr>
              <w:t>、SO</w:t>
            </w:r>
            <w:r>
              <w:rPr>
                <w:rFonts w:hint="default" w:ascii="Times New Roman" w:hAnsi="Times New Roman" w:cs="Times New Roman"/>
                <w:snapToGrid w:val="0"/>
                <w:color w:val="auto"/>
                <w:kern w:val="0"/>
                <w:szCs w:val="21"/>
                <w:highlight w:val="none"/>
                <w:vertAlign w:val="subscript"/>
              </w:rPr>
              <w:t>2</w:t>
            </w:r>
            <w:r>
              <w:rPr>
                <w:rFonts w:hint="default" w:ascii="Times New Roman" w:hAnsi="Times New Roman" w:cs="Times New Roman"/>
                <w:snapToGrid w:val="0"/>
                <w:color w:val="auto"/>
                <w:kern w:val="0"/>
                <w:szCs w:val="21"/>
                <w:highlight w:val="none"/>
              </w:rPr>
              <w:t>、PM</w:t>
            </w:r>
            <w:r>
              <w:rPr>
                <w:rFonts w:hint="default" w:ascii="Times New Roman" w:hAnsi="Times New Roman" w:cs="Times New Roman"/>
                <w:snapToGrid w:val="0"/>
                <w:color w:val="auto"/>
                <w:kern w:val="0"/>
                <w:szCs w:val="21"/>
                <w:highlight w:val="none"/>
                <w:vertAlign w:val="subscript"/>
              </w:rPr>
              <w:t>10</w:t>
            </w:r>
            <w:r>
              <w:rPr>
                <w:rFonts w:hint="default" w:ascii="Times New Roman" w:hAnsi="Times New Roman" w:cs="Times New Roman"/>
                <w:snapToGrid w:val="0"/>
                <w:color w:val="auto"/>
                <w:kern w:val="0"/>
                <w:szCs w:val="21"/>
                <w:highlight w:val="none"/>
              </w:rPr>
              <w:t>、PM</w:t>
            </w:r>
            <w:r>
              <w:rPr>
                <w:rFonts w:hint="default" w:ascii="Times New Roman" w:hAnsi="Times New Roman" w:cs="Times New Roman"/>
                <w:snapToGrid w:val="0"/>
                <w:color w:val="auto"/>
                <w:kern w:val="0"/>
                <w:szCs w:val="21"/>
                <w:highlight w:val="none"/>
                <w:vertAlign w:val="subscript"/>
              </w:rPr>
              <w:t>2.5</w:t>
            </w:r>
            <w:r>
              <w:rPr>
                <w:rFonts w:hint="default" w:ascii="Times New Roman" w:hAnsi="Times New Roman" w:cs="Times New Roman"/>
                <w:snapToGrid w:val="0"/>
                <w:color w:val="auto"/>
                <w:kern w:val="0"/>
                <w:szCs w:val="21"/>
                <w:highlight w:val="none"/>
              </w:rPr>
              <w:t>、CO、O</w:t>
            </w:r>
            <w:r>
              <w:rPr>
                <w:rFonts w:hint="default" w:ascii="Times New Roman" w:hAnsi="Times New Roman" w:cs="Times New Roman"/>
                <w:snapToGrid w:val="0"/>
                <w:color w:val="auto"/>
                <w:kern w:val="0"/>
                <w:szCs w:val="21"/>
                <w:highlight w:val="none"/>
                <w:vertAlign w:val="subscript"/>
              </w:rPr>
              <w:t>3</w:t>
            </w:r>
            <w:r>
              <w:rPr>
                <w:rFonts w:hint="default" w:ascii="Times New Roman" w:hAnsi="Times New Roman" w:cs="Times New Roman"/>
                <w:snapToGrid w:val="0"/>
                <w:color w:val="auto"/>
                <w:kern w:val="0"/>
                <w:szCs w:val="21"/>
                <w:highlight w:val="none"/>
              </w:rPr>
              <w:t>、TSP、苯并[a]芘</w:t>
            </w:r>
            <w:r>
              <w:rPr>
                <w:rFonts w:hint="default" w:ascii="Times New Roman" w:hAnsi="Times New Roman" w:cs="Times New Roman"/>
                <w:snapToGrid w:val="0"/>
                <w:color w:val="auto"/>
                <w:highlight w:val="none"/>
                <w:lang w:val="en-US" w:eastAsia="zh-CN"/>
              </w:rPr>
              <w:t>、非甲烷总烃</w:t>
            </w:r>
          </w:p>
        </w:tc>
      </w:tr>
      <w:tr w14:paraId="253099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91" w:type="pct"/>
            <w:vMerge w:val="continue"/>
            <w:vAlign w:val="center"/>
          </w:tcPr>
          <w:p w14:paraId="3AC2F6F6">
            <w:pPr>
              <w:adjustRightInd w:val="0"/>
              <w:snapToGrid w:val="0"/>
              <w:jc w:val="center"/>
              <w:rPr>
                <w:rFonts w:hint="default" w:ascii="Times New Roman" w:hAnsi="Times New Roman" w:cs="Times New Roman"/>
                <w:snapToGrid w:val="0"/>
                <w:color w:val="auto"/>
                <w:kern w:val="0"/>
                <w:szCs w:val="21"/>
                <w:highlight w:val="none"/>
              </w:rPr>
            </w:pPr>
          </w:p>
        </w:tc>
        <w:tc>
          <w:tcPr>
            <w:tcW w:w="1095" w:type="pct"/>
            <w:vAlign w:val="center"/>
          </w:tcPr>
          <w:p w14:paraId="45B7B9F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环境影响评价</w:t>
            </w:r>
          </w:p>
        </w:tc>
        <w:tc>
          <w:tcPr>
            <w:tcW w:w="3212" w:type="pct"/>
            <w:vAlign w:val="center"/>
          </w:tcPr>
          <w:p w14:paraId="4D7773B3">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NO</w:t>
            </w:r>
            <w:r>
              <w:rPr>
                <w:rFonts w:hint="default" w:ascii="Times New Roman" w:hAnsi="Times New Roman" w:cs="Times New Roman"/>
                <w:snapToGrid w:val="0"/>
                <w:color w:val="auto"/>
                <w:kern w:val="0"/>
                <w:szCs w:val="21"/>
                <w:highlight w:val="none"/>
                <w:vertAlign w:val="subscript"/>
              </w:rPr>
              <w:t>2</w:t>
            </w:r>
            <w:r>
              <w:rPr>
                <w:rFonts w:hint="default" w:ascii="Times New Roman" w:hAnsi="Times New Roman" w:cs="Times New Roman"/>
                <w:snapToGrid w:val="0"/>
                <w:color w:val="auto"/>
                <w:kern w:val="0"/>
                <w:szCs w:val="21"/>
                <w:highlight w:val="none"/>
              </w:rPr>
              <w:t>、SO</w:t>
            </w:r>
            <w:r>
              <w:rPr>
                <w:rFonts w:hint="default" w:ascii="Times New Roman" w:hAnsi="Times New Roman" w:cs="Times New Roman"/>
                <w:snapToGrid w:val="0"/>
                <w:color w:val="auto"/>
                <w:kern w:val="0"/>
                <w:szCs w:val="21"/>
                <w:highlight w:val="none"/>
                <w:vertAlign w:val="subscript"/>
              </w:rPr>
              <w:t>2</w:t>
            </w:r>
            <w:r>
              <w:rPr>
                <w:rFonts w:hint="default" w:ascii="Times New Roman" w:hAnsi="Times New Roman" w:cs="Times New Roman"/>
                <w:snapToGrid w:val="0"/>
                <w:color w:val="auto"/>
                <w:kern w:val="0"/>
                <w:szCs w:val="21"/>
                <w:highlight w:val="none"/>
              </w:rPr>
              <w:t>、PM</w:t>
            </w:r>
            <w:r>
              <w:rPr>
                <w:rFonts w:hint="default" w:ascii="Times New Roman" w:hAnsi="Times New Roman" w:cs="Times New Roman"/>
                <w:snapToGrid w:val="0"/>
                <w:color w:val="auto"/>
                <w:kern w:val="0"/>
                <w:szCs w:val="21"/>
                <w:highlight w:val="none"/>
                <w:vertAlign w:val="subscript"/>
              </w:rPr>
              <w:t>10</w:t>
            </w:r>
            <w:r>
              <w:rPr>
                <w:rFonts w:hint="default" w:ascii="Times New Roman" w:hAnsi="Times New Roman" w:cs="Times New Roman"/>
                <w:snapToGrid w:val="0"/>
                <w:color w:val="auto"/>
                <w:kern w:val="0"/>
                <w:szCs w:val="21"/>
                <w:highlight w:val="none"/>
              </w:rPr>
              <w:t>、TSP、非甲烷总烃、苯并[a]芘、沥青烟、林格曼黑度</w:t>
            </w:r>
          </w:p>
        </w:tc>
      </w:tr>
    </w:tbl>
    <w:p w14:paraId="0E122FB9">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143" w:name="_Toc25875"/>
      <w:bookmarkStart w:id="144" w:name="_Toc11962"/>
      <w:bookmarkStart w:id="145" w:name="_Toc192758889"/>
      <w:bookmarkStart w:id="146" w:name="_Toc193459978"/>
      <w:bookmarkStart w:id="147" w:name="_Toc11032"/>
      <w:bookmarkStart w:id="148" w:name="_Toc9942"/>
      <w:bookmarkStart w:id="149" w:name="_Toc27160"/>
      <w:bookmarkStart w:id="150" w:name="_Toc82354315"/>
      <w:bookmarkStart w:id="151" w:name="_Toc6645"/>
      <w:r>
        <w:rPr>
          <w:rFonts w:hint="default" w:ascii="Times New Roman" w:hAnsi="Times New Roman" w:eastAsia="黑体" w:cs="Times New Roman"/>
          <w:bCs/>
          <w:color w:val="auto"/>
          <w:kern w:val="44"/>
          <w:sz w:val="24"/>
          <w:highlight w:val="none"/>
        </w:rPr>
        <w:t>1.3.2评价标准</w:t>
      </w:r>
      <w:bookmarkEnd w:id="143"/>
      <w:bookmarkEnd w:id="144"/>
      <w:bookmarkEnd w:id="145"/>
      <w:bookmarkEnd w:id="146"/>
      <w:bookmarkEnd w:id="147"/>
      <w:bookmarkEnd w:id="148"/>
      <w:bookmarkEnd w:id="149"/>
      <w:bookmarkEnd w:id="150"/>
      <w:bookmarkEnd w:id="151"/>
    </w:p>
    <w:p w14:paraId="05D2BAA0">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（1）环境空气质量标准</w:t>
      </w:r>
    </w:p>
    <w:p w14:paraId="42D9CB07">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根据《环境空气质量标准》（GB3095-2012）及修改单，项目所在区环境空气质量为二类区，执行《环境空气质量标准》（GB3095-2012）及修改单中的二级标准及《大气污染物综合排放标准详解》，详见下表。</w:t>
      </w:r>
    </w:p>
    <w:p w14:paraId="7CDCE9C4">
      <w:pPr>
        <w:adjustRightInd w:val="0"/>
        <w:snapToGrid w:val="0"/>
        <w:spacing w:line="400" w:lineRule="exact"/>
        <w:ind w:firstLine="420" w:firstLineChars="200"/>
        <w:jc w:val="center"/>
        <w:rPr>
          <w:rFonts w:hint="default" w:ascii="Times New Roman" w:hAnsi="Times New Roman" w:eastAsia="黑体" w:cs="Times New Roman"/>
          <w:snapToGrid w:val="0"/>
          <w:color w:val="auto"/>
          <w:kern w:val="0"/>
          <w:szCs w:val="20"/>
          <w:highlight w:val="none"/>
        </w:rPr>
      </w:pPr>
      <w:r>
        <w:rPr>
          <w:rFonts w:hint="default" w:ascii="Times New Roman" w:hAnsi="Times New Roman" w:eastAsia="黑体" w:cs="Times New Roman"/>
          <w:snapToGrid w:val="0"/>
          <w:color w:val="auto"/>
          <w:kern w:val="0"/>
          <w:szCs w:val="20"/>
          <w:highlight w:val="none"/>
        </w:rPr>
        <w:t>表1-2环境空气质量标准</w:t>
      </w:r>
    </w:p>
    <w:tbl>
      <w:tblPr>
        <w:tblStyle w:val="3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4"/>
        <w:gridCol w:w="2169"/>
        <w:gridCol w:w="1843"/>
        <w:gridCol w:w="850"/>
        <w:gridCol w:w="1986"/>
        <w:gridCol w:w="900"/>
      </w:tblGrid>
      <w:tr w14:paraId="0851B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restart"/>
            <w:vAlign w:val="center"/>
          </w:tcPr>
          <w:p w14:paraId="02C06A55">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w:t>
            </w:r>
          </w:p>
          <w:p w14:paraId="491F46ED">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要素</w:t>
            </w:r>
          </w:p>
        </w:tc>
        <w:tc>
          <w:tcPr>
            <w:tcW w:w="2169" w:type="dxa"/>
            <w:vMerge w:val="restart"/>
            <w:vAlign w:val="center"/>
          </w:tcPr>
          <w:p w14:paraId="3686DB33">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标准名称及级别</w:t>
            </w:r>
          </w:p>
        </w:tc>
        <w:tc>
          <w:tcPr>
            <w:tcW w:w="1843" w:type="dxa"/>
            <w:vMerge w:val="restart"/>
            <w:vAlign w:val="center"/>
          </w:tcPr>
          <w:p w14:paraId="67A0E25A">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项目</w:t>
            </w:r>
          </w:p>
        </w:tc>
        <w:tc>
          <w:tcPr>
            <w:tcW w:w="3736" w:type="dxa"/>
            <w:gridSpan w:val="3"/>
            <w:vAlign w:val="center"/>
          </w:tcPr>
          <w:p w14:paraId="7E5024D1">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标准值</w:t>
            </w:r>
          </w:p>
        </w:tc>
      </w:tr>
      <w:tr w14:paraId="4D274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264951E4">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34D2027F">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578E51E2">
            <w:pPr>
              <w:widowControl/>
              <w:jc w:val="left"/>
              <w:rPr>
                <w:rFonts w:hint="default" w:ascii="Times New Roman" w:hAnsi="Times New Roman" w:cs="Times New Roman"/>
                <w:snapToGrid w:val="0"/>
                <w:color w:val="auto"/>
                <w:kern w:val="0"/>
                <w:szCs w:val="21"/>
                <w:highlight w:val="none"/>
              </w:rPr>
            </w:pPr>
          </w:p>
        </w:tc>
        <w:tc>
          <w:tcPr>
            <w:tcW w:w="850" w:type="dxa"/>
            <w:vAlign w:val="center"/>
          </w:tcPr>
          <w:p w14:paraId="70292B9A">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单位</w:t>
            </w:r>
          </w:p>
        </w:tc>
        <w:tc>
          <w:tcPr>
            <w:tcW w:w="2886" w:type="dxa"/>
            <w:gridSpan w:val="2"/>
            <w:vAlign w:val="center"/>
          </w:tcPr>
          <w:p w14:paraId="3058C7BD">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数值</w:t>
            </w:r>
          </w:p>
        </w:tc>
      </w:tr>
      <w:tr w14:paraId="69E943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restart"/>
            <w:vAlign w:val="center"/>
          </w:tcPr>
          <w:p w14:paraId="554072C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环境空气</w:t>
            </w:r>
          </w:p>
        </w:tc>
        <w:tc>
          <w:tcPr>
            <w:tcW w:w="2169" w:type="dxa"/>
            <w:vMerge w:val="restart"/>
            <w:vAlign w:val="center"/>
          </w:tcPr>
          <w:p w14:paraId="4484C6FC">
            <w:pPr>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《环境空气质量标准》（GB3095-2012）及修改单中二级标准</w:t>
            </w:r>
          </w:p>
        </w:tc>
        <w:tc>
          <w:tcPr>
            <w:tcW w:w="1843" w:type="dxa"/>
            <w:vMerge w:val="restart"/>
            <w:vAlign w:val="center"/>
          </w:tcPr>
          <w:p w14:paraId="08EA9E3C">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NO</w:t>
            </w:r>
            <w:r>
              <w:rPr>
                <w:rFonts w:hint="default" w:ascii="Times New Roman" w:hAnsi="Times New Roman" w:cs="Times New Roman"/>
                <w:snapToGrid w:val="0"/>
                <w:color w:val="auto"/>
                <w:kern w:val="0"/>
                <w:szCs w:val="21"/>
                <w:highlight w:val="none"/>
                <w:vertAlign w:val="subscript"/>
              </w:rPr>
              <w:t>2</w:t>
            </w:r>
          </w:p>
        </w:tc>
        <w:tc>
          <w:tcPr>
            <w:tcW w:w="850" w:type="dxa"/>
            <w:vMerge w:val="restart"/>
            <w:vAlign w:val="center"/>
          </w:tcPr>
          <w:p w14:paraId="456C1A5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μg/m</w:t>
            </w:r>
            <w:r>
              <w:rPr>
                <w:rFonts w:hint="default" w:ascii="Times New Roman" w:hAnsi="Times New Roman" w:cs="Times New Roman"/>
                <w:snapToGrid w:val="0"/>
                <w:color w:val="auto"/>
                <w:kern w:val="0"/>
                <w:szCs w:val="21"/>
                <w:highlight w:val="none"/>
                <w:vertAlign w:val="superscript"/>
              </w:rPr>
              <w:t>3</w:t>
            </w:r>
          </w:p>
        </w:tc>
        <w:tc>
          <w:tcPr>
            <w:tcW w:w="1986" w:type="dxa"/>
            <w:vAlign w:val="center"/>
          </w:tcPr>
          <w:p w14:paraId="29E83377">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1小时平均</w:t>
            </w:r>
          </w:p>
        </w:tc>
        <w:tc>
          <w:tcPr>
            <w:tcW w:w="900" w:type="dxa"/>
            <w:vAlign w:val="center"/>
          </w:tcPr>
          <w:p w14:paraId="7F7FC7F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200</w:t>
            </w:r>
          </w:p>
        </w:tc>
      </w:tr>
      <w:tr w14:paraId="6280E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5080DA7D">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44E589E7">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08100904">
            <w:pPr>
              <w:widowControl/>
              <w:jc w:val="left"/>
              <w:rPr>
                <w:rFonts w:hint="default" w:ascii="Times New Roman" w:hAnsi="Times New Roman" w:cs="Times New Roman"/>
                <w:snapToGrid w:val="0"/>
                <w:color w:val="auto"/>
                <w:kern w:val="0"/>
                <w:szCs w:val="21"/>
                <w:highlight w:val="none"/>
              </w:rPr>
            </w:pPr>
          </w:p>
        </w:tc>
        <w:tc>
          <w:tcPr>
            <w:tcW w:w="850" w:type="dxa"/>
            <w:vMerge w:val="continue"/>
            <w:vAlign w:val="center"/>
          </w:tcPr>
          <w:p w14:paraId="7783F593">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1EFBB06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24小时平均</w:t>
            </w:r>
          </w:p>
        </w:tc>
        <w:tc>
          <w:tcPr>
            <w:tcW w:w="900" w:type="dxa"/>
            <w:vAlign w:val="center"/>
          </w:tcPr>
          <w:p w14:paraId="519274D7">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80</w:t>
            </w:r>
          </w:p>
        </w:tc>
      </w:tr>
      <w:tr w14:paraId="0766E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7C3D4B90">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5706665C">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7EDF0841">
            <w:pPr>
              <w:widowControl/>
              <w:jc w:val="left"/>
              <w:rPr>
                <w:rFonts w:hint="default" w:ascii="Times New Roman" w:hAnsi="Times New Roman" w:cs="Times New Roman"/>
                <w:snapToGrid w:val="0"/>
                <w:color w:val="auto"/>
                <w:kern w:val="0"/>
                <w:szCs w:val="21"/>
                <w:highlight w:val="none"/>
              </w:rPr>
            </w:pPr>
          </w:p>
        </w:tc>
        <w:tc>
          <w:tcPr>
            <w:tcW w:w="850" w:type="dxa"/>
            <w:vMerge w:val="continue"/>
            <w:vAlign w:val="center"/>
          </w:tcPr>
          <w:p w14:paraId="2BAB3204">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3839ADA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年平均</w:t>
            </w:r>
          </w:p>
        </w:tc>
        <w:tc>
          <w:tcPr>
            <w:tcW w:w="900" w:type="dxa"/>
            <w:vAlign w:val="center"/>
          </w:tcPr>
          <w:p w14:paraId="41A9FBAC">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40</w:t>
            </w:r>
          </w:p>
        </w:tc>
      </w:tr>
      <w:tr w14:paraId="46F2C2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43DFDA07">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19A82EE6">
            <w:pPr>
              <w:widowControl/>
              <w:jc w:val="left"/>
              <w:rPr>
                <w:rFonts w:hint="default" w:ascii="Times New Roman" w:hAnsi="Times New Roman" w:cs="Times New Roman"/>
                <w:snapToGrid w:val="0"/>
                <w:color w:val="auto"/>
                <w:kern w:val="0"/>
                <w:szCs w:val="21"/>
                <w:highlight w:val="none"/>
              </w:rPr>
            </w:pPr>
          </w:p>
        </w:tc>
        <w:tc>
          <w:tcPr>
            <w:tcW w:w="1843" w:type="dxa"/>
            <w:vMerge w:val="restart"/>
            <w:vAlign w:val="center"/>
          </w:tcPr>
          <w:p w14:paraId="6770B36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SO</w:t>
            </w:r>
            <w:r>
              <w:rPr>
                <w:rFonts w:hint="default" w:ascii="Times New Roman" w:hAnsi="Times New Roman" w:cs="Times New Roman"/>
                <w:snapToGrid w:val="0"/>
                <w:color w:val="auto"/>
                <w:kern w:val="0"/>
                <w:szCs w:val="21"/>
                <w:highlight w:val="none"/>
                <w:vertAlign w:val="subscript"/>
              </w:rPr>
              <w:t>2</w:t>
            </w:r>
          </w:p>
        </w:tc>
        <w:tc>
          <w:tcPr>
            <w:tcW w:w="850" w:type="dxa"/>
            <w:vMerge w:val="continue"/>
            <w:vAlign w:val="center"/>
          </w:tcPr>
          <w:p w14:paraId="479803EF">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0C8E2A1B">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1小时平均</w:t>
            </w:r>
          </w:p>
        </w:tc>
        <w:tc>
          <w:tcPr>
            <w:tcW w:w="900" w:type="dxa"/>
            <w:vAlign w:val="center"/>
          </w:tcPr>
          <w:p w14:paraId="509AA7DD">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500</w:t>
            </w:r>
          </w:p>
        </w:tc>
      </w:tr>
      <w:tr w14:paraId="37865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3F220996">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35DE669E">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6816FD17">
            <w:pPr>
              <w:widowControl/>
              <w:jc w:val="left"/>
              <w:rPr>
                <w:rFonts w:hint="default" w:ascii="Times New Roman" w:hAnsi="Times New Roman" w:cs="Times New Roman"/>
                <w:snapToGrid w:val="0"/>
                <w:color w:val="auto"/>
                <w:kern w:val="0"/>
                <w:szCs w:val="21"/>
                <w:highlight w:val="none"/>
              </w:rPr>
            </w:pPr>
          </w:p>
        </w:tc>
        <w:tc>
          <w:tcPr>
            <w:tcW w:w="850" w:type="dxa"/>
            <w:vMerge w:val="continue"/>
            <w:vAlign w:val="center"/>
          </w:tcPr>
          <w:p w14:paraId="25D3FB2F">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1569112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24小时平均</w:t>
            </w:r>
          </w:p>
        </w:tc>
        <w:tc>
          <w:tcPr>
            <w:tcW w:w="900" w:type="dxa"/>
            <w:vAlign w:val="center"/>
          </w:tcPr>
          <w:p w14:paraId="160954C1">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150</w:t>
            </w:r>
          </w:p>
        </w:tc>
      </w:tr>
      <w:tr w14:paraId="2711E7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710227A1">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4CD052F1">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3025E78C">
            <w:pPr>
              <w:widowControl/>
              <w:jc w:val="left"/>
              <w:rPr>
                <w:rFonts w:hint="default" w:ascii="Times New Roman" w:hAnsi="Times New Roman" w:cs="Times New Roman"/>
                <w:snapToGrid w:val="0"/>
                <w:color w:val="auto"/>
                <w:kern w:val="0"/>
                <w:szCs w:val="21"/>
                <w:highlight w:val="none"/>
              </w:rPr>
            </w:pPr>
          </w:p>
        </w:tc>
        <w:tc>
          <w:tcPr>
            <w:tcW w:w="850" w:type="dxa"/>
            <w:vMerge w:val="continue"/>
            <w:vAlign w:val="center"/>
          </w:tcPr>
          <w:p w14:paraId="09B54D3B">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3EAB85F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年平均</w:t>
            </w:r>
          </w:p>
        </w:tc>
        <w:tc>
          <w:tcPr>
            <w:tcW w:w="900" w:type="dxa"/>
            <w:vAlign w:val="center"/>
          </w:tcPr>
          <w:p w14:paraId="1F64DF93">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60</w:t>
            </w:r>
          </w:p>
        </w:tc>
      </w:tr>
      <w:tr w14:paraId="16485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2F657A27">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1CA171D3">
            <w:pPr>
              <w:widowControl/>
              <w:jc w:val="left"/>
              <w:rPr>
                <w:rFonts w:hint="default" w:ascii="Times New Roman" w:hAnsi="Times New Roman" w:cs="Times New Roman"/>
                <w:snapToGrid w:val="0"/>
                <w:color w:val="auto"/>
                <w:kern w:val="0"/>
                <w:szCs w:val="21"/>
                <w:highlight w:val="none"/>
              </w:rPr>
            </w:pPr>
          </w:p>
        </w:tc>
        <w:tc>
          <w:tcPr>
            <w:tcW w:w="1843" w:type="dxa"/>
            <w:vMerge w:val="restart"/>
            <w:vAlign w:val="center"/>
          </w:tcPr>
          <w:p w14:paraId="37DE908C">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CO</w:t>
            </w:r>
          </w:p>
        </w:tc>
        <w:tc>
          <w:tcPr>
            <w:tcW w:w="850" w:type="dxa"/>
            <w:vMerge w:val="continue"/>
            <w:vAlign w:val="center"/>
          </w:tcPr>
          <w:p w14:paraId="2FD45C00">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7E70A26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24小时平均</w:t>
            </w:r>
          </w:p>
        </w:tc>
        <w:tc>
          <w:tcPr>
            <w:tcW w:w="900" w:type="dxa"/>
            <w:vAlign w:val="center"/>
          </w:tcPr>
          <w:p w14:paraId="1A2BFAE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4</w:t>
            </w:r>
          </w:p>
        </w:tc>
      </w:tr>
      <w:tr w14:paraId="0C3B08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0A711380">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6AE91F4E">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73FBEBE6">
            <w:pPr>
              <w:widowControl/>
              <w:jc w:val="left"/>
              <w:rPr>
                <w:rFonts w:hint="default" w:ascii="Times New Roman" w:hAnsi="Times New Roman" w:cs="Times New Roman"/>
                <w:snapToGrid w:val="0"/>
                <w:color w:val="auto"/>
                <w:kern w:val="0"/>
                <w:szCs w:val="21"/>
                <w:highlight w:val="none"/>
              </w:rPr>
            </w:pPr>
          </w:p>
        </w:tc>
        <w:tc>
          <w:tcPr>
            <w:tcW w:w="850" w:type="dxa"/>
            <w:vMerge w:val="continue"/>
            <w:vAlign w:val="center"/>
          </w:tcPr>
          <w:p w14:paraId="79D96512">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2223144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1小时平均</w:t>
            </w:r>
          </w:p>
        </w:tc>
        <w:tc>
          <w:tcPr>
            <w:tcW w:w="900" w:type="dxa"/>
            <w:vAlign w:val="center"/>
          </w:tcPr>
          <w:p w14:paraId="2C23FE7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10</w:t>
            </w:r>
          </w:p>
        </w:tc>
      </w:tr>
      <w:tr w14:paraId="7DE478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0177B004">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20735828">
            <w:pPr>
              <w:widowControl/>
              <w:jc w:val="left"/>
              <w:rPr>
                <w:rFonts w:hint="default" w:ascii="Times New Roman" w:hAnsi="Times New Roman" w:cs="Times New Roman"/>
                <w:snapToGrid w:val="0"/>
                <w:color w:val="auto"/>
                <w:kern w:val="0"/>
                <w:szCs w:val="21"/>
                <w:highlight w:val="none"/>
              </w:rPr>
            </w:pPr>
          </w:p>
        </w:tc>
        <w:tc>
          <w:tcPr>
            <w:tcW w:w="1843" w:type="dxa"/>
            <w:vMerge w:val="restart"/>
            <w:vAlign w:val="center"/>
          </w:tcPr>
          <w:p w14:paraId="063345C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O</w:t>
            </w:r>
            <w:r>
              <w:rPr>
                <w:rFonts w:hint="default" w:ascii="Times New Roman" w:hAnsi="Times New Roman" w:cs="Times New Roman"/>
                <w:snapToGrid w:val="0"/>
                <w:color w:val="auto"/>
                <w:kern w:val="0"/>
                <w:szCs w:val="21"/>
                <w:highlight w:val="none"/>
                <w:vertAlign w:val="subscript"/>
              </w:rPr>
              <w:t>3</w:t>
            </w:r>
          </w:p>
        </w:tc>
        <w:tc>
          <w:tcPr>
            <w:tcW w:w="850" w:type="dxa"/>
            <w:vMerge w:val="continue"/>
            <w:vAlign w:val="center"/>
          </w:tcPr>
          <w:p w14:paraId="2DF1F00C">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40B10258">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日最大8小时平均</w:t>
            </w:r>
          </w:p>
        </w:tc>
        <w:tc>
          <w:tcPr>
            <w:tcW w:w="900" w:type="dxa"/>
            <w:vAlign w:val="center"/>
          </w:tcPr>
          <w:p w14:paraId="0E961B51">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160</w:t>
            </w:r>
          </w:p>
        </w:tc>
      </w:tr>
      <w:tr w14:paraId="3C65D3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0AD0DAB5">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0AD9AA05">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7661E8AB">
            <w:pPr>
              <w:widowControl/>
              <w:jc w:val="left"/>
              <w:rPr>
                <w:rFonts w:hint="default" w:ascii="Times New Roman" w:hAnsi="Times New Roman" w:cs="Times New Roman"/>
                <w:snapToGrid w:val="0"/>
                <w:color w:val="auto"/>
                <w:kern w:val="0"/>
                <w:szCs w:val="21"/>
                <w:highlight w:val="none"/>
              </w:rPr>
            </w:pPr>
          </w:p>
        </w:tc>
        <w:tc>
          <w:tcPr>
            <w:tcW w:w="850" w:type="dxa"/>
            <w:vMerge w:val="continue"/>
            <w:vAlign w:val="center"/>
          </w:tcPr>
          <w:p w14:paraId="1F9D5A1C">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682DDC36">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1小时平均</w:t>
            </w:r>
          </w:p>
        </w:tc>
        <w:tc>
          <w:tcPr>
            <w:tcW w:w="900" w:type="dxa"/>
            <w:vAlign w:val="center"/>
          </w:tcPr>
          <w:p w14:paraId="5C8EE13D">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200</w:t>
            </w:r>
          </w:p>
        </w:tc>
      </w:tr>
      <w:tr w14:paraId="3771D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42744FB2">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4F95122D">
            <w:pPr>
              <w:widowControl/>
              <w:jc w:val="left"/>
              <w:rPr>
                <w:rFonts w:hint="default" w:ascii="Times New Roman" w:hAnsi="Times New Roman" w:cs="Times New Roman"/>
                <w:snapToGrid w:val="0"/>
                <w:color w:val="auto"/>
                <w:kern w:val="0"/>
                <w:szCs w:val="21"/>
                <w:highlight w:val="none"/>
              </w:rPr>
            </w:pPr>
          </w:p>
        </w:tc>
        <w:tc>
          <w:tcPr>
            <w:tcW w:w="1843" w:type="dxa"/>
            <w:vMerge w:val="restart"/>
            <w:vAlign w:val="center"/>
          </w:tcPr>
          <w:p w14:paraId="71EE7EDB">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颗粒物（粒径小于等于10μm）</w:t>
            </w:r>
          </w:p>
        </w:tc>
        <w:tc>
          <w:tcPr>
            <w:tcW w:w="850" w:type="dxa"/>
            <w:vMerge w:val="continue"/>
            <w:vAlign w:val="center"/>
          </w:tcPr>
          <w:p w14:paraId="7D85EE64">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3107887C">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年平均</w:t>
            </w:r>
          </w:p>
        </w:tc>
        <w:tc>
          <w:tcPr>
            <w:tcW w:w="900" w:type="dxa"/>
            <w:vAlign w:val="center"/>
          </w:tcPr>
          <w:p w14:paraId="39A0EB2D">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70</w:t>
            </w:r>
          </w:p>
        </w:tc>
      </w:tr>
      <w:tr w14:paraId="732279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5F7FE350">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0C53D70D">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31F5102D">
            <w:pPr>
              <w:widowControl/>
              <w:jc w:val="left"/>
              <w:rPr>
                <w:rFonts w:hint="default" w:ascii="Times New Roman" w:hAnsi="Times New Roman" w:cs="Times New Roman"/>
                <w:snapToGrid w:val="0"/>
                <w:color w:val="auto"/>
                <w:kern w:val="0"/>
                <w:szCs w:val="21"/>
                <w:highlight w:val="none"/>
              </w:rPr>
            </w:pPr>
          </w:p>
        </w:tc>
        <w:tc>
          <w:tcPr>
            <w:tcW w:w="850" w:type="dxa"/>
            <w:vMerge w:val="continue"/>
            <w:vAlign w:val="center"/>
          </w:tcPr>
          <w:p w14:paraId="6C26DF2E">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7FAD69EA">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24小时平均</w:t>
            </w:r>
          </w:p>
        </w:tc>
        <w:tc>
          <w:tcPr>
            <w:tcW w:w="900" w:type="dxa"/>
            <w:vAlign w:val="center"/>
          </w:tcPr>
          <w:p w14:paraId="518D7B3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150</w:t>
            </w:r>
          </w:p>
        </w:tc>
      </w:tr>
      <w:tr w14:paraId="138E8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7F87A7F1">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40941892">
            <w:pPr>
              <w:widowControl/>
              <w:jc w:val="left"/>
              <w:rPr>
                <w:rFonts w:hint="default" w:ascii="Times New Roman" w:hAnsi="Times New Roman" w:cs="Times New Roman"/>
                <w:snapToGrid w:val="0"/>
                <w:color w:val="auto"/>
                <w:kern w:val="0"/>
                <w:szCs w:val="21"/>
                <w:highlight w:val="none"/>
              </w:rPr>
            </w:pPr>
          </w:p>
        </w:tc>
        <w:tc>
          <w:tcPr>
            <w:tcW w:w="1843" w:type="dxa"/>
            <w:vMerge w:val="restart"/>
            <w:vAlign w:val="center"/>
          </w:tcPr>
          <w:p w14:paraId="6461EB23">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颗粒物（粒径小于等于2.5μm）</w:t>
            </w:r>
          </w:p>
        </w:tc>
        <w:tc>
          <w:tcPr>
            <w:tcW w:w="850" w:type="dxa"/>
            <w:vMerge w:val="continue"/>
            <w:vAlign w:val="center"/>
          </w:tcPr>
          <w:p w14:paraId="7FF3E6BA">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2E5330A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年平均</w:t>
            </w:r>
          </w:p>
        </w:tc>
        <w:tc>
          <w:tcPr>
            <w:tcW w:w="900" w:type="dxa"/>
            <w:vAlign w:val="center"/>
          </w:tcPr>
          <w:p w14:paraId="503B1367">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35</w:t>
            </w:r>
          </w:p>
        </w:tc>
      </w:tr>
      <w:tr w14:paraId="0590E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7091FA62">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1AAA9BE6">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56B4A68D">
            <w:pPr>
              <w:widowControl/>
              <w:jc w:val="left"/>
              <w:rPr>
                <w:rFonts w:hint="default" w:ascii="Times New Roman" w:hAnsi="Times New Roman" w:cs="Times New Roman"/>
                <w:snapToGrid w:val="0"/>
                <w:color w:val="auto"/>
                <w:kern w:val="0"/>
                <w:szCs w:val="21"/>
                <w:highlight w:val="none"/>
              </w:rPr>
            </w:pPr>
          </w:p>
        </w:tc>
        <w:tc>
          <w:tcPr>
            <w:tcW w:w="850" w:type="dxa"/>
            <w:vMerge w:val="continue"/>
            <w:vAlign w:val="center"/>
          </w:tcPr>
          <w:p w14:paraId="1349EB26">
            <w:pPr>
              <w:widowControl/>
              <w:jc w:val="left"/>
              <w:rPr>
                <w:rFonts w:hint="default" w:ascii="Times New Roman" w:hAnsi="Times New Roman" w:cs="Times New Roman"/>
                <w:snapToGrid w:val="0"/>
                <w:color w:val="auto"/>
                <w:kern w:val="0"/>
                <w:szCs w:val="21"/>
                <w:highlight w:val="none"/>
              </w:rPr>
            </w:pPr>
          </w:p>
        </w:tc>
        <w:tc>
          <w:tcPr>
            <w:tcW w:w="1986" w:type="dxa"/>
            <w:vAlign w:val="center"/>
          </w:tcPr>
          <w:p w14:paraId="6895786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24小时平均</w:t>
            </w:r>
          </w:p>
        </w:tc>
        <w:tc>
          <w:tcPr>
            <w:tcW w:w="900" w:type="dxa"/>
            <w:vAlign w:val="center"/>
          </w:tcPr>
          <w:p w14:paraId="76BC121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75</w:t>
            </w:r>
          </w:p>
        </w:tc>
      </w:tr>
      <w:tr w14:paraId="3321C8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22F16F28">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6FC3BAC8">
            <w:pPr>
              <w:widowControl/>
              <w:jc w:val="left"/>
              <w:rPr>
                <w:rFonts w:hint="default" w:ascii="Times New Roman" w:hAnsi="Times New Roman" w:cs="Times New Roman"/>
                <w:snapToGrid w:val="0"/>
                <w:color w:val="auto"/>
                <w:kern w:val="0"/>
                <w:szCs w:val="21"/>
                <w:highlight w:val="none"/>
              </w:rPr>
            </w:pPr>
          </w:p>
        </w:tc>
        <w:tc>
          <w:tcPr>
            <w:tcW w:w="1843" w:type="dxa"/>
            <w:vMerge w:val="restart"/>
            <w:vAlign w:val="center"/>
          </w:tcPr>
          <w:p w14:paraId="53F45C6F">
            <w:pPr>
              <w:widowControl/>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kern w:val="0"/>
                <w:szCs w:val="21"/>
                <w:highlight w:val="none"/>
              </w:rPr>
              <w:t>TSP</w:t>
            </w:r>
          </w:p>
        </w:tc>
        <w:tc>
          <w:tcPr>
            <w:tcW w:w="850" w:type="dxa"/>
            <w:vMerge w:val="continue"/>
            <w:vAlign w:val="center"/>
          </w:tcPr>
          <w:p w14:paraId="2B1A9BD3">
            <w:pPr>
              <w:widowControl/>
              <w:ind w:firstLine="420" w:firstLineChars="200"/>
              <w:jc w:val="left"/>
              <w:rPr>
                <w:rFonts w:hint="default" w:ascii="Times New Roman" w:hAnsi="Times New Roman" w:cs="Times New Roman"/>
                <w:snapToGrid w:val="0"/>
                <w:color w:val="auto"/>
                <w:kern w:val="0"/>
                <w:szCs w:val="21"/>
                <w:highlight w:val="none"/>
              </w:rPr>
            </w:pPr>
          </w:p>
        </w:tc>
        <w:tc>
          <w:tcPr>
            <w:tcW w:w="1986" w:type="dxa"/>
            <w:vAlign w:val="center"/>
          </w:tcPr>
          <w:p w14:paraId="3BA2FACA">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年平均</w:t>
            </w:r>
          </w:p>
        </w:tc>
        <w:tc>
          <w:tcPr>
            <w:tcW w:w="900" w:type="dxa"/>
            <w:vAlign w:val="center"/>
          </w:tcPr>
          <w:p w14:paraId="776EF793">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200</w:t>
            </w:r>
          </w:p>
        </w:tc>
      </w:tr>
      <w:tr w14:paraId="4367A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4A9B4CCD">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23339997">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379DBA94">
            <w:pPr>
              <w:widowControl/>
              <w:adjustRightInd w:val="0"/>
              <w:snapToGrid w:val="0"/>
              <w:jc w:val="center"/>
              <w:rPr>
                <w:rFonts w:hint="default" w:ascii="Times New Roman" w:hAnsi="Times New Roman" w:cs="Times New Roman"/>
                <w:snapToGrid w:val="0"/>
                <w:color w:val="auto"/>
                <w:kern w:val="0"/>
                <w:szCs w:val="21"/>
                <w:highlight w:val="none"/>
              </w:rPr>
            </w:pPr>
          </w:p>
        </w:tc>
        <w:tc>
          <w:tcPr>
            <w:tcW w:w="850" w:type="dxa"/>
            <w:vMerge w:val="continue"/>
            <w:vAlign w:val="center"/>
          </w:tcPr>
          <w:p w14:paraId="158B157D">
            <w:pPr>
              <w:widowControl/>
              <w:ind w:firstLine="420" w:firstLineChars="200"/>
              <w:jc w:val="left"/>
              <w:rPr>
                <w:rFonts w:hint="default" w:ascii="Times New Roman" w:hAnsi="Times New Roman" w:cs="Times New Roman"/>
                <w:snapToGrid w:val="0"/>
                <w:color w:val="auto"/>
                <w:kern w:val="0"/>
                <w:szCs w:val="21"/>
                <w:highlight w:val="none"/>
              </w:rPr>
            </w:pPr>
          </w:p>
        </w:tc>
        <w:tc>
          <w:tcPr>
            <w:tcW w:w="1986" w:type="dxa"/>
            <w:vAlign w:val="center"/>
          </w:tcPr>
          <w:p w14:paraId="4622994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24小时平均</w:t>
            </w:r>
          </w:p>
        </w:tc>
        <w:tc>
          <w:tcPr>
            <w:tcW w:w="900" w:type="dxa"/>
            <w:vAlign w:val="center"/>
          </w:tcPr>
          <w:p w14:paraId="629F88AA">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300</w:t>
            </w:r>
          </w:p>
        </w:tc>
      </w:tr>
      <w:tr w14:paraId="23CD6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6609E661">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3B16B463">
            <w:pPr>
              <w:widowControl/>
              <w:jc w:val="left"/>
              <w:rPr>
                <w:rFonts w:hint="default" w:ascii="Times New Roman" w:hAnsi="Times New Roman" w:cs="Times New Roman"/>
                <w:snapToGrid w:val="0"/>
                <w:color w:val="auto"/>
                <w:kern w:val="0"/>
                <w:szCs w:val="21"/>
                <w:highlight w:val="none"/>
              </w:rPr>
            </w:pPr>
          </w:p>
        </w:tc>
        <w:tc>
          <w:tcPr>
            <w:tcW w:w="1843" w:type="dxa"/>
            <w:vMerge w:val="restart"/>
            <w:vAlign w:val="center"/>
          </w:tcPr>
          <w:p w14:paraId="52B91496">
            <w:pPr>
              <w:widowControl/>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苯并[a]芘</w:t>
            </w:r>
          </w:p>
        </w:tc>
        <w:tc>
          <w:tcPr>
            <w:tcW w:w="850" w:type="dxa"/>
            <w:vMerge w:val="continue"/>
            <w:vAlign w:val="center"/>
          </w:tcPr>
          <w:p w14:paraId="502BD6E1">
            <w:pPr>
              <w:widowControl/>
              <w:ind w:firstLine="420"/>
              <w:jc w:val="left"/>
              <w:rPr>
                <w:rFonts w:hint="default" w:ascii="Times New Roman" w:hAnsi="Times New Roman" w:cs="Times New Roman"/>
                <w:snapToGrid w:val="0"/>
                <w:color w:val="auto"/>
                <w:kern w:val="0"/>
                <w:szCs w:val="21"/>
                <w:highlight w:val="none"/>
              </w:rPr>
            </w:pPr>
          </w:p>
        </w:tc>
        <w:tc>
          <w:tcPr>
            <w:tcW w:w="1986" w:type="dxa"/>
            <w:vAlign w:val="center"/>
          </w:tcPr>
          <w:p w14:paraId="1252774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年</w:t>
            </w:r>
            <w:r>
              <w:rPr>
                <w:rFonts w:hint="default" w:ascii="Times New Roman" w:hAnsi="Times New Roman" w:cs="Times New Roman"/>
                <w:snapToGrid w:val="0"/>
                <w:color w:val="auto"/>
                <w:kern w:val="0"/>
                <w:szCs w:val="21"/>
                <w:highlight w:val="none"/>
              </w:rPr>
              <w:t>平均</w:t>
            </w:r>
          </w:p>
        </w:tc>
        <w:tc>
          <w:tcPr>
            <w:tcW w:w="900" w:type="dxa"/>
            <w:vAlign w:val="center"/>
          </w:tcPr>
          <w:p w14:paraId="00ABB53D">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0.001</w:t>
            </w:r>
          </w:p>
        </w:tc>
      </w:tr>
      <w:tr w14:paraId="5817C6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73EA2AC6">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49E38207">
            <w:pPr>
              <w:widowControl/>
              <w:jc w:val="left"/>
              <w:rPr>
                <w:rFonts w:hint="default" w:ascii="Times New Roman" w:hAnsi="Times New Roman" w:cs="Times New Roman"/>
                <w:snapToGrid w:val="0"/>
                <w:color w:val="auto"/>
                <w:kern w:val="0"/>
                <w:szCs w:val="21"/>
                <w:highlight w:val="none"/>
              </w:rPr>
            </w:pPr>
          </w:p>
        </w:tc>
        <w:tc>
          <w:tcPr>
            <w:tcW w:w="1843" w:type="dxa"/>
            <w:vMerge w:val="continue"/>
            <w:vAlign w:val="center"/>
          </w:tcPr>
          <w:p w14:paraId="00AB8051">
            <w:pPr>
              <w:widowControl/>
              <w:adjustRightInd w:val="0"/>
              <w:snapToGrid w:val="0"/>
              <w:jc w:val="center"/>
              <w:rPr>
                <w:rFonts w:hint="default" w:ascii="Times New Roman" w:hAnsi="Times New Roman" w:cs="Times New Roman"/>
                <w:snapToGrid w:val="0"/>
                <w:color w:val="auto"/>
                <w:kern w:val="0"/>
                <w:szCs w:val="21"/>
                <w:highlight w:val="none"/>
              </w:rPr>
            </w:pPr>
          </w:p>
        </w:tc>
        <w:tc>
          <w:tcPr>
            <w:tcW w:w="850" w:type="dxa"/>
            <w:vMerge w:val="continue"/>
            <w:vAlign w:val="center"/>
          </w:tcPr>
          <w:p w14:paraId="6270CE72">
            <w:pPr>
              <w:widowControl/>
              <w:ind w:firstLine="420"/>
              <w:jc w:val="left"/>
              <w:rPr>
                <w:rFonts w:hint="default" w:ascii="Times New Roman" w:hAnsi="Times New Roman" w:cs="Times New Roman"/>
                <w:snapToGrid w:val="0"/>
                <w:color w:val="auto"/>
                <w:kern w:val="0"/>
                <w:szCs w:val="21"/>
                <w:highlight w:val="none"/>
              </w:rPr>
            </w:pPr>
          </w:p>
        </w:tc>
        <w:tc>
          <w:tcPr>
            <w:tcW w:w="1986" w:type="dxa"/>
            <w:vAlign w:val="center"/>
          </w:tcPr>
          <w:p w14:paraId="13A0974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24小时平均</w:t>
            </w:r>
          </w:p>
        </w:tc>
        <w:tc>
          <w:tcPr>
            <w:tcW w:w="900" w:type="dxa"/>
            <w:vAlign w:val="center"/>
          </w:tcPr>
          <w:p w14:paraId="404C4E3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0.0025</w:t>
            </w:r>
          </w:p>
        </w:tc>
      </w:tr>
      <w:tr w14:paraId="61A6F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190C5EFB">
            <w:pPr>
              <w:widowControl/>
              <w:jc w:val="left"/>
              <w:rPr>
                <w:rFonts w:hint="default" w:ascii="Times New Roman" w:hAnsi="Times New Roman" w:cs="Times New Roman"/>
                <w:snapToGrid w:val="0"/>
                <w:color w:val="auto"/>
                <w:kern w:val="0"/>
                <w:szCs w:val="21"/>
                <w:highlight w:val="none"/>
              </w:rPr>
            </w:pPr>
          </w:p>
        </w:tc>
        <w:tc>
          <w:tcPr>
            <w:tcW w:w="2169" w:type="dxa"/>
            <w:vMerge w:val="continue"/>
            <w:vAlign w:val="center"/>
          </w:tcPr>
          <w:p w14:paraId="0C61D2A6">
            <w:pPr>
              <w:widowControl/>
              <w:jc w:val="left"/>
              <w:rPr>
                <w:rFonts w:hint="default" w:ascii="Times New Roman" w:hAnsi="Times New Roman" w:cs="Times New Roman"/>
                <w:snapToGrid w:val="0"/>
                <w:color w:val="auto"/>
                <w:kern w:val="0"/>
                <w:szCs w:val="21"/>
                <w:highlight w:val="none"/>
              </w:rPr>
            </w:pPr>
          </w:p>
        </w:tc>
        <w:tc>
          <w:tcPr>
            <w:tcW w:w="1843" w:type="dxa"/>
            <w:vMerge w:val="restart"/>
            <w:vAlign w:val="center"/>
          </w:tcPr>
          <w:p w14:paraId="0FBF8915">
            <w:pPr>
              <w:widowControl/>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氮氧化物</w:t>
            </w:r>
          </w:p>
        </w:tc>
        <w:tc>
          <w:tcPr>
            <w:tcW w:w="850" w:type="dxa"/>
            <w:vMerge w:val="continue"/>
            <w:vAlign w:val="center"/>
          </w:tcPr>
          <w:p w14:paraId="4E3B749C">
            <w:pPr>
              <w:widowControl/>
              <w:ind w:firstLine="420"/>
              <w:jc w:val="left"/>
              <w:rPr>
                <w:rFonts w:hint="default" w:ascii="Times New Roman" w:hAnsi="Times New Roman" w:cs="Times New Roman"/>
                <w:snapToGrid w:val="0"/>
                <w:color w:val="auto"/>
                <w:kern w:val="0"/>
                <w:szCs w:val="21"/>
                <w:highlight w:val="none"/>
              </w:rPr>
            </w:pPr>
          </w:p>
        </w:tc>
        <w:tc>
          <w:tcPr>
            <w:tcW w:w="1986" w:type="dxa"/>
            <w:shd w:val="clear" w:color="auto" w:fill="auto"/>
            <w:vAlign w:val="center"/>
          </w:tcPr>
          <w:p w14:paraId="4DDAC51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1小时平均</w:t>
            </w:r>
          </w:p>
        </w:tc>
        <w:tc>
          <w:tcPr>
            <w:tcW w:w="900" w:type="dxa"/>
            <w:vAlign w:val="center"/>
          </w:tcPr>
          <w:p w14:paraId="3D7D473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250</w:t>
            </w:r>
          </w:p>
        </w:tc>
      </w:tr>
      <w:tr w14:paraId="603665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75972994">
            <w:pPr>
              <w:adjustRightInd w:val="0"/>
              <w:snapToGrid w:val="0"/>
              <w:jc w:val="center"/>
              <w:rPr>
                <w:rFonts w:hint="default" w:ascii="Times New Roman" w:hAnsi="Times New Roman" w:cs="Times New Roman"/>
                <w:color w:val="auto"/>
                <w:kern w:val="0"/>
                <w:sz w:val="24"/>
                <w:szCs w:val="20"/>
                <w:highlight w:val="none"/>
              </w:rPr>
            </w:pPr>
          </w:p>
        </w:tc>
        <w:tc>
          <w:tcPr>
            <w:tcW w:w="2169" w:type="dxa"/>
            <w:vMerge w:val="continue"/>
            <w:vAlign w:val="center"/>
          </w:tcPr>
          <w:p w14:paraId="77FFFEF9">
            <w:pPr>
              <w:adjustRightInd w:val="0"/>
              <w:snapToGrid w:val="0"/>
              <w:jc w:val="center"/>
              <w:rPr>
                <w:rFonts w:hint="default" w:ascii="Times New Roman" w:hAnsi="Times New Roman" w:cs="Times New Roman"/>
                <w:color w:val="auto"/>
                <w:kern w:val="0"/>
                <w:sz w:val="24"/>
                <w:szCs w:val="20"/>
                <w:highlight w:val="none"/>
              </w:rPr>
            </w:pPr>
          </w:p>
        </w:tc>
        <w:tc>
          <w:tcPr>
            <w:tcW w:w="1843" w:type="dxa"/>
            <w:vMerge w:val="continue"/>
            <w:vAlign w:val="center"/>
          </w:tcPr>
          <w:p w14:paraId="243FE53C">
            <w:pPr>
              <w:adjustRightInd w:val="0"/>
              <w:snapToGrid w:val="0"/>
              <w:jc w:val="center"/>
              <w:rPr>
                <w:rFonts w:hint="default" w:ascii="Times New Roman" w:hAnsi="Times New Roman" w:cs="Times New Roman"/>
                <w:color w:val="auto"/>
                <w:kern w:val="0"/>
                <w:sz w:val="24"/>
                <w:szCs w:val="20"/>
                <w:highlight w:val="none"/>
              </w:rPr>
            </w:pPr>
          </w:p>
        </w:tc>
        <w:tc>
          <w:tcPr>
            <w:tcW w:w="850" w:type="dxa"/>
            <w:vMerge w:val="continue"/>
            <w:vAlign w:val="center"/>
          </w:tcPr>
          <w:p w14:paraId="5D3C5745">
            <w:pPr>
              <w:adjustRightInd w:val="0"/>
              <w:snapToGrid w:val="0"/>
              <w:jc w:val="center"/>
              <w:rPr>
                <w:rFonts w:hint="default" w:ascii="Times New Roman" w:hAnsi="Times New Roman" w:cs="Times New Roman"/>
                <w:color w:val="auto"/>
                <w:kern w:val="0"/>
                <w:sz w:val="24"/>
                <w:szCs w:val="20"/>
                <w:highlight w:val="none"/>
              </w:rPr>
            </w:pPr>
          </w:p>
        </w:tc>
        <w:tc>
          <w:tcPr>
            <w:tcW w:w="1986" w:type="dxa"/>
            <w:shd w:val="clear" w:color="auto" w:fill="auto"/>
            <w:vAlign w:val="center"/>
          </w:tcPr>
          <w:p w14:paraId="1AC4911D">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24小时平均</w:t>
            </w:r>
          </w:p>
        </w:tc>
        <w:tc>
          <w:tcPr>
            <w:tcW w:w="900" w:type="dxa"/>
            <w:vAlign w:val="center"/>
          </w:tcPr>
          <w:p w14:paraId="522D10E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r>
      <w:tr w14:paraId="618EE4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07615B88">
            <w:pPr>
              <w:adjustRightInd w:val="0"/>
              <w:snapToGrid w:val="0"/>
              <w:jc w:val="center"/>
              <w:rPr>
                <w:rFonts w:hint="default" w:ascii="Times New Roman" w:hAnsi="Times New Roman" w:cs="Times New Roman"/>
                <w:color w:val="auto"/>
                <w:kern w:val="0"/>
                <w:szCs w:val="21"/>
                <w:highlight w:val="none"/>
              </w:rPr>
            </w:pPr>
          </w:p>
        </w:tc>
        <w:tc>
          <w:tcPr>
            <w:tcW w:w="2169" w:type="dxa"/>
            <w:vMerge w:val="continue"/>
            <w:vAlign w:val="center"/>
          </w:tcPr>
          <w:p w14:paraId="431FBB85">
            <w:pPr>
              <w:adjustRightInd w:val="0"/>
              <w:snapToGrid w:val="0"/>
              <w:jc w:val="center"/>
              <w:rPr>
                <w:rFonts w:hint="default" w:ascii="Times New Roman" w:hAnsi="Times New Roman" w:cs="Times New Roman"/>
                <w:color w:val="auto"/>
                <w:kern w:val="0"/>
                <w:szCs w:val="21"/>
                <w:highlight w:val="none"/>
              </w:rPr>
            </w:pPr>
          </w:p>
        </w:tc>
        <w:tc>
          <w:tcPr>
            <w:tcW w:w="1843" w:type="dxa"/>
            <w:vMerge w:val="continue"/>
            <w:vAlign w:val="center"/>
          </w:tcPr>
          <w:p w14:paraId="3976CEDE">
            <w:pPr>
              <w:adjustRightInd w:val="0"/>
              <w:snapToGrid w:val="0"/>
              <w:jc w:val="center"/>
              <w:rPr>
                <w:rFonts w:hint="default" w:ascii="Times New Roman" w:hAnsi="Times New Roman" w:cs="Times New Roman"/>
                <w:color w:val="auto"/>
                <w:kern w:val="0"/>
                <w:szCs w:val="21"/>
                <w:highlight w:val="none"/>
              </w:rPr>
            </w:pPr>
          </w:p>
        </w:tc>
        <w:tc>
          <w:tcPr>
            <w:tcW w:w="850" w:type="dxa"/>
            <w:vMerge w:val="continue"/>
            <w:vAlign w:val="center"/>
          </w:tcPr>
          <w:p w14:paraId="4F64629C">
            <w:pPr>
              <w:adjustRightInd w:val="0"/>
              <w:snapToGrid w:val="0"/>
              <w:jc w:val="center"/>
              <w:rPr>
                <w:rFonts w:hint="default" w:ascii="Times New Roman" w:hAnsi="Times New Roman" w:cs="Times New Roman"/>
                <w:color w:val="auto"/>
                <w:kern w:val="0"/>
                <w:szCs w:val="21"/>
                <w:highlight w:val="none"/>
              </w:rPr>
            </w:pPr>
          </w:p>
        </w:tc>
        <w:tc>
          <w:tcPr>
            <w:tcW w:w="1986" w:type="dxa"/>
            <w:shd w:val="clear" w:color="auto" w:fill="auto"/>
            <w:vAlign w:val="center"/>
          </w:tcPr>
          <w:p w14:paraId="33473D1C">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年平均</w:t>
            </w:r>
          </w:p>
        </w:tc>
        <w:tc>
          <w:tcPr>
            <w:tcW w:w="900" w:type="dxa"/>
            <w:vAlign w:val="center"/>
          </w:tcPr>
          <w:p w14:paraId="2C83F70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r w14:paraId="06F2A6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653E9363">
            <w:pPr>
              <w:adjustRightInd w:val="0"/>
              <w:snapToGrid w:val="0"/>
              <w:jc w:val="center"/>
              <w:rPr>
                <w:rFonts w:hint="default" w:ascii="Times New Roman" w:hAnsi="Times New Roman" w:cs="Times New Roman"/>
                <w:color w:val="auto"/>
                <w:kern w:val="0"/>
                <w:szCs w:val="21"/>
                <w:highlight w:val="none"/>
              </w:rPr>
            </w:pPr>
          </w:p>
        </w:tc>
        <w:tc>
          <w:tcPr>
            <w:tcW w:w="2169" w:type="dxa"/>
            <w:vMerge w:val="restart"/>
            <w:vAlign w:val="center"/>
          </w:tcPr>
          <w:p w14:paraId="7B4CB43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《大气污染物综合排放标准详解》</w:t>
            </w:r>
          </w:p>
        </w:tc>
        <w:tc>
          <w:tcPr>
            <w:tcW w:w="1843" w:type="dxa"/>
            <w:vAlign w:val="center"/>
          </w:tcPr>
          <w:p w14:paraId="310037AA">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沥青烟</w:t>
            </w:r>
          </w:p>
        </w:tc>
        <w:tc>
          <w:tcPr>
            <w:tcW w:w="850" w:type="dxa"/>
            <w:vMerge w:val="continue"/>
            <w:vAlign w:val="center"/>
          </w:tcPr>
          <w:p w14:paraId="54BA6A3B">
            <w:pPr>
              <w:adjustRightInd w:val="0"/>
              <w:snapToGrid w:val="0"/>
              <w:jc w:val="center"/>
              <w:rPr>
                <w:rFonts w:hint="default" w:ascii="Times New Roman" w:hAnsi="Times New Roman" w:cs="Times New Roman"/>
                <w:color w:val="auto"/>
                <w:kern w:val="0"/>
                <w:szCs w:val="21"/>
                <w:highlight w:val="none"/>
              </w:rPr>
            </w:pPr>
          </w:p>
        </w:tc>
        <w:tc>
          <w:tcPr>
            <w:tcW w:w="1986" w:type="dxa"/>
            <w:shd w:val="clear" w:color="auto" w:fill="auto"/>
            <w:vAlign w:val="center"/>
          </w:tcPr>
          <w:p w14:paraId="4E3E897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24h平均值</w:t>
            </w:r>
          </w:p>
        </w:tc>
        <w:tc>
          <w:tcPr>
            <w:tcW w:w="900" w:type="dxa"/>
            <w:vAlign w:val="center"/>
          </w:tcPr>
          <w:p w14:paraId="0D3031EE">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63.7</w:t>
            </w:r>
          </w:p>
        </w:tc>
      </w:tr>
      <w:tr w14:paraId="4F77E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vMerge w:val="continue"/>
            <w:vAlign w:val="center"/>
          </w:tcPr>
          <w:p w14:paraId="53E391E2">
            <w:pPr>
              <w:adjustRightInd w:val="0"/>
              <w:snapToGrid w:val="0"/>
              <w:jc w:val="center"/>
              <w:rPr>
                <w:rFonts w:hint="default" w:ascii="Times New Roman" w:hAnsi="Times New Roman" w:cs="Times New Roman"/>
                <w:color w:val="auto"/>
                <w:kern w:val="0"/>
                <w:szCs w:val="21"/>
                <w:highlight w:val="none"/>
              </w:rPr>
            </w:pPr>
          </w:p>
        </w:tc>
        <w:tc>
          <w:tcPr>
            <w:tcW w:w="2169" w:type="dxa"/>
            <w:vMerge w:val="continue"/>
            <w:vAlign w:val="center"/>
          </w:tcPr>
          <w:p w14:paraId="694270D6">
            <w:pPr>
              <w:adjustRightInd w:val="0"/>
              <w:snapToGrid w:val="0"/>
              <w:jc w:val="center"/>
              <w:rPr>
                <w:rFonts w:hint="default" w:ascii="Times New Roman" w:hAnsi="Times New Roman" w:cs="Times New Roman"/>
                <w:color w:val="auto"/>
                <w:kern w:val="0"/>
                <w:szCs w:val="21"/>
                <w:highlight w:val="none"/>
              </w:rPr>
            </w:pPr>
          </w:p>
        </w:tc>
        <w:tc>
          <w:tcPr>
            <w:tcW w:w="1843" w:type="dxa"/>
            <w:vAlign w:val="center"/>
          </w:tcPr>
          <w:p w14:paraId="44D1DAB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非甲烷总烃</w:t>
            </w:r>
          </w:p>
        </w:tc>
        <w:tc>
          <w:tcPr>
            <w:tcW w:w="850" w:type="dxa"/>
            <w:vMerge w:val="continue"/>
            <w:vAlign w:val="center"/>
          </w:tcPr>
          <w:p w14:paraId="5A7AEE09">
            <w:pPr>
              <w:adjustRightInd w:val="0"/>
              <w:snapToGrid w:val="0"/>
              <w:jc w:val="center"/>
              <w:rPr>
                <w:rFonts w:hint="default" w:ascii="Times New Roman" w:hAnsi="Times New Roman" w:cs="Times New Roman"/>
                <w:color w:val="auto"/>
                <w:kern w:val="0"/>
                <w:szCs w:val="21"/>
                <w:highlight w:val="none"/>
              </w:rPr>
            </w:pPr>
          </w:p>
        </w:tc>
        <w:tc>
          <w:tcPr>
            <w:tcW w:w="1986" w:type="dxa"/>
            <w:shd w:val="clear" w:color="auto" w:fill="auto"/>
            <w:vAlign w:val="center"/>
          </w:tcPr>
          <w:p w14:paraId="7BF2ED7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1小时平均</w:t>
            </w:r>
          </w:p>
        </w:tc>
        <w:tc>
          <w:tcPr>
            <w:tcW w:w="900" w:type="dxa"/>
            <w:vAlign w:val="center"/>
          </w:tcPr>
          <w:p w14:paraId="6A75FCD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r>
    </w:tbl>
    <w:p w14:paraId="360045D7">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（2）废气污染物排放标准</w:t>
      </w:r>
    </w:p>
    <w:p w14:paraId="278FF620">
      <w:pPr>
        <w:adjustRightInd w:val="0"/>
        <w:snapToGrid w:val="0"/>
        <w:spacing w:line="500" w:lineRule="exact"/>
        <w:ind w:firstLine="480" w:firstLineChars="200"/>
        <w:rPr>
          <w:rFonts w:hint="default" w:ascii="Times New Roman" w:hAnsi="Times New Roman" w:cs="Times New Roman"/>
          <w:color w:val="auto"/>
          <w:sz w:val="24"/>
          <w:highlight w:val="none"/>
        </w:rPr>
      </w:pPr>
      <w:bookmarkStart w:id="152" w:name="_Toc82354316"/>
      <w:bookmarkStart w:id="153" w:name="_Toc8156"/>
      <w:bookmarkStart w:id="154" w:name="_Toc23514"/>
      <w:r>
        <w:rPr>
          <w:rFonts w:hint="default" w:ascii="Times New Roman" w:hAnsi="Times New Roman" w:cs="Times New Roman"/>
          <w:color w:val="auto"/>
          <w:sz w:val="24"/>
          <w:highlight w:val="none"/>
        </w:rPr>
        <w:t>①有组织废气：</w:t>
      </w:r>
    </w:p>
    <w:p w14:paraId="08B7A443">
      <w:pPr>
        <w:adjustRightInd w:val="0"/>
        <w:snapToGrid w:val="0"/>
        <w:spacing w:line="500" w:lineRule="exact"/>
        <w:ind w:left="420" w:left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1）排气筒DA00</w:t>
      </w:r>
      <w:r>
        <w:rPr>
          <w:rFonts w:hint="default" w:ascii="Times New Roman" w:hAnsi="Times New Roman" w:cs="Times New Roman"/>
          <w:color w:val="auto"/>
          <w:sz w:val="24"/>
          <w:highlight w:val="none"/>
          <w:lang w:val="en-US" w:eastAsia="zh-CN"/>
        </w:rPr>
        <w:t>1</w:t>
      </w:r>
    </w:p>
    <w:p w14:paraId="5A442AB4">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燃烧器为一种将燃料与空气按比例混合后点燃，并将热能稳定输出的设备，燃烧烟气执行《工业炉窑 大气污染物排放标准》（GB 9078-1996）；根据《排污许可证申请与核发技术规范 石墨及其他非金属矿物制品制造》（HJ1119—2020），燃烧器执行更严格的排放标准《大气污染物综合排放标准》(GB16297-1996)表2中二级标准；本项目筛分工序废气执行</w:t>
      </w:r>
      <w:r>
        <w:rPr>
          <w:rFonts w:hint="default" w:ascii="Times New Roman" w:hAnsi="Times New Roman" w:cs="Times New Roman"/>
          <w:color w:val="auto"/>
          <w:sz w:val="24"/>
          <w:highlight w:val="none"/>
        </w:rPr>
        <w:t>《大气污染物综合排放标准》（GB16297-1996）表2中二级标准要求</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燃烧废气与筛分工序废气由同一根排气筒（DA001）排放，</w:t>
      </w:r>
      <w:r>
        <w:rPr>
          <w:rFonts w:hint="default" w:ascii="Times New Roman" w:hAnsi="Times New Roman" w:cs="Times New Roman"/>
          <w:b/>
          <w:bCs/>
          <w:color w:val="auto"/>
          <w:sz w:val="24"/>
          <w:highlight w:val="none"/>
          <w:lang w:val="en-US" w:eastAsia="zh-CN"/>
        </w:rPr>
        <w:t>故本项目燃烧器废气及筛分工序废气均执行</w:t>
      </w:r>
      <w:r>
        <w:rPr>
          <w:rFonts w:hint="default" w:ascii="Times New Roman" w:hAnsi="Times New Roman" w:cs="Times New Roman"/>
          <w:b/>
          <w:bCs/>
          <w:color w:val="auto"/>
          <w:sz w:val="24"/>
          <w:highlight w:val="none"/>
        </w:rPr>
        <w:t>《大气污染物综合排放标准》（GB16297-1996）表2中二级标准要求</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具体标准值见下表。</w:t>
      </w:r>
    </w:p>
    <w:p w14:paraId="386B0C10">
      <w:pPr>
        <w:adjustRightInd w:val="0"/>
        <w:snapToGrid w:val="0"/>
        <w:spacing w:line="500" w:lineRule="exact"/>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表1-4 《大气污染物综合排放标准》（GB16297-1996）</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84"/>
        <w:gridCol w:w="4438"/>
      </w:tblGrid>
      <w:tr w14:paraId="450055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6" w:type="pct"/>
            <w:vAlign w:val="center"/>
          </w:tcPr>
          <w:p w14:paraId="3596A7D2">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污染物项目</w:t>
            </w:r>
          </w:p>
        </w:tc>
        <w:tc>
          <w:tcPr>
            <w:tcW w:w="2603" w:type="pct"/>
            <w:vAlign w:val="center"/>
          </w:tcPr>
          <w:p w14:paraId="153ECC77">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排放限值</w:t>
            </w:r>
          </w:p>
        </w:tc>
      </w:tr>
      <w:tr w14:paraId="013F7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6" w:type="pct"/>
            <w:vAlign w:val="center"/>
          </w:tcPr>
          <w:p w14:paraId="0A824DB0">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颗粒物</w:t>
            </w:r>
          </w:p>
        </w:tc>
        <w:tc>
          <w:tcPr>
            <w:tcW w:w="2603" w:type="pct"/>
            <w:vAlign w:val="center"/>
          </w:tcPr>
          <w:p w14:paraId="7A30A1C3">
            <w:pPr>
              <w:pStyle w:val="74"/>
              <w:ind w:left="0" w:leftChars="0" w:firstLine="0" w:firstLineChars="0"/>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120mg/m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3.5</w:t>
            </w:r>
            <w:r>
              <w:rPr>
                <w:rFonts w:hint="default" w:ascii="Times New Roman" w:hAnsi="Times New Roman" w:cs="Times New Roman"/>
                <w:color w:val="auto"/>
                <w:szCs w:val="21"/>
                <w:highlight w:val="none"/>
              </w:rPr>
              <w:t>kg/h</w:t>
            </w:r>
          </w:p>
        </w:tc>
      </w:tr>
      <w:tr w14:paraId="55CA3A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6" w:type="pct"/>
            <w:vAlign w:val="center"/>
          </w:tcPr>
          <w:p w14:paraId="52C1E0B4">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二氧化硫</w:t>
            </w:r>
          </w:p>
        </w:tc>
        <w:tc>
          <w:tcPr>
            <w:tcW w:w="2603" w:type="pct"/>
            <w:vAlign w:val="center"/>
          </w:tcPr>
          <w:p w14:paraId="6D6742CF">
            <w:pPr>
              <w:pStyle w:val="74"/>
              <w:ind w:left="0" w:leftChars="0" w:firstLine="0" w:firstLineChars="0"/>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550mg/m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2.6</w:t>
            </w:r>
            <w:r>
              <w:rPr>
                <w:rFonts w:hint="default" w:ascii="Times New Roman" w:hAnsi="Times New Roman" w:cs="Times New Roman"/>
                <w:color w:val="auto"/>
                <w:szCs w:val="21"/>
                <w:highlight w:val="none"/>
              </w:rPr>
              <w:t>kg/h</w:t>
            </w:r>
          </w:p>
        </w:tc>
      </w:tr>
      <w:tr w14:paraId="25DAD3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96" w:type="pct"/>
            <w:vAlign w:val="center"/>
          </w:tcPr>
          <w:p w14:paraId="53A407F7">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氮氧化物</w:t>
            </w:r>
          </w:p>
        </w:tc>
        <w:tc>
          <w:tcPr>
            <w:tcW w:w="2603" w:type="pct"/>
            <w:vAlign w:val="center"/>
          </w:tcPr>
          <w:p w14:paraId="77C3A0E5">
            <w:pPr>
              <w:pStyle w:val="74"/>
              <w:ind w:left="0" w:leftChars="0" w:firstLine="0" w:firstLineChars="0"/>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240mg/m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0.77</w:t>
            </w:r>
            <w:r>
              <w:rPr>
                <w:rFonts w:hint="default" w:ascii="Times New Roman" w:hAnsi="Times New Roman" w:cs="Times New Roman"/>
                <w:color w:val="auto"/>
                <w:szCs w:val="21"/>
                <w:highlight w:val="none"/>
              </w:rPr>
              <w:t>kg/h</w:t>
            </w:r>
          </w:p>
        </w:tc>
      </w:tr>
      <w:tr w14:paraId="4EDFCF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2"/>
            <w:vAlign w:val="center"/>
          </w:tcPr>
          <w:p w14:paraId="2AFED99A">
            <w:pPr>
              <w:pStyle w:val="74"/>
              <w:ind w:left="0" w:leftChars="0" w:firstLine="0" w:firstLineChars="0"/>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注：排气筒高度为15m</w:t>
            </w:r>
          </w:p>
        </w:tc>
      </w:tr>
    </w:tbl>
    <w:p w14:paraId="10A33883">
      <w:pPr>
        <w:adjustRightInd w:val="0"/>
        <w:snapToGrid w:val="0"/>
        <w:spacing w:line="500" w:lineRule="exact"/>
        <w:ind w:left="420" w:leftChars="200"/>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3）</w:t>
      </w:r>
      <w:r>
        <w:rPr>
          <w:rFonts w:hint="default" w:ascii="Times New Roman" w:hAnsi="Times New Roman" w:cs="Times New Roman"/>
          <w:bCs/>
          <w:color w:val="auto"/>
          <w:sz w:val="24"/>
          <w:highlight w:val="none"/>
          <w:lang w:val="en-US" w:eastAsia="zh-CN"/>
        </w:rPr>
        <w:t>排气筒</w:t>
      </w:r>
      <w:r>
        <w:rPr>
          <w:rFonts w:hint="default" w:ascii="Times New Roman" w:hAnsi="Times New Roman" w:cs="Times New Roman"/>
          <w:bCs/>
          <w:color w:val="auto"/>
          <w:sz w:val="24"/>
          <w:highlight w:val="none"/>
        </w:rPr>
        <w:t>DA00</w:t>
      </w:r>
      <w:r>
        <w:rPr>
          <w:rFonts w:hint="default" w:ascii="Times New Roman" w:hAnsi="Times New Roman" w:cs="Times New Roman"/>
          <w:bCs/>
          <w:color w:val="auto"/>
          <w:sz w:val="24"/>
          <w:highlight w:val="none"/>
          <w:lang w:val="en-US" w:eastAsia="zh-CN"/>
        </w:rPr>
        <w:t>2</w:t>
      </w:r>
    </w:p>
    <w:p w14:paraId="79C99CB2">
      <w:pPr>
        <w:adjustRightInd w:val="0"/>
        <w:snapToGrid w:val="0"/>
        <w:spacing w:line="500" w:lineRule="exact"/>
        <w:ind w:firstLine="480" w:firstLineChars="200"/>
        <w:rPr>
          <w:rFonts w:hint="default" w:ascii="Times New Roman" w:hAnsi="Times New Roman" w:cs="Times New Roman"/>
          <w:b/>
          <w:bCs/>
          <w:color w:val="auto"/>
          <w:sz w:val="24"/>
          <w:highlight w:val="none"/>
        </w:rPr>
      </w:pPr>
      <w:r>
        <w:rPr>
          <w:rFonts w:hint="default" w:ascii="Times New Roman" w:hAnsi="Times New Roman" w:cs="Times New Roman"/>
          <w:bCs/>
          <w:color w:val="auto"/>
          <w:sz w:val="24"/>
          <w:highlight w:val="none"/>
        </w:rPr>
        <w:t>导热油炉废气参照执行《锅炉大气污染物排放标准》（GB13271-2014）表2新建锅炉大气污染物排放标准浓度限值中燃油锅炉排放限值，具体标准值见下表。</w:t>
      </w:r>
    </w:p>
    <w:p w14:paraId="358A17C6">
      <w:pPr>
        <w:adjustRightInd w:val="0"/>
        <w:snapToGrid w:val="0"/>
        <w:spacing w:line="400" w:lineRule="exact"/>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表1-5 《锅炉大气污染物排放标准》（GB13271-2014）</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85"/>
        <w:gridCol w:w="1515"/>
        <w:gridCol w:w="2922"/>
      </w:tblGrid>
      <w:tr w14:paraId="09D92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397" w:type="pct"/>
            <w:vMerge w:val="restart"/>
            <w:vAlign w:val="center"/>
          </w:tcPr>
          <w:p w14:paraId="609AF5C9">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污染物项目</w:t>
            </w:r>
          </w:p>
        </w:tc>
        <w:tc>
          <w:tcPr>
            <w:tcW w:w="889" w:type="pct"/>
            <w:vAlign w:val="center"/>
          </w:tcPr>
          <w:p w14:paraId="41AE831B">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限值</w:t>
            </w:r>
          </w:p>
        </w:tc>
        <w:tc>
          <w:tcPr>
            <w:tcW w:w="1713" w:type="pct"/>
            <w:vMerge w:val="restart"/>
            <w:vAlign w:val="center"/>
          </w:tcPr>
          <w:p w14:paraId="7081F19C">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污染物排放监控位置</w:t>
            </w:r>
          </w:p>
        </w:tc>
      </w:tr>
      <w:tr w14:paraId="6EED64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397" w:type="pct"/>
            <w:vMerge w:val="continue"/>
            <w:vAlign w:val="center"/>
          </w:tcPr>
          <w:p w14:paraId="138D1FE4">
            <w:pPr>
              <w:adjustRightInd w:val="0"/>
              <w:snapToGrid w:val="0"/>
              <w:spacing w:line="300" w:lineRule="exact"/>
              <w:jc w:val="center"/>
              <w:rPr>
                <w:rFonts w:hint="default" w:ascii="Times New Roman" w:hAnsi="Times New Roman" w:cs="Times New Roman"/>
                <w:color w:val="auto"/>
                <w:kern w:val="0"/>
                <w:sz w:val="24"/>
                <w:szCs w:val="20"/>
                <w:highlight w:val="none"/>
              </w:rPr>
            </w:pPr>
          </w:p>
        </w:tc>
        <w:tc>
          <w:tcPr>
            <w:tcW w:w="889" w:type="pct"/>
            <w:vAlign w:val="center"/>
          </w:tcPr>
          <w:p w14:paraId="0B618979">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燃油锅炉</w:t>
            </w:r>
          </w:p>
        </w:tc>
        <w:tc>
          <w:tcPr>
            <w:tcW w:w="1713" w:type="pct"/>
            <w:vMerge w:val="continue"/>
            <w:vAlign w:val="center"/>
          </w:tcPr>
          <w:p w14:paraId="2EAE730A">
            <w:pPr>
              <w:adjustRightInd w:val="0"/>
              <w:snapToGrid w:val="0"/>
              <w:spacing w:line="300" w:lineRule="exact"/>
              <w:jc w:val="center"/>
              <w:rPr>
                <w:rFonts w:hint="default" w:ascii="Times New Roman" w:hAnsi="Times New Roman" w:cs="Times New Roman"/>
                <w:color w:val="auto"/>
                <w:kern w:val="0"/>
                <w:szCs w:val="21"/>
                <w:highlight w:val="none"/>
              </w:rPr>
            </w:pPr>
          </w:p>
        </w:tc>
      </w:tr>
      <w:tr w14:paraId="0D1419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397" w:type="pct"/>
            <w:vAlign w:val="center"/>
          </w:tcPr>
          <w:p w14:paraId="54F53225">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烟尘</w:t>
            </w:r>
          </w:p>
        </w:tc>
        <w:tc>
          <w:tcPr>
            <w:tcW w:w="889" w:type="pct"/>
            <w:vAlign w:val="center"/>
          </w:tcPr>
          <w:p w14:paraId="402534A6">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30mg/m</w:t>
            </w:r>
            <w:r>
              <w:rPr>
                <w:rFonts w:hint="default" w:ascii="Times New Roman" w:hAnsi="Times New Roman" w:cs="Times New Roman"/>
                <w:color w:val="auto"/>
                <w:kern w:val="0"/>
                <w:szCs w:val="21"/>
                <w:highlight w:val="none"/>
                <w:vertAlign w:val="superscript"/>
              </w:rPr>
              <w:t>3</w:t>
            </w:r>
          </w:p>
        </w:tc>
        <w:tc>
          <w:tcPr>
            <w:tcW w:w="1713" w:type="pct"/>
            <w:vMerge w:val="restart"/>
            <w:vAlign w:val="center"/>
          </w:tcPr>
          <w:p w14:paraId="6390A64A">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烟囱</w:t>
            </w:r>
          </w:p>
        </w:tc>
      </w:tr>
      <w:tr w14:paraId="7E714E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397" w:type="pct"/>
            <w:vAlign w:val="center"/>
          </w:tcPr>
          <w:p w14:paraId="17C9FF0C">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二氧化硫</w:t>
            </w:r>
          </w:p>
        </w:tc>
        <w:tc>
          <w:tcPr>
            <w:tcW w:w="889" w:type="pct"/>
            <w:vAlign w:val="center"/>
          </w:tcPr>
          <w:p w14:paraId="43709E38">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200mg/m</w:t>
            </w:r>
            <w:r>
              <w:rPr>
                <w:rFonts w:hint="default" w:ascii="Times New Roman" w:hAnsi="Times New Roman" w:cs="Times New Roman"/>
                <w:color w:val="auto"/>
                <w:kern w:val="0"/>
                <w:szCs w:val="21"/>
                <w:highlight w:val="none"/>
                <w:vertAlign w:val="superscript"/>
              </w:rPr>
              <w:t>3</w:t>
            </w:r>
          </w:p>
        </w:tc>
        <w:tc>
          <w:tcPr>
            <w:tcW w:w="1713" w:type="pct"/>
            <w:vMerge w:val="continue"/>
            <w:vAlign w:val="center"/>
          </w:tcPr>
          <w:p w14:paraId="40A184A3">
            <w:pPr>
              <w:adjustRightInd w:val="0"/>
              <w:snapToGrid w:val="0"/>
              <w:spacing w:line="300" w:lineRule="exact"/>
              <w:jc w:val="center"/>
              <w:rPr>
                <w:rFonts w:hint="default" w:ascii="Times New Roman" w:hAnsi="Times New Roman" w:cs="Times New Roman"/>
                <w:color w:val="auto"/>
                <w:kern w:val="0"/>
                <w:szCs w:val="21"/>
                <w:highlight w:val="none"/>
              </w:rPr>
            </w:pPr>
          </w:p>
        </w:tc>
      </w:tr>
      <w:tr w14:paraId="2FE32D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397" w:type="pct"/>
            <w:vAlign w:val="center"/>
          </w:tcPr>
          <w:p w14:paraId="29FEE5FB">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氮氧化物</w:t>
            </w:r>
          </w:p>
        </w:tc>
        <w:tc>
          <w:tcPr>
            <w:tcW w:w="889" w:type="pct"/>
            <w:vAlign w:val="center"/>
          </w:tcPr>
          <w:p w14:paraId="6C045B3C">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250mg/m</w:t>
            </w:r>
            <w:r>
              <w:rPr>
                <w:rFonts w:hint="default" w:ascii="Times New Roman" w:hAnsi="Times New Roman" w:cs="Times New Roman"/>
                <w:color w:val="auto"/>
                <w:kern w:val="0"/>
                <w:szCs w:val="21"/>
                <w:highlight w:val="none"/>
                <w:vertAlign w:val="superscript"/>
              </w:rPr>
              <w:t>3</w:t>
            </w:r>
          </w:p>
        </w:tc>
        <w:tc>
          <w:tcPr>
            <w:tcW w:w="1713" w:type="pct"/>
            <w:vMerge w:val="continue"/>
            <w:vAlign w:val="center"/>
          </w:tcPr>
          <w:p w14:paraId="500CDE5A">
            <w:pPr>
              <w:adjustRightInd w:val="0"/>
              <w:snapToGrid w:val="0"/>
              <w:spacing w:line="300" w:lineRule="exact"/>
              <w:jc w:val="center"/>
              <w:rPr>
                <w:rFonts w:hint="default" w:ascii="Times New Roman" w:hAnsi="Times New Roman" w:cs="Times New Roman"/>
                <w:color w:val="auto"/>
                <w:kern w:val="0"/>
                <w:szCs w:val="21"/>
                <w:highlight w:val="none"/>
              </w:rPr>
            </w:pPr>
          </w:p>
        </w:tc>
      </w:tr>
      <w:tr w14:paraId="506E8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397" w:type="pct"/>
            <w:vAlign w:val="center"/>
          </w:tcPr>
          <w:p w14:paraId="0030623B">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烟气黑度（林格曼黑度，级）</w:t>
            </w:r>
          </w:p>
        </w:tc>
        <w:tc>
          <w:tcPr>
            <w:tcW w:w="889" w:type="pct"/>
            <w:vAlign w:val="center"/>
          </w:tcPr>
          <w:p w14:paraId="74FC2DB3">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1713" w:type="pct"/>
            <w:vAlign w:val="center"/>
          </w:tcPr>
          <w:p w14:paraId="66162D21">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烟囱排放口</w:t>
            </w:r>
          </w:p>
        </w:tc>
      </w:tr>
      <w:tr w14:paraId="26986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000" w:type="pct"/>
            <w:gridSpan w:val="3"/>
            <w:vAlign w:val="center"/>
          </w:tcPr>
          <w:p w14:paraId="1C3A33C9">
            <w:pPr>
              <w:adjustRightInd w:val="0"/>
              <w:snapToGrid w:val="0"/>
              <w:spacing w:line="300" w:lineRule="exact"/>
              <w:jc w:val="both"/>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注：烟囱高度为10m</w:t>
            </w:r>
          </w:p>
        </w:tc>
      </w:tr>
    </w:tbl>
    <w:p w14:paraId="31D15A3D">
      <w:pPr>
        <w:adjustRightInd w:val="0"/>
        <w:snapToGrid w:val="0"/>
        <w:spacing w:line="500" w:lineRule="exact"/>
        <w:ind w:left="420" w:left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4）排气筒DA00</w:t>
      </w:r>
      <w:r>
        <w:rPr>
          <w:rFonts w:hint="default" w:ascii="Times New Roman" w:hAnsi="Times New Roman" w:cs="Times New Roman"/>
          <w:color w:val="auto"/>
          <w:sz w:val="24"/>
          <w:highlight w:val="none"/>
          <w:lang w:val="en-US" w:eastAsia="zh-CN"/>
        </w:rPr>
        <w:t>3</w:t>
      </w:r>
    </w:p>
    <w:p w14:paraId="07A2802C">
      <w:pPr>
        <w:adjustRightInd w:val="0"/>
        <w:snapToGrid w:val="0"/>
        <w:spacing w:line="500" w:lineRule="exact"/>
        <w:ind w:firstLine="480" w:firstLineChars="200"/>
        <w:rPr>
          <w:rFonts w:hint="default" w:ascii="Times New Roman" w:hAnsi="Times New Roman" w:cs="Times New Roman"/>
          <w:b/>
          <w:bCs/>
          <w:color w:val="auto"/>
          <w:sz w:val="24"/>
          <w:highlight w:val="none"/>
        </w:rPr>
      </w:pPr>
      <w:r>
        <w:rPr>
          <w:rFonts w:hint="default" w:ascii="Times New Roman" w:hAnsi="Times New Roman" w:cs="Times New Roman"/>
          <w:color w:val="auto"/>
          <w:sz w:val="24"/>
          <w:highlight w:val="none"/>
        </w:rPr>
        <w:t>沥青烟气中沥青烟、苯并[a]芘、非甲烷总烃排放浓度及排放速率执行《大气污染物综合排放标准》（GB16297-1996）表2中二级标准排放浓度限值，具体标准值见下表。</w:t>
      </w:r>
    </w:p>
    <w:p w14:paraId="6B5A7F66">
      <w:pPr>
        <w:autoSpaceDE w:val="0"/>
        <w:autoSpaceDN w:val="0"/>
        <w:spacing w:line="500" w:lineRule="exact"/>
        <w:ind w:firstLine="482"/>
        <w:contextualSpacing/>
        <w:jc w:val="center"/>
        <w:rPr>
          <w:rFonts w:hint="default" w:ascii="Times New Roman" w:hAnsi="Times New Roman" w:eastAsia="黑体" w:cs="Times New Roman"/>
          <w:bCs/>
          <w:color w:val="auto"/>
          <w:sz w:val="24"/>
          <w:highlight w:val="none"/>
        </w:rPr>
      </w:pPr>
      <w:r>
        <w:rPr>
          <w:rFonts w:hint="default" w:ascii="Times New Roman" w:hAnsi="Times New Roman" w:eastAsia="黑体" w:cs="Times New Roman"/>
          <w:bCs/>
          <w:color w:val="auto"/>
          <w:sz w:val="24"/>
          <w:highlight w:val="none"/>
        </w:rPr>
        <w:t xml:space="preserve">表1-6 </w:t>
      </w:r>
      <w:r>
        <w:rPr>
          <w:rFonts w:hint="default" w:ascii="Times New Roman" w:hAnsi="Times New Roman" w:eastAsia="黑体" w:cs="Times New Roman"/>
          <w:color w:val="auto"/>
          <w:kern w:val="0"/>
          <w:sz w:val="24"/>
          <w:szCs w:val="20"/>
          <w:highlight w:val="none"/>
        </w:rPr>
        <w:t>《大气污染物综合排放标准》</w:t>
      </w:r>
      <w:r>
        <w:rPr>
          <w:rFonts w:hint="default" w:ascii="Times New Roman" w:hAnsi="Times New Roman" w:eastAsia="黑体" w:cs="Times New Roman"/>
          <w:bCs/>
          <w:color w:val="auto"/>
          <w:sz w:val="24"/>
          <w:highlight w:val="none"/>
        </w:rPr>
        <w:t>（GB16297-1996）</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1164"/>
        <w:gridCol w:w="1160"/>
        <w:gridCol w:w="3957"/>
        <w:gridCol w:w="2139"/>
      </w:tblGrid>
      <w:tr w14:paraId="5C2053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7" w:hRule="atLeast"/>
          <w:jc w:val="center"/>
        </w:trPr>
        <w:tc>
          <w:tcPr>
            <w:tcW w:w="1164" w:type="dxa"/>
            <w:vAlign w:val="center"/>
          </w:tcPr>
          <w:p w14:paraId="633B45AC">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w:t>
            </w:r>
          </w:p>
        </w:tc>
        <w:tc>
          <w:tcPr>
            <w:tcW w:w="7256" w:type="dxa"/>
            <w:gridSpan w:val="3"/>
            <w:vAlign w:val="center"/>
          </w:tcPr>
          <w:p w14:paraId="23BCB872">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排放限值</w:t>
            </w:r>
          </w:p>
        </w:tc>
      </w:tr>
      <w:tr w14:paraId="268042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31" w:hRule="atLeast"/>
          <w:jc w:val="center"/>
        </w:trPr>
        <w:tc>
          <w:tcPr>
            <w:tcW w:w="1164" w:type="dxa"/>
            <w:vMerge w:val="restart"/>
            <w:vAlign w:val="center"/>
          </w:tcPr>
          <w:p w14:paraId="44D02D47">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苯并[a]芘</w:t>
            </w:r>
          </w:p>
        </w:tc>
        <w:tc>
          <w:tcPr>
            <w:tcW w:w="1160" w:type="dxa"/>
            <w:vMerge w:val="restart"/>
            <w:vAlign w:val="center"/>
          </w:tcPr>
          <w:p w14:paraId="79EBB1CC">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有组织</w:t>
            </w:r>
          </w:p>
        </w:tc>
        <w:tc>
          <w:tcPr>
            <w:tcW w:w="3957" w:type="dxa"/>
            <w:shd w:val="clear" w:color="auto" w:fill="auto"/>
            <w:vAlign w:val="center"/>
          </w:tcPr>
          <w:p w14:paraId="66C69547">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最高允许排放浓度</w:t>
            </w:r>
          </w:p>
        </w:tc>
        <w:tc>
          <w:tcPr>
            <w:tcW w:w="2139" w:type="dxa"/>
            <w:shd w:val="clear" w:color="auto" w:fill="auto"/>
            <w:vAlign w:val="center"/>
          </w:tcPr>
          <w:p w14:paraId="30B4D508">
            <w:pPr>
              <w:pStyle w:val="74"/>
              <w:ind w:left="0" w:leftChars="0" w:firstLine="0" w:firstLineChars="0"/>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p>
        </w:tc>
      </w:tr>
      <w:tr w14:paraId="56EE21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31" w:hRule="atLeast"/>
          <w:jc w:val="center"/>
        </w:trPr>
        <w:tc>
          <w:tcPr>
            <w:tcW w:w="1164" w:type="dxa"/>
            <w:vMerge w:val="continue"/>
            <w:vAlign w:val="center"/>
          </w:tcPr>
          <w:p w14:paraId="42C6965E">
            <w:pPr>
              <w:adjustRightInd w:val="0"/>
              <w:snapToGrid w:val="0"/>
              <w:spacing w:line="300" w:lineRule="exact"/>
              <w:jc w:val="center"/>
              <w:rPr>
                <w:rFonts w:hint="default" w:ascii="Times New Roman" w:hAnsi="Times New Roman" w:cs="Times New Roman"/>
                <w:color w:val="auto"/>
                <w:kern w:val="0"/>
                <w:szCs w:val="21"/>
                <w:highlight w:val="none"/>
              </w:rPr>
            </w:pPr>
          </w:p>
        </w:tc>
        <w:tc>
          <w:tcPr>
            <w:tcW w:w="1160" w:type="dxa"/>
            <w:vMerge w:val="continue"/>
            <w:vAlign w:val="center"/>
          </w:tcPr>
          <w:p w14:paraId="75388AF6">
            <w:pPr>
              <w:adjustRightInd w:val="0"/>
              <w:snapToGrid w:val="0"/>
              <w:spacing w:line="300" w:lineRule="exact"/>
              <w:jc w:val="center"/>
              <w:rPr>
                <w:rFonts w:hint="default" w:ascii="Times New Roman" w:hAnsi="Times New Roman" w:cs="Times New Roman"/>
                <w:color w:val="auto"/>
                <w:kern w:val="0"/>
                <w:szCs w:val="21"/>
                <w:highlight w:val="none"/>
              </w:rPr>
            </w:pPr>
          </w:p>
        </w:tc>
        <w:tc>
          <w:tcPr>
            <w:tcW w:w="3957" w:type="dxa"/>
            <w:shd w:val="clear" w:color="auto" w:fill="auto"/>
            <w:vAlign w:val="center"/>
          </w:tcPr>
          <w:p w14:paraId="7A4F65F3">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最高允许排放速率</w:t>
            </w:r>
          </w:p>
        </w:tc>
        <w:tc>
          <w:tcPr>
            <w:tcW w:w="2139" w:type="dxa"/>
            <w:shd w:val="clear" w:color="auto" w:fill="auto"/>
            <w:vAlign w:val="center"/>
          </w:tcPr>
          <w:p w14:paraId="7EADD964">
            <w:pPr>
              <w:pStyle w:val="74"/>
              <w:ind w:left="0" w:leftChars="0" w:firstLine="0" w:firstLineChars="0"/>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05</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kg/h</w:t>
            </w:r>
          </w:p>
        </w:tc>
      </w:tr>
      <w:tr w14:paraId="2F35D9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31" w:hRule="atLeast"/>
          <w:jc w:val="center"/>
        </w:trPr>
        <w:tc>
          <w:tcPr>
            <w:tcW w:w="1164" w:type="dxa"/>
            <w:vMerge w:val="restart"/>
            <w:vAlign w:val="center"/>
          </w:tcPr>
          <w:p w14:paraId="037D2002">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沥青烟</w:t>
            </w:r>
          </w:p>
        </w:tc>
        <w:tc>
          <w:tcPr>
            <w:tcW w:w="1160" w:type="dxa"/>
            <w:vMerge w:val="restart"/>
            <w:vAlign w:val="center"/>
          </w:tcPr>
          <w:p w14:paraId="51880064">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有组织</w:t>
            </w:r>
          </w:p>
        </w:tc>
        <w:tc>
          <w:tcPr>
            <w:tcW w:w="3957" w:type="dxa"/>
            <w:vAlign w:val="center"/>
          </w:tcPr>
          <w:p w14:paraId="24BFFDFC">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最高允许排放浓度</w:t>
            </w:r>
          </w:p>
        </w:tc>
        <w:tc>
          <w:tcPr>
            <w:tcW w:w="2139" w:type="dxa"/>
            <w:vAlign w:val="center"/>
          </w:tcPr>
          <w:p w14:paraId="65B80250">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75mg/m</w:t>
            </w:r>
            <w:r>
              <w:rPr>
                <w:rFonts w:hint="default" w:ascii="Times New Roman" w:hAnsi="Times New Roman" w:cs="Times New Roman"/>
                <w:color w:val="auto"/>
                <w:szCs w:val="21"/>
                <w:highlight w:val="none"/>
                <w:vertAlign w:val="superscript"/>
              </w:rPr>
              <w:t>3</w:t>
            </w:r>
          </w:p>
        </w:tc>
      </w:tr>
      <w:tr w14:paraId="134017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31" w:hRule="atLeast"/>
          <w:jc w:val="center"/>
        </w:trPr>
        <w:tc>
          <w:tcPr>
            <w:tcW w:w="1164" w:type="dxa"/>
            <w:vMerge w:val="continue"/>
            <w:vAlign w:val="center"/>
          </w:tcPr>
          <w:p w14:paraId="451B0D80">
            <w:pPr>
              <w:adjustRightInd w:val="0"/>
              <w:snapToGrid w:val="0"/>
              <w:spacing w:line="300" w:lineRule="exact"/>
              <w:jc w:val="center"/>
              <w:rPr>
                <w:rFonts w:hint="default" w:ascii="Times New Roman" w:hAnsi="Times New Roman" w:cs="Times New Roman"/>
                <w:color w:val="auto"/>
                <w:kern w:val="0"/>
                <w:szCs w:val="21"/>
                <w:highlight w:val="none"/>
              </w:rPr>
            </w:pPr>
          </w:p>
        </w:tc>
        <w:tc>
          <w:tcPr>
            <w:tcW w:w="1160" w:type="dxa"/>
            <w:vMerge w:val="continue"/>
            <w:vAlign w:val="center"/>
          </w:tcPr>
          <w:p w14:paraId="1EFF5F3E">
            <w:pPr>
              <w:adjustRightInd w:val="0"/>
              <w:snapToGrid w:val="0"/>
              <w:spacing w:line="300" w:lineRule="exact"/>
              <w:jc w:val="center"/>
              <w:rPr>
                <w:rFonts w:hint="default" w:ascii="Times New Roman" w:hAnsi="Times New Roman" w:cs="Times New Roman"/>
                <w:color w:val="auto"/>
                <w:kern w:val="0"/>
                <w:szCs w:val="21"/>
                <w:highlight w:val="none"/>
              </w:rPr>
            </w:pPr>
          </w:p>
        </w:tc>
        <w:tc>
          <w:tcPr>
            <w:tcW w:w="3957" w:type="dxa"/>
            <w:vAlign w:val="center"/>
          </w:tcPr>
          <w:p w14:paraId="2D23D00D">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最高允许排放速率</w:t>
            </w:r>
          </w:p>
        </w:tc>
        <w:tc>
          <w:tcPr>
            <w:tcW w:w="2139" w:type="dxa"/>
            <w:vAlign w:val="center"/>
          </w:tcPr>
          <w:p w14:paraId="7695F807">
            <w:pPr>
              <w:adjustRightInd w:val="0"/>
              <w:snapToGrid w:val="0"/>
              <w:spacing w:line="300" w:lineRule="exact"/>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18</w:t>
            </w:r>
            <w:r>
              <w:rPr>
                <w:rFonts w:hint="default" w:ascii="Times New Roman" w:hAnsi="Times New Roman" w:cs="Times New Roman"/>
                <w:color w:val="auto"/>
                <w:szCs w:val="21"/>
                <w:highlight w:val="none"/>
              </w:rPr>
              <w:t>kg/h</w:t>
            </w:r>
          </w:p>
        </w:tc>
      </w:tr>
      <w:tr w14:paraId="68F0A0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31" w:hRule="atLeast"/>
          <w:jc w:val="center"/>
        </w:trPr>
        <w:tc>
          <w:tcPr>
            <w:tcW w:w="1164" w:type="dxa"/>
            <w:vMerge w:val="restart"/>
            <w:vAlign w:val="center"/>
          </w:tcPr>
          <w:p w14:paraId="611BBB45">
            <w:pPr>
              <w:adjustRightInd w:val="0"/>
              <w:snapToGrid w:val="0"/>
              <w:spacing w:line="300" w:lineRule="exact"/>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非甲烷总烃</w:t>
            </w:r>
          </w:p>
        </w:tc>
        <w:tc>
          <w:tcPr>
            <w:tcW w:w="1160" w:type="dxa"/>
            <w:vMerge w:val="restart"/>
            <w:vAlign w:val="center"/>
          </w:tcPr>
          <w:p w14:paraId="6265442D">
            <w:pPr>
              <w:adjustRightInd w:val="0"/>
              <w:snapToGrid w:val="0"/>
              <w:spacing w:line="300" w:lineRule="exact"/>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有组织</w:t>
            </w:r>
          </w:p>
        </w:tc>
        <w:tc>
          <w:tcPr>
            <w:tcW w:w="3957" w:type="dxa"/>
            <w:vAlign w:val="center"/>
          </w:tcPr>
          <w:p w14:paraId="522F156B">
            <w:pPr>
              <w:adjustRightInd w:val="0"/>
              <w:snapToGrid w:val="0"/>
              <w:spacing w:line="30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最高允许排放浓度</w:t>
            </w:r>
          </w:p>
        </w:tc>
        <w:tc>
          <w:tcPr>
            <w:tcW w:w="2139" w:type="dxa"/>
            <w:vAlign w:val="center"/>
          </w:tcPr>
          <w:p w14:paraId="783A852E">
            <w:pPr>
              <w:adjustRightInd w:val="0"/>
              <w:snapToGrid w:val="0"/>
              <w:spacing w:line="30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120</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p>
        </w:tc>
      </w:tr>
      <w:tr w14:paraId="3CD0DF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31" w:hRule="atLeast"/>
          <w:jc w:val="center"/>
        </w:trPr>
        <w:tc>
          <w:tcPr>
            <w:tcW w:w="1164" w:type="dxa"/>
            <w:vMerge w:val="continue"/>
            <w:vAlign w:val="center"/>
          </w:tcPr>
          <w:p w14:paraId="40C54FA9">
            <w:pPr>
              <w:adjustRightInd w:val="0"/>
              <w:snapToGrid w:val="0"/>
              <w:spacing w:line="300" w:lineRule="exact"/>
              <w:jc w:val="center"/>
              <w:rPr>
                <w:rFonts w:hint="default" w:ascii="Times New Roman" w:hAnsi="Times New Roman" w:cs="Times New Roman"/>
                <w:color w:val="auto"/>
                <w:kern w:val="0"/>
                <w:szCs w:val="21"/>
                <w:highlight w:val="none"/>
              </w:rPr>
            </w:pPr>
          </w:p>
        </w:tc>
        <w:tc>
          <w:tcPr>
            <w:tcW w:w="1160" w:type="dxa"/>
            <w:vMerge w:val="continue"/>
            <w:vAlign w:val="center"/>
          </w:tcPr>
          <w:p w14:paraId="2DD432E3">
            <w:pPr>
              <w:adjustRightInd w:val="0"/>
              <w:snapToGrid w:val="0"/>
              <w:spacing w:line="300" w:lineRule="exact"/>
              <w:jc w:val="center"/>
              <w:rPr>
                <w:rFonts w:hint="default" w:ascii="Times New Roman" w:hAnsi="Times New Roman" w:cs="Times New Roman"/>
                <w:color w:val="auto"/>
                <w:kern w:val="0"/>
                <w:szCs w:val="21"/>
                <w:highlight w:val="none"/>
              </w:rPr>
            </w:pPr>
          </w:p>
        </w:tc>
        <w:tc>
          <w:tcPr>
            <w:tcW w:w="3957" w:type="dxa"/>
            <w:vAlign w:val="center"/>
          </w:tcPr>
          <w:p w14:paraId="6E6B0461">
            <w:pPr>
              <w:adjustRightInd w:val="0"/>
              <w:snapToGrid w:val="0"/>
              <w:spacing w:line="30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最高允许排放速率</w:t>
            </w:r>
          </w:p>
        </w:tc>
        <w:tc>
          <w:tcPr>
            <w:tcW w:w="2139" w:type="dxa"/>
            <w:vAlign w:val="center"/>
          </w:tcPr>
          <w:p w14:paraId="2A9C5420">
            <w:pPr>
              <w:adjustRightInd w:val="0"/>
              <w:snapToGrid w:val="0"/>
              <w:spacing w:line="30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10kg/h</w:t>
            </w:r>
          </w:p>
        </w:tc>
      </w:tr>
      <w:tr w14:paraId="1785F5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3" w:hRule="atLeast"/>
          <w:jc w:val="center"/>
        </w:trPr>
        <w:tc>
          <w:tcPr>
            <w:tcW w:w="8420" w:type="dxa"/>
            <w:gridSpan w:val="4"/>
            <w:vAlign w:val="center"/>
          </w:tcPr>
          <w:p w14:paraId="4525E952">
            <w:pPr>
              <w:adjustRightInd w:val="0"/>
              <w:snapToGrid w:val="0"/>
              <w:spacing w:line="300" w:lineRule="exact"/>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注：</w:t>
            </w:r>
            <w:r>
              <w:rPr>
                <w:rFonts w:hint="default" w:ascii="Times New Roman" w:hAnsi="Times New Roman" w:cs="Times New Roman"/>
                <w:color w:val="auto"/>
                <w:kern w:val="0"/>
                <w:szCs w:val="21"/>
                <w:highlight w:val="none"/>
                <w:lang w:val="en-US" w:eastAsia="zh-CN"/>
              </w:rPr>
              <w:t>排气筒高度为15m。</w:t>
            </w:r>
          </w:p>
        </w:tc>
      </w:tr>
    </w:tbl>
    <w:p w14:paraId="6228472D">
      <w:pPr>
        <w:adjustRightInd w:val="0"/>
        <w:snapToGrid w:val="0"/>
        <w:spacing w:line="500" w:lineRule="exact"/>
        <w:ind w:left="420" w:left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②无组织废气：</w:t>
      </w:r>
    </w:p>
    <w:p w14:paraId="202E4EBC">
      <w:pPr>
        <w:adjustRightInd w:val="0"/>
        <w:snapToGrid w:val="0"/>
        <w:spacing w:line="500" w:lineRule="exact"/>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厂界无组织排放的颗粒物、非甲烷总烃、沥青烟、苯并[a]芘排放浓度执行《大气污染物综合排放标准》（GB16297-1996）表2中无组织排放监控浓度限值，具体标准值见下表。</w:t>
      </w:r>
    </w:p>
    <w:p w14:paraId="584608F8">
      <w:pPr>
        <w:autoSpaceDE w:val="0"/>
        <w:autoSpaceDN w:val="0"/>
        <w:spacing w:line="500" w:lineRule="exact"/>
        <w:ind w:firstLine="482"/>
        <w:contextualSpacing/>
        <w:jc w:val="center"/>
        <w:rPr>
          <w:rFonts w:hint="default" w:ascii="Times New Roman" w:hAnsi="Times New Roman" w:eastAsia="黑体" w:cs="Times New Roman"/>
          <w:bCs/>
          <w:color w:val="auto"/>
          <w:sz w:val="24"/>
          <w:highlight w:val="none"/>
        </w:rPr>
      </w:pPr>
      <w:r>
        <w:rPr>
          <w:rFonts w:hint="default" w:ascii="Times New Roman" w:hAnsi="Times New Roman" w:eastAsia="黑体" w:cs="Times New Roman"/>
          <w:bCs/>
          <w:color w:val="auto"/>
          <w:sz w:val="24"/>
          <w:highlight w:val="none"/>
        </w:rPr>
        <w:t xml:space="preserve">表1-7 </w:t>
      </w:r>
      <w:r>
        <w:rPr>
          <w:rFonts w:hint="default" w:ascii="Times New Roman" w:hAnsi="Times New Roman" w:eastAsia="黑体" w:cs="Times New Roman"/>
          <w:color w:val="auto"/>
          <w:kern w:val="0"/>
          <w:sz w:val="24"/>
          <w:szCs w:val="20"/>
          <w:highlight w:val="none"/>
        </w:rPr>
        <w:t>《大气污染物综合排放标准》</w:t>
      </w:r>
      <w:r>
        <w:rPr>
          <w:rFonts w:hint="default" w:ascii="Times New Roman" w:hAnsi="Times New Roman" w:eastAsia="黑体" w:cs="Times New Roman"/>
          <w:bCs/>
          <w:color w:val="auto"/>
          <w:sz w:val="24"/>
          <w:highlight w:val="none"/>
        </w:rPr>
        <w:t>（GB16297-1996）</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2339"/>
        <w:gridCol w:w="1389"/>
        <w:gridCol w:w="2342"/>
        <w:gridCol w:w="2347"/>
      </w:tblGrid>
      <w:tr w14:paraId="005B33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1389" w:type="pct"/>
            <w:vMerge w:val="restart"/>
            <w:shd w:val="clear" w:color="auto" w:fill="auto"/>
            <w:vAlign w:val="center"/>
          </w:tcPr>
          <w:p w14:paraId="6304616C">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标准类别</w:t>
            </w:r>
          </w:p>
        </w:tc>
        <w:tc>
          <w:tcPr>
            <w:tcW w:w="825" w:type="pct"/>
            <w:vMerge w:val="restart"/>
            <w:shd w:val="clear" w:color="auto" w:fill="auto"/>
            <w:vAlign w:val="center"/>
          </w:tcPr>
          <w:p w14:paraId="7AB02D7D">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项目</w:t>
            </w:r>
          </w:p>
        </w:tc>
        <w:tc>
          <w:tcPr>
            <w:tcW w:w="2785" w:type="pct"/>
            <w:gridSpan w:val="2"/>
            <w:shd w:val="clear" w:color="auto" w:fill="auto"/>
            <w:vAlign w:val="center"/>
          </w:tcPr>
          <w:p w14:paraId="02464D27">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无组织排放监控浓度限值（mg/m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p>
        </w:tc>
      </w:tr>
      <w:tr w14:paraId="6F343B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1389" w:type="pct"/>
            <w:vMerge w:val="continue"/>
            <w:vAlign w:val="center"/>
          </w:tcPr>
          <w:p w14:paraId="1704E526">
            <w:pPr>
              <w:adjustRightInd w:val="0"/>
              <w:snapToGrid w:val="0"/>
              <w:spacing w:line="300" w:lineRule="exact"/>
              <w:jc w:val="center"/>
              <w:rPr>
                <w:rFonts w:hint="default" w:ascii="Times New Roman" w:hAnsi="Times New Roman" w:cs="Times New Roman"/>
                <w:color w:val="auto"/>
                <w:kern w:val="0"/>
                <w:szCs w:val="21"/>
                <w:highlight w:val="none"/>
              </w:rPr>
            </w:pPr>
          </w:p>
        </w:tc>
        <w:tc>
          <w:tcPr>
            <w:tcW w:w="825" w:type="pct"/>
            <w:vMerge w:val="continue"/>
            <w:shd w:val="clear" w:color="auto" w:fill="auto"/>
            <w:vAlign w:val="center"/>
          </w:tcPr>
          <w:p w14:paraId="7BA37039">
            <w:pPr>
              <w:widowControl/>
              <w:jc w:val="center"/>
              <w:rPr>
                <w:rFonts w:hint="default" w:ascii="Times New Roman" w:hAnsi="Times New Roman" w:cs="Times New Roman"/>
                <w:color w:val="auto"/>
                <w:kern w:val="0"/>
                <w:szCs w:val="21"/>
                <w:highlight w:val="none"/>
              </w:rPr>
            </w:pPr>
          </w:p>
        </w:tc>
        <w:tc>
          <w:tcPr>
            <w:tcW w:w="1391" w:type="pct"/>
            <w:shd w:val="clear" w:color="auto" w:fill="auto"/>
            <w:vAlign w:val="center"/>
          </w:tcPr>
          <w:p w14:paraId="217B1503">
            <w:pPr>
              <w:autoSpaceDE w:val="0"/>
              <w:autoSpaceDN w:val="0"/>
              <w:spacing w:line="0" w:lineRule="atLeast"/>
              <w:jc w:val="center"/>
              <w:rPr>
                <w:rFonts w:hint="default" w:ascii="Times New Roman" w:hAnsi="Times New Roman" w:cs="Times New Roman"/>
                <w:color w:val="auto"/>
                <w:kern w:val="0"/>
                <w:szCs w:val="21"/>
                <w:highlight w:val="none"/>
              </w:rPr>
            </w:pPr>
            <w:r>
              <w:rPr>
                <w:rFonts w:hint="default" w:ascii="Times New Roman" w:hAnsi="Times New Roman" w:cs="Times New Roman"/>
                <w:b/>
                <w:color w:val="auto"/>
                <w:kern w:val="0"/>
                <w:szCs w:val="21"/>
                <w:highlight w:val="none"/>
                <w:lang w:val="zh-CN"/>
              </w:rPr>
              <w:t>监控点</w:t>
            </w:r>
          </w:p>
        </w:tc>
        <w:tc>
          <w:tcPr>
            <w:tcW w:w="1393" w:type="pct"/>
            <w:shd w:val="clear" w:color="auto" w:fill="auto"/>
            <w:vAlign w:val="center"/>
          </w:tcPr>
          <w:p w14:paraId="00D9FB24">
            <w:pPr>
              <w:autoSpaceDE w:val="0"/>
              <w:autoSpaceDN w:val="0"/>
              <w:spacing w:line="0" w:lineRule="atLeast"/>
              <w:jc w:val="center"/>
              <w:rPr>
                <w:rFonts w:hint="default" w:ascii="Times New Roman" w:hAnsi="Times New Roman" w:cs="Times New Roman"/>
                <w:color w:val="auto"/>
                <w:kern w:val="0"/>
                <w:szCs w:val="21"/>
                <w:highlight w:val="none"/>
              </w:rPr>
            </w:pPr>
            <w:r>
              <w:rPr>
                <w:rFonts w:hint="default" w:ascii="Times New Roman" w:hAnsi="Times New Roman" w:cs="Times New Roman"/>
                <w:b/>
                <w:color w:val="auto"/>
                <w:w w:val="95"/>
                <w:kern w:val="0"/>
                <w:szCs w:val="21"/>
                <w:highlight w:val="none"/>
                <w:lang w:val="zh-CN"/>
              </w:rPr>
              <w:t>浓度</w:t>
            </w:r>
            <w:r>
              <w:rPr>
                <w:rFonts w:hint="default" w:ascii="Times New Roman" w:hAnsi="Times New Roman" w:cs="Times New Roman"/>
                <w:b/>
                <w:color w:val="auto"/>
                <w:kern w:val="0"/>
                <w:szCs w:val="21"/>
                <w:highlight w:val="none"/>
                <w:lang w:val="zh-CN"/>
              </w:rPr>
              <w:t>mg/m</w:t>
            </w:r>
            <w:r>
              <w:rPr>
                <w:rFonts w:hint="default" w:ascii="Times New Roman" w:hAnsi="Times New Roman" w:cs="Times New Roman"/>
                <w:b/>
                <w:color w:val="auto"/>
                <w:kern w:val="0"/>
                <w:szCs w:val="21"/>
                <w:highlight w:val="none"/>
                <w:vertAlign w:val="superscript"/>
              </w:rPr>
              <w:t>3</w:t>
            </w:r>
          </w:p>
        </w:tc>
      </w:tr>
      <w:tr w14:paraId="1F72B2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1389" w:type="pct"/>
            <w:vMerge w:val="restart"/>
            <w:shd w:val="clear" w:color="auto" w:fill="auto"/>
            <w:vAlign w:val="center"/>
          </w:tcPr>
          <w:p w14:paraId="13A2D20F">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无组织</w:t>
            </w:r>
          </w:p>
          <w:p w14:paraId="1D829061">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排放源</w:t>
            </w:r>
          </w:p>
        </w:tc>
        <w:tc>
          <w:tcPr>
            <w:tcW w:w="825" w:type="pct"/>
            <w:shd w:val="clear" w:color="auto" w:fill="auto"/>
            <w:vAlign w:val="center"/>
          </w:tcPr>
          <w:p w14:paraId="221D5F09">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颗粒物</w:t>
            </w:r>
          </w:p>
        </w:tc>
        <w:tc>
          <w:tcPr>
            <w:tcW w:w="1391" w:type="pct"/>
            <w:shd w:val="clear" w:color="auto" w:fill="auto"/>
            <w:vAlign w:val="center"/>
          </w:tcPr>
          <w:p w14:paraId="08A168D1">
            <w:pPr>
              <w:autoSpaceDE w:val="0"/>
              <w:autoSpaceDN w:val="0"/>
              <w:spacing w:line="0" w:lineRule="atLeast"/>
              <w:ind w:right="157"/>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zh-CN"/>
              </w:rPr>
              <w:t>周界外浓度最高点</w:t>
            </w:r>
          </w:p>
        </w:tc>
        <w:tc>
          <w:tcPr>
            <w:tcW w:w="1393" w:type="pct"/>
            <w:shd w:val="clear" w:color="auto" w:fill="auto"/>
            <w:vAlign w:val="center"/>
          </w:tcPr>
          <w:p w14:paraId="46B40A96">
            <w:pPr>
              <w:autoSpaceDE w:val="0"/>
              <w:autoSpaceDN w:val="0"/>
              <w:spacing w:line="0" w:lineRule="atLeast"/>
              <w:ind w:right="71"/>
              <w:jc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1.0</w:t>
            </w:r>
          </w:p>
        </w:tc>
      </w:tr>
      <w:tr w14:paraId="0A6690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1389" w:type="pct"/>
            <w:vMerge w:val="continue"/>
            <w:vAlign w:val="center"/>
          </w:tcPr>
          <w:p w14:paraId="1EC933D4">
            <w:pPr>
              <w:adjustRightInd w:val="0"/>
              <w:snapToGrid w:val="0"/>
              <w:spacing w:line="300" w:lineRule="exact"/>
              <w:jc w:val="center"/>
              <w:rPr>
                <w:rFonts w:hint="default" w:ascii="Times New Roman" w:hAnsi="Times New Roman" w:cs="Times New Roman"/>
                <w:color w:val="auto"/>
                <w:kern w:val="0"/>
                <w:szCs w:val="21"/>
                <w:highlight w:val="none"/>
              </w:rPr>
            </w:pPr>
          </w:p>
        </w:tc>
        <w:tc>
          <w:tcPr>
            <w:tcW w:w="825" w:type="pct"/>
            <w:shd w:val="clear" w:color="auto" w:fill="auto"/>
            <w:vAlign w:val="center"/>
          </w:tcPr>
          <w:p w14:paraId="2023B601">
            <w:pPr>
              <w:autoSpaceDE w:val="0"/>
              <w:autoSpaceDN w:val="0"/>
              <w:spacing w:line="0" w:lineRule="atLeast"/>
              <w:jc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苯并</w:t>
            </w:r>
            <w:r>
              <w:rPr>
                <w:rFonts w:hint="default" w:ascii="Times New Roman" w:hAnsi="Times New Roman" w:cs="Times New Roman"/>
                <w:color w:val="auto"/>
                <w:spacing w:val="-1"/>
                <w:kern w:val="0"/>
                <w:szCs w:val="21"/>
                <w:highlight w:val="none"/>
                <w:lang w:val="zh-CN"/>
              </w:rPr>
              <w:t>[a]</w:t>
            </w:r>
            <w:r>
              <w:rPr>
                <w:rFonts w:hint="default" w:ascii="Times New Roman" w:hAnsi="Times New Roman" w:cs="Times New Roman"/>
                <w:color w:val="auto"/>
                <w:kern w:val="0"/>
                <w:szCs w:val="21"/>
                <w:highlight w:val="none"/>
                <w:lang w:val="zh-CN"/>
              </w:rPr>
              <w:t>芘</w:t>
            </w:r>
          </w:p>
        </w:tc>
        <w:tc>
          <w:tcPr>
            <w:tcW w:w="1391" w:type="pct"/>
            <w:shd w:val="clear" w:color="auto" w:fill="auto"/>
            <w:vAlign w:val="center"/>
          </w:tcPr>
          <w:p w14:paraId="4A15A87D">
            <w:pPr>
              <w:autoSpaceDE w:val="0"/>
              <w:autoSpaceDN w:val="0"/>
              <w:spacing w:line="0" w:lineRule="atLeast"/>
              <w:ind w:right="157"/>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zh-CN"/>
              </w:rPr>
              <w:t>周界外浓度最高点</w:t>
            </w:r>
          </w:p>
        </w:tc>
        <w:tc>
          <w:tcPr>
            <w:tcW w:w="1393" w:type="pct"/>
            <w:shd w:val="clear" w:color="auto" w:fill="auto"/>
            <w:vAlign w:val="center"/>
          </w:tcPr>
          <w:p w14:paraId="31B89F62">
            <w:pPr>
              <w:autoSpaceDE w:val="0"/>
              <w:autoSpaceDN w:val="0"/>
              <w:spacing w:line="0" w:lineRule="atLeast"/>
              <w:ind w:right="72"/>
              <w:jc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0.008μg/m</w:t>
            </w:r>
            <w:r>
              <w:rPr>
                <w:rFonts w:hint="default" w:ascii="Times New Roman" w:hAnsi="Times New Roman" w:cs="Times New Roman"/>
                <w:color w:val="auto"/>
                <w:kern w:val="0"/>
                <w:szCs w:val="21"/>
                <w:highlight w:val="none"/>
                <w:vertAlign w:val="superscript"/>
              </w:rPr>
              <w:t>3</w:t>
            </w:r>
          </w:p>
        </w:tc>
      </w:tr>
      <w:tr w14:paraId="71610D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1389" w:type="pct"/>
            <w:vMerge w:val="continue"/>
            <w:vAlign w:val="center"/>
          </w:tcPr>
          <w:p w14:paraId="5676EF6B">
            <w:pPr>
              <w:adjustRightInd w:val="0"/>
              <w:snapToGrid w:val="0"/>
              <w:spacing w:line="300" w:lineRule="exact"/>
              <w:jc w:val="center"/>
              <w:rPr>
                <w:rFonts w:hint="default" w:ascii="Times New Roman" w:hAnsi="Times New Roman" w:cs="Times New Roman"/>
                <w:color w:val="auto"/>
                <w:kern w:val="0"/>
                <w:szCs w:val="21"/>
                <w:highlight w:val="none"/>
              </w:rPr>
            </w:pPr>
          </w:p>
        </w:tc>
        <w:tc>
          <w:tcPr>
            <w:tcW w:w="825" w:type="pct"/>
            <w:shd w:val="clear" w:color="auto" w:fill="auto"/>
            <w:vAlign w:val="center"/>
          </w:tcPr>
          <w:p w14:paraId="13F51691">
            <w:pPr>
              <w:autoSpaceDE w:val="0"/>
              <w:autoSpaceDN w:val="0"/>
              <w:spacing w:line="0" w:lineRule="atLeast"/>
              <w:ind w:left="98" w:right="69"/>
              <w:jc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沥青烟</w:t>
            </w:r>
          </w:p>
        </w:tc>
        <w:tc>
          <w:tcPr>
            <w:tcW w:w="2785" w:type="pct"/>
            <w:gridSpan w:val="2"/>
            <w:shd w:val="clear" w:color="auto" w:fill="auto"/>
            <w:vAlign w:val="center"/>
          </w:tcPr>
          <w:p w14:paraId="1ADD4DCF">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生产设备不得有明显无组织排放存在</w:t>
            </w:r>
          </w:p>
        </w:tc>
      </w:tr>
      <w:tr w14:paraId="45BCEC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1389" w:type="pct"/>
            <w:vMerge w:val="continue"/>
            <w:vAlign w:val="center"/>
          </w:tcPr>
          <w:p w14:paraId="1F894551">
            <w:pPr>
              <w:adjustRightInd w:val="0"/>
              <w:snapToGrid w:val="0"/>
              <w:spacing w:line="300" w:lineRule="exact"/>
              <w:jc w:val="center"/>
              <w:rPr>
                <w:rFonts w:hint="default" w:ascii="Times New Roman" w:hAnsi="Times New Roman" w:cs="Times New Roman"/>
                <w:color w:val="auto"/>
                <w:kern w:val="0"/>
                <w:szCs w:val="21"/>
                <w:highlight w:val="none"/>
              </w:rPr>
            </w:pPr>
          </w:p>
        </w:tc>
        <w:tc>
          <w:tcPr>
            <w:tcW w:w="825" w:type="pct"/>
            <w:shd w:val="clear" w:color="auto" w:fill="auto"/>
            <w:vAlign w:val="center"/>
          </w:tcPr>
          <w:p w14:paraId="741352AF">
            <w:pPr>
              <w:autoSpaceDE w:val="0"/>
              <w:autoSpaceDN w:val="0"/>
              <w:spacing w:line="0" w:lineRule="atLeast"/>
              <w:ind w:right="69"/>
              <w:jc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非甲烷总烃</w:t>
            </w:r>
          </w:p>
        </w:tc>
        <w:tc>
          <w:tcPr>
            <w:tcW w:w="1391" w:type="pct"/>
            <w:shd w:val="clear" w:color="auto" w:fill="auto"/>
            <w:vAlign w:val="center"/>
          </w:tcPr>
          <w:p w14:paraId="49606E18">
            <w:pPr>
              <w:autoSpaceDE w:val="0"/>
              <w:autoSpaceDN w:val="0"/>
              <w:spacing w:line="0" w:lineRule="atLeast"/>
              <w:ind w:right="157"/>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zh-CN"/>
              </w:rPr>
              <w:t>周界外浓度最高点</w:t>
            </w:r>
          </w:p>
        </w:tc>
        <w:tc>
          <w:tcPr>
            <w:tcW w:w="1393" w:type="pct"/>
            <w:shd w:val="clear" w:color="auto" w:fill="auto"/>
            <w:vAlign w:val="center"/>
          </w:tcPr>
          <w:p w14:paraId="6027485C">
            <w:pPr>
              <w:autoSpaceDE w:val="0"/>
              <w:autoSpaceDN w:val="0"/>
              <w:spacing w:line="0" w:lineRule="atLeast"/>
              <w:ind w:right="71"/>
              <w:jc w:val="center"/>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4.0</w:t>
            </w:r>
          </w:p>
        </w:tc>
      </w:tr>
    </w:tbl>
    <w:p w14:paraId="7A5276DC">
      <w:pPr>
        <w:adjustRightInd w:val="0"/>
        <w:snapToGrid w:val="0"/>
        <w:spacing w:line="500" w:lineRule="exac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厂区内VOCs执行《挥发性有机物无组织排放控制标准》（GB37822-2019）附录A表A.1中VOCs无组织排放限值。</w:t>
      </w:r>
      <w:r>
        <w:rPr>
          <w:rFonts w:hint="default" w:ascii="Times New Roman" w:hAnsi="Times New Roman" w:cs="Times New Roman"/>
          <w:color w:val="auto"/>
          <w:sz w:val="24"/>
          <w:highlight w:val="none"/>
        </w:rPr>
        <w:t>具体标准值见下表。</w:t>
      </w:r>
    </w:p>
    <w:p w14:paraId="273F7F8A">
      <w:pPr>
        <w:autoSpaceDE w:val="0"/>
        <w:autoSpaceDN w:val="0"/>
        <w:spacing w:line="500" w:lineRule="exact"/>
        <w:ind w:firstLine="482"/>
        <w:contextualSpacing/>
        <w:jc w:val="center"/>
        <w:rPr>
          <w:rFonts w:hint="default" w:ascii="Times New Roman" w:hAnsi="Times New Roman" w:eastAsia="黑体" w:cs="Times New Roman"/>
          <w:bCs/>
          <w:color w:val="auto"/>
          <w:sz w:val="24"/>
          <w:highlight w:val="none"/>
        </w:rPr>
      </w:pPr>
      <w:r>
        <w:rPr>
          <w:rFonts w:hint="default" w:ascii="Times New Roman" w:hAnsi="Times New Roman" w:eastAsia="黑体" w:cs="Times New Roman"/>
          <w:bCs/>
          <w:color w:val="auto"/>
          <w:sz w:val="24"/>
          <w:highlight w:val="none"/>
        </w:rPr>
        <w:t xml:space="preserve">表1-8 </w:t>
      </w:r>
      <w:r>
        <w:rPr>
          <w:rFonts w:hint="default" w:ascii="Times New Roman" w:hAnsi="Times New Roman" w:eastAsia="黑体" w:cs="Times New Roman"/>
          <w:color w:val="auto"/>
          <w:kern w:val="0"/>
          <w:sz w:val="24"/>
          <w:szCs w:val="20"/>
          <w:highlight w:val="none"/>
        </w:rPr>
        <w:t>《挥发性有机物无组织排放控制标准》</w:t>
      </w:r>
      <w:r>
        <w:rPr>
          <w:rFonts w:hint="default" w:ascii="Times New Roman" w:hAnsi="Times New Roman" w:eastAsia="黑体" w:cs="Times New Roman"/>
          <w:bCs/>
          <w:color w:val="auto"/>
          <w:sz w:val="24"/>
          <w:highlight w:val="none"/>
        </w:rPr>
        <w:t>（GB37822-2019）附录A</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1396"/>
        <w:gridCol w:w="3403"/>
        <w:gridCol w:w="3621"/>
      </w:tblGrid>
      <w:tr w14:paraId="7A7F93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829" w:type="pct"/>
            <w:vAlign w:val="center"/>
          </w:tcPr>
          <w:p w14:paraId="44DE507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2021" w:type="pct"/>
            <w:vAlign w:val="center"/>
          </w:tcPr>
          <w:p w14:paraId="152B03B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排放限值</w:t>
            </w:r>
          </w:p>
        </w:tc>
        <w:tc>
          <w:tcPr>
            <w:tcW w:w="2150" w:type="pct"/>
            <w:vAlign w:val="center"/>
          </w:tcPr>
          <w:p w14:paraId="295BE96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限值含义</w:t>
            </w:r>
          </w:p>
        </w:tc>
      </w:tr>
      <w:tr w14:paraId="55150A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829" w:type="pct"/>
            <w:vMerge w:val="restart"/>
            <w:vAlign w:val="center"/>
          </w:tcPr>
          <w:p w14:paraId="1289B4C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NMHC</w:t>
            </w:r>
          </w:p>
        </w:tc>
        <w:tc>
          <w:tcPr>
            <w:tcW w:w="2021" w:type="pct"/>
            <w:vAlign w:val="center"/>
          </w:tcPr>
          <w:p w14:paraId="465A6DE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10mg/m</w:t>
            </w:r>
            <w:r>
              <w:rPr>
                <w:rFonts w:hint="default" w:ascii="Times New Roman" w:hAnsi="Times New Roman" w:cs="Times New Roman"/>
                <w:color w:val="auto"/>
                <w:szCs w:val="21"/>
                <w:highlight w:val="none"/>
                <w:vertAlign w:val="superscript"/>
              </w:rPr>
              <w:t>3</w:t>
            </w:r>
          </w:p>
        </w:tc>
        <w:tc>
          <w:tcPr>
            <w:tcW w:w="2150" w:type="pct"/>
            <w:vAlign w:val="center"/>
          </w:tcPr>
          <w:p w14:paraId="6777263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监控点处1h平均浓度值</w:t>
            </w:r>
          </w:p>
        </w:tc>
      </w:tr>
      <w:tr w14:paraId="421123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829" w:type="pct"/>
            <w:vMerge w:val="continue"/>
            <w:vAlign w:val="center"/>
          </w:tcPr>
          <w:p w14:paraId="18E01259">
            <w:pPr>
              <w:jc w:val="center"/>
              <w:rPr>
                <w:rFonts w:hint="default" w:ascii="Times New Roman" w:hAnsi="Times New Roman" w:cs="Times New Roman"/>
                <w:color w:val="auto"/>
                <w:szCs w:val="21"/>
                <w:highlight w:val="none"/>
              </w:rPr>
            </w:pPr>
          </w:p>
        </w:tc>
        <w:tc>
          <w:tcPr>
            <w:tcW w:w="2021" w:type="pct"/>
            <w:vAlign w:val="center"/>
          </w:tcPr>
          <w:p w14:paraId="35D76C5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30mg/m</w:t>
            </w:r>
            <w:r>
              <w:rPr>
                <w:rFonts w:hint="default" w:ascii="Times New Roman" w:hAnsi="Times New Roman" w:cs="Times New Roman"/>
                <w:color w:val="auto"/>
                <w:szCs w:val="21"/>
                <w:highlight w:val="none"/>
                <w:vertAlign w:val="superscript"/>
              </w:rPr>
              <w:t>3</w:t>
            </w:r>
          </w:p>
        </w:tc>
        <w:tc>
          <w:tcPr>
            <w:tcW w:w="2150" w:type="pct"/>
            <w:vAlign w:val="center"/>
          </w:tcPr>
          <w:p w14:paraId="27CCD7C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监控点处任意一次浓度值</w:t>
            </w:r>
          </w:p>
        </w:tc>
      </w:tr>
    </w:tbl>
    <w:p w14:paraId="7B012D4A">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155" w:name="_Toc5448"/>
      <w:bookmarkStart w:id="156" w:name="_Toc32326"/>
      <w:bookmarkStart w:id="157" w:name="_Toc22461"/>
      <w:bookmarkStart w:id="158" w:name="_Toc29320"/>
      <w:bookmarkStart w:id="159" w:name="_Toc192758890"/>
      <w:bookmarkStart w:id="160" w:name="_Toc193459979"/>
      <w:r>
        <w:rPr>
          <w:rFonts w:hint="default" w:ascii="Times New Roman" w:hAnsi="Times New Roman" w:eastAsia="黑体" w:cs="Times New Roman"/>
          <w:bCs/>
          <w:color w:val="auto"/>
          <w:kern w:val="44"/>
          <w:sz w:val="24"/>
          <w:highlight w:val="none"/>
        </w:rPr>
        <w:t>1.4</w:t>
      </w:r>
      <w:bookmarkEnd w:id="152"/>
      <w:r>
        <w:rPr>
          <w:rFonts w:hint="default" w:ascii="Times New Roman" w:hAnsi="Times New Roman" w:eastAsia="黑体" w:cs="Times New Roman"/>
          <w:bCs/>
          <w:color w:val="auto"/>
          <w:kern w:val="44"/>
          <w:sz w:val="24"/>
          <w:highlight w:val="none"/>
        </w:rPr>
        <w:t>评价等级判断及评价范围</w:t>
      </w:r>
      <w:bookmarkEnd w:id="153"/>
      <w:bookmarkEnd w:id="154"/>
      <w:bookmarkEnd w:id="155"/>
      <w:bookmarkEnd w:id="156"/>
      <w:bookmarkEnd w:id="157"/>
      <w:bookmarkEnd w:id="158"/>
      <w:bookmarkEnd w:id="159"/>
      <w:bookmarkEnd w:id="160"/>
    </w:p>
    <w:p w14:paraId="41020215">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161" w:name="_Toc43142331"/>
      <w:bookmarkStart w:id="162" w:name="_Toc82354317"/>
      <w:bookmarkStart w:id="163" w:name="_Toc192758891"/>
      <w:bookmarkStart w:id="164" w:name="_Toc23515"/>
      <w:bookmarkStart w:id="165" w:name="_Toc926"/>
      <w:bookmarkStart w:id="166" w:name="_Toc28511"/>
      <w:bookmarkStart w:id="167" w:name="_Toc13642"/>
      <w:bookmarkStart w:id="168" w:name="_Toc22434"/>
      <w:bookmarkStart w:id="169" w:name="_Toc8167"/>
      <w:bookmarkStart w:id="170" w:name="_Toc193459980"/>
      <w:r>
        <w:rPr>
          <w:rFonts w:hint="default" w:ascii="Times New Roman" w:hAnsi="Times New Roman" w:eastAsia="黑体" w:cs="Times New Roman"/>
          <w:bCs/>
          <w:color w:val="auto"/>
          <w:kern w:val="44"/>
          <w:sz w:val="24"/>
          <w:highlight w:val="none"/>
        </w:rPr>
        <w:t>1.4.1</w:t>
      </w:r>
      <w:bookmarkEnd w:id="161"/>
      <w:r>
        <w:rPr>
          <w:rFonts w:hint="default" w:ascii="Times New Roman" w:hAnsi="Times New Roman" w:eastAsia="黑体" w:cs="Times New Roman"/>
          <w:bCs/>
          <w:color w:val="auto"/>
          <w:kern w:val="44"/>
          <w:sz w:val="24"/>
          <w:highlight w:val="none"/>
        </w:rPr>
        <w:t>评价</w:t>
      </w:r>
      <w:bookmarkEnd w:id="162"/>
      <w:r>
        <w:rPr>
          <w:rFonts w:hint="default" w:ascii="Times New Roman" w:hAnsi="Times New Roman" w:eastAsia="黑体" w:cs="Times New Roman"/>
          <w:bCs/>
          <w:color w:val="auto"/>
          <w:kern w:val="44"/>
          <w:sz w:val="24"/>
          <w:highlight w:val="none"/>
        </w:rPr>
        <w:t>等级判断</w:t>
      </w:r>
      <w:bookmarkEnd w:id="163"/>
      <w:bookmarkEnd w:id="164"/>
      <w:bookmarkEnd w:id="165"/>
      <w:bookmarkEnd w:id="166"/>
      <w:bookmarkEnd w:id="167"/>
      <w:bookmarkEnd w:id="168"/>
      <w:bookmarkEnd w:id="169"/>
      <w:bookmarkEnd w:id="170"/>
    </w:p>
    <w:p w14:paraId="58E02970">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根据《环境影响评价技术导则 大气环境》（HJ2.2-2018）中5.3节工作等级的确定方法，结合项目工程分析结果，选择正常排放的主要污染物及排放参数，采取附录A推荐模型中的估算模型计算项目污染源的最大环境影响，然后按评价工作分级判据进行分级。</w:t>
      </w:r>
    </w:p>
    <w:p w14:paraId="36BE9879">
      <w:pPr>
        <w:numPr>
          <w:ilvl w:val="0"/>
          <w:numId w:val="10"/>
        </w:num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P</w:t>
      </w:r>
      <w:r>
        <w:rPr>
          <w:rFonts w:hint="default" w:ascii="Times New Roman" w:hAnsi="Times New Roman" w:cs="Times New Roman"/>
          <w:snapToGrid w:val="0"/>
          <w:color w:val="auto"/>
          <w:kern w:val="0"/>
          <w:sz w:val="24"/>
          <w:highlight w:val="none"/>
          <w:vertAlign w:val="subscript"/>
        </w:rPr>
        <w:t>max</w:t>
      </w:r>
      <w:r>
        <w:rPr>
          <w:rFonts w:hint="default" w:ascii="Times New Roman" w:hAnsi="Times New Roman" w:cs="Times New Roman"/>
          <w:snapToGrid w:val="0"/>
          <w:color w:val="auto"/>
          <w:kern w:val="0"/>
          <w:sz w:val="24"/>
          <w:highlight w:val="none"/>
        </w:rPr>
        <w:t>及D</w:t>
      </w:r>
      <w:r>
        <w:rPr>
          <w:rFonts w:hint="default" w:ascii="Times New Roman" w:hAnsi="Times New Roman" w:cs="Times New Roman"/>
          <w:snapToGrid w:val="0"/>
          <w:color w:val="auto"/>
          <w:kern w:val="0"/>
          <w:sz w:val="24"/>
          <w:highlight w:val="none"/>
          <w:vertAlign w:val="subscript"/>
        </w:rPr>
        <w:t>10%</w:t>
      </w:r>
      <w:r>
        <w:rPr>
          <w:rFonts w:hint="default" w:ascii="Times New Roman" w:hAnsi="Times New Roman" w:cs="Times New Roman"/>
          <w:snapToGrid w:val="0"/>
          <w:color w:val="auto"/>
          <w:kern w:val="0"/>
          <w:sz w:val="24"/>
          <w:highlight w:val="none"/>
        </w:rPr>
        <w:t>的确定</w:t>
      </w:r>
    </w:p>
    <w:p w14:paraId="3EF69B84">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依据《环境影响评价技术导则 大气环境》（HJ2.2-2018）中最大地面浓度占标率Pi定义如下：</w:t>
      </w:r>
    </w:p>
    <w:p w14:paraId="1D830C8F">
      <w:pPr>
        <w:adjustRightInd w:val="0"/>
        <w:snapToGrid w:val="0"/>
        <w:spacing w:line="500" w:lineRule="exact"/>
        <w:ind w:firstLine="480" w:firstLineChars="200"/>
        <w:jc w:val="center"/>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P</w:t>
      </w:r>
      <w:r>
        <w:rPr>
          <w:rFonts w:hint="default" w:ascii="Times New Roman" w:hAnsi="Times New Roman" w:cs="Times New Roman"/>
          <w:snapToGrid w:val="0"/>
          <w:color w:val="auto"/>
          <w:kern w:val="0"/>
          <w:sz w:val="24"/>
          <w:highlight w:val="none"/>
          <w:vertAlign w:val="subscript"/>
        </w:rPr>
        <w:t>i</w:t>
      </w:r>
      <w:r>
        <w:rPr>
          <w:rFonts w:hint="default" w:ascii="Times New Roman" w:hAnsi="Times New Roman" w:cs="Times New Roman"/>
          <w:snapToGrid w:val="0"/>
          <w:color w:val="auto"/>
          <w:kern w:val="0"/>
          <w:sz w:val="24"/>
          <w:highlight w:val="none"/>
        </w:rPr>
        <w:t>=C</w:t>
      </w:r>
      <w:r>
        <w:rPr>
          <w:rFonts w:hint="default" w:ascii="Times New Roman" w:hAnsi="Times New Roman" w:cs="Times New Roman"/>
          <w:snapToGrid w:val="0"/>
          <w:color w:val="auto"/>
          <w:kern w:val="0"/>
          <w:sz w:val="24"/>
          <w:highlight w:val="none"/>
          <w:vertAlign w:val="subscript"/>
        </w:rPr>
        <w:t>i</w:t>
      </w:r>
      <w:r>
        <w:rPr>
          <w:rFonts w:hint="default" w:ascii="Times New Roman" w:hAnsi="Times New Roman" w:cs="Times New Roman"/>
          <w:snapToGrid w:val="0"/>
          <w:color w:val="auto"/>
          <w:kern w:val="0"/>
          <w:sz w:val="24"/>
          <w:highlight w:val="none"/>
        </w:rPr>
        <w:t>/C</w:t>
      </w:r>
      <w:r>
        <w:rPr>
          <w:rFonts w:hint="default" w:ascii="Times New Roman" w:hAnsi="Times New Roman" w:cs="Times New Roman"/>
          <w:snapToGrid w:val="0"/>
          <w:color w:val="auto"/>
          <w:kern w:val="0"/>
          <w:sz w:val="24"/>
          <w:highlight w:val="none"/>
          <w:vertAlign w:val="subscript"/>
        </w:rPr>
        <w:t>0i</w:t>
      </w:r>
      <w:r>
        <w:rPr>
          <w:rFonts w:hint="default" w:ascii="Times New Roman" w:hAnsi="Times New Roman" w:cs="Times New Roman"/>
          <w:snapToGrid w:val="0"/>
          <w:color w:val="auto"/>
          <w:kern w:val="0"/>
          <w:sz w:val="24"/>
          <w:highlight w:val="none"/>
        </w:rPr>
        <w:t>×100%</w:t>
      </w:r>
    </w:p>
    <w:p w14:paraId="3EA4A421">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式中：</w:t>
      </w:r>
    </w:p>
    <w:p w14:paraId="223C1C03">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P</w:t>
      </w:r>
      <w:r>
        <w:rPr>
          <w:rFonts w:hint="default" w:ascii="Times New Roman" w:hAnsi="Times New Roman" w:cs="Times New Roman"/>
          <w:snapToGrid w:val="0"/>
          <w:color w:val="auto"/>
          <w:kern w:val="0"/>
          <w:sz w:val="24"/>
          <w:highlight w:val="none"/>
          <w:vertAlign w:val="subscript"/>
        </w:rPr>
        <w:t>i</w:t>
      </w:r>
      <w:r>
        <w:rPr>
          <w:rFonts w:hint="default" w:ascii="Times New Roman" w:hAnsi="Times New Roman" w:cs="Times New Roman"/>
          <w:snapToGrid w:val="0"/>
          <w:color w:val="auto"/>
          <w:kern w:val="0"/>
          <w:sz w:val="24"/>
          <w:highlight w:val="none"/>
        </w:rPr>
        <w:t>——第i个污染物的最大地面空气质量浓度占标率，%；</w:t>
      </w:r>
    </w:p>
    <w:p w14:paraId="2ED39E94">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C</w:t>
      </w:r>
      <w:r>
        <w:rPr>
          <w:rFonts w:hint="default" w:ascii="Times New Roman" w:hAnsi="Times New Roman" w:cs="Times New Roman"/>
          <w:snapToGrid w:val="0"/>
          <w:color w:val="auto"/>
          <w:kern w:val="0"/>
          <w:sz w:val="24"/>
          <w:highlight w:val="none"/>
          <w:vertAlign w:val="subscript"/>
        </w:rPr>
        <w:t>i</w:t>
      </w:r>
      <w:r>
        <w:rPr>
          <w:rFonts w:hint="default" w:ascii="Times New Roman" w:hAnsi="Times New Roman" w:cs="Times New Roman"/>
          <w:snapToGrid w:val="0"/>
          <w:color w:val="auto"/>
          <w:kern w:val="0"/>
          <w:sz w:val="24"/>
          <w:highlight w:val="none"/>
        </w:rPr>
        <w:t>——采用估算模式计算出的第i个污染物的最大1h地面空气质量浓度，μg/m</w:t>
      </w:r>
      <w:r>
        <w:rPr>
          <w:rFonts w:hint="default" w:ascii="Times New Roman" w:hAnsi="Times New Roman" w:cs="Times New Roman"/>
          <w:snapToGrid w:val="0"/>
          <w:color w:val="auto"/>
          <w:kern w:val="0"/>
          <w:sz w:val="24"/>
          <w:highlight w:val="none"/>
          <w:vertAlign w:val="superscript"/>
        </w:rPr>
        <w:t>3</w:t>
      </w:r>
      <w:r>
        <w:rPr>
          <w:rFonts w:hint="default" w:ascii="Times New Roman" w:hAnsi="Times New Roman" w:cs="Times New Roman"/>
          <w:snapToGrid w:val="0"/>
          <w:color w:val="auto"/>
          <w:kern w:val="0"/>
          <w:sz w:val="24"/>
          <w:highlight w:val="none"/>
        </w:rPr>
        <w:t>；</w:t>
      </w:r>
    </w:p>
    <w:p w14:paraId="7D226EDF">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C</w:t>
      </w:r>
      <w:r>
        <w:rPr>
          <w:rFonts w:hint="default" w:ascii="Times New Roman" w:hAnsi="Times New Roman" w:cs="Times New Roman"/>
          <w:snapToGrid w:val="0"/>
          <w:color w:val="auto"/>
          <w:kern w:val="0"/>
          <w:sz w:val="24"/>
          <w:highlight w:val="none"/>
          <w:vertAlign w:val="subscript"/>
        </w:rPr>
        <w:t>0i</w:t>
      </w:r>
      <w:r>
        <w:rPr>
          <w:rFonts w:hint="default" w:ascii="Times New Roman" w:hAnsi="Times New Roman" w:cs="Times New Roman"/>
          <w:snapToGrid w:val="0"/>
          <w:color w:val="auto"/>
          <w:kern w:val="0"/>
          <w:sz w:val="24"/>
          <w:highlight w:val="none"/>
        </w:rPr>
        <w:t>——第i个污染物的环境空气质量标准，μg/m</w:t>
      </w:r>
      <w:r>
        <w:rPr>
          <w:rFonts w:hint="default" w:ascii="Times New Roman" w:hAnsi="Times New Roman" w:cs="Times New Roman"/>
          <w:snapToGrid w:val="0"/>
          <w:color w:val="auto"/>
          <w:kern w:val="0"/>
          <w:sz w:val="24"/>
          <w:highlight w:val="none"/>
          <w:vertAlign w:val="superscript"/>
        </w:rPr>
        <w:t>3</w:t>
      </w:r>
      <w:r>
        <w:rPr>
          <w:rFonts w:hint="default" w:ascii="Times New Roman" w:hAnsi="Times New Roman" w:cs="Times New Roman"/>
          <w:snapToGrid w:val="0"/>
          <w:color w:val="auto"/>
          <w:kern w:val="0"/>
          <w:sz w:val="24"/>
          <w:highlight w:val="none"/>
        </w:rPr>
        <w:t>。—般选用GB3095-2012中1小时平均质量浓度的二级浓度限值，如项目位于一类环境空气功能区，应选择相应的一级浓度限值；对该标准中未包含的污染物，使用5.2确定的各评价因子1h平均质量浓度限值。仅有8h平均质量浓度限值、日平均质量浓度限值或年平均质量浓度限值，可分别按2倍、3倍、6倍折算1h平均质量浓度限值。</w:t>
      </w:r>
    </w:p>
    <w:p w14:paraId="78545498">
      <w:pPr>
        <w:numPr>
          <w:ilvl w:val="0"/>
          <w:numId w:val="10"/>
        </w:num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评价等级判别表</w:t>
      </w:r>
    </w:p>
    <w:p w14:paraId="23D520CF">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根据《环境影响评价技术导则 大气环境》（HJ2.2-2018）中的有关规定，将大气环境影响评价工作等级分为一、二、三级，划分依据见下表。</w:t>
      </w:r>
    </w:p>
    <w:p w14:paraId="64469964">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表1-9大气评价等级确定表</w:t>
      </w:r>
    </w:p>
    <w:tbl>
      <w:tblPr>
        <w:tblStyle w:val="3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792"/>
        <w:gridCol w:w="3730"/>
      </w:tblGrid>
      <w:tr w14:paraId="707F70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2FF4D615">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评价工作等级判据</w:t>
            </w:r>
          </w:p>
        </w:tc>
        <w:tc>
          <w:tcPr>
            <w:tcW w:w="0" w:type="auto"/>
            <w:vAlign w:val="center"/>
          </w:tcPr>
          <w:p w14:paraId="04CAE42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评价工作等级</w:t>
            </w:r>
          </w:p>
        </w:tc>
      </w:tr>
      <w:tr w14:paraId="7E4049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5F7B255B">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P</w:t>
            </w:r>
            <w:r>
              <w:rPr>
                <w:rFonts w:hint="default" w:ascii="Times New Roman" w:hAnsi="Times New Roman" w:cs="Times New Roman"/>
                <w:snapToGrid w:val="0"/>
                <w:color w:val="auto"/>
                <w:kern w:val="0"/>
                <w:szCs w:val="21"/>
                <w:highlight w:val="none"/>
                <w:vertAlign w:val="subscript"/>
              </w:rPr>
              <w:t>max</w:t>
            </w:r>
            <w:r>
              <w:rPr>
                <w:rFonts w:hint="default" w:ascii="Times New Roman" w:hAnsi="Times New Roman" w:cs="Times New Roman"/>
                <w:snapToGrid w:val="0"/>
                <w:color w:val="auto"/>
                <w:kern w:val="0"/>
                <w:szCs w:val="21"/>
                <w:highlight w:val="none"/>
              </w:rPr>
              <w:t>≥10%</w:t>
            </w:r>
          </w:p>
        </w:tc>
        <w:tc>
          <w:tcPr>
            <w:tcW w:w="0" w:type="auto"/>
            <w:vAlign w:val="center"/>
          </w:tcPr>
          <w:p w14:paraId="70FE381C">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一级</w:t>
            </w:r>
          </w:p>
        </w:tc>
      </w:tr>
      <w:tr w14:paraId="000D8C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3376EB66">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1%≥P</w:t>
            </w:r>
            <w:r>
              <w:rPr>
                <w:rFonts w:hint="default" w:ascii="Times New Roman" w:hAnsi="Times New Roman" w:cs="Times New Roman"/>
                <w:snapToGrid w:val="0"/>
                <w:color w:val="auto"/>
                <w:kern w:val="0"/>
                <w:szCs w:val="21"/>
                <w:highlight w:val="none"/>
                <w:vertAlign w:val="subscript"/>
              </w:rPr>
              <w:t>max</w:t>
            </w:r>
            <w:r>
              <w:rPr>
                <w:rFonts w:hint="default" w:ascii="Times New Roman" w:hAnsi="Times New Roman" w:cs="Times New Roman"/>
                <w:snapToGrid w:val="0"/>
                <w:color w:val="auto"/>
                <w:kern w:val="0"/>
                <w:szCs w:val="21"/>
                <w:highlight w:val="none"/>
              </w:rPr>
              <w:t>＜10%</w:t>
            </w:r>
          </w:p>
        </w:tc>
        <w:tc>
          <w:tcPr>
            <w:tcW w:w="0" w:type="auto"/>
            <w:vAlign w:val="center"/>
          </w:tcPr>
          <w:p w14:paraId="197AA0C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二级</w:t>
            </w:r>
          </w:p>
        </w:tc>
      </w:tr>
      <w:tr w14:paraId="3062EC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1B8D4CA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P</w:t>
            </w:r>
            <w:r>
              <w:rPr>
                <w:rFonts w:hint="default" w:ascii="Times New Roman" w:hAnsi="Times New Roman" w:cs="Times New Roman"/>
                <w:snapToGrid w:val="0"/>
                <w:color w:val="auto"/>
                <w:kern w:val="0"/>
                <w:szCs w:val="21"/>
                <w:highlight w:val="none"/>
                <w:vertAlign w:val="subscript"/>
              </w:rPr>
              <w:t>max</w:t>
            </w:r>
            <w:r>
              <w:rPr>
                <w:rFonts w:hint="default" w:ascii="Times New Roman" w:hAnsi="Times New Roman" w:cs="Times New Roman"/>
                <w:snapToGrid w:val="0"/>
                <w:color w:val="auto"/>
                <w:kern w:val="0"/>
                <w:szCs w:val="21"/>
                <w:highlight w:val="none"/>
              </w:rPr>
              <w:t>＜1%</w:t>
            </w:r>
          </w:p>
        </w:tc>
        <w:tc>
          <w:tcPr>
            <w:tcW w:w="0" w:type="auto"/>
            <w:vAlign w:val="center"/>
          </w:tcPr>
          <w:p w14:paraId="33212B2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三级</w:t>
            </w:r>
          </w:p>
        </w:tc>
      </w:tr>
    </w:tbl>
    <w:p w14:paraId="137F7717">
      <w:pPr>
        <w:numPr>
          <w:ilvl w:val="0"/>
          <w:numId w:val="10"/>
        </w:num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模式中参数选取</w:t>
      </w:r>
    </w:p>
    <w:p w14:paraId="530ED7FD">
      <w:pPr>
        <w:adjustRightInd w:val="0"/>
        <w:snapToGrid w:val="0"/>
        <w:spacing w:line="500" w:lineRule="exact"/>
        <w:ind w:firstLine="480" w:firstLineChars="200"/>
        <w:rPr>
          <w:rFonts w:hint="default" w:ascii="Times New Roman" w:hAnsi="Times New Roman" w:eastAsia="宋体" w:cs="Times New Roman"/>
          <w:snapToGrid w:val="0"/>
          <w:color w:val="auto"/>
          <w:kern w:val="0"/>
          <w:sz w:val="24"/>
          <w:highlight w:val="none"/>
          <w:lang w:val="en-US" w:eastAsia="zh-CN"/>
        </w:rPr>
      </w:pPr>
      <w:r>
        <w:rPr>
          <w:rFonts w:hint="default" w:ascii="Times New Roman" w:hAnsi="Times New Roman" w:cs="Times New Roman"/>
          <w:snapToGrid w:val="0"/>
          <w:color w:val="auto"/>
          <w:kern w:val="0"/>
          <w:sz w:val="24"/>
          <w:highlight w:val="none"/>
        </w:rPr>
        <w:t>本项目废气主要为</w:t>
      </w:r>
      <w:r>
        <w:rPr>
          <w:rFonts w:hint="default" w:ascii="Times New Roman" w:hAnsi="Times New Roman" w:cs="Times New Roman"/>
          <w:snapToGrid w:val="0"/>
          <w:color w:val="auto"/>
          <w:kern w:val="0"/>
          <w:sz w:val="24"/>
          <w:highlight w:val="none"/>
          <w:lang w:val="en-US" w:eastAsia="zh-CN"/>
        </w:rPr>
        <w:t>导热油炉产生的燃烧烟气</w:t>
      </w:r>
      <w:r>
        <w:rPr>
          <w:rFonts w:hint="default" w:ascii="Times New Roman" w:hAnsi="Times New Roman" w:cs="Times New Roman"/>
          <w:snapToGrid w:val="0"/>
          <w:color w:val="auto"/>
          <w:kern w:val="0"/>
          <w:sz w:val="24"/>
          <w:highlight w:val="none"/>
        </w:rPr>
        <w:t>、</w:t>
      </w:r>
      <w:r>
        <w:rPr>
          <w:rFonts w:hint="default" w:ascii="Times New Roman" w:hAnsi="Times New Roman" w:cs="Times New Roman"/>
          <w:snapToGrid w:val="0"/>
          <w:color w:val="auto"/>
          <w:kern w:val="0"/>
          <w:sz w:val="24"/>
          <w:highlight w:val="none"/>
          <w:lang w:val="en-US" w:eastAsia="zh-CN"/>
        </w:rPr>
        <w:t>烘干筛分产生的废气</w:t>
      </w:r>
      <w:r>
        <w:rPr>
          <w:rFonts w:hint="default" w:ascii="Times New Roman" w:hAnsi="Times New Roman" w:cs="Times New Roman"/>
          <w:snapToGrid w:val="0"/>
          <w:color w:val="auto"/>
          <w:kern w:val="0"/>
          <w:sz w:val="24"/>
          <w:highlight w:val="none"/>
        </w:rPr>
        <w:t>、</w:t>
      </w:r>
      <w:r>
        <w:rPr>
          <w:rFonts w:hint="default" w:ascii="Times New Roman" w:hAnsi="Times New Roman" w:cs="Times New Roman"/>
          <w:snapToGrid w:val="0"/>
          <w:color w:val="auto"/>
          <w:kern w:val="0"/>
          <w:sz w:val="24"/>
          <w:highlight w:val="none"/>
          <w:lang w:val="en-US" w:eastAsia="zh-CN"/>
        </w:rPr>
        <w:t>搅拌工序产生的废气</w:t>
      </w:r>
      <w:r>
        <w:rPr>
          <w:rFonts w:hint="default" w:ascii="Times New Roman" w:hAnsi="Times New Roman" w:cs="Times New Roman"/>
          <w:snapToGrid w:val="0"/>
          <w:color w:val="auto"/>
          <w:kern w:val="0"/>
          <w:sz w:val="24"/>
          <w:highlight w:val="none"/>
        </w:rPr>
        <w:t>、</w:t>
      </w:r>
      <w:r>
        <w:rPr>
          <w:rFonts w:hint="default" w:ascii="Times New Roman" w:hAnsi="Times New Roman" w:cs="Times New Roman"/>
          <w:snapToGrid w:val="0"/>
          <w:color w:val="auto"/>
          <w:kern w:val="0"/>
          <w:sz w:val="24"/>
          <w:highlight w:val="none"/>
          <w:lang w:val="en-US" w:eastAsia="zh-CN"/>
        </w:rPr>
        <w:t>原料储运过程无组织粉尘、柴油罐产生的呼吸废气</w:t>
      </w:r>
      <w:r>
        <w:rPr>
          <w:rFonts w:hint="default" w:ascii="Times New Roman" w:hAnsi="Times New Roman" w:cs="Times New Roman"/>
          <w:snapToGrid w:val="0"/>
          <w:color w:val="auto"/>
          <w:kern w:val="0"/>
          <w:sz w:val="24"/>
          <w:highlight w:val="none"/>
        </w:rPr>
        <w:t>，主要污染因子为二氧化硫、氮氧化物、颗粒物</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lang w:val="en-US" w:eastAsia="zh-CN"/>
        </w:rPr>
        <w:t>沥青烟、苯并[a]芘、非甲烷总烃</w:t>
      </w:r>
      <w:r>
        <w:rPr>
          <w:rFonts w:hint="default" w:ascii="Times New Roman" w:hAnsi="Times New Roman" w:cs="Times New Roman"/>
          <w:snapToGrid w:val="0"/>
          <w:color w:val="auto"/>
          <w:kern w:val="0"/>
          <w:sz w:val="24"/>
          <w:highlight w:val="none"/>
        </w:rPr>
        <w:t>，采用《环境影响评价技术导则 大气环境》（HJ2.2-2018）中推荐的估算模式进行计算。</w:t>
      </w:r>
      <w:r>
        <w:rPr>
          <w:rFonts w:hint="default" w:ascii="Times New Roman" w:hAnsi="Times New Roman" w:cs="Times New Roman"/>
          <w:snapToGrid w:val="0"/>
          <w:color w:val="auto"/>
          <w:kern w:val="0"/>
          <w:sz w:val="24"/>
          <w:highlight w:val="none"/>
          <w:lang w:val="en-US" w:eastAsia="zh-CN"/>
        </w:rPr>
        <w:t>导热油炉</w:t>
      </w:r>
      <w:r>
        <w:rPr>
          <w:rFonts w:hint="default" w:ascii="Times New Roman" w:hAnsi="Times New Roman" w:cs="Times New Roman"/>
          <w:snapToGrid w:val="0"/>
          <w:color w:val="auto"/>
          <w:kern w:val="0"/>
          <w:sz w:val="24"/>
          <w:highlight w:val="none"/>
        </w:rPr>
        <w:t>200m内最高建筑物为高度为</w:t>
      </w:r>
      <w:r>
        <w:rPr>
          <w:rFonts w:hint="default" w:ascii="Times New Roman" w:hAnsi="Times New Roman" w:cs="Times New Roman"/>
          <w:snapToGrid w:val="0"/>
          <w:color w:val="auto"/>
          <w:kern w:val="0"/>
          <w:sz w:val="24"/>
          <w:highlight w:val="none"/>
          <w:lang w:val="en-US" w:eastAsia="zh-CN"/>
        </w:rPr>
        <w:t>7</w:t>
      </w:r>
      <w:r>
        <w:rPr>
          <w:rFonts w:hint="default" w:ascii="Times New Roman" w:hAnsi="Times New Roman" w:cs="Times New Roman"/>
          <w:snapToGrid w:val="0"/>
          <w:color w:val="auto"/>
          <w:kern w:val="0"/>
          <w:sz w:val="24"/>
          <w:highlight w:val="none"/>
        </w:rPr>
        <w:t>m的</w:t>
      </w:r>
      <w:r>
        <w:rPr>
          <w:rFonts w:hint="default" w:ascii="Times New Roman" w:hAnsi="Times New Roman" w:cs="Times New Roman"/>
          <w:snapToGrid w:val="0"/>
          <w:color w:val="auto"/>
          <w:kern w:val="0"/>
          <w:sz w:val="24"/>
          <w:highlight w:val="none"/>
          <w:lang w:val="en-US" w:eastAsia="zh-CN"/>
        </w:rPr>
        <w:t>厂房</w:t>
      </w:r>
      <w:r>
        <w:rPr>
          <w:rFonts w:hint="default" w:ascii="Times New Roman" w:hAnsi="Times New Roman" w:cs="Times New Roman"/>
          <w:snapToGrid w:val="0"/>
          <w:color w:val="auto"/>
          <w:kern w:val="0"/>
          <w:sz w:val="24"/>
          <w:highlight w:val="none"/>
        </w:rPr>
        <w:t>，根据《锅炉大气污染物排放标准》（GB13271-2014），新建锅炉房的烟囱周围半径200m距离内有建筑物时，其烟囱应高出最高建筑物3m以上，本项目</w:t>
      </w:r>
      <w:r>
        <w:rPr>
          <w:rFonts w:hint="default" w:ascii="Times New Roman" w:hAnsi="Times New Roman" w:cs="Times New Roman"/>
          <w:snapToGrid w:val="0"/>
          <w:color w:val="auto"/>
          <w:kern w:val="0"/>
          <w:sz w:val="24"/>
          <w:highlight w:val="none"/>
          <w:lang w:val="en-US" w:eastAsia="zh-CN"/>
        </w:rPr>
        <w:t>10</w:t>
      </w:r>
      <w:r>
        <w:rPr>
          <w:rFonts w:hint="default" w:ascii="Times New Roman" w:hAnsi="Times New Roman" w:cs="Times New Roman"/>
          <w:snapToGrid w:val="0"/>
          <w:color w:val="auto"/>
          <w:kern w:val="0"/>
          <w:sz w:val="24"/>
          <w:highlight w:val="none"/>
        </w:rPr>
        <w:t>m高的排气筒高度满足要求。根据《大气污染物综合排放标准》（GB16297-1996），排气筒高度应高出周围200m半径范围的建筑5m以上</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rPr>
        <w:t>200m内最高建筑物为高度为</w:t>
      </w:r>
      <w:r>
        <w:rPr>
          <w:rFonts w:hint="default" w:ascii="Times New Roman" w:hAnsi="Times New Roman" w:cs="Times New Roman"/>
          <w:snapToGrid w:val="0"/>
          <w:color w:val="auto"/>
          <w:kern w:val="0"/>
          <w:sz w:val="24"/>
          <w:highlight w:val="none"/>
          <w:lang w:val="en-US" w:eastAsia="zh-CN"/>
        </w:rPr>
        <w:t>7</w:t>
      </w:r>
      <w:r>
        <w:rPr>
          <w:rFonts w:hint="default" w:ascii="Times New Roman" w:hAnsi="Times New Roman" w:cs="Times New Roman"/>
          <w:snapToGrid w:val="0"/>
          <w:color w:val="auto"/>
          <w:kern w:val="0"/>
          <w:sz w:val="24"/>
          <w:highlight w:val="none"/>
        </w:rPr>
        <w:t>m的</w:t>
      </w:r>
      <w:r>
        <w:rPr>
          <w:rFonts w:hint="default" w:ascii="Times New Roman" w:hAnsi="Times New Roman" w:cs="Times New Roman"/>
          <w:snapToGrid w:val="0"/>
          <w:color w:val="auto"/>
          <w:kern w:val="0"/>
          <w:sz w:val="24"/>
          <w:highlight w:val="none"/>
          <w:lang w:val="en-US" w:eastAsia="zh-CN"/>
        </w:rPr>
        <w:t>厂房，烘干筛分工序</w:t>
      </w:r>
      <w:r>
        <w:rPr>
          <w:rFonts w:hint="default" w:ascii="Times New Roman" w:hAnsi="Times New Roman" w:cs="Times New Roman"/>
          <w:snapToGrid w:val="0"/>
          <w:color w:val="auto"/>
          <w:kern w:val="0"/>
          <w:sz w:val="24"/>
          <w:highlight w:val="none"/>
        </w:rPr>
        <w:t>排气筒高度</w:t>
      </w:r>
      <w:r>
        <w:rPr>
          <w:rFonts w:hint="default" w:ascii="Times New Roman" w:hAnsi="Times New Roman" w:cs="Times New Roman"/>
          <w:snapToGrid w:val="0"/>
          <w:color w:val="auto"/>
          <w:kern w:val="0"/>
          <w:sz w:val="24"/>
          <w:highlight w:val="none"/>
          <w:lang w:val="en-US" w:eastAsia="zh-CN"/>
        </w:rPr>
        <w:t>1</w:t>
      </w:r>
      <w:r>
        <w:rPr>
          <w:rFonts w:hint="default" w:ascii="Times New Roman" w:hAnsi="Times New Roman" w:cs="Times New Roman"/>
          <w:snapToGrid w:val="0"/>
          <w:color w:val="auto"/>
          <w:kern w:val="0"/>
          <w:sz w:val="24"/>
          <w:highlight w:val="none"/>
        </w:rPr>
        <w:t>5m，</w:t>
      </w:r>
      <w:r>
        <w:rPr>
          <w:rFonts w:hint="default" w:ascii="Times New Roman" w:hAnsi="Times New Roman" w:cs="Times New Roman"/>
          <w:snapToGrid w:val="0"/>
          <w:color w:val="auto"/>
          <w:kern w:val="0"/>
          <w:sz w:val="24"/>
          <w:highlight w:val="none"/>
          <w:lang w:val="en-US" w:eastAsia="zh-CN"/>
        </w:rPr>
        <w:t>搅拌工序排气筒高度15m，</w:t>
      </w:r>
      <w:r>
        <w:rPr>
          <w:rFonts w:hint="default" w:ascii="Times New Roman" w:hAnsi="Times New Roman" w:cs="Times New Roman"/>
          <w:snapToGrid w:val="0"/>
          <w:color w:val="auto"/>
          <w:kern w:val="0"/>
          <w:sz w:val="24"/>
          <w:highlight w:val="none"/>
        </w:rPr>
        <w:t>满足有组织排放要求。</w:t>
      </w:r>
      <w:r>
        <w:rPr>
          <w:rFonts w:hint="default" w:ascii="Times New Roman" w:hAnsi="Times New Roman" w:cs="Times New Roman"/>
          <w:snapToGrid w:val="0"/>
          <w:color w:val="auto"/>
          <w:kern w:val="0"/>
          <w:sz w:val="24"/>
          <w:highlight w:val="none"/>
          <w:lang w:val="en-US" w:eastAsia="zh-CN"/>
        </w:rPr>
        <w:t>原料堆场面源高度取堆场高度4m，冷料上料面源高度取通风口高度3.5m</w:t>
      </w:r>
      <w:r>
        <w:rPr>
          <w:rFonts w:hint="default" w:ascii="Times New Roman" w:hAnsi="Times New Roman" w:cs="Times New Roman"/>
          <w:snapToGrid w:val="0"/>
          <w:color w:val="auto"/>
          <w:kern w:val="0"/>
          <w:sz w:val="24"/>
          <w:highlight w:val="none"/>
        </w:rPr>
        <w:t>，</w:t>
      </w:r>
      <w:r>
        <w:rPr>
          <w:rFonts w:hint="default" w:ascii="Times New Roman" w:hAnsi="Times New Roman" w:cs="Times New Roman"/>
          <w:snapToGrid w:val="0"/>
          <w:color w:val="auto"/>
          <w:kern w:val="0"/>
          <w:sz w:val="24"/>
          <w:highlight w:val="none"/>
          <w:lang w:val="en-US" w:eastAsia="zh-CN"/>
        </w:rPr>
        <w:t>搅拌罐面源高度取搅拌罐高度15m，柴油罐面源高度</w:t>
      </w:r>
      <w:r>
        <w:rPr>
          <w:rFonts w:hint="default" w:ascii="Times New Roman" w:hAnsi="Times New Roman" w:cs="Times New Roman"/>
          <w:snapToGrid w:val="0"/>
          <w:color w:val="auto"/>
          <w:kern w:val="0"/>
          <w:sz w:val="24"/>
          <w:highlight w:val="none"/>
        </w:rPr>
        <w:t>取</w:t>
      </w:r>
      <w:r>
        <w:rPr>
          <w:rFonts w:hint="default" w:ascii="Times New Roman" w:hAnsi="Times New Roman" w:cs="Times New Roman"/>
          <w:snapToGrid w:val="0"/>
          <w:color w:val="auto"/>
          <w:kern w:val="0"/>
          <w:sz w:val="24"/>
          <w:highlight w:val="none"/>
          <w:lang w:val="en-US" w:eastAsia="zh-CN"/>
        </w:rPr>
        <w:t>罐体高度分别为5.5m和9.8m</w:t>
      </w:r>
      <w:r>
        <w:rPr>
          <w:rFonts w:hint="default" w:ascii="Times New Roman" w:hAnsi="Times New Roman" w:cs="Times New Roman"/>
          <w:snapToGrid w:val="0"/>
          <w:color w:val="auto"/>
          <w:kern w:val="0"/>
          <w:sz w:val="24"/>
          <w:highlight w:val="none"/>
        </w:rPr>
        <w:t>。</w:t>
      </w:r>
      <w:r>
        <w:rPr>
          <w:rFonts w:hint="default" w:ascii="Times New Roman" w:hAnsi="Times New Roman" w:cs="Times New Roman"/>
          <w:snapToGrid w:val="0"/>
          <w:color w:val="auto"/>
          <w:kern w:val="0"/>
          <w:sz w:val="24"/>
          <w:highlight w:val="none"/>
          <w:lang w:val="en-US" w:eastAsia="zh-CN"/>
        </w:rPr>
        <w:t>矿粉筒仓面源高度取筒仓高度20m。</w:t>
      </w:r>
    </w:p>
    <w:p w14:paraId="4675928B">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本项目采用《环境影响评价技术导则 大气环境》（HJ2.2-2018）中附录A推荐的估算模式进行计算。</w:t>
      </w:r>
    </w:p>
    <w:p w14:paraId="55AF6511">
      <w:pPr>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表1-10评价因子和评价标准表</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5"/>
        <w:gridCol w:w="1418"/>
        <w:gridCol w:w="2265"/>
        <w:gridCol w:w="3311"/>
      </w:tblGrid>
      <w:tr w14:paraId="09E84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5" w:type="pct"/>
            <w:vAlign w:val="center"/>
          </w:tcPr>
          <w:p w14:paraId="1643FA2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评价因子</w:t>
            </w:r>
          </w:p>
        </w:tc>
        <w:tc>
          <w:tcPr>
            <w:tcW w:w="832" w:type="pct"/>
            <w:vAlign w:val="center"/>
          </w:tcPr>
          <w:p w14:paraId="1518775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取值时间</w:t>
            </w:r>
          </w:p>
        </w:tc>
        <w:tc>
          <w:tcPr>
            <w:tcW w:w="1329" w:type="pct"/>
            <w:vAlign w:val="center"/>
          </w:tcPr>
          <w:p w14:paraId="037E368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标准值（μg/m</w:t>
            </w:r>
            <w:r>
              <w:rPr>
                <w:rFonts w:hint="default" w:ascii="Times New Roman" w:hAnsi="Times New Roman" w:cs="Times New Roman"/>
                <w:snapToGrid w:val="0"/>
                <w:color w:val="auto"/>
                <w:kern w:val="0"/>
                <w:szCs w:val="21"/>
                <w:highlight w:val="none"/>
                <w:vertAlign w:val="superscript"/>
              </w:rPr>
              <w:t>3</w:t>
            </w:r>
            <w:r>
              <w:rPr>
                <w:rFonts w:hint="default" w:ascii="Times New Roman" w:hAnsi="Times New Roman" w:cs="Times New Roman"/>
                <w:snapToGrid w:val="0"/>
                <w:color w:val="auto"/>
                <w:kern w:val="0"/>
                <w:szCs w:val="21"/>
                <w:highlight w:val="none"/>
              </w:rPr>
              <w:t>）</w:t>
            </w:r>
          </w:p>
        </w:tc>
        <w:tc>
          <w:tcPr>
            <w:tcW w:w="1943" w:type="pct"/>
            <w:vAlign w:val="center"/>
          </w:tcPr>
          <w:p w14:paraId="4858D66A">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标准来源</w:t>
            </w:r>
          </w:p>
        </w:tc>
      </w:tr>
      <w:tr w14:paraId="0C9C0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5" w:type="pct"/>
            <w:vAlign w:val="center"/>
          </w:tcPr>
          <w:p w14:paraId="528BD40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SO</w:t>
            </w:r>
            <w:r>
              <w:rPr>
                <w:rFonts w:hint="default" w:ascii="Times New Roman" w:hAnsi="Times New Roman" w:cs="Times New Roman"/>
                <w:color w:val="auto"/>
                <w:kern w:val="0"/>
                <w:szCs w:val="21"/>
                <w:highlight w:val="none"/>
                <w:vertAlign w:val="subscript"/>
              </w:rPr>
              <w:t>2</w:t>
            </w:r>
          </w:p>
        </w:tc>
        <w:tc>
          <w:tcPr>
            <w:tcW w:w="832" w:type="pct"/>
            <w:vAlign w:val="center"/>
          </w:tcPr>
          <w:p w14:paraId="108E27B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1h平均值</w:t>
            </w:r>
          </w:p>
        </w:tc>
        <w:tc>
          <w:tcPr>
            <w:tcW w:w="1329" w:type="pct"/>
            <w:vAlign w:val="center"/>
          </w:tcPr>
          <w:p w14:paraId="0DC5381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500</w:t>
            </w:r>
          </w:p>
        </w:tc>
        <w:tc>
          <w:tcPr>
            <w:tcW w:w="1943" w:type="pct"/>
            <w:vMerge w:val="restart"/>
            <w:vAlign w:val="center"/>
          </w:tcPr>
          <w:p w14:paraId="408E6F59">
            <w:pPr>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《环境空气质量标准》（GB3095-2012）及修改单</w:t>
            </w:r>
          </w:p>
        </w:tc>
      </w:tr>
      <w:tr w14:paraId="6C437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5" w:type="pct"/>
            <w:vAlign w:val="center"/>
          </w:tcPr>
          <w:p w14:paraId="52334B4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NO</w:t>
            </w:r>
            <w:r>
              <w:rPr>
                <w:rFonts w:hint="default" w:ascii="Times New Roman" w:hAnsi="Times New Roman" w:cs="Times New Roman"/>
                <w:color w:val="auto"/>
                <w:kern w:val="0"/>
                <w:szCs w:val="21"/>
                <w:highlight w:val="none"/>
                <w:vertAlign w:val="subscript"/>
                <w:lang w:val="en-US" w:eastAsia="zh-CN"/>
              </w:rPr>
              <w:t>2</w:t>
            </w:r>
          </w:p>
        </w:tc>
        <w:tc>
          <w:tcPr>
            <w:tcW w:w="832" w:type="pct"/>
            <w:vAlign w:val="center"/>
          </w:tcPr>
          <w:p w14:paraId="6C36DD9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1h平均值</w:t>
            </w:r>
          </w:p>
        </w:tc>
        <w:tc>
          <w:tcPr>
            <w:tcW w:w="1329" w:type="pct"/>
            <w:vAlign w:val="center"/>
          </w:tcPr>
          <w:p w14:paraId="523C09A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200</w:t>
            </w:r>
          </w:p>
        </w:tc>
        <w:tc>
          <w:tcPr>
            <w:tcW w:w="1943" w:type="pct"/>
            <w:vMerge w:val="continue"/>
            <w:vAlign w:val="center"/>
          </w:tcPr>
          <w:p w14:paraId="17CBF5BA">
            <w:pPr>
              <w:adjustRightInd w:val="0"/>
              <w:snapToGrid w:val="0"/>
              <w:rPr>
                <w:rFonts w:hint="default" w:ascii="Times New Roman" w:hAnsi="Times New Roman" w:cs="Times New Roman"/>
                <w:snapToGrid w:val="0"/>
                <w:color w:val="auto"/>
                <w:kern w:val="0"/>
                <w:szCs w:val="21"/>
                <w:highlight w:val="none"/>
              </w:rPr>
            </w:pPr>
          </w:p>
        </w:tc>
      </w:tr>
      <w:tr w14:paraId="6302F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25" w:type="dxa"/>
            <w:vAlign w:val="center"/>
          </w:tcPr>
          <w:p w14:paraId="4073B72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snapToGrid w:val="0"/>
                <w:color w:val="auto"/>
                <w:kern w:val="0"/>
                <w:szCs w:val="21"/>
                <w:highlight w:val="none"/>
              </w:rPr>
              <w:t>CO</w:t>
            </w:r>
          </w:p>
        </w:tc>
        <w:tc>
          <w:tcPr>
            <w:tcW w:w="832" w:type="pct"/>
            <w:vAlign w:val="center"/>
          </w:tcPr>
          <w:p w14:paraId="3A342A3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kern w:val="0"/>
                <w:szCs w:val="21"/>
                <w:highlight w:val="none"/>
              </w:rPr>
              <w:t>1小时平均</w:t>
            </w:r>
          </w:p>
        </w:tc>
        <w:tc>
          <w:tcPr>
            <w:tcW w:w="1329" w:type="pct"/>
            <w:vAlign w:val="center"/>
          </w:tcPr>
          <w:p w14:paraId="703CA3B4">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w:t>
            </w:r>
          </w:p>
        </w:tc>
        <w:tc>
          <w:tcPr>
            <w:tcW w:w="1943" w:type="pct"/>
            <w:vMerge w:val="continue"/>
            <w:vAlign w:val="center"/>
          </w:tcPr>
          <w:p w14:paraId="4AD150A7">
            <w:pPr>
              <w:adjustRightInd w:val="0"/>
              <w:snapToGrid w:val="0"/>
              <w:rPr>
                <w:rFonts w:hint="default" w:ascii="Times New Roman" w:hAnsi="Times New Roman" w:cs="Times New Roman"/>
                <w:snapToGrid w:val="0"/>
                <w:color w:val="auto"/>
                <w:kern w:val="0"/>
                <w:szCs w:val="21"/>
                <w:highlight w:val="none"/>
              </w:rPr>
            </w:pPr>
          </w:p>
        </w:tc>
      </w:tr>
      <w:tr w14:paraId="055E13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25" w:type="dxa"/>
            <w:vAlign w:val="center"/>
          </w:tcPr>
          <w:p w14:paraId="62B319E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kern w:val="0"/>
                <w:szCs w:val="21"/>
                <w:highlight w:val="none"/>
              </w:rPr>
              <w:t>O</w:t>
            </w:r>
            <w:r>
              <w:rPr>
                <w:rFonts w:hint="default" w:ascii="Times New Roman" w:hAnsi="Times New Roman" w:cs="Times New Roman"/>
                <w:snapToGrid w:val="0"/>
                <w:color w:val="auto"/>
                <w:kern w:val="0"/>
                <w:szCs w:val="21"/>
                <w:highlight w:val="none"/>
                <w:vertAlign w:val="subscript"/>
              </w:rPr>
              <w:t>3</w:t>
            </w:r>
          </w:p>
        </w:tc>
        <w:tc>
          <w:tcPr>
            <w:tcW w:w="832" w:type="pct"/>
            <w:vAlign w:val="center"/>
          </w:tcPr>
          <w:p w14:paraId="741684F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kern w:val="0"/>
                <w:szCs w:val="21"/>
                <w:highlight w:val="none"/>
              </w:rPr>
              <w:t>1小时平均</w:t>
            </w:r>
          </w:p>
        </w:tc>
        <w:tc>
          <w:tcPr>
            <w:tcW w:w="1329" w:type="pct"/>
            <w:vAlign w:val="center"/>
          </w:tcPr>
          <w:p w14:paraId="67D41EC0">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200</w:t>
            </w:r>
          </w:p>
        </w:tc>
        <w:tc>
          <w:tcPr>
            <w:tcW w:w="1943" w:type="pct"/>
            <w:vMerge w:val="continue"/>
            <w:vAlign w:val="center"/>
          </w:tcPr>
          <w:p w14:paraId="6877FC1F">
            <w:pPr>
              <w:adjustRightInd w:val="0"/>
              <w:snapToGrid w:val="0"/>
              <w:rPr>
                <w:rFonts w:hint="default" w:ascii="Times New Roman" w:hAnsi="Times New Roman" w:cs="Times New Roman"/>
                <w:snapToGrid w:val="0"/>
                <w:color w:val="auto"/>
                <w:kern w:val="0"/>
                <w:szCs w:val="21"/>
                <w:highlight w:val="none"/>
              </w:rPr>
            </w:pPr>
          </w:p>
        </w:tc>
      </w:tr>
      <w:tr w14:paraId="40E40A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5" w:type="pct"/>
            <w:vAlign w:val="center"/>
          </w:tcPr>
          <w:p w14:paraId="0EE8780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PM</w:t>
            </w:r>
            <w:r>
              <w:rPr>
                <w:rFonts w:hint="default" w:ascii="Times New Roman" w:hAnsi="Times New Roman" w:cs="Times New Roman"/>
                <w:color w:val="auto"/>
                <w:kern w:val="0"/>
                <w:szCs w:val="21"/>
                <w:highlight w:val="none"/>
                <w:vertAlign w:val="subscript"/>
                <w:lang w:val="en-US" w:eastAsia="zh-CN"/>
              </w:rPr>
              <w:t>2.5</w:t>
            </w:r>
          </w:p>
        </w:tc>
        <w:tc>
          <w:tcPr>
            <w:tcW w:w="832" w:type="pct"/>
            <w:vAlign w:val="center"/>
          </w:tcPr>
          <w:p w14:paraId="107B1FA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24h平均值</w:t>
            </w:r>
          </w:p>
        </w:tc>
        <w:tc>
          <w:tcPr>
            <w:tcW w:w="1329" w:type="pct"/>
            <w:vAlign w:val="center"/>
          </w:tcPr>
          <w:p w14:paraId="75F2340F">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75</w:t>
            </w:r>
          </w:p>
        </w:tc>
        <w:tc>
          <w:tcPr>
            <w:tcW w:w="1943" w:type="pct"/>
            <w:vMerge w:val="continue"/>
            <w:vAlign w:val="center"/>
          </w:tcPr>
          <w:p w14:paraId="652BADD4">
            <w:pPr>
              <w:adjustRightInd w:val="0"/>
              <w:snapToGrid w:val="0"/>
              <w:rPr>
                <w:rFonts w:hint="default" w:ascii="Times New Roman" w:hAnsi="Times New Roman" w:cs="Times New Roman"/>
                <w:snapToGrid w:val="0"/>
                <w:color w:val="auto"/>
                <w:kern w:val="0"/>
                <w:szCs w:val="21"/>
                <w:highlight w:val="none"/>
              </w:rPr>
            </w:pPr>
          </w:p>
        </w:tc>
      </w:tr>
      <w:tr w14:paraId="790BBB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5" w:type="pct"/>
            <w:vAlign w:val="center"/>
          </w:tcPr>
          <w:p w14:paraId="7F0C534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PM</w:t>
            </w:r>
            <w:r>
              <w:rPr>
                <w:rFonts w:hint="default" w:ascii="Times New Roman" w:hAnsi="Times New Roman" w:cs="Times New Roman"/>
                <w:color w:val="auto"/>
                <w:kern w:val="0"/>
                <w:szCs w:val="21"/>
                <w:highlight w:val="none"/>
                <w:vertAlign w:val="subscript"/>
              </w:rPr>
              <w:t>10</w:t>
            </w:r>
          </w:p>
        </w:tc>
        <w:tc>
          <w:tcPr>
            <w:tcW w:w="832" w:type="pct"/>
            <w:vAlign w:val="center"/>
          </w:tcPr>
          <w:p w14:paraId="348A7B7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24h平均值</w:t>
            </w:r>
          </w:p>
        </w:tc>
        <w:tc>
          <w:tcPr>
            <w:tcW w:w="1329" w:type="pct"/>
            <w:vAlign w:val="center"/>
          </w:tcPr>
          <w:p w14:paraId="6565F107">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150</w:t>
            </w:r>
          </w:p>
        </w:tc>
        <w:tc>
          <w:tcPr>
            <w:tcW w:w="1943" w:type="pct"/>
            <w:vMerge w:val="continue"/>
            <w:vAlign w:val="center"/>
          </w:tcPr>
          <w:p w14:paraId="1108B269">
            <w:pPr>
              <w:adjustRightInd w:val="0"/>
              <w:snapToGrid w:val="0"/>
              <w:rPr>
                <w:rFonts w:hint="default" w:ascii="Times New Roman" w:hAnsi="Times New Roman" w:cs="Times New Roman"/>
                <w:snapToGrid w:val="0"/>
                <w:color w:val="auto"/>
                <w:kern w:val="0"/>
                <w:szCs w:val="21"/>
                <w:highlight w:val="none"/>
              </w:rPr>
            </w:pPr>
          </w:p>
        </w:tc>
      </w:tr>
      <w:tr w14:paraId="43C8B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5" w:type="pct"/>
            <w:vAlign w:val="center"/>
          </w:tcPr>
          <w:p w14:paraId="32C676F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TSP</w:t>
            </w:r>
          </w:p>
        </w:tc>
        <w:tc>
          <w:tcPr>
            <w:tcW w:w="832" w:type="pct"/>
            <w:vAlign w:val="center"/>
          </w:tcPr>
          <w:p w14:paraId="5411B99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24h平均值</w:t>
            </w:r>
          </w:p>
        </w:tc>
        <w:tc>
          <w:tcPr>
            <w:tcW w:w="1329" w:type="pct"/>
            <w:vAlign w:val="center"/>
          </w:tcPr>
          <w:p w14:paraId="25C6D7B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300</w:t>
            </w:r>
          </w:p>
        </w:tc>
        <w:tc>
          <w:tcPr>
            <w:tcW w:w="1943" w:type="pct"/>
            <w:vMerge w:val="continue"/>
            <w:vAlign w:val="center"/>
          </w:tcPr>
          <w:p w14:paraId="080F0FC3">
            <w:pPr>
              <w:adjustRightInd w:val="0"/>
              <w:snapToGrid w:val="0"/>
              <w:rPr>
                <w:rFonts w:hint="default" w:ascii="Times New Roman" w:hAnsi="Times New Roman" w:cs="Times New Roman"/>
                <w:color w:val="auto"/>
                <w:kern w:val="0"/>
                <w:szCs w:val="21"/>
                <w:highlight w:val="none"/>
              </w:rPr>
            </w:pPr>
          </w:p>
        </w:tc>
      </w:tr>
      <w:tr w14:paraId="274377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5" w:type="pct"/>
            <w:vAlign w:val="center"/>
          </w:tcPr>
          <w:p w14:paraId="05AB350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苯并[a]芘</w:t>
            </w:r>
          </w:p>
        </w:tc>
        <w:tc>
          <w:tcPr>
            <w:tcW w:w="832" w:type="pct"/>
            <w:vAlign w:val="center"/>
          </w:tcPr>
          <w:p w14:paraId="1F1F0D4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24h平均值</w:t>
            </w:r>
          </w:p>
        </w:tc>
        <w:tc>
          <w:tcPr>
            <w:tcW w:w="1329" w:type="pct"/>
            <w:vAlign w:val="center"/>
          </w:tcPr>
          <w:p w14:paraId="1F215D8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0.00</w:t>
            </w:r>
            <w:r>
              <w:rPr>
                <w:rFonts w:hint="default" w:ascii="Times New Roman" w:hAnsi="Times New Roman" w:cs="Times New Roman"/>
                <w:color w:val="auto"/>
                <w:kern w:val="0"/>
                <w:szCs w:val="21"/>
                <w:highlight w:val="none"/>
                <w:lang w:val="en-US" w:eastAsia="zh-CN"/>
              </w:rPr>
              <w:t>2</w:t>
            </w:r>
            <w:r>
              <w:rPr>
                <w:rFonts w:hint="default" w:ascii="Times New Roman" w:hAnsi="Times New Roman" w:cs="Times New Roman"/>
                <w:color w:val="auto"/>
                <w:kern w:val="0"/>
                <w:szCs w:val="21"/>
                <w:highlight w:val="none"/>
              </w:rPr>
              <w:t>5</w:t>
            </w:r>
          </w:p>
        </w:tc>
        <w:tc>
          <w:tcPr>
            <w:tcW w:w="1943" w:type="pct"/>
            <w:vMerge w:val="continue"/>
            <w:vAlign w:val="center"/>
          </w:tcPr>
          <w:p w14:paraId="62F10D8A">
            <w:pPr>
              <w:adjustRightInd w:val="0"/>
              <w:snapToGrid w:val="0"/>
              <w:rPr>
                <w:rFonts w:hint="default" w:ascii="Times New Roman" w:hAnsi="Times New Roman" w:cs="Times New Roman"/>
                <w:color w:val="auto"/>
                <w:kern w:val="0"/>
                <w:szCs w:val="21"/>
                <w:highlight w:val="none"/>
              </w:rPr>
            </w:pPr>
          </w:p>
        </w:tc>
      </w:tr>
      <w:tr w14:paraId="0ABE8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5" w:type="pct"/>
            <w:vAlign w:val="center"/>
          </w:tcPr>
          <w:p w14:paraId="61D69DD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沥青烟</w:t>
            </w:r>
          </w:p>
        </w:tc>
        <w:tc>
          <w:tcPr>
            <w:tcW w:w="832" w:type="pct"/>
            <w:vAlign w:val="center"/>
          </w:tcPr>
          <w:p w14:paraId="35D7A89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24h平均值</w:t>
            </w:r>
          </w:p>
        </w:tc>
        <w:tc>
          <w:tcPr>
            <w:tcW w:w="1329" w:type="pct"/>
            <w:vAlign w:val="center"/>
          </w:tcPr>
          <w:p w14:paraId="00BA1F0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63.7</w:t>
            </w:r>
          </w:p>
        </w:tc>
        <w:tc>
          <w:tcPr>
            <w:tcW w:w="1943" w:type="pct"/>
            <w:vAlign w:val="center"/>
          </w:tcPr>
          <w:p w14:paraId="0AC46CBE">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《大气污染物综合排放标准详解》</w:t>
            </w:r>
          </w:p>
        </w:tc>
      </w:tr>
      <w:tr w14:paraId="0E023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95" w:type="pct"/>
            <w:vAlign w:val="center"/>
          </w:tcPr>
          <w:p w14:paraId="1B38A36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非甲烷总烃</w:t>
            </w:r>
          </w:p>
        </w:tc>
        <w:tc>
          <w:tcPr>
            <w:tcW w:w="832" w:type="pct"/>
            <w:vAlign w:val="center"/>
          </w:tcPr>
          <w:p w14:paraId="5679BA1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1h平均值</w:t>
            </w:r>
          </w:p>
        </w:tc>
        <w:tc>
          <w:tcPr>
            <w:tcW w:w="1329" w:type="pct"/>
            <w:vAlign w:val="center"/>
          </w:tcPr>
          <w:p w14:paraId="2B9FEAE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1943" w:type="pct"/>
            <w:vAlign w:val="center"/>
          </w:tcPr>
          <w:p w14:paraId="6D222F45">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《大气污染物综合排放标准详解》</w:t>
            </w:r>
          </w:p>
        </w:tc>
      </w:tr>
    </w:tbl>
    <w:p w14:paraId="09BDCE20">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表1-11 估算模型参数表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2443"/>
        <w:gridCol w:w="143"/>
        <w:gridCol w:w="3163"/>
        <w:gridCol w:w="2671"/>
      </w:tblGrid>
      <w:tr w14:paraId="4D7DC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413" w:type="pct"/>
            <w:gridSpan w:val="3"/>
            <w:vAlign w:val="center"/>
          </w:tcPr>
          <w:p w14:paraId="42D73AE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参数</w:t>
            </w:r>
          </w:p>
        </w:tc>
        <w:tc>
          <w:tcPr>
            <w:tcW w:w="1587" w:type="pct"/>
            <w:vAlign w:val="center"/>
          </w:tcPr>
          <w:p w14:paraId="4899DBA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取值</w:t>
            </w:r>
          </w:p>
        </w:tc>
      </w:tr>
      <w:tr w14:paraId="016DF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536" w:type="pct"/>
            <w:gridSpan w:val="2"/>
            <w:vMerge w:val="restart"/>
            <w:vAlign w:val="center"/>
          </w:tcPr>
          <w:p w14:paraId="78055AD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城市/农村选项</w:t>
            </w:r>
          </w:p>
        </w:tc>
        <w:tc>
          <w:tcPr>
            <w:tcW w:w="1877" w:type="pct"/>
            <w:vAlign w:val="center"/>
          </w:tcPr>
          <w:p w14:paraId="665431E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城市/农村</w:t>
            </w:r>
          </w:p>
        </w:tc>
        <w:tc>
          <w:tcPr>
            <w:tcW w:w="1587" w:type="pct"/>
            <w:vAlign w:val="center"/>
          </w:tcPr>
          <w:p w14:paraId="7D783F7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农村</w:t>
            </w:r>
          </w:p>
        </w:tc>
      </w:tr>
      <w:tr w14:paraId="38830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536" w:type="pct"/>
            <w:gridSpan w:val="2"/>
            <w:vMerge w:val="continue"/>
            <w:vAlign w:val="center"/>
          </w:tcPr>
          <w:p w14:paraId="5DBD2943">
            <w:pPr>
              <w:adjustRightInd w:val="0"/>
              <w:snapToGrid w:val="0"/>
              <w:jc w:val="center"/>
              <w:rPr>
                <w:rFonts w:hint="default" w:ascii="Times New Roman" w:hAnsi="Times New Roman" w:cs="Times New Roman"/>
                <w:color w:val="auto"/>
                <w:kern w:val="0"/>
                <w:szCs w:val="21"/>
                <w:highlight w:val="none"/>
              </w:rPr>
            </w:pPr>
          </w:p>
        </w:tc>
        <w:tc>
          <w:tcPr>
            <w:tcW w:w="1877" w:type="pct"/>
            <w:vAlign w:val="center"/>
          </w:tcPr>
          <w:p w14:paraId="561F46A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人口数（城市选项时）</w:t>
            </w:r>
          </w:p>
        </w:tc>
        <w:tc>
          <w:tcPr>
            <w:tcW w:w="1587" w:type="pct"/>
            <w:vAlign w:val="center"/>
          </w:tcPr>
          <w:p w14:paraId="6D21281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r>
      <w:tr w14:paraId="360BC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413" w:type="pct"/>
            <w:gridSpan w:val="3"/>
            <w:vAlign w:val="center"/>
          </w:tcPr>
          <w:p w14:paraId="73C7903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最高环境温度/℃</w:t>
            </w:r>
          </w:p>
        </w:tc>
        <w:tc>
          <w:tcPr>
            <w:tcW w:w="1587" w:type="pct"/>
            <w:vAlign w:val="center"/>
          </w:tcPr>
          <w:p w14:paraId="6A12357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w:t>
            </w:r>
            <w:r>
              <w:rPr>
                <w:rFonts w:hint="default" w:ascii="Times New Roman" w:hAnsi="Times New Roman" w:cs="Times New Roman"/>
                <w:color w:val="auto"/>
                <w:kern w:val="0"/>
                <w:szCs w:val="21"/>
                <w:highlight w:val="none"/>
                <w:lang w:val="en-US" w:eastAsia="zh-CN"/>
              </w:rPr>
              <w:t>8.2</w:t>
            </w:r>
            <w:r>
              <w:rPr>
                <w:rFonts w:hint="default" w:ascii="Times New Roman" w:hAnsi="Times New Roman" w:cs="Times New Roman"/>
                <w:color w:val="auto"/>
                <w:kern w:val="0"/>
                <w:szCs w:val="21"/>
                <w:highlight w:val="none"/>
              </w:rPr>
              <w:t>°C</w:t>
            </w:r>
          </w:p>
        </w:tc>
      </w:tr>
      <w:tr w14:paraId="5E701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413" w:type="pct"/>
            <w:gridSpan w:val="3"/>
            <w:vAlign w:val="center"/>
          </w:tcPr>
          <w:p w14:paraId="2FADF2C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最低环境温度/℃</w:t>
            </w:r>
          </w:p>
        </w:tc>
        <w:tc>
          <w:tcPr>
            <w:tcW w:w="1587" w:type="pct"/>
            <w:vAlign w:val="center"/>
          </w:tcPr>
          <w:p w14:paraId="6A86ED2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w:t>
            </w:r>
            <w:r>
              <w:rPr>
                <w:rFonts w:hint="default" w:ascii="Times New Roman" w:hAnsi="Times New Roman" w:cs="Times New Roman"/>
                <w:color w:val="auto"/>
                <w:kern w:val="0"/>
                <w:szCs w:val="21"/>
                <w:highlight w:val="none"/>
                <w:lang w:val="en-US" w:eastAsia="zh-CN"/>
              </w:rPr>
              <w:t>6.1</w:t>
            </w:r>
            <w:r>
              <w:rPr>
                <w:rFonts w:hint="default" w:ascii="Times New Roman" w:hAnsi="Times New Roman" w:cs="Times New Roman"/>
                <w:color w:val="auto"/>
                <w:kern w:val="0"/>
                <w:szCs w:val="21"/>
                <w:highlight w:val="none"/>
              </w:rPr>
              <w:t>°C</w:t>
            </w:r>
          </w:p>
        </w:tc>
      </w:tr>
      <w:tr w14:paraId="15088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413" w:type="pct"/>
            <w:gridSpan w:val="3"/>
            <w:vAlign w:val="center"/>
          </w:tcPr>
          <w:p w14:paraId="7E45F87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土地利用类型</w:t>
            </w:r>
          </w:p>
        </w:tc>
        <w:tc>
          <w:tcPr>
            <w:tcW w:w="1587" w:type="pct"/>
            <w:vAlign w:val="center"/>
          </w:tcPr>
          <w:p w14:paraId="558C6C1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农田</w:t>
            </w:r>
          </w:p>
        </w:tc>
      </w:tr>
      <w:tr w14:paraId="317B5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413" w:type="pct"/>
            <w:gridSpan w:val="3"/>
            <w:vAlign w:val="center"/>
          </w:tcPr>
          <w:p w14:paraId="375383D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区域湿度条件</w:t>
            </w:r>
          </w:p>
        </w:tc>
        <w:tc>
          <w:tcPr>
            <w:tcW w:w="1587" w:type="pct"/>
            <w:vAlign w:val="center"/>
          </w:tcPr>
          <w:p w14:paraId="635010D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潮湿</w:t>
            </w:r>
          </w:p>
        </w:tc>
      </w:tr>
      <w:tr w14:paraId="37944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451" w:type="pct"/>
            <w:vMerge w:val="restart"/>
            <w:vAlign w:val="center"/>
          </w:tcPr>
          <w:p w14:paraId="0C82B98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是否考虑地形</w:t>
            </w:r>
          </w:p>
        </w:tc>
        <w:tc>
          <w:tcPr>
            <w:tcW w:w="1963" w:type="pct"/>
            <w:gridSpan w:val="2"/>
            <w:vAlign w:val="center"/>
          </w:tcPr>
          <w:p w14:paraId="389862A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考虑地形</w:t>
            </w:r>
          </w:p>
        </w:tc>
        <w:tc>
          <w:tcPr>
            <w:tcW w:w="1587" w:type="pct"/>
            <w:vAlign w:val="center"/>
          </w:tcPr>
          <w:p w14:paraId="49C9A87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口是   √否</w:t>
            </w:r>
          </w:p>
        </w:tc>
      </w:tr>
      <w:tr w14:paraId="786E9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451" w:type="pct"/>
            <w:vMerge w:val="continue"/>
            <w:vAlign w:val="center"/>
          </w:tcPr>
          <w:p w14:paraId="4EECEB35">
            <w:pPr>
              <w:adjustRightInd w:val="0"/>
              <w:snapToGrid w:val="0"/>
              <w:jc w:val="center"/>
              <w:rPr>
                <w:rFonts w:hint="default" w:ascii="Times New Roman" w:hAnsi="Times New Roman" w:cs="Times New Roman"/>
                <w:color w:val="auto"/>
                <w:kern w:val="0"/>
                <w:szCs w:val="21"/>
                <w:highlight w:val="none"/>
              </w:rPr>
            </w:pPr>
          </w:p>
        </w:tc>
        <w:tc>
          <w:tcPr>
            <w:tcW w:w="1963" w:type="pct"/>
            <w:gridSpan w:val="2"/>
            <w:vAlign w:val="center"/>
          </w:tcPr>
          <w:p w14:paraId="24FA886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地形数据分辨率/m</w:t>
            </w:r>
          </w:p>
        </w:tc>
        <w:tc>
          <w:tcPr>
            <w:tcW w:w="1587" w:type="pct"/>
            <w:vAlign w:val="center"/>
          </w:tcPr>
          <w:p w14:paraId="1CA1496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r>
      <w:tr w14:paraId="4D9D9D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451" w:type="pct"/>
            <w:vMerge w:val="restart"/>
            <w:vAlign w:val="center"/>
          </w:tcPr>
          <w:p w14:paraId="71C6AE9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是否考虑岸线熏烟</w:t>
            </w:r>
          </w:p>
        </w:tc>
        <w:tc>
          <w:tcPr>
            <w:tcW w:w="1963" w:type="pct"/>
            <w:gridSpan w:val="2"/>
            <w:vAlign w:val="center"/>
          </w:tcPr>
          <w:p w14:paraId="351BDDB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岸线距离/km</w:t>
            </w:r>
          </w:p>
        </w:tc>
        <w:tc>
          <w:tcPr>
            <w:tcW w:w="1587" w:type="pct"/>
            <w:vAlign w:val="center"/>
          </w:tcPr>
          <w:p w14:paraId="7D0749D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口是    √否</w:t>
            </w:r>
          </w:p>
        </w:tc>
      </w:tr>
      <w:tr w14:paraId="3588C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451" w:type="pct"/>
            <w:vMerge w:val="continue"/>
            <w:vAlign w:val="center"/>
          </w:tcPr>
          <w:p w14:paraId="41ABCCBC">
            <w:pPr>
              <w:adjustRightInd w:val="0"/>
              <w:snapToGrid w:val="0"/>
              <w:jc w:val="center"/>
              <w:rPr>
                <w:rFonts w:hint="default" w:ascii="Times New Roman" w:hAnsi="Times New Roman" w:cs="Times New Roman"/>
                <w:color w:val="auto"/>
                <w:kern w:val="0"/>
                <w:szCs w:val="21"/>
                <w:highlight w:val="none"/>
              </w:rPr>
            </w:pPr>
          </w:p>
        </w:tc>
        <w:tc>
          <w:tcPr>
            <w:tcW w:w="1963" w:type="pct"/>
            <w:gridSpan w:val="2"/>
            <w:vAlign w:val="center"/>
          </w:tcPr>
          <w:p w14:paraId="7AD0ADF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岸线方向/°</w:t>
            </w:r>
          </w:p>
        </w:tc>
        <w:tc>
          <w:tcPr>
            <w:tcW w:w="1587" w:type="pct"/>
            <w:vAlign w:val="center"/>
          </w:tcPr>
          <w:p w14:paraId="0780D57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r>
    </w:tbl>
    <w:p w14:paraId="2E859404">
      <w:pPr>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表1-12 有组织污染源预测参数</w:t>
      </w:r>
    </w:p>
    <w:tbl>
      <w:tblPr>
        <w:tblStyle w:val="30"/>
        <w:tblW w:w="4989" w:type="pct"/>
        <w:tblInd w:w="2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66"/>
        <w:gridCol w:w="1095"/>
        <w:gridCol w:w="1264"/>
        <w:gridCol w:w="1159"/>
        <w:gridCol w:w="519"/>
        <w:gridCol w:w="341"/>
        <w:gridCol w:w="401"/>
        <w:gridCol w:w="371"/>
        <w:gridCol w:w="558"/>
        <w:gridCol w:w="476"/>
        <w:gridCol w:w="266"/>
        <w:gridCol w:w="529"/>
        <w:gridCol w:w="563"/>
        <w:gridCol w:w="536"/>
      </w:tblGrid>
      <w:tr w14:paraId="2EC7D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18" w:hRule="atLeast"/>
        </w:trPr>
        <w:tc>
          <w:tcPr>
            <w:tcW w:w="159" w:type="pct"/>
            <w:vMerge w:val="restart"/>
            <w:vAlign w:val="center"/>
          </w:tcPr>
          <w:p w14:paraId="5295A98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编号</w:t>
            </w:r>
          </w:p>
        </w:tc>
        <w:tc>
          <w:tcPr>
            <w:tcW w:w="656" w:type="pct"/>
            <w:vMerge w:val="restart"/>
            <w:vAlign w:val="center"/>
          </w:tcPr>
          <w:p w14:paraId="699D45C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名称</w:t>
            </w:r>
          </w:p>
        </w:tc>
        <w:tc>
          <w:tcPr>
            <w:tcW w:w="1451" w:type="pct"/>
            <w:gridSpan w:val="2"/>
            <w:vAlign w:val="center"/>
          </w:tcPr>
          <w:p w14:paraId="5508A5B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排气筒底部</w:t>
            </w:r>
          </w:p>
          <w:p w14:paraId="11CA1A7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中心坐标(</w:t>
            </w:r>
            <w:r>
              <w:rPr>
                <w:rFonts w:hint="default" w:ascii="Times New Roman" w:hAnsi="Times New Roman" w:cs="Times New Roman"/>
                <w:color w:val="auto"/>
                <w:kern w:val="0"/>
                <w:szCs w:val="21"/>
                <w:highlight w:val="none"/>
                <w:vertAlign w:val="superscript"/>
              </w:rPr>
              <w:t>o</w:t>
            </w:r>
            <w:r>
              <w:rPr>
                <w:rFonts w:hint="default" w:ascii="Times New Roman" w:hAnsi="Times New Roman" w:cs="Times New Roman"/>
                <w:color w:val="auto"/>
                <w:kern w:val="0"/>
                <w:szCs w:val="21"/>
                <w:highlight w:val="none"/>
              </w:rPr>
              <w:t>)</w:t>
            </w:r>
          </w:p>
        </w:tc>
        <w:tc>
          <w:tcPr>
            <w:tcW w:w="311" w:type="pct"/>
            <w:vMerge w:val="restart"/>
            <w:vAlign w:val="center"/>
          </w:tcPr>
          <w:p w14:paraId="79E0B64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排气筒底部海拔高度/m</w:t>
            </w:r>
          </w:p>
        </w:tc>
        <w:tc>
          <w:tcPr>
            <w:tcW w:w="204" w:type="pct"/>
            <w:vMerge w:val="restart"/>
            <w:vAlign w:val="center"/>
          </w:tcPr>
          <w:p w14:paraId="3BC2AB4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排气筒高度/m</w:t>
            </w:r>
          </w:p>
        </w:tc>
        <w:tc>
          <w:tcPr>
            <w:tcW w:w="240" w:type="pct"/>
            <w:vMerge w:val="restart"/>
            <w:vAlign w:val="center"/>
          </w:tcPr>
          <w:p w14:paraId="126F9E2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排气筒出口内径/m</w:t>
            </w:r>
          </w:p>
        </w:tc>
        <w:tc>
          <w:tcPr>
            <w:tcW w:w="222" w:type="pct"/>
            <w:vMerge w:val="restart"/>
            <w:vAlign w:val="center"/>
          </w:tcPr>
          <w:p w14:paraId="4084E7F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烟气温度/℃</w:t>
            </w:r>
          </w:p>
        </w:tc>
        <w:tc>
          <w:tcPr>
            <w:tcW w:w="334" w:type="pct"/>
            <w:vMerge w:val="restart"/>
            <w:vAlign w:val="center"/>
          </w:tcPr>
          <w:p w14:paraId="5547E4D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烟气</w:t>
            </w:r>
          </w:p>
          <w:p w14:paraId="4F75470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流速</w:t>
            </w:r>
          </w:p>
          <w:p w14:paraId="0F52473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/(m/s)</w:t>
            </w:r>
          </w:p>
        </w:tc>
        <w:tc>
          <w:tcPr>
            <w:tcW w:w="285" w:type="pct"/>
            <w:vMerge w:val="restart"/>
            <w:vAlign w:val="center"/>
          </w:tcPr>
          <w:p w14:paraId="6BC76A2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年排放小时数/h</w:t>
            </w:r>
          </w:p>
        </w:tc>
        <w:tc>
          <w:tcPr>
            <w:tcW w:w="159" w:type="pct"/>
            <w:vMerge w:val="restart"/>
            <w:vAlign w:val="center"/>
          </w:tcPr>
          <w:p w14:paraId="6BD1F46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排放工况</w:t>
            </w:r>
          </w:p>
        </w:tc>
        <w:tc>
          <w:tcPr>
            <w:tcW w:w="974" w:type="pct"/>
            <w:gridSpan w:val="3"/>
            <w:vAlign w:val="center"/>
          </w:tcPr>
          <w:p w14:paraId="22946E8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排放速率/（kg/h）</w:t>
            </w:r>
          </w:p>
        </w:tc>
      </w:tr>
      <w:tr w14:paraId="5825D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08" w:hRule="atLeast"/>
        </w:trPr>
        <w:tc>
          <w:tcPr>
            <w:tcW w:w="159" w:type="pct"/>
            <w:vMerge w:val="continue"/>
            <w:vAlign w:val="center"/>
          </w:tcPr>
          <w:p w14:paraId="08A7D8D2">
            <w:pPr>
              <w:adjustRightInd w:val="0"/>
              <w:snapToGrid w:val="0"/>
              <w:jc w:val="center"/>
              <w:rPr>
                <w:rFonts w:hint="default" w:ascii="Times New Roman" w:hAnsi="Times New Roman" w:cs="Times New Roman"/>
                <w:color w:val="auto"/>
                <w:kern w:val="0"/>
                <w:szCs w:val="21"/>
                <w:highlight w:val="none"/>
              </w:rPr>
            </w:pPr>
          </w:p>
        </w:tc>
        <w:tc>
          <w:tcPr>
            <w:tcW w:w="656" w:type="pct"/>
            <w:vMerge w:val="continue"/>
            <w:vAlign w:val="center"/>
          </w:tcPr>
          <w:p w14:paraId="370D49FF">
            <w:pPr>
              <w:adjustRightInd w:val="0"/>
              <w:snapToGrid w:val="0"/>
              <w:jc w:val="center"/>
              <w:rPr>
                <w:rFonts w:hint="default" w:ascii="Times New Roman" w:hAnsi="Times New Roman" w:cs="Times New Roman"/>
                <w:color w:val="auto"/>
                <w:kern w:val="0"/>
                <w:szCs w:val="21"/>
                <w:highlight w:val="none"/>
              </w:rPr>
            </w:pPr>
          </w:p>
        </w:tc>
        <w:tc>
          <w:tcPr>
            <w:tcW w:w="757" w:type="pct"/>
            <w:vAlign w:val="center"/>
          </w:tcPr>
          <w:p w14:paraId="22B0661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东经</w:t>
            </w:r>
          </w:p>
        </w:tc>
        <w:tc>
          <w:tcPr>
            <w:tcW w:w="694" w:type="pct"/>
            <w:vAlign w:val="center"/>
          </w:tcPr>
          <w:p w14:paraId="31E0F4B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北纬</w:t>
            </w:r>
          </w:p>
        </w:tc>
        <w:tc>
          <w:tcPr>
            <w:tcW w:w="311" w:type="pct"/>
            <w:vMerge w:val="continue"/>
            <w:vAlign w:val="center"/>
          </w:tcPr>
          <w:p w14:paraId="3D162853">
            <w:pPr>
              <w:adjustRightInd w:val="0"/>
              <w:snapToGrid w:val="0"/>
              <w:jc w:val="center"/>
              <w:rPr>
                <w:rFonts w:hint="default" w:ascii="Times New Roman" w:hAnsi="Times New Roman" w:cs="Times New Roman"/>
                <w:color w:val="auto"/>
                <w:kern w:val="0"/>
                <w:szCs w:val="21"/>
                <w:highlight w:val="none"/>
              </w:rPr>
            </w:pPr>
          </w:p>
        </w:tc>
        <w:tc>
          <w:tcPr>
            <w:tcW w:w="204" w:type="pct"/>
            <w:vMerge w:val="continue"/>
            <w:vAlign w:val="center"/>
          </w:tcPr>
          <w:p w14:paraId="054D4D71">
            <w:pPr>
              <w:adjustRightInd w:val="0"/>
              <w:snapToGrid w:val="0"/>
              <w:jc w:val="center"/>
              <w:rPr>
                <w:rFonts w:hint="default" w:ascii="Times New Roman" w:hAnsi="Times New Roman" w:cs="Times New Roman"/>
                <w:color w:val="auto"/>
                <w:kern w:val="0"/>
                <w:szCs w:val="21"/>
                <w:highlight w:val="none"/>
              </w:rPr>
            </w:pPr>
          </w:p>
        </w:tc>
        <w:tc>
          <w:tcPr>
            <w:tcW w:w="240" w:type="pct"/>
            <w:vMerge w:val="continue"/>
            <w:vAlign w:val="center"/>
          </w:tcPr>
          <w:p w14:paraId="12D3DACD">
            <w:pPr>
              <w:adjustRightInd w:val="0"/>
              <w:snapToGrid w:val="0"/>
              <w:jc w:val="center"/>
              <w:rPr>
                <w:rFonts w:hint="default" w:ascii="Times New Roman" w:hAnsi="Times New Roman" w:cs="Times New Roman"/>
                <w:color w:val="auto"/>
                <w:kern w:val="0"/>
                <w:szCs w:val="21"/>
                <w:highlight w:val="none"/>
              </w:rPr>
            </w:pPr>
          </w:p>
        </w:tc>
        <w:tc>
          <w:tcPr>
            <w:tcW w:w="222" w:type="pct"/>
            <w:vMerge w:val="continue"/>
            <w:vAlign w:val="center"/>
          </w:tcPr>
          <w:p w14:paraId="762A8E5B">
            <w:pPr>
              <w:adjustRightInd w:val="0"/>
              <w:snapToGrid w:val="0"/>
              <w:jc w:val="center"/>
              <w:rPr>
                <w:rFonts w:hint="default" w:ascii="Times New Roman" w:hAnsi="Times New Roman" w:cs="Times New Roman"/>
                <w:color w:val="auto"/>
                <w:kern w:val="0"/>
                <w:szCs w:val="21"/>
                <w:highlight w:val="none"/>
              </w:rPr>
            </w:pPr>
          </w:p>
        </w:tc>
        <w:tc>
          <w:tcPr>
            <w:tcW w:w="334" w:type="pct"/>
            <w:vMerge w:val="continue"/>
            <w:vAlign w:val="center"/>
          </w:tcPr>
          <w:p w14:paraId="0AA76978">
            <w:pPr>
              <w:adjustRightInd w:val="0"/>
              <w:snapToGrid w:val="0"/>
              <w:jc w:val="center"/>
              <w:rPr>
                <w:rFonts w:hint="default" w:ascii="Times New Roman" w:hAnsi="Times New Roman" w:cs="Times New Roman"/>
                <w:color w:val="auto"/>
                <w:kern w:val="0"/>
                <w:szCs w:val="21"/>
                <w:highlight w:val="none"/>
              </w:rPr>
            </w:pPr>
          </w:p>
        </w:tc>
        <w:tc>
          <w:tcPr>
            <w:tcW w:w="285" w:type="pct"/>
            <w:vMerge w:val="continue"/>
            <w:vAlign w:val="center"/>
          </w:tcPr>
          <w:p w14:paraId="15E0BF39">
            <w:pPr>
              <w:adjustRightInd w:val="0"/>
              <w:snapToGrid w:val="0"/>
              <w:jc w:val="center"/>
              <w:rPr>
                <w:rFonts w:hint="default" w:ascii="Times New Roman" w:hAnsi="Times New Roman" w:cs="Times New Roman"/>
                <w:color w:val="auto"/>
                <w:kern w:val="0"/>
                <w:szCs w:val="21"/>
                <w:highlight w:val="none"/>
              </w:rPr>
            </w:pPr>
          </w:p>
        </w:tc>
        <w:tc>
          <w:tcPr>
            <w:tcW w:w="159" w:type="pct"/>
            <w:vMerge w:val="continue"/>
            <w:vAlign w:val="center"/>
          </w:tcPr>
          <w:p w14:paraId="056A2ADA">
            <w:pPr>
              <w:adjustRightInd w:val="0"/>
              <w:snapToGrid w:val="0"/>
              <w:jc w:val="center"/>
              <w:rPr>
                <w:rFonts w:hint="default" w:ascii="Times New Roman" w:hAnsi="Times New Roman" w:cs="Times New Roman"/>
                <w:color w:val="auto"/>
                <w:kern w:val="0"/>
                <w:szCs w:val="21"/>
                <w:highlight w:val="none"/>
              </w:rPr>
            </w:pPr>
          </w:p>
        </w:tc>
        <w:tc>
          <w:tcPr>
            <w:tcW w:w="316" w:type="pct"/>
            <w:vAlign w:val="center"/>
          </w:tcPr>
          <w:p w14:paraId="0AB546E0">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10</w:t>
            </w:r>
          </w:p>
        </w:tc>
        <w:tc>
          <w:tcPr>
            <w:tcW w:w="337" w:type="pct"/>
            <w:vAlign w:val="center"/>
          </w:tcPr>
          <w:p w14:paraId="6A026523">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320" w:type="pct"/>
            <w:vAlign w:val="center"/>
          </w:tcPr>
          <w:p w14:paraId="25003283">
            <w:pPr>
              <w:contextualSpacing/>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lang w:val="en-US" w:eastAsia="zh-CN"/>
              </w:rPr>
              <w:t>2</w:t>
            </w:r>
          </w:p>
        </w:tc>
      </w:tr>
      <w:tr w14:paraId="7CBE4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076" w:hRule="atLeast"/>
        </w:trPr>
        <w:tc>
          <w:tcPr>
            <w:tcW w:w="159" w:type="pct"/>
            <w:vAlign w:val="center"/>
          </w:tcPr>
          <w:p w14:paraId="333C1C1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w:t>
            </w:r>
          </w:p>
        </w:tc>
        <w:tc>
          <w:tcPr>
            <w:tcW w:w="656" w:type="pct"/>
            <w:vAlign w:val="center"/>
          </w:tcPr>
          <w:p w14:paraId="5EA45C0B">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烘干、</w:t>
            </w:r>
            <w:r>
              <w:rPr>
                <w:rFonts w:hint="default" w:ascii="Times New Roman" w:hAnsi="Times New Roman" w:cs="Times New Roman"/>
                <w:color w:val="auto"/>
                <w:szCs w:val="21"/>
                <w:highlight w:val="none"/>
                <w:lang w:val="en-US" w:eastAsia="zh-CN"/>
              </w:rPr>
              <w:t>主</w:t>
            </w:r>
            <w:r>
              <w:rPr>
                <w:rFonts w:hint="default" w:ascii="Times New Roman" w:hAnsi="Times New Roman" w:cs="Times New Roman"/>
                <w:color w:val="auto"/>
                <w:szCs w:val="21"/>
                <w:highlight w:val="none"/>
              </w:rPr>
              <w:t>燃烧器</w:t>
            </w:r>
            <w:r>
              <w:rPr>
                <w:rFonts w:hint="default" w:ascii="Times New Roman" w:hAnsi="Times New Roman" w:cs="Times New Roman"/>
                <w:color w:val="auto"/>
                <w:szCs w:val="21"/>
                <w:highlight w:val="none"/>
                <w:lang w:val="en-US" w:eastAsia="zh-CN"/>
              </w:rPr>
              <w:t>排气筒</w:t>
            </w:r>
            <w:r>
              <w:rPr>
                <w:rFonts w:hint="default" w:ascii="Times New Roman" w:hAnsi="Times New Roman" w:cs="Times New Roman"/>
                <w:color w:val="auto"/>
                <w:szCs w:val="21"/>
                <w:highlight w:val="none"/>
              </w:rPr>
              <w:t>（DA00</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w:t>
            </w:r>
          </w:p>
        </w:tc>
        <w:tc>
          <w:tcPr>
            <w:tcW w:w="757" w:type="pct"/>
            <w:vAlign w:val="center"/>
          </w:tcPr>
          <w:p w14:paraId="59B6C54B">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133.031381</w:t>
            </w:r>
          </w:p>
        </w:tc>
        <w:tc>
          <w:tcPr>
            <w:tcW w:w="694" w:type="pct"/>
            <w:vAlign w:val="center"/>
          </w:tcPr>
          <w:p w14:paraId="3557E68C">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45.792421</w:t>
            </w:r>
          </w:p>
        </w:tc>
        <w:tc>
          <w:tcPr>
            <w:tcW w:w="311" w:type="pct"/>
            <w:vAlign w:val="center"/>
          </w:tcPr>
          <w:p w14:paraId="6AC6739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1</w:t>
            </w:r>
            <w:r>
              <w:rPr>
                <w:rFonts w:hint="default" w:ascii="Times New Roman" w:hAnsi="Times New Roman" w:cs="Times New Roman"/>
                <w:color w:val="auto"/>
                <w:kern w:val="0"/>
                <w:szCs w:val="21"/>
                <w:highlight w:val="none"/>
                <w:lang w:val="en-US" w:eastAsia="zh-CN"/>
              </w:rPr>
              <w:t>10</w:t>
            </w:r>
          </w:p>
        </w:tc>
        <w:tc>
          <w:tcPr>
            <w:tcW w:w="204" w:type="pct"/>
            <w:vAlign w:val="center"/>
          </w:tcPr>
          <w:p w14:paraId="6DFD498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15</w:t>
            </w:r>
          </w:p>
        </w:tc>
        <w:tc>
          <w:tcPr>
            <w:tcW w:w="240" w:type="pct"/>
            <w:vAlign w:val="center"/>
          </w:tcPr>
          <w:p w14:paraId="61D10A6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0.</w:t>
            </w:r>
            <w:r>
              <w:rPr>
                <w:rFonts w:hint="default" w:ascii="Times New Roman" w:hAnsi="Times New Roman" w:cs="Times New Roman"/>
                <w:color w:val="auto"/>
                <w:kern w:val="0"/>
                <w:szCs w:val="21"/>
                <w:highlight w:val="none"/>
                <w:lang w:val="en-US" w:eastAsia="zh-CN"/>
              </w:rPr>
              <w:t>5</w:t>
            </w:r>
          </w:p>
        </w:tc>
        <w:tc>
          <w:tcPr>
            <w:tcW w:w="222" w:type="pct"/>
            <w:vAlign w:val="center"/>
          </w:tcPr>
          <w:p w14:paraId="1903EFE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r>
              <w:rPr>
                <w:rFonts w:hint="default" w:ascii="Times New Roman" w:hAnsi="Times New Roman" w:cs="Times New Roman"/>
                <w:color w:val="auto"/>
                <w:kern w:val="0"/>
                <w:szCs w:val="21"/>
                <w:highlight w:val="none"/>
                <w:lang w:val="en-US" w:eastAsia="zh-CN"/>
              </w:rPr>
              <w:t>2</w:t>
            </w:r>
            <w:r>
              <w:rPr>
                <w:rFonts w:hint="default" w:ascii="Times New Roman" w:hAnsi="Times New Roman" w:cs="Times New Roman"/>
                <w:color w:val="auto"/>
                <w:kern w:val="0"/>
                <w:szCs w:val="21"/>
                <w:highlight w:val="none"/>
              </w:rPr>
              <w:t>0</w:t>
            </w:r>
          </w:p>
        </w:tc>
        <w:tc>
          <w:tcPr>
            <w:tcW w:w="334" w:type="pct"/>
            <w:vAlign w:val="center"/>
          </w:tcPr>
          <w:p w14:paraId="057F57D8">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18.62</w:t>
            </w:r>
          </w:p>
        </w:tc>
        <w:tc>
          <w:tcPr>
            <w:tcW w:w="285" w:type="pct"/>
            <w:vAlign w:val="center"/>
          </w:tcPr>
          <w:p w14:paraId="29E00A0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1200</w:t>
            </w:r>
          </w:p>
        </w:tc>
        <w:tc>
          <w:tcPr>
            <w:tcW w:w="159" w:type="pct"/>
            <w:vMerge w:val="restart"/>
            <w:vAlign w:val="center"/>
          </w:tcPr>
          <w:p w14:paraId="6F02560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正常</w:t>
            </w:r>
          </w:p>
        </w:tc>
        <w:tc>
          <w:tcPr>
            <w:tcW w:w="316" w:type="pct"/>
            <w:vAlign w:val="center"/>
          </w:tcPr>
          <w:p w14:paraId="13128C5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0.33</w:t>
            </w:r>
          </w:p>
        </w:tc>
        <w:tc>
          <w:tcPr>
            <w:tcW w:w="337" w:type="pct"/>
            <w:vAlign w:val="center"/>
          </w:tcPr>
          <w:p w14:paraId="2B9D20E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0.014</w:t>
            </w:r>
          </w:p>
        </w:tc>
        <w:tc>
          <w:tcPr>
            <w:tcW w:w="320" w:type="pct"/>
            <w:vAlign w:val="center"/>
          </w:tcPr>
          <w:p w14:paraId="0CFB337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1.411</w:t>
            </w:r>
          </w:p>
        </w:tc>
      </w:tr>
      <w:tr w14:paraId="024A7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61" w:hRule="atLeast"/>
        </w:trPr>
        <w:tc>
          <w:tcPr>
            <w:tcW w:w="159" w:type="pct"/>
            <w:vAlign w:val="center"/>
          </w:tcPr>
          <w:p w14:paraId="610F8C0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w:t>
            </w:r>
          </w:p>
        </w:tc>
        <w:tc>
          <w:tcPr>
            <w:tcW w:w="656" w:type="pct"/>
            <w:vAlign w:val="center"/>
          </w:tcPr>
          <w:p w14:paraId="6AF55DA0">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导热油炉</w:t>
            </w:r>
            <w:r>
              <w:rPr>
                <w:rFonts w:hint="default" w:ascii="Times New Roman" w:hAnsi="Times New Roman" w:cs="Times New Roman"/>
                <w:color w:val="auto"/>
                <w:szCs w:val="21"/>
                <w:highlight w:val="none"/>
                <w:lang w:val="en-US" w:eastAsia="zh-CN"/>
              </w:rPr>
              <w:t>排气筒</w:t>
            </w:r>
            <w:r>
              <w:rPr>
                <w:rFonts w:hint="default" w:ascii="Times New Roman" w:hAnsi="Times New Roman" w:cs="Times New Roman"/>
                <w:color w:val="auto"/>
                <w:szCs w:val="21"/>
                <w:highlight w:val="none"/>
              </w:rPr>
              <w:t>（DA00</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w:t>
            </w:r>
          </w:p>
        </w:tc>
        <w:tc>
          <w:tcPr>
            <w:tcW w:w="757" w:type="pct"/>
            <w:vAlign w:val="center"/>
          </w:tcPr>
          <w:p w14:paraId="76BBB733">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133.031397</w:t>
            </w:r>
          </w:p>
        </w:tc>
        <w:tc>
          <w:tcPr>
            <w:tcW w:w="694" w:type="pct"/>
            <w:vAlign w:val="center"/>
          </w:tcPr>
          <w:p w14:paraId="05CE4880">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45.792474</w:t>
            </w:r>
          </w:p>
        </w:tc>
        <w:tc>
          <w:tcPr>
            <w:tcW w:w="311" w:type="pct"/>
            <w:vAlign w:val="center"/>
          </w:tcPr>
          <w:p w14:paraId="6FD7165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1</w:t>
            </w:r>
            <w:r>
              <w:rPr>
                <w:rFonts w:hint="default" w:ascii="Times New Roman" w:hAnsi="Times New Roman" w:cs="Times New Roman"/>
                <w:color w:val="auto"/>
                <w:kern w:val="0"/>
                <w:szCs w:val="21"/>
                <w:highlight w:val="none"/>
                <w:lang w:val="en-US" w:eastAsia="zh-CN"/>
              </w:rPr>
              <w:t>14</w:t>
            </w:r>
          </w:p>
        </w:tc>
        <w:tc>
          <w:tcPr>
            <w:tcW w:w="204" w:type="pct"/>
            <w:vAlign w:val="center"/>
          </w:tcPr>
          <w:p w14:paraId="58F78D4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w:t>
            </w:r>
          </w:p>
        </w:tc>
        <w:tc>
          <w:tcPr>
            <w:tcW w:w="240" w:type="pct"/>
            <w:vAlign w:val="center"/>
          </w:tcPr>
          <w:p w14:paraId="453B2604">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0.</w:t>
            </w:r>
            <w:r>
              <w:rPr>
                <w:rFonts w:hint="default" w:ascii="Times New Roman" w:hAnsi="Times New Roman" w:cs="Times New Roman"/>
                <w:color w:val="auto"/>
                <w:kern w:val="0"/>
                <w:szCs w:val="21"/>
                <w:highlight w:val="none"/>
                <w:lang w:val="en-US" w:eastAsia="zh-CN"/>
              </w:rPr>
              <w:t>2</w:t>
            </w:r>
          </w:p>
        </w:tc>
        <w:tc>
          <w:tcPr>
            <w:tcW w:w="222" w:type="pct"/>
            <w:vAlign w:val="center"/>
          </w:tcPr>
          <w:p w14:paraId="5C0159B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r>
              <w:rPr>
                <w:rFonts w:hint="default" w:ascii="Times New Roman" w:hAnsi="Times New Roman" w:cs="Times New Roman"/>
                <w:color w:val="auto"/>
                <w:kern w:val="0"/>
                <w:szCs w:val="21"/>
                <w:highlight w:val="none"/>
                <w:lang w:val="en-US" w:eastAsia="zh-CN"/>
              </w:rPr>
              <w:t>2</w:t>
            </w:r>
            <w:r>
              <w:rPr>
                <w:rFonts w:hint="default" w:ascii="Times New Roman" w:hAnsi="Times New Roman" w:cs="Times New Roman"/>
                <w:color w:val="auto"/>
                <w:kern w:val="0"/>
                <w:szCs w:val="21"/>
                <w:highlight w:val="none"/>
              </w:rPr>
              <w:t>0</w:t>
            </w:r>
          </w:p>
        </w:tc>
        <w:tc>
          <w:tcPr>
            <w:tcW w:w="334" w:type="pct"/>
            <w:vAlign w:val="center"/>
          </w:tcPr>
          <w:p w14:paraId="3E65471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17.14</w:t>
            </w:r>
          </w:p>
        </w:tc>
        <w:tc>
          <w:tcPr>
            <w:tcW w:w="285" w:type="pct"/>
            <w:vAlign w:val="center"/>
          </w:tcPr>
          <w:p w14:paraId="5345269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1200</w:t>
            </w:r>
          </w:p>
        </w:tc>
        <w:tc>
          <w:tcPr>
            <w:tcW w:w="159" w:type="pct"/>
            <w:vMerge w:val="continue"/>
            <w:vAlign w:val="center"/>
          </w:tcPr>
          <w:p w14:paraId="781D30E2">
            <w:pPr>
              <w:adjustRightInd w:val="0"/>
              <w:snapToGrid w:val="0"/>
              <w:jc w:val="center"/>
              <w:rPr>
                <w:rFonts w:hint="default" w:ascii="Times New Roman" w:hAnsi="Times New Roman" w:cs="Times New Roman"/>
                <w:color w:val="auto"/>
                <w:kern w:val="0"/>
                <w:szCs w:val="21"/>
                <w:highlight w:val="none"/>
              </w:rPr>
            </w:pPr>
          </w:p>
        </w:tc>
        <w:tc>
          <w:tcPr>
            <w:tcW w:w="316" w:type="pct"/>
            <w:vAlign w:val="center"/>
          </w:tcPr>
          <w:p w14:paraId="243A656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0.027</w:t>
            </w:r>
          </w:p>
        </w:tc>
        <w:tc>
          <w:tcPr>
            <w:tcW w:w="337" w:type="pct"/>
            <w:vAlign w:val="center"/>
          </w:tcPr>
          <w:p w14:paraId="76E407D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0.002</w:t>
            </w:r>
          </w:p>
        </w:tc>
        <w:tc>
          <w:tcPr>
            <w:tcW w:w="320" w:type="pct"/>
            <w:vAlign w:val="center"/>
          </w:tcPr>
          <w:p w14:paraId="552287F4">
            <w:pPr>
              <w:adjustRightInd w:val="0"/>
              <w:snapToGrid w:val="0"/>
              <w:jc w:val="center"/>
              <w:rPr>
                <w:rFonts w:hint="default" w:ascii="Times New Roman" w:hAnsi="Times New Roman" w:cs="Times New Roman"/>
                <w:color w:val="auto"/>
                <w:kern w:val="0"/>
                <w:szCs w:val="21"/>
                <w:highlight w:val="none"/>
                <w:lang w:val="en-US"/>
              </w:rPr>
            </w:pPr>
            <w:r>
              <w:rPr>
                <w:rFonts w:hint="default" w:ascii="Times New Roman" w:hAnsi="Times New Roman" w:cs="Times New Roman"/>
                <w:color w:val="auto"/>
                <w:kern w:val="0"/>
                <w:szCs w:val="21"/>
                <w:highlight w:val="none"/>
                <w:lang w:val="en-US" w:eastAsia="zh-CN"/>
              </w:rPr>
              <w:t>0.208</w:t>
            </w:r>
          </w:p>
        </w:tc>
      </w:tr>
    </w:tbl>
    <w:p w14:paraId="6E7542E8">
      <w:pP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br w:type="page"/>
      </w:r>
    </w:p>
    <w:p w14:paraId="00595445">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表1-13 有组织污染源预测参数</w:t>
      </w:r>
    </w:p>
    <w:tbl>
      <w:tblPr>
        <w:tblStyle w:val="30"/>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66"/>
        <w:gridCol w:w="1095"/>
        <w:gridCol w:w="1054"/>
        <w:gridCol w:w="949"/>
        <w:gridCol w:w="372"/>
        <w:gridCol w:w="278"/>
        <w:gridCol w:w="319"/>
        <w:gridCol w:w="330"/>
        <w:gridCol w:w="558"/>
        <w:gridCol w:w="476"/>
        <w:gridCol w:w="266"/>
        <w:gridCol w:w="529"/>
        <w:gridCol w:w="844"/>
        <w:gridCol w:w="1021"/>
      </w:tblGrid>
      <w:tr w14:paraId="471D4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8" w:hRule="atLeast"/>
        </w:trPr>
        <w:tc>
          <w:tcPr>
            <w:tcW w:w="159" w:type="pct"/>
            <w:vMerge w:val="restart"/>
            <w:vAlign w:val="center"/>
          </w:tcPr>
          <w:p w14:paraId="6D2789C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编号</w:t>
            </w:r>
          </w:p>
        </w:tc>
        <w:tc>
          <w:tcPr>
            <w:tcW w:w="655" w:type="pct"/>
            <w:vMerge w:val="restart"/>
            <w:vAlign w:val="center"/>
          </w:tcPr>
          <w:p w14:paraId="631351A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名称</w:t>
            </w:r>
          </w:p>
        </w:tc>
        <w:tc>
          <w:tcPr>
            <w:tcW w:w="1198" w:type="pct"/>
            <w:gridSpan w:val="2"/>
            <w:vAlign w:val="center"/>
          </w:tcPr>
          <w:p w14:paraId="114A5E5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排气筒底部</w:t>
            </w:r>
          </w:p>
          <w:p w14:paraId="53239DA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中心坐标(</w:t>
            </w:r>
            <w:r>
              <w:rPr>
                <w:rFonts w:hint="default" w:ascii="Times New Roman" w:hAnsi="Times New Roman" w:cs="Times New Roman"/>
                <w:color w:val="auto"/>
                <w:kern w:val="0"/>
                <w:szCs w:val="21"/>
                <w:highlight w:val="none"/>
                <w:vertAlign w:val="superscript"/>
              </w:rPr>
              <w:t>o</w:t>
            </w:r>
            <w:r>
              <w:rPr>
                <w:rFonts w:hint="default" w:ascii="Times New Roman" w:hAnsi="Times New Roman" w:cs="Times New Roman"/>
                <w:color w:val="auto"/>
                <w:kern w:val="0"/>
                <w:szCs w:val="21"/>
                <w:highlight w:val="none"/>
              </w:rPr>
              <w:t>)</w:t>
            </w:r>
          </w:p>
        </w:tc>
        <w:tc>
          <w:tcPr>
            <w:tcW w:w="223" w:type="pct"/>
            <w:vMerge w:val="restart"/>
            <w:vAlign w:val="center"/>
          </w:tcPr>
          <w:p w14:paraId="62843B9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排气筒底部海拔高度/m</w:t>
            </w:r>
          </w:p>
        </w:tc>
        <w:tc>
          <w:tcPr>
            <w:tcW w:w="166" w:type="pct"/>
            <w:vMerge w:val="restart"/>
            <w:vAlign w:val="center"/>
          </w:tcPr>
          <w:p w14:paraId="57D4E6F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排气筒高度/m</w:t>
            </w:r>
          </w:p>
        </w:tc>
        <w:tc>
          <w:tcPr>
            <w:tcW w:w="190" w:type="pct"/>
            <w:vMerge w:val="restart"/>
            <w:vAlign w:val="center"/>
          </w:tcPr>
          <w:p w14:paraId="3D04090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排气筒出口内径/m</w:t>
            </w:r>
          </w:p>
        </w:tc>
        <w:tc>
          <w:tcPr>
            <w:tcW w:w="197" w:type="pct"/>
            <w:vMerge w:val="restart"/>
            <w:vAlign w:val="center"/>
          </w:tcPr>
          <w:p w14:paraId="44DDC82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烟气温度/℃</w:t>
            </w:r>
          </w:p>
        </w:tc>
        <w:tc>
          <w:tcPr>
            <w:tcW w:w="333" w:type="pct"/>
            <w:vMerge w:val="restart"/>
            <w:vAlign w:val="center"/>
          </w:tcPr>
          <w:p w14:paraId="0AC0368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烟气</w:t>
            </w:r>
          </w:p>
          <w:p w14:paraId="317786D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流速</w:t>
            </w:r>
          </w:p>
          <w:p w14:paraId="07CBBB1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/(m/s)</w:t>
            </w:r>
          </w:p>
        </w:tc>
        <w:tc>
          <w:tcPr>
            <w:tcW w:w="284" w:type="pct"/>
            <w:vMerge w:val="restart"/>
            <w:vAlign w:val="center"/>
          </w:tcPr>
          <w:p w14:paraId="2F2942A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年排放小时数/h</w:t>
            </w:r>
          </w:p>
        </w:tc>
        <w:tc>
          <w:tcPr>
            <w:tcW w:w="159" w:type="pct"/>
            <w:vMerge w:val="restart"/>
            <w:vAlign w:val="center"/>
          </w:tcPr>
          <w:p w14:paraId="5FD5F4F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排放工况</w:t>
            </w:r>
          </w:p>
        </w:tc>
        <w:tc>
          <w:tcPr>
            <w:tcW w:w="1431" w:type="pct"/>
            <w:gridSpan w:val="3"/>
            <w:vAlign w:val="center"/>
          </w:tcPr>
          <w:p w14:paraId="520EAD3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排放速率/（kg/h）</w:t>
            </w:r>
          </w:p>
        </w:tc>
      </w:tr>
      <w:tr w14:paraId="71259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 w:hRule="atLeast"/>
        </w:trPr>
        <w:tc>
          <w:tcPr>
            <w:tcW w:w="159" w:type="pct"/>
            <w:vMerge w:val="continue"/>
            <w:vAlign w:val="center"/>
          </w:tcPr>
          <w:p w14:paraId="1A91676E">
            <w:pPr>
              <w:adjustRightInd w:val="0"/>
              <w:snapToGrid w:val="0"/>
              <w:jc w:val="center"/>
              <w:rPr>
                <w:rFonts w:hint="default" w:ascii="Times New Roman" w:hAnsi="Times New Roman" w:cs="Times New Roman"/>
                <w:color w:val="auto"/>
                <w:kern w:val="0"/>
                <w:szCs w:val="21"/>
                <w:highlight w:val="none"/>
              </w:rPr>
            </w:pPr>
          </w:p>
        </w:tc>
        <w:tc>
          <w:tcPr>
            <w:tcW w:w="655" w:type="pct"/>
            <w:vMerge w:val="continue"/>
            <w:vAlign w:val="center"/>
          </w:tcPr>
          <w:p w14:paraId="2830C949">
            <w:pPr>
              <w:adjustRightInd w:val="0"/>
              <w:snapToGrid w:val="0"/>
              <w:jc w:val="center"/>
              <w:rPr>
                <w:rFonts w:hint="default" w:ascii="Times New Roman" w:hAnsi="Times New Roman" w:cs="Times New Roman"/>
                <w:color w:val="auto"/>
                <w:kern w:val="0"/>
                <w:szCs w:val="21"/>
                <w:highlight w:val="none"/>
              </w:rPr>
            </w:pPr>
          </w:p>
        </w:tc>
        <w:tc>
          <w:tcPr>
            <w:tcW w:w="630" w:type="pct"/>
            <w:vAlign w:val="center"/>
          </w:tcPr>
          <w:p w14:paraId="1975D07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东经</w:t>
            </w:r>
          </w:p>
        </w:tc>
        <w:tc>
          <w:tcPr>
            <w:tcW w:w="567" w:type="pct"/>
            <w:vAlign w:val="center"/>
          </w:tcPr>
          <w:p w14:paraId="37DD8D6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北纬</w:t>
            </w:r>
          </w:p>
        </w:tc>
        <w:tc>
          <w:tcPr>
            <w:tcW w:w="223" w:type="pct"/>
            <w:vMerge w:val="continue"/>
            <w:vAlign w:val="center"/>
          </w:tcPr>
          <w:p w14:paraId="5FAFD65B">
            <w:pPr>
              <w:adjustRightInd w:val="0"/>
              <w:snapToGrid w:val="0"/>
              <w:jc w:val="center"/>
              <w:rPr>
                <w:rFonts w:hint="default" w:ascii="Times New Roman" w:hAnsi="Times New Roman" w:cs="Times New Roman"/>
                <w:color w:val="auto"/>
                <w:kern w:val="0"/>
                <w:szCs w:val="21"/>
                <w:highlight w:val="none"/>
              </w:rPr>
            </w:pPr>
          </w:p>
        </w:tc>
        <w:tc>
          <w:tcPr>
            <w:tcW w:w="166" w:type="pct"/>
            <w:vMerge w:val="continue"/>
            <w:vAlign w:val="center"/>
          </w:tcPr>
          <w:p w14:paraId="1DE27D7B">
            <w:pPr>
              <w:adjustRightInd w:val="0"/>
              <w:snapToGrid w:val="0"/>
              <w:jc w:val="center"/>
              <w:rPr>
                <w:rFonts w:hint="default" w:ascii="Times New Roman" w:hAnsi="Times New Roman" w:cs="Times New Roman"/>
                <w:color w:val="auto"/>
                <w:kern w:val="0"/>
                <w:szCs w:val="21"/>
                <w:highlight w:val="none"/>
              </w:rPr>
            </w:pPr>
          </w:p>
        </w:tc>
        <w:tc>
          <w:tcPr>
            <w:tcW w:w="190" w:type="pct"/>
            <w:vMerge w:val="continue"/>
            <w:vAlign w:val="center"/>
          </w:tcPr>
          <w:p w14:paraId="7EBC28DF">
            <w:pPr>
              <w:adjustRightInd w:val="0"/>
              <w:snapToGrid w:val="0"/>
              <w:jc w:val="center"/>
              <w:rPr>
                <w:rFonts w:hint="default" w:ascii="Times New Roman" w:hAnsi="Times New Roman" w:cs="Times New Roman"/>
                <w:color w:val="auto"/>
                <w:kern w:val="0"/>
                <w:szCs w:val="21"/>
                <w:highlight w:val="none"/>
              </w:rPr>
            </w:pPr>
          </w:p>
        </w:tc>
        <w:tc>
          <w:tcPr>
            <w:tcW w:w="197" w:type="pct"/>
            <w:vMerge w:val="continue"/>
            <w:vAlign w:val="center"/>
          </w:tcPr>
          <w:p w14:paraId="7849282E">
            <w:pPr>
              <w:adjustRightInd w:val="0"/>
              <w:snapToGrid w:val="0"/>
              <w:jc w:val="center"/>
              <w:rPr>
                <w:rFonts w:hint="default" w:ascii="Times New Roman" w:hAnsi="Times New Roman" w:cs="Times New Roman"/>
                <w:color w:val="auto"/>
                <w:kern w:val="0"/>
                <w:szCs w:val="21"/>
                <w:highlight w:val="none"/>
              </w:rPr>
            </w:pPr>
          </w:p>
        </w:tc>
        <w:tc>
          <w:tcPr>
            <w:tcW w:w="333" w:type="pct"/>
            <w:vMerge w:val="continue"/>
            <w:vAlign w:val="center"/>
          </w:tcPr>
          <w:p w14:paraId="4CCF0F1F">
            <w:pPr>
              <w:adjustRightInd w:val="0"/>
              <w:snapToGrid w:val="0"/>
              <w:jc w:val="center"/>
              <w:rPr>
                <w:rFonts w:hint="default" w:ascii="Times New Roman" w:hAnsi="Times New Roman" w:cs="Times New Roman"/>
                <w:color w:val="auto"/>
                <w:kern w:val="0"/>
                <w:szCs w:val="21"/>
                <w:highlight w:val="none"/>
              </w:rPr>
            </w:pPr>
          </w:p>
        </w:tc>
        <w:tc>
          <w:tcPr>
            <w:tcW w:w="284" w:type="pct"/>
            <w:vMerge w:val="continue"/>
            <w:vAlign w:val="center"/>
          </w:tcPr>
          <w:p w14:paraId="500E8508">
            <w:pPr>
              <w:adjustRightInd w:val="0"/>
              <w:snapToGrid w:val="0"/>
              <w:jc w:val="center"/>
              <w:rPr>
                <w:rFonts w:hint="default" w:ascii="Times New Roman" w:hAnsi="Times New Roman" w:cs="Times New Roman"/>
                <w:color w:val="auto"/>
                <w:kern w:val="0"/>
                <w:szCs w:val="21"/>
                <w:highlight w:val="none"/>
              </w:rPr>
            </w:pPr>
          </w:p>
        </w:tc>
        <w:tc>
          <w:tcPr>
            <w:tcW w:w="159" w:type="pct"/>
            <w:vMerge w:val="continue"/>
            <w:vAlign w:val="center"/>
          </w:tcPr>
          <w:p w14:paraId="44AFC53C">
            <w:pPr>
              <w:adjustRightInd w:val="0"/>
              <w:snapToGrid w:val="0"/>
              <w:jc w:val="center"/>
              <w:rPr>
                <w:rFonts w:hint="default" w:ascii="Times New Roman" w:hAnsi="Times New Roman" w:cs="Times New Roman"/>
                <w:color w:val="auto"/>
                <w:kern w:val="0"/>
                <w:szCs w:val="21"/>
                <w:highlight w:val="none"/>
              </w:rPr>
            </w:pPr>
          </w:p>
        </w:tc>
        <w:tc>
          <w:tcPr>
            <w:tcW w:w="316" w:type="pct"/>
            <w:vAlign w:val="center"/>
          </w:tcPr>
          <w:p w14:paraId="036DBC1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沥青烟</w:t>
            </w:r>
          </w:p>
        </w:tc>
        <w:tc>
          <w:tcPr>
            <w:tcW w:w="504" w:type="pct"/>
            <w:vAlign w:val="center"/>
          </w:tcPr>
          <w:p w14:paraId="36650FB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苯并[a]芘</w:t>
            </w:r>
          </w:p>
        </w:tc>
        <w:tc>
          <w:tcPr>
            <w:tcW w:w="610" w:type="pct"/>
            <w:vAlign w:val="center"/>
          </w:tcPr>
          <w:p w14:paraId="2755462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非甲烷总烃</w:t>
            </w:r>
          </w:p>
        </w:tc>
      </w:tr>
      <w:tr w14:paraId="06E4B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 w:hRule="atLeast"/>
        </w:trPr>
        <w:tc>
          <w:tcPr>
            <w:tcW w:w="159" w:type="pct"/>
            <w:vAlign w:val="center"/>
          </w:tcPr>
          <w:p w14:paraId="7260796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655" w:type="pct"/>
            <w:vAlign w:val="center"/>
          </w:tcPr>
          <w:p w14:paraId="7FB30A5F">
            <w:pPr>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沥青搅拌排气筒（DA00</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w:t>
            </w:r>
          </w:p>
        </w:tc>
        <w:tc>
          <w:tcPr>
            <w:tcW w:w="630" w:type="pct"/>
            <w:vAlign w:val="center"/>
          </w:tcPr>
          <w:p w14:paraId="533C499B">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133.031407</w:t>
            </w:r>
          </w:p>
        </w:tc>
        <w:tc>
          <w:tcPr>
            <w:tcW w:w="567" w:type="pct"/>
            <w:vAlign w:val="center"/>
          </w:tcPr>
          <w:p w14:paraId="64C62D2F">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45.792442</w:t>
            </w:r>
          </w:p>
        </w:tc>
        <w:tc>
          <w:tcPr>
            <w:tcW w:w="223" w:type="pct"/>
            <w:vAlign w:val="center"/>
          </w:tcPr>
          <w:p w14:paraId="2C83CA5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r>
              <w:rPr>
                <w:rFonts w:hint="default" w:ascii="Times New Roman" w:hAnsi="Times New Roman" w:cs="Times New Roman"/>
                <w:color w:val="auto"/>
                <w:kern w:val="0"/>
                <w:szCs w:val="21"/>
                <w:highlight w:val="none"/>
                <w:lang w:val="en-US" w:eastAsia="zh-CN"/>
              </w:rPr>
              <w:t>1</w:t>
            </w:r>
            <w:r>
              <w:rPr>
                <w:rFonts w:hint="default" w:ascii="Times New Roman" w:hAnsi="Times New Roman" w:cs="Times New Roman"/>
                <w:color w:val="auto"/>
                <w:kern w:val="0"/>
                <w:szCs w:val="21"/>
                <w:highlight w:val="none"/>
              </w:rPr>
              <w:t>0</w:t>
            </w:r>
          </w:p>
        </w:tc>
        <w:tc>
          <w:tcPr>
            <w:tcW w:w="166" w:type="pct"/>
            <w:vAlign w:val="center"/>
          </w:tcPr>
          <w:p w14:paraId="6E746447">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15</w:t>
            </w:r>
          </w:p>
        </w:tc>
        <w:tc>
          <w:tcPr>
            <w:tcW w:w="190" w:type="pct"/>
            <w:vAlign w:val="center"/>
          </w:tcPr>
          <w:p w14:paraId="1BCDB23A">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0.</w:t>
            </w:r>
            <w:r>
              <w:rPr>
                <w:rFonts w:hint="default" w:ascii="Times New Roman" w:hAnsi="Times New Roman" w:cs="Times New Roman"/>
                <w:color w:val="auto"/>
                <w:kern w:val="0"/>
                <w:szCs w:val="21"/>
                <w:highlight w:val="none"/>
                <w:lang w:val="en-US" w:eastAsia="zh-CN"/>
              </w:rPr>
              <w:t>6</w:t>
            </w:r>
          </w:p>
        </w:tc>
        <w:tc>
          <w:tcPr>
            <w:tcW w:w="197" w:type="pct"/>
            <w:vAlign w:val="center"/>
          </w:tcPr>
          <w:p w14:paraId="69443D4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50</w:t>
            </w:r>
          </w:p>
        </w:tc>
        <w:tc>
          <w:tcPr>
            <w:tcW w:w="333" w:type="pct"/>
            <w:vAlign w:val="center"/>
          </w:tcPr>
          <w:p w14:paraId="0A0F2F1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19.66</w:t>
            </w:r>
          </w:p>
        </w:tc>
        <w:tc>
          <w:tcPr>
            <w:tcW w:w="284" w:type="pct"/>
            <w:vAlign w:val="center"/>
          </w:tcPr>
          <w:p w14:paraId="055B11D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1200</w:t>
            </w:r>
          </w:p>
        </w:tc>
        <w:tc>
          <w:tcPr>
            <w:tcW w:w="159" w:type="pct"/>
            <w:vAlign w:val="center"/>
          </w:tcPr>
          <w:p w14:paraId="0D3B233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正常</w:t>
            </w:r>
          </w:p>
        </w:tc>
        <w:tc>
          <w:tcPr>
            <w:tcW w:w="316" w:type="pct"/>
            <w:vAlign w:val="center"/>
          </w:tcPr>
          <w:p w14:paraId="045D767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0.0</w:t>
            </w:r>
            <w:r>
              <w:rPr>
                <w:rFonts w:hint="default" w:ascii="Times New Roman" w:hAnsi="Times New Roman" w:cs="Times New Roman"/>
                <w:color w:val="auto"/>
                <w:kern w:val="0"/>
                <w:szCs w:val="21"/>
                <w:highlight w:val="none"/>
                <w:lang w:val="en-US" w:eastAsia="zh-CN"/>
              </w:rPr>
              <w:t>83</w:t>
            </w:r>
          </w:p>
        </w:tc>
        <w:tc>
          <w:tcPr>
            <w:tcW w:w="504" w:type="pct"/>
            <w:vAlign w:val="center"/>
          </w:tcPr>
          <w:p w14:paraId="37D04B3C">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0.00000</w:t>
            </w:r>
            <w:r>
              <w:rPr>
                <w:rFonts w:hint="default" w:ascii="Times New Roman" w:hAnsi="Times New Roman" w:cs="Times New Roman"/>
                <w:color w:val="auto"/>
                <w:kern w:val="0"/>
                <w:szCs w:val="21"/>
                <w:highlight w:val="none"/>
                <w:lang w:val="en-US" w:eastAsia="zh-CN"/>
              </w:rPr>
              <w:t>2</w:t>
            </w:r>
          </w:p>
        </w:tc>
        <w:tc>
          <w:tcPr>
            <w:tcW w:w="610" w:type="pct"/>
            <w:vAlign w:val="center"/>
          </w:tcPr>
          <w:p w14:paraId="326CDD1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0.000597</w:t>
            </w:r>
          </w:p>
        </w:tc>
      </w:tr>
    </w:tbl>
    <w:p w14:paraId="3ECC23AF">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lang w:eastAsia="zh-CN"/>
        </w:rPr>
      </w:pPr>
      <w:r>
        <w:rPr>
          <w:rFonts w:hint="default" w:ascii="Times New Roman" w:hAnsi="Times New Roman" w:eastAsia="黑体" w:cs="Times New Roman"/>
          <w:color w:val="auto"/>
          <w:kern w:val="0"/>
          <w:sz w:val="24"/>
          <w:szCs w:val="20"/>
          <w:highlight w:val="none"/>
        </w:rPr>
        <w:t>表1-14 面源计算参数表</w:t>
      </w:r>
      <w:r>
        <w:rPr>
          <w:rFonts w:hint="default" w:ascii="Times New Roman" w:hAnsi="Times New Roman" w:eastAsia="黑体" w:cs="Times New Roman"/>
          <w:color w:val="auto"/>
          <w:kern w:val="0"/>
          <w:sz w:val="24"/>
          <w:szCs w:val="20"/>
          <w:highlight w:val="none"/>
          <w:lang w:eastAsia="zh-CN"/>
        </w:rPr>
        <w:t>（</w:t>
      </w:r>
      <w:r>
        <w:rPr>
          <w:rFonts w:hint="default" w:ascii="Times New Roman" w:hAnsi="Times New Roman" w:eastAsia="黑体" w:cs="Times New Roman"/>
          <w:color w:val="auto"/>
          <w:kern w:val="0"/>
          <w:sz w:val="24"/>
          <w:szCs w:val="20"/>
          <w:highlight w:val="none"/>
          <w:lang w:val="en-US" w:eastAsia="zh-CN"/>
        </w:rPr>
        <w:t>矩形</w:t>
      </w:r>
      <w:r>
        <w:rPr>
          <w:rFonts w:hint="default" w:ascii="Times New Roman" w:hAnsi="Times New Roman" w:eastAsia="黑体" w:cs="Times New Roman"/>
          <w:color w:val="auto"/>
          <w:kern w:val="0"/>
          <w:sz w:val="24"/>
          <w:szCs w:val="20"/>
          <w:highlight w:val="none"/>
          <w:lang w:eastAsia="zh-CN"/>
        </w:rPr>
        <w:t>）</w:t>
      </w:r>
    </w:p>
    <w:tbl>
      <w:tblPr>
        <w:tblStyle w:val="3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5"/>
        <w:gridCol w:w="813"/>
        <w:gridCol w:w="640"/>
        <w:gridCol w:w="555"/>
        <w:gridCol w:w="585"/>
        <w:gridCol w:w="450"/>
        <w:gridCol w:w="570"/>
        <w:gridCol w:w="510"/>
        <w:gridCol w:w="450"/>
        <w:gridCol w:w="750"/>
        <w:gridCol w:w="675"/>
        <w:gridCol w:w="630"/>
        <w:gridCol w:w="795"/>
        <w:gridCol w:w="684"/>
      </w:tblGrid>
      <w:tr w14:paraId="5EA36B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5" w:type="dxa"/>
            <w:vMerge w:val="restart"/>
            <w:vAlign w:val="center"/>
          </w:tcPr>
          <w:p w14:paraId="1529E80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编号</w:t>
            </w:r>
          </w:p>
        </w:tc>
        <w:tc>
          <w:tcPr>
            <w:tcW w:w="813" w:type="dxa"/>
            <w:vMerge w:val="restart"/>
            <w:vAlign w:val="center"/>
          </w:tcPr>
          <w:p w14:paraId="6BC73BC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面源名称</w:t>
            </w:r>
          </w:p>
        </w:tc>
        <w:tc>
          <w:tcPr>
            <w:tcW w:w="640" w:type="dxa"/>
            <w:vMerge w:val="restart"/>
            <w:vAlign w:val="center"/>
          </w:tcPr>
          <w:p w14:paraId="6A550C7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面源海拔高度/m</w:t>
            </w:r>
          </w:p>
        </w:tc>
        <w:tc>
          <w:tcPr>
            <w:tcW w:w="555" w:type="dxa"/>
            <w:vMerge w:val="restart"/>
            <w:vAlign w:val="center"/>
          </w:tcPr>
          <w:p w14:paraId="112C441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面源长度</w:t>
            </w:r>
          </w:p>
          <w:p w14:paraId="2756E8F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w:t>
            </w:r>
          </w:p>
        </w:tc>
        <w:tc>
          <w:tcPr>
            <w:tcW w:w="585" w:type="dxa"/>
            <w:vMerge w:val="restart"/>
            <w:vAlign w:val="center"/>
          </w:tcPr>
          <w:p w14:paraId="65395D6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面源</w:t>
            </w:r>
          </w:p>
          <w:p w14:paraId="3D1C2FA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宽度/m</w:t>
            </w:r>
          </w:p>
        </w:tc>
        <w:tc>
          <w:tcPr>
            <w:tcW w:w="450" w:type="dxa"/>
            <w:vMerge w:val="restart"/>
            <w:vAlign w:val="center"/>
          </w:tcPr>
          <w:p w14:paraId="63E6863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与正北向夹角/°</w:t>
            </w:r>
          </w:p>
        </w:tc>
        <w:tc>
          <w:tcPr>
            <w:tcW w:w="570" w:type="dxa"/>
            <w:vMerge w:val="restart"/>
            <w:vAlign w:val="center"/>
          </w:tcPr>
          <w:p w14:paraId="2C37C63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面源排放高度/m</w:t>
            </w:r>
          </w:p>
        </w:tc>
        <w:tc>
          <w:tcPr>
            <w:tcW w:w="510" w:type="dxa"/>
            <w:vMerge w:val="restart"/>
            <w:vAlign w:val="center"/>
          </w:tcPr>
          <w:p w14:paraId="36997BB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年排放小时数/h</w:t>
            </w:r>
          </w:p>
        </w:tc>
        <w:tc>
          <w:tcPr>
            <w:tcW w:w="450" w:type="dxa"/>
            <w:vMerge w:val="restart"/>
            <w:vAlign w:val="center"/>
          </w:tcPr>
          <w:p w14:paraId="75F67E0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w:t>
            </w:r>
          </w:p>
          <w:p w14:paraId="0954BAF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工况</w:t>
            </w:r>
          </w:p>
        </w:tc>
        <w:tc>
          <w:tcPr>
            <w:tcW w:w="3534" w:type="dxa"/>
            <w:gridSpan w:val="5"/>
            <w:vAlign w:val="center"/>
          </w:tcPr>
          <w:p w14:paraId="7DE616B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污染物排放速率/（kg/h）</w:t>
            </w:r>
          </w:p>
        </w:tc>
      </w:tr>
      <w:tr w14:paraId="44717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15" w:type="dxa"/>
            <w:vMerge w:val="continue"/>
            <w:vAlign w:val="center"/>
          </w:tcPr>
          <w:p w14:paraId="204E1A48">
            <w:pPr>
              <w:adjustRightInd w:val="0"/>
              <w:snapToGrid w:val="0"/>
              <w:jc w:val="center"/>
              <w:rPr>
                <w:rFonts w:hint="default" w:ascii="Times New Roman" w:hAnsi="Times New Roman" w:cs="Times New Roman"/>
                <w:color w:val="auto"/>
                <w:kern w:val="0"/>
                <w:szCs w:val="21"/>
                <w:highlight w:val="none"/>
              </w:rPr>
            </w:pPr>
          </w:p>
        </w:tc>
        <w:tc>
          <w:tcPr>
            <w:tcW w:w="813" w:type="dxa"/>
            <w:vMerge w:val="continue"/>
            <w:vAlign w:val="center"/>
          </w:tcPr>
          <w:p w14:paraId="20A9D193">
            <w:pPr>
              <w:adjustRightInd w:val="0"/>
              <w:snapToGrid w:val="0"/>
              <w:jc w:val="center"/>
              <w:rPr>
                <w:rFonts w:hint="default" w:ascii="Times New Roman" w:hAnsi="Times New Roman" w:cs="Times New Roman"/>
                <w:color w:val="auto"/>
                <w:kern w:val="0"/>
                <w:szCs w:val="21"/>
                <w:highlight w:val="none"/>
              </w:rPr>
            </w:pPr>
          </w:p>
        </w:tc>
        <w:tc>
          <w:tcPr>
            <w:tcW w:w="640" w:type="dxa"/>
            <w:vMerge w:val="continue"/>
            <w:vAlign w:val="center"/>
          </w:tcPr>
          <w:p w14:paraId="33A87C4C">
            <w:pPr>
              <w:adjustRightInd w:val="0"/>
              <w:snapToGrid w:val="0"/>
              <w:jc w:val="center"/>
              <w:rPr>
                <w:rFonts w:hint="default" w:ascii="Times New Roman" w:hAnsi="Times New Roman" w:cs="Times New Roman"/>
                <w:color w:val="auto"/>
                <w:kern w:val="0"/>
                <w:szCs w:val="21"/>
                <w:highlight w:val="none"/>
              </w:rPr>
            </w:pPr>
          </w:p>
        </w:tc>
        <w:tc>
          <w:tcPr>
            <w:tcW w:w="555" w:type="dxa"/>
            <w:vMerge w:val="continue"/>
            <w:vAlign w:val="center"/>
          </w:tcPr>
          <w:p w14:paraId="605715F7">
            <w:pPr>
              <w:adjustRightInd w:val="0"/>
              <w:snapToGrid w:val="0"/>
              <w:jc w:val="center"/>
              <w:rPr>
                <w:rFonts w:hint="default" w:ascii="Times New Roman" w:hAnsi="Times New Roman" w:cs="Times New Roman"/>
                <w:color w:val="auto"/>
                <w:kern w:val="0"/>
                <w:szCs w:val="21"/>
                <w:highlight w:val="none"/>
              </w:rPr>
            </w:pPr>
          </w:p>
        </w:tc>
        <w:tc>
          <w:tcPr>
            <w:tcW w:w="585" w:type="dxa"/>
            <w:vMerge w:val="continue"/>
            <w:vAlign w:val="center"/>
          </w:tcPr>
          <w:p w14:paraId="685267CC">
            <w:pPr>
              <w:adjustRightInd w:val="0"/>
              <w:snapToGrid w:val="0"/>
              <w:jc w:val="center"/>
              <w:rPr>
                <w:rFonts w:hint="default" w:ascii="Times New Roman" w:hAnsi="Times New Roman" w:cs="Times New Roman"/>
                <w:color w:val="auto"/>
                <w:kern w:val="0"/>
                <w:szCs w:val="21"/>
                <w:highlight w:val="none"/>
              </w:rPr>
            </w:pPr>
          </w:p>
        </w:tc>
        <w:tc>
          <w:tcPr>
            <w:tcW w:w="450" w:type="dxa"/>
            <w:vMerge w:val="continue"/>
            <w:vAlign w:val="center"/>
          </w:tcPr>
          <w:p w14:paraId="321BCCFD">
            <w:pPr>
              <w:adjustRightInd w:val="0"/>
              <w:snapToGrid w:val="0"/>
              <w:jc w:val="center"/>
              <w:rPr>
                <w:rFonts w:hint="default" w:ascii="Times New Roman" w:hAnsi="Times New Roman" w:cs="Times New Roman"/>
                <w:color w:val="auto"/>
                <w:kern w:val="0"/>
                <w:szCs w:val="21"/>
                <w:highlight w:val="none"/>
              </w:rPr>
            </w:pPr>
          </w:p>
        </w:tc>
        <w:tc>
          <w:tcPr>
            <w:tcW w:w="570" w:type="dxa"/>
            <w:vMerge w:val="continue"/>
            <w:vAlign w:val="center"/>
          </w:tcPr>
          <w:p w14:paraId="0B1985E6">
            <w:pPr>
              <w:adjustRightInd w:val="0"/>
              <w:snapToGrid w:val="0"/>
              <w:jc w:val="center"/>
              <w:rPr>
                <w:rFonts w:hint="default" w:ascii="Times New Roman" w:hAnsi="Times New Roman" w:cs="Times New Roman"/>
                <w:color w:val="auto"/>
                <w:kern w:val="0"/>
                <w:szCs w:val="21"/>
                <w:highlight w:val="none"/>
              </w:rPr>
            </w:pPr>
          </w:p>
        </w:tc>
        <w:tc>
          <w:tcPr>
            <w:tcW w:w="510" w:type="dxa"/>
            <w:vMerge w:val="continue"/>
            <w:vAlign w:val="center"/>
          </w:tcPr>
          <w:p w14:paraId="1C651045">
            <w:pPr>
              <w:adjustRightInd w:val="0"/>
              <w:snapToGrid w:val="0"/>
              <w:jc w:val="center"/>
              <w:rPr>
                <w:rFonts w:hint="default" w:ascii="Times New Roman" w:hAnsi="Times New Roman" w:cs="Times New Roman"/>
                <w:color w:val="auto"/>
                <w:kern w:val="0"/>
                <w:szCs w:val="21"/>
                <w:highlight w:val="none"/>
              </w:rPr>
            </w:pPr>
          </w:p>
        </w:tc>
        <w:tc>
          <w:tcPr>
            <w:tcW w:w="450" w:type="dxa"/>
            <w:vMerge w:val="continue"/>
            <w:vAlign w:val="center"/>
          </w:tcPr>
          <w:p w14:paraId="0F4818B1">
            <w:pPr>
              <w:adjustRightInd w:val="0"/>
              <w:snapToGrid w:val="0"/>
              <w:jc w:val="center"/>
              <w:rPr>
                <w:rFonts w:hint="default" w:ascii="Times New Roman" w:hAnsi="Times New Roman" w:cs="Times New Roman"/>
                <w:color w:val="auto"/>
                <w:kern w:val="0"/>
                <w:szCs w:val="21"/>
                <w:highlight w:val="none"/>
              </w:rPr>
            </w:pPr>
          </w:p>
        </w:tc>
        <w:tc>
          <w:tcPr>
            <w:tcW w:w="750" w:type="dxa"/>
            <w:vAlign w:val="center"/>
          </w:tcPr>
          <w:p w14:paraId="3DEC919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TSP</w:t>
            </w:r>
          </w:p>
        </w:tc>
        <w:tc>
          <w:tcPr>
            <w:tcW w:w="675" w:type="dxa"/>
            <w:vAlign w:val="center"/>
          </w:tcPr>
          <w:p w14:paraId="38E1923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非甲烷总烃</w:t>
            </w:r>
          </w:p>
        </w:tc>
        <w:tc>
          <w:tcPr>
            <w:tcW w:w="630" w:type="dxa"/>
            <w:vAlign w:val="center"/>
          </w:tcPr>
          <w:p w14:paraId="0141E27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沥青烟</w:t>
            </w:r>
          </w:p>
        </w:tc>
        <w:tc>
          <w:tcPr>
            <w:tcW w:w="795" w:type="dxa"/>
            <w:vAlign w:val="center"/>
          </w:tcPr>
          <w:p w14:paraId="75F28B91">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苯并[a]芘</w:t>
            </w:r>
          </w:p>
        </w:tc>
        <w:tc>
          <w:tcPr>
            <w:tcW w:w="684" w:type="dxa"/>
            <w:vAlign w:val="center"/>
          </w:tcPr>
          <w:p w14:paraId="03C9AF5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非甲烷总烃</w:t>
            </w:r>
          </w:p>
        </w:tc>
      </w:tr>
      <w:tr w14:paraId="52A7C0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15" w:type="dxa"/>
            <w:vAlign w:val="center"/>
          </w:tcPr>
          <w:p w14:paraId="2810C18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813" w:type="dxa"/>
            <w:vAlign w:val="center"/>
          </w:tcPr>
          <w:p w14:paraId="2D0FDA1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原料堆场</w:t>
            </w:r>
          </w:p>
        </w:tc>
        <w:tc>
          <w:tcPr>
            <w:tcW w:w="640" w:type="dxa"/>
            <w:vAlign w:val="center"/>
          </w:tcPr>
          <w:p w14:paraId="1AC6FE4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105</w:t>
            </w:r>
          </w:p>
        </w:tc>
        <w:tc>
          <w:tcPr>
            <w:tcW w:w="555" w:type="dxa"/>
            <w:vAlign w:val="center"/>
          </w:tcPr>
          <w:p w14:paraId="76A7679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40</w:t>
            </w:r>
          </w:p>
        </w:tc>
        <w:tc>
          <w:tcPr>
            <w:tcW w:w="585" w:type="dxa"/>
            <w:vAlign w:val="center"/>
          </w:tcPr>
          <w:p w14:paraId="23B872E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50</w:t>
            </w:r>
          </w:p>
        </w:tc>
        <w:tc>
          <w:tcPr>
            <w:tcW w:w="450" w:type="dxa"/>
            <w:vAlign w:val="center"/>
          </w:tcPr>
          <w:p w14:paraId="4839DCD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90</w:t>
            </w:r>
          </w:p>
        </w:tc>
        <w:tc>
          <w:tcPr>
            <w:tcW w:w="570" w:type="dxa"/>
            <w:vAlign w:val="center"/>
          </w:tcPr>
          <w:p w14:paraId="6998891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w:t>
            </w:r>
          </w:p>
        </w:tc>
        <w:tc>
          <w:tcPr>
            <w:tcW w:w="510" w:type="dxa"/>
            <w:vAlign w:val="center"/>
          </w:tcPr>
          <w:p w14:paraId="2E1D751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3600</w:t>
            </w:r>
          </w:p>
        </w:tc>
        <w:tc>
          <w:tcPr>
            <w:tcW w:w="450" w:type="dxa"/>
            <w:vMerge w:val="restart"/>
            <w:vAlign w:val="center"/>
          </w:tcPr>
          <w:p w14:paraId="4E8CBD93">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正常</w:t>
            </w:r>
          </w:p>
        </w:tc>
        <w:tc>
          <w:tcPr>
            <w:tcW w:w="750" w:type="dxa"/>
            <w:vAlign w:val="center"/>
          </w:tcPr>
          <w:p w14:paraId="4EA7E38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0.0003</w:t>
            </w:r>
          </w:p>
        </w:tc>
        <w:tc>
          <w:tcPr>
            <w:tcW w:w="675" w:type="dxa"/>
            <w:vAlign w:val="center"/>
          </w:tcPr>
          <w:p w14:paraId="6864AF7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630" w:type="dxa"/>
            <w:vAlign w:val="center"/>
          </w:tcPr>
          <w:p w14:paraId="46AFF8D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795" w:type="dxa"/>
            <w:vAlign w:val="center"/>
          </w:tcPr>
          <w:p w14:paraId="1AC1C97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684" w:type="dxa"/>
            <w:vAlign w:val="center"/>
          </w:tcPr>
          <w:p w14:paraId="27A63A0B">
            <w:pPr>
              <w:adjustRightInd w:val="0"/>
              <w:snapToGrid w:val="0"/>
              <w:jc w:val="center"/>
              <w:rPr>
                <w:rFonts w:hint="default" w:ascii="Times New Roman" w:hAnsi="Times New Roman" w:cs="Times New Roman"/>
                <w:color w:val="auto"/>
                <w:kern w:val="0"/>
                <w:szCs w:val="21"/>
                <w:highlight w:val="none"/>
              </w:rPr>
            </w:pPr>
          </w:p>
        </w:tc>
      </w:tr>
      <w:tr w14:paraId="147921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15" w:type="dxa"/>
            <w:vAlign w:val="center"/>
          </w:tcPr>
          <w:p w14:paraId="0C3D6F2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w:t>
            </w:r>
          </w:p>
        </w:tc>
        <w:tc>
          <w:tcPr>
            <w:tcW w:w="813" w:type="dxa"/>
            <w:vAlign w:val="center"/>
          </w:tcPr>
          <w:p w14:paraId="202656A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冷料上料</w:t>
            </w:r>
          </w:p>
        </w:tc>
        <w:tc>
          <w:tcPr>
            <w:tcW w:w="640" w:type="dxa"/>
            <w:vAlign w:val="center"/>
          </w:tcPr>
          <w:p w14:paraId="27CACFD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107</w:t>
            </w:r>
          </w:p>
        </w:tc>
        <w:tc>
          <w:tcPr>
            <w:tcW w:w="555" w:type="dxa"/>
            <w:vAlign w:val="center"/>
          </w:tcPr>
          <w:p w14:paraId="19EA501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w:t>
            </w:r>
          </w:p>
        </w:tc>
        <w:tc>
          <w:tcPr>
            <w:tcW w:w="585" w:type="dxa"/>
            <w:vAlign w:val="center"/>
          </w:tcPr>
          <w:p w14:paraId="5DD552E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8</w:t>
            </w:r>
          </w:p>
        </w:tc>
        <w:tc>
          <w:tcPr>
            <w:tcW w:w="450" w:type="dxa"/>
            <w:vAlign w:val="center"/>
          </w:tcPr>
          <w:p w14:paraId="221EB99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90</w:t>
            </w:r>
          </w:p>
        </w:tc>
        <w:tc>
          <w:tcPr>
            <w:tcW w:w="570" w:type="dxa"/>
            <w:vAlign w:val="center"/>
          </w:tcPr>
          <w:p w14:paraId="0FE79AD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3.5</w:t>
            </w:r>
          </w:p>
        </w:tc>
        <w:tc>
          <w:tcPr>
            <w:tcW w:w="510" w:type="dxa"/>
            <w:vAlign w:val="center"/>
          </w:tcPr>
          <w:p w14:paraId="0FE69A5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3600</w:t>
            </w:r>
          </w:p>
        </w:tc>
        <w:tc>
          <w:tcPr>
            <w:tcW w:w="450" w:type="dxa"/>
            <w:vMerge w:val="continue"/>
            <w:vAlign w:val="center"/>
          </w:tcPr>
          <w:p w14:paraId="237AC821">
            <w:pPr>
              <w:adjustRightInd w:val="0"/>
              <w:snapToGrid w:val="0"/>
              <w:jc w:val="center"/>
              <w:rPr>
                <w:rFonts w:hint="default" w:ascii="Times New Roman" w:hAnsi="Times New Roman" w:cs="Times New Roman"/>
                <w:color w:val="auto"/>
                <w:kern w:val="0"/>
                <w:szCs w:val="21"/>
                <w:highlight w:val="none"/>
              </w:rPr>
            </w:pPr>
          </w:p>
        </w:tc>
        <w:tc>
          <w:tcPr>
            <w:tcW w:w="750" w:type="dxa"/>
            <w:vAlign w:val="center"/>
          </w:tcPr>
          <w:p w14:paraId="0A8C26A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0.006</w:t>
            </w:r>
          </w:p>
        </w:tc>
        <w:tc>
          <w:tcPr>
            <w:tcW w:w="675" w:type="dxa"/>
            <w:vAlign w:val="center"/>
          </w:tcPr>
          <w:p w14:paraId="2FEA735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630" w:type="dxa"/>
            <w:vAlign w:val="center"/>
          </w:tcPr>
          <w:p w14:paraId="4EC4932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795" w:type="dxa"/>
            <w:vAlign w:val="center"/>
          </w:tcPr>
          <w:p w14:paraId="71FF8B3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684" w:type="dxa"/>
            <w:vAlign w:val="center"/>
          </w:tcPr>
          <w:p w14:paraId="496367B6">
            <w:pPr>
              <w:adjustRightInd w:val="0"/>
              <w:snapToGrid w:val="0"/>
              <w:jc w:val="center"/>
              <w:rPr>
                <w:rFonts w:hint="default" w:ascii="Times New Roman" w:hAnsi="Times New Roman" w:cs="Times New Roman"/>
                <w:color w:val="auto"/>
                <w:kern w:val="0"/>
                <w:szCs w:val="21"/>
                <w:highlight w:val="none"/>
              </w:rPr>
            </w:pPr>
          </w:p>
        </w:tc>
      </w:tr>
      <w:tr w14:paraId="15F8F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15" w:type="dxa"/>
            <w:vAlign w:val="center"/>
          </w:tcPr>
          <w:p w14:paraId="2AB6AA0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w:t>
            </w:r>
          </w:p>
        </w:tc>
        <w:tc>
          <w:tcPr>
            <w:tcW w:w="813" w:type="dxa"/>
            <w:vAlign w:val="center"/>
          </w:tcPr>
          <w:p w14:paraId="1E13063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搅拌罐</w:t>
            </w:r>
          </w:p>
        </w:tc>
        <w:tc>
          <w:tcPr>
            <w:tcW w:w="640" w:type="dxa"/>
            <w:vAlign w:val="center"/>
          </w:tcPr>
          <w:p w14:paraId="28033DC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114</w:t>
            </w:r>
          </w:p>
        </w:tc>
        <w:tc>
          <w:tcPr>
            <w:tcW w:w="555" w:type="dxa"/>
            <w:vAlign w:val="center"/>
          </w:tcPr>
          <w:p w14:paraId="4808A14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6</w:t>
            </w:r>
          </w:p>
        </w:tc>
        <w:tc>
          <w:tcPr>
            <w:tcW w:w="585" w:type="dxa"/>
            <w:vAlign w:val="center"/>
          </w:tcPr>
          <w:p w14:paraId="15F5E1C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8</w:t>
            </w:r>
          </w:p>
        </w:tc>
        <w:tc>
          <w:tcPr>
            <w:tcW w:w="450" w:type="dxa"/>
            <w:vAlign w:val="center"/>
          </w:tcPr>
          <w:p w14:paraId="5C1BB68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90</w:t>
            </w:r>
          </w:p>
        </w:tc>
        <w:tc>
          <w:tcPr>
            <w:tcW w:w="570" w:type="dxa"/>
            <w:vAlign w:val="center"/>
          </w:tcPr>
          <w:p w14:paraId="1ADA364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15</w:t>
            </w:r>
          </w:p>
        </w:tc>
        <w:tc>
          <w:tcPr>
            <w:tcW w:w="510" w:type="dxa"/>
            <w:vAlign w:val="center"/>
          </w:tcPr>
          <w:p w14:paraId="32612DD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3600</w:t>
            </w:r>
          </w:p>
        </w:tc>
        <w:tc>
          <w:tcPr>
            <w:tcW w:w="450" w:type="dxa"/>
            <w:vMerge w:val="continue"/>
            <w:vAlign w:val="center"/>
          </w:tcPr>
          <w:p w14:paraId="2312C0B1">
            <w:pPr>
              <w:adjustRightInd w:val="0"/>
              <w:snapToGrid w:val="0"/>
              <w:jc w:val="center"/>
              <w:rPr>
                <w:rFonts w:hint="default" w:ascii="Times New Roman" w:hAnsi="Times New Roman" w:cs="Times New Roman"/>
                <w:color w:val="auto"/>
                <w:kern w:val="0"/>
                <w:szCs w:val="21"/>
                <w:highlight w:val="none"/>
              </w:rPr>
            </w:pPr>
          </w:p>
        </w:tc>
        <w:tc>
          <w:tcPr>
            <w:tcW w:w="750" w:type="dxa"/>
            <w:vAlign w:val="center"/>
          </w:tcPr>
          <w:p w14:paraId="49536C5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w:t>
            </w:r>
          </w:p>
        </w:tc>
        <w:tc>
          <w:tcPr>
            <w:tcW w:w="675" w:type="dxa"/>
            <w:vAlign w:val="center"/>
          </w:tcPr>
          <w:p w14:paraId="67FC664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w:t>
            </w:r>
          </w:p>
        </w:tc>
        <w:tc>
          <w:tcPr>
            <w:tcW w:w="630" w:type="dxa"/>
            <w:vAlign w:val="center"/>
          </w:tcPr>
          <w:p w14:paraId="7C1CFCA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0.00558</w:t>
            </w:r>
          </w:p>
        </w:tc>
        <w:tc>
          <w:tcPr>
            <w:tcW w:w="795" w:type="dxa"/>
            <w:vAlign w:val="center"/>
          </w:tcPr>
          <w:p w14:paraId="5AAE0E2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1×10</w:t>
            </w:r>
            <w:r>
              <w:rPr>
                <w:rFonts w:hint="default" w:ascii="Times New Roman" w:hAnsi="Times New Roman" w:cs="Times New Roman"/>
                <w:color w:val="auto"/>
                <w:kern w:val="0"/>
                <w:szCs w:val="21"/>
                <w:highlight w:val="none"/>
                <w:vertAlign w:val="superscript"/>
                <w:lang w:val="en-US" w:eastAsia="zh-CN"/>
              </w:rPr>
              <w:t>-7</w:t>
            </w:r>
          </w:p>
        </w:tc>
        <w:tc>
          <w:tcPr>
            <w:tcW w:w="684" w:type="dxa"/>
            <w:vAlign w:val="center"/>
          </w:tcPr>
          <w:p w14:paraId="224E35C1">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0.00003</w:t>
            </w:r>
          </w:p>
        </w:tc>
      </w:tr>
      <w:tr w14:paraId="0C0CD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15" w:type="dxa"/>
            <w:vAlign w:val="center"/>
          </w:tcPr>
          <w:p w14:paraId="7B972AA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w:t>
            </w:r>
          </w:p>
        </w:tc>
        <w:tc>
          <w:tcPr>
            <w:tcW w:w="813" w:type="dxa"/>
            <w:vAlign w:val="center"/>
          </w:tcPr>
          <w:p w14:paraId="2EF8C8B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柴油储罐</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50</w:t>
            </w:r>
            <w:r>
              <w:rPr>
                <w:rFonts w:hint="default" w:ascii="Times New Roman" w:hAnsi="Times New Roman" w:cs="Times New Roman"/>
                <w:color w:val="auto"/>
                <w:kern w:val="0"/>
                <w:szCs w:val="21"/>
                <w:highlight w:val="none"/>
                <w:lang w:eastAsia="zh-CN"/>
              </w:rPr>
              <w:t>）</w:t>
            </w:r>
          </w:p>
        </w:tc>
        <w:tc>
          <w:tcPr>
            <w:tcW w:w="640" w:type="dxa"/>
            <w:vAlign w:val="center"/>
          </w:tcPr>
          <w:p w14:paraId="1A7AF9C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107</w:t>
            </w:r>
          </w:p>
        </w:tc>
        <w:tc>
          <w:tcPr>
            <w:tcW w:w="555" w:type="dxa"/>
            <w:vAlign w:val="center"/>
          </w:tcPr>
          <w:p w14:paraId="6D2E9DC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w:t>
            </w:r>
          </w:p>
        </w:tc>
        <w:tc>
          <w:tcPr>
            <w:tcW w:w="585" w:type="dxa"/>
            <w:vAlign w:val="center"/>
          </w:tcPr>
          <w:p w14:paraId="55AA450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9.8</w:t>
            </w:r>
          </w:p>
        </w:tc>
        <w:tc>
          <w:tcPr>
            <w:tcW w:w="450" w:type="dxa"/>
            <w:vAlign w:val="center"/>
          </w:tcPr>
          <w:p w14:paraId="655EC90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90</w:t>
            </w:r>
          </w:p>
        </w:tc>
        <w:tc>
          <w:tcPr>
            <w:tcW w:w="570" w:type="dxa"/>
            <w:vAlign w:val="center"/>
          </w:tcPr>
          <w:p w14:paraId="008F7B9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3</w:t>
            </w:r>
          </w:p>
        </w:tc>
        <w:tc>
          <w:tcPr>
            <w:tcW w:w="510" w:type="dxa"/>
            <w:vAlign w:val="center"/>
          </w:tcPr>
          <w:p w14:paraId="4FE5F8C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3600</w:t>
            </w:r>
          </w:p>
        </w:tc>
        <w:tc>
          <w:tcPr>
            <w:tcW w:w="450" w:type="dxa"/>
            <w:vMerge w:val="continue"/>
            <w:vAlign w:val="center"/>
          </w:tcPr>
          <w:p w14:paraId="21935982">
            <w:pPr>
              <w:adjustRightInd w:val="0"/>
              <w:snapToGrid w:val="0"/>
              <w:jc w:val="center"/>
              <w:rPr>
                <w:rFonts w:hint="default" w:ascii="Times New Roman" w:hAnsi="Times New Roman" w:cs="Times New Roman"/>
                <w:color w:val="auto"/>
                <w:kern w:val="0"/>
                <w:szCs w:val="21"/>
                <w:highlight w:val="none"/>
              </w:rPr>
            </w:pPr>
          </w:p>
        </w:tc>
        <w:tc>
          <w:tcPr>
            <w:tcW w:w="750" w:type="dxa"/>
            <w:vAlign w:val="center"/>
          </w:tcPr>
          <w:p w14:paraId="7888BB6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675" w:type="dxa"/>
            <w:vAlign w:val="center"/>
          </w:tcPr>
          <w:p w14:paraId="32FC272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0.00014</w:t>
            </w:r>
          </w:p>
        </w:tc>
        <w:tc>
          <w:tcPr>
            <w:tcW w:w="630" w:type="dxa"/>
            <w:vAlign w:val="center"/>
          </w:tcPr>
          <w:p w14:paraId="7E5B98E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w:t>
            </w:r>
          </w:p>
        </w:tc>
        <w:tc>
          <w:tcPr>
            <w:tcW w:w="795" w:type="dxa"/>
            <w:vAlign w:val="center"/>
          </w:tcPr>
          <w:p w14:paraId="4621609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w:t>
            </w:r>
          </w:p>
        </w:tc>
        <w:tc>
          <w:tcPr>
            <w:tcW w:w="684" w:type="dxa"/>
            <w:vAlign w:val="center"/>
          </w:tcPr>
          <w:p w14:paraId="4C6B66AE">
            <w:pPr>
              <w:adjustRightInd w:val="0"/>
              <w:snapToGrid w:val="0"/>
              <w:jc w:val="center"/>
              <w:rPr>
                <w:rFonts w:hint="default" w:ascii="Times New Roman" w:hAnsi="Times New Roman" w:cs="Times New Roman"/>
                <w:color w:val="auto"/>
                <w:kern w:val="0"/>
                <w:szCs w:val="21"/>
                <w:highlight w:val="none"/>
                <w:lang w:val="en-US" w:eastAsia="zh-CN"/>
              </w:rPr>
            </w:pPr>
          </w:p>
        </w:tc>
      </w:tr>
      <w:tr w14:paraId="6D9130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15" w:type="dxa"/>
            <w:vAlign w:val="center"/>
          </w:tcPr>
          <w:p w14:paraId="001F13A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w:t>
            </w:r>
          </w:p>
        </w:tc>
        <w:tc>
          <w:tcPr>
            <w:tcW w:w="813" w:type="dxa"/>
            <w:vAlign w:val="center"/>
          </w:tcPr>
          <w:p w14:paraId="41984ED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柴油储罐（10）</w:t>
            </w:r>
          </w:p>
        </w:tc>
        <w:tc>
          <w:tcPr>
            <w:tcW w:w="640" w:type="dxa"/>
            <w:vAlign w:val="center"/>
          </w:tcPr>
          <w:p w14:paraId="4EB09B7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107</w:t>
            </w:r>
          </w:p>
        </w:tc>
        <w:tc>
          <w:tcPr>
            <w:tcW w:w="555" w:type="dxa"/>
            <w:vAlign w:val="center"/>
          </w:tcPr>
          <w:p w14:paraId="0917DC3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1.8</w:t>
            </w:r>
          </w:p>
        </w:tc>
        <w:tc>
          <w:tcPr>
            <w:tcW w:w="585" w:type="dxa"/>
            <w:vAlign w:val="center"/>
          </w:tcPr>
          <w:p w14:paraId="472FB170">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5.5</w:t>
            </w:r>
          </w:p>
        </w:tc>
        <w:tc>
          <w:tcPr>
            <w:tcW w:w="450" w:type="dxa"/>
            <w:vAlign w:val="center"/>
          </w:tcPr>
          <w:p w14:paraId="0C094F4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90</w:t>
            </w:r>
          </w:p>
        </w:tc>
        <w:tc>
          <w:tcPr>
            <w:tcW w:w="570" w:type="dxa"/>
            <w:vAlign w:val="center"/>
          </w:tcPr>
          <w:p w14:paraId="5FDC24E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w:t>
            </w:r>
          </w:p>
        </w:tc>
        <w:tc>
          <w:tcPr>
            <w:tcW w:w="510" w:type="dxa"/>
            <w:vAlign w:val="center"/>
          </w:tcPr>
          <w:p w14:paraId="17BB639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3600</w:t>
            </w:r>
          </w:p>
        </w:tc>
        <w:tc>
          <w:tcPr>
            <w:tcW w:w="450" w:type="dxa"/>
            <w:vMerge w:val="continue"/>
            <w:vAlign w:val="center"/>
          </w:tcPr>
          <w:p w14:paraId="7E665E3E">
            <w:pPr>
              <w:adjustRightInd w:val="0"/>
              <w:snapToGrid w:val="0"/>
              <w:jc w:val="center"/>
              <w:rPr>
                <w:rFonts w:hint="default" w:ascii="Times New Roman" w:hAnsi="Times New Roman" w:cs="Times New Roman"/>
                <w:color w:val="auto"/>
                <w:kern w:val="0"/>
                <w:szCs w:val="21"/>
                <w:highlight w:val="none"/>
              </w:rPr>
            </w:pPr>
          </w:p>
        </w:tc>
        <w:tc>
          <w:tcPr>
            <w:tcW w:w="750" w:type="dxa"/>
            <w:vAlign w:val="center"/>
          </w:tcPr>
          <w:p w14:paraId="3D87436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w:t>
            </w:r>
          </w:p>
        </w:tc>
        <w:tc>
          <w:tcPr>
            <w:tcW w:w="675" w:type="dxa"/>
            <w:vAlign w:val="center"/>
          </w:tcPr>
          <w:p w14:paraId="06BC302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0.00003</w:t>
            </w:r>
          </w:p>
        </w:tc>
        <w:tc>
          <w:tcPr>
            <w:tcW w:w="630" w:type="dxa"/>
            <w:vAlign w:val="center"/>
          </w:tcPr>
          <w:p w14:paraId="50B9300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w:t>
            </w:r>
          </w:p>
        </w:tc>
        <w:tc>
          <w:tcPr>
            <w:tcW w:w="795" w:type="dxa"/>
            <w:vAlign w:val="center"/>
          </w:tcPr>
          <w:p w14:paraId="617D065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w:t>
            </w:r>
          </w:p>
        </w:tc>
        <w:tc>
          <w:tcPr>
            <w:tcW w:w="684" w:type="dxa"/>
            <w:vAlign w:val="center"/>
          </w:tcPr>
          <w:p w14:paraId="2BF844E9">
            <w:pPr>
              <w:adjustRightInd w:val="0"/>
              <w:snapToGrid w:val="0"/>
              <w:jc w:val="center"/>
              <w:rPr>
                <w:rFonts w:hint="default" w:ascii="Times New Roman" w:hAnsi="Times New Roman" w:cs="Times New Roman"/>
                <w:color w:val="auto"/>
                <w:kern w:val="0"/>
                <w:szCs w:val="21"/>
                <w:highlight w:val="none"/>
                <w:lang w:val="en-US" w:eastAsia="zh-CN"/>
              </w:rPr>
            </w:pPr>
          </w:p>
        </w:tc>
      </w:tr>
    </w:tbl>
    <w:p w14:paraId="35ED5505">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lang w:eastAsia="zh-CN"/>
        </w:rPr>
      </w:pPr>
      <w:r>
        <w:rPr>
          <w:rFonts w:hint="default" w:ascii="Times New Roman" w:hAnsi="Times New Roman" w:eastAsia="黑体" w:cs="Times New Roman"/>
          <w:color w:val="auto"/>
          <w:kern w:val="0"/>
          <w:sz w:val="24"/>
          <w:szCs w:val="20"/>
          <w:highlight w:val="none"/>
        </w:rPr>
        <w:t>表1-1</w:t>
      </w:r>
      <w:r>
        <w:rPr>
          <w:rFonts w:hint="default" w:ascii="Times New Roman" w:hAnsi="Times New Roman" w:eastAsia="黑体" w:cs="Times New Roman"/>
          <w:color w:val="auto"/>
          <w:kern w:val="0"/>
          <w:sz w:val="24"/>
          <w:szCs w:val="20"/>
          <w:highlight w:val="none"/>
          <w:lang w:val="en-US" w:eastAsia="zh-CN"/>
        </w:rPr>
        <w:t>5</w:t>
      </w:r>
      <w:r>
        <w:rPr>
          <w:rFonts w:hint="default" w:ascii="Times New Roman" w:hAnsi="Times New Roman" w:eastAsia="黑体" w:cs="Times New Roman"/>
          <w:color w:val="auto"/>
          <w:kern w:val="0"/>
          <w:sz w:val="24"/>
          <w:szCs w:val="20"/>
          <w:highlight w:val="none"/>
        </w:rPr>
        <w:t xml:space="preserve"> 面源计算参数表</w:t>
      </w:r>
      <w:r>
        <w:rPr>
          <w:rFonts w:hint="default" w:ascii="Times New Roman" w:hAnsi="Times New Roman" w:eastAsia="黑体" w:cs="Times New Roman"/>
          <w:color w:val="auto"/>
          <w:kern w:val="0"/>
          <w:sz w:val="24"/>
          <w:szCs w:val="20"/>
          <w:highlight w:val="none"/>
          <w:lang w:eastAsia="zh-CN"/>
        </w:rPr>
        <w:t>（</w:t>
      </w:r>
      <w:r>
        <w:rPr>
          <w:rFonts w:hint="default" w:ascii="Times New Roman" w:hAnsi="Times New Roman" w:eastAsia="黑体" w:cs="Times New Roman"/>
          <w:color w:val="auto"/>
          <w:kern w:val="0"/>
          <w:sz w:val="24"/>
          <w:szCs w:val="20"/>
          <w:highlight w:val="none"/>
          <w:lang w:val="en-US" w:eastAsia="zh-CN"/>
        </w:rPr>
        <w:t>圆形</w:t>
      </w:r>
      <w:r>
        <w:rPr>
          <w:rFonts w:hint="default" w:ascii="Times New Roman" w:hAnsi="Times New Roman" w:eastAsia="黑体" w:cs="Times New Roman"/>
          <w:color w:val="auto"/>
          <w:kern w:val="0"/>
          <w:sz w:val="24"/>
          <w:szCs w:val="20"/>
          <w:highlight w:val="none"/>
          <w:lang w:eastAsia="zh-CN"/>
        </w:rPr>
        <w:t>）</w:t>
      </w:r>
    </w:p>
    <w:tbl>
      <w:tblPr>
        <w:tblStyle w:val="30"/>
        <w:tblW w:w="4998"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426"/>
        <w:gridCol w:w="965"/>
        <w:gridCol w:w="1337"/>
        <w:gridCol w:w="1338"/>
        <w:gridCol w:w="723"/>
        <w:gridCol w:w="927"/>
        <w:gridCol w:w="941"/>
        <w:gridCol w:w="696"/>
        <w:gridCol w:w="1166"/>
      </w:tblGrid>
      <w:tr w14:paraId="6EFE229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250" w:type="pct"/>
            <w:vMerge w:val="restart"/>
            <w:tcBorders>
              <w:top w:val="single" w:color="auto" w:sz="2" w:space="0"/>
              <w:left w:val="nil"/>
              <w:bottom w:val="single" w:color="auto" w:sz="2" w:space="0"/>
              <w:right w:val="single" w:color="auto" w:sz="2" w:space="0"/>
            </w:tcBorders>
            <w:vAlign w:val="center"/>
          </w:tcPr>
          <w:p w14:paraId="307D82A7">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color w:val="auto"/>
                <w:sz w:val="21"/>
                <w:szCs w:val="21"/>
                <w:highlight w:val="none"/>
                <w:lang w:val="en-US" w:eastAsia="zh-CN"/>
              </w:rPr>
              <w:t>编号</w:t>
            </w:r>
          </w:p>
        </w:tc>
        <w:tc>
          <w:tcPr>
            <w:tcW w:w="566" w:type="pct"/>
            <w:vMerge w:val="restart"/>
            <w:tcBorders>
              <w:top w:val="single" w:color="auto" w:sz="2" w:space="0"/>
              <w:left w:val="single" w:color="auto" w:sz="2" w:space="0"/>
              <w:right w:val="single" w:color="auto" w:sz="2" w:space="0"/>
            </w:tcBorders>
            <w:vAlign w:val="center"/>
          </w:tcPr>
          <w:p w14:paraId="43B0BA1C">
            <w:pPr>
              <w:jc w:val="center"/>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面源</w:t>
            </w:r>
          </w:p>
          <w:p w14:paraId="2B2E5676">
            <w:pPr>
              <w:jc w:val="center"/>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名称</w:t>
            </w:r>
          </w:p>
        </w:tc>
        <w:tc>
          <w:tcPr>
            <w:tcW w:w="1570" w:type="pct"/>
            <w:gridSpan w:val="2"/>
            <w:tcBorders>
              <w:top w:val="single" w:color="auto" w:sz="2" w:space="0"/>
              <w:left w:val="single" w:color="auto" w:sz="2" w:space="0"/>
              <w:bottom w:val="single" w:color="auto" w:sz="2" w:space="0"/>
              <w:right w:val="single" w:color="auto" w:sz="2" w:space="0"/>
            </w:tcBorders>
            <w:vAlign w:val="center"/>
          </w:tcPr>
          <w:p w14:paraId="2C8B5FB5">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中心点坐标(°)</w:t>
            </w:r>
          </w:p>
        </w:tc>
        <w:tc>
          <w:tcPr>
            <w:tcW w:w="424" w:type="pct"/>
            <w:vMerge w:val="restart"/>
            <w:tcBorders>
              <w:top w:val="single" w:color="auto" w:sz="2" w:space="0"/>
              <w:left w:val="single" w:color="auto" w:sz="2" w:space="0"/>
              <w:bottom w:val="single" w:color="auto" w:sz="2" w:space="0"/>
              <w:right w:val="single" w:color="auto" w:sz="2" w:space="0"/>
            </w:tcBorders>
            <w:vAlign w:val="center"/>
          </w:tcPr>
          <w:p w14:paraId="1F8D0F54">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海拔高度(m)</w:t>
            </w:r>
          </w:p>
        </w:tc>
        <w:tc>
          <w:tcPr>
            <w:tcW w:w="544" w:type="pct"/>
            <w:vMerge w:val="restart"/>
            <w:tcBorders>
              <w:top w:val="single" w:color="auto" w:sz="2" w:space="0"/>
              <w:left w:val="single" w:color="auto" w:sz="2" w:space="0"/>
              <w:bottom w:val="single" w:color="auto" w:sz="2" w:space="0"/>
              <w:right w:val="single" w:color="auto" w:sz="2" w:space="0"/>
            </w:tcBorders>
            <w:vAlign w:val="center"/>
          </w:tcPr>
          <w:p w14:paraId="0B530A8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面源有效排放高度(m)</w:t>
            </w:r>
          </w:p>
        </w:tc>
        <w:tc>
          <w:tcPr>
            <w:tcW w:w="552" w:type="pct"/>
            <w:vMerge w:val="restart"/>
            <w:tcBorders>
              <w:top w:val="single" w:color="auto" w:sz="2" w:space="0"/>
              <w:left w:val="single" w:color="auto" w:sz="2" w:space="0"/>
              <w:bottom w:val="single" w:color="auto" w:sz="2" w:space="0"/>
              <w:right w:val="single" w:color="auto" w:sz="2" w:space="0"/>
            </w:tcBorders>
            <w:vAlign w:val="center"/>
          </w:tcPr>
          <w:p w14:paraId="5FE75C54">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初始垂向扩散参数(m)</w:t>
            </w:r>
          </w:p>
        </w:tc>
        <w:tc>
          <w:tcPr>
            <w:tcW w:w="408" w:type="pct"/>
            <w:vMerge w:val="restart"/>
            <w:tcBorders>
              <w:top w:val="single" w:color="auto" w:sz="2" w:space="0"/>
              <w:left w:val="single" w:color="auto" w:sz="2" w:space="0"/>
              <w:bottom w:val="single" w:color="auto" w:sz="2" w:space="0"/>
              <w:right w:val="single" w:color="auto" w:sz="2" w:space="0"/>
            </w:tcBorders>
            <w:vAlign w:val="center"/>
          </w:tcPr>
          <w:p w14:paraId="3C44EFC5">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圆形面源半径(m)</w:t>
            </w:r>
          </w:p>
        </w:tc>
        <w:tc>
          <w:tcPr>
            <w:tcW w:w="684" w:type="pct"/>
            <w:tcBorders>
              <w:top w:val="single" w:color="auto" w:sz="2" w:space="0"/>
              <w:left w:val="single" w:color="auto" w:sz="2" w:space="0"/>
              <w:bottom w:val="single" w:color="auto" w:sz="2" w:space="0"/>
              <w:right w:val="nil"/>
            </w:tcBorders>
            <w:vAlign w:val="center"/>
          </w:tcPr>
          <w:p w14:paraId="6C3FF3C3">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污染物排放速率(kg/h)</w:t>
            </w:r>
          </w:p>
        </w:tc>
      </w:tr>
      <w:tr w14:paraId="2D363AC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250" w:type="pct"/>
            <w:vMerge w:val="continue"/>
            <w:tcBorders>
              <w:top w:val="single" w:color="auto" w:sz="2" w:space="0"/>
              <w:left w:val="nil"/>
              <w:bottom w:val="single" w:color="auto" w:sz="2" w:space="0"/>
              <w:right w:val="single" w:color="auto" w:sz="2" w:space="0"/>
            </w:tcBorders>
            <w:vAlign w:val="center"/>
          </w:tcPr>
          <w:p w14:paraId="436A7023">
            <w:pPr>
              <w:jc w:val="center"/>
              <w:rPr>
                <w:rFonts w:hint="default" w:ascii="Times New Roman" w:hAnsi="Times New Roman" w:cs="Times New Roman"/>
                <w:color w:val="auto"/>
                <w:sz w:val="21"/>
                <w:szCs w:val="21"/>
                <w:highlight w:val="none"/>
              </w:rPr>
            </w:pPr>
          </w:p>
        </w:tc>
        <w:tc>
          <w:tcPr>
            <w:tcW w:w="566" w:type="pct"/>
            <w:vMerge w:val="continue"/>
            <w:tcBorders>
              <w:left w:val="single" w:color="auto" w:sz="2" w:space="0"/>
              <w:bottom w:val="single" w:color="auto" w:sz="2" w:space="0"/>
              <w:right w:val="single" w:color="auto" w:sz="2" w:space="0"/>
            </w:tcBorders>
            <w:vAlign w:val="center"/>
          </w:tcPr>
          <w:p w14:paraId="002AD5DE">
            <w:pPr>
              <w:jc w:val="center"/>
              <w:rPr>
                <w:rFonts w:hint="default" w:ascii="Times New Roman" w:hAnsi="Times New Roman" w:eastAsia="宋体" w:cs="Times New Roman"/>
                <w:b w:val="0"/>
                <w:color w:val="auto"/>
                <w:sz w:val="21"/>
                <w:szCs w:val="21"/>
                <w:highlight w:val="none"/>
              </w:rPr>
            </w:pPr>
          </w:p>
        </w:tc>
        <w:tc>
          <w:tcPr>
            <w:tcW w:w="784" w:type="pct"/>
            <w:tcBorders>
              <w:top w:val="single" w:color="auto" w:sz="2" w:space="0"/>
              <w:left w:val="single" w:color="auto" w:sz="2" w:space="0"/>
              <w:bottom w:val="single" w:color="auto" w:sz="2" w:space="0"/>
              <w:right w:val="single" w:color="auto" w:sz="2" w:space="0"/>
            </w:tcBorders>
            <w:vAlign w:val="center"/>
          </w:tcPr>
          <w:p w14:paraId="7A7BDCB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经度</w:t>
            </w:r>
          </w:p>
        </w:tc>
        <w:tc>
          <w:tcPr>
            <w:tcW w:w="785" w:type="pct"/>
            <w:tcBorders>
              <w:top w:val="single" w:color="auto" w:sz="2" w:space="0"/>
              <w:left w:val="single" w:color="auto" w:sz="2" w:space="0"/>
              <w:bottom w:val="single" w:color="auto" w:sz="2" w:space="0"/>
              <w:right w:val="single" w:color="auto" w:sz="2" w:space="0"/>
            </w:tcBorders>
            <w:vAlign w:val="center"/>
          </w:tcPr>
          <w:p w14:paraId="6037DE65">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纬度</w:t>
            </w:r>
          </w:p>
        </w:tc>
        <w:tc>
          <w:tcPr>
            <w:tcW w:w="424" w:type="pct"/>
            <w:vMerge w:val="continue"/>
            <w:tcBorders>
              <w:top w:val="single" w:color="auto" w:sz="2" w:space="0"/>
              <w:left w:val="single" w:color="auto" w:sz="2" w:space="0"/>
              <w:bottom w:val="single" w:color="auto" w:sz="2" w:space="0"/>
              <w:right w:val="single" w:color="auto" w:sz="2" w:space="0"/>
            </w:tcBorders>
            <w:vAlign w:val="center"/>
          </w:tcPr>
          <w:p w14:paraId="0EACCE75">
            <w:pPr>
              <w:jc w:val="center"/>
              <w:rPr>
                <w:rFonts w:hint="default" w:ascii="Times New Roman" w:hAnsi="Times New Roman" w:cs="Times New Roman"/>
                <w:color w:val="auto"/>
                <w:sz w:val="21"/>
                <w:szCs w:val="21"/>
                <w:highlight w:val="none"/>
              </w:rPr>
            </w:pPr>
          </w:p>
        </w:tc>
        <w:tc>
          <w:tcPr>
            <w:tcW w:w="544" w:type="pct"/>
            <w:vMerge w:val="continue"/>
            <w:tcBorders>
              <w:top w:val="single" w:color="auto" w:sz="2" w:space="0"/>
              <w:left w:val="single" w:color="auto" w:sz="2" w:space="0"/>
              <w:bottom w:val="single" w:color="auto" w:sz="2" w:space="0"/>
              <w:right w:val="single" w:color="auto" w:sz="2" w:space="0"/>
            </w:tcBorders>
            <w:vAlign w:val="center"/>
          </w:tcPr>
          <w:p w14:paraId="2C8D203E">
            <w:pPr>
              <w:jc w:val="center"/>
              <w:rPr>
                <w:rFonts w:hint="default" w:ascii="Times New Roman" w:hAnsi="Times New Roman" w:cs="Times New Roman"/>
                <w:color w:val="auto"/>
                <w:sz w:val="21"/>
                <w:szCs w:val="21"/>
                <w:highlight w:val="none"/>
              </w:rPr>
            </w:pPr>
          </w:p>
        </w:tc>
        <w:tc>
          <w:tcPr>
            <w:tcW w:w="552" w:type="pct"/>
            <w:vMerge w:val="continue"/>
            <w:tcBorders>
              <w:top w:val="single" w:color="auto" w:sz="2" w:space="0"/>
              <w:left w:val="single" w:color="auto" w:sz="2" w:space="0"/>
              <w:bottom w:val="single" w:color="auto" w:sz="2" w:space="0"/>
              <w:right w:val="single" w:color="auto" w:sz="2" w:space="0"/>
            </w:tcBorders>
            <w:vAlign w:val="center"/>
          </w:tcPr>
          <w:p w14:paraId="2DC6E285">
            <w:pPr>
              <w:jc w:val="center"/>
              <w:rPr>
                <w:rFonts w:hint="default" w:ascii="Times New Roman" w:hAnsi="Times New Roman" w:cs="Times New Roman"/>
                <w:color w:val="auto"/>
                <w:sz w:val="21"/>
                <w:szCs w:val="21"/>
                <w:highlight w:val="none"/>
              </w:rPr>
            </w:pPr>
          </w:p>
        </w:tc>
        <w:tc>
          <w:tcPr>
            <w:tcW w:w="408" w:type="pct"/>
            <w:vMerge w:val="continue"/>
            <w:tcBorders>
              <w:top w:val="single" w:color="auto" w:sz="2" w:space="0"/>
              <w:left w:val="single" w:color="auto" w:sz="2" w:space="0"/>
              <w:bottom w:val="single" w:color="auto" w:sz="2" w:space="0"/>
              <w:right w:val="single" w:color="auto" w:sz="2" w:space="0"/>
            </w:tcBorders>
            <w:vAlign w:val="center"/>
          </w:tcPr>
          <w:p w14:paraId="49190F0F">
            <w:pPr>
              <w:jc w:val="center"/>
              <w:rPr>
                <w:rFonts w:hint="default" w:ascii="Times New Roman" w:hAnsi="Times New Roman" w:cs="Times New Roman"/>
                <w:color w:val="auto"/>
                <w:sz w:val="21"/>
                <w:szCs w:val="21"/>
                <w:highlight w:val="none"/>
              </w:rPr>
            </w:pPr>
          </w:p>
        </w:tc>
        <w:tc>
          <w:tcPr>
            <w:tcW w:w="684" w:type="pct"/>
            <w:tcBorders>
              <w:top w:val="single" w:color="auto" w:sz="2" w:space="0"/>
              <w:left w:val="single" w:color="auto" w:sz="2" w:space="0"/>
              <w:bottom w:val="single" w:color="auto" w:sz="2" w:space="0"/>
              <w:right w:val="nil"/>
            </w:tcBorders>
            <w:vAlign w:val="center"/>
          </w:tcPr>
          <w:p w14:paraId="6D441273">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TSP</w:t>
            </w:r>
          </w:p>
        </w:tc>
      </w:tr>
      <w:tr w14:paraId="5750347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250" w:type="pct"/>
            <w:tcBorders>
              <w:top w:val="single" w:color="auto" w:sz="2" w:space="0"/>
              <w:left w:val="nil"/>
              <w:bottom w:val="single" w:color="auto" w:sz="2" w:space="0"/>
              <w:right w:val="single" w:color="auto" w:sz="2" w:space="0"/>
            </w:tcBorders>
            <w:vAlign w:val="center"/>
          </w:tcPr>
          <w:p w14:paraId="75FCF2C4">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color w:val="auto"/>
                <w:sz w:val="21"/>
                <w:szCs w:val="21"/>
                <w:highlight w:val="none"/>
                <w:lang w:val="en-US" w:eastAsia="zh-CN"/>
              </w:rPr>
              <w:t>1</w:t>
            </w:r>
          </w:p>
        </w:tc>
        <w:tc>
          <w:tcPr>
            <w:tcW w:w="566" w:type="pct"/>
            <w:tcBorders>
              <w:top w:val="single" w:color="auto" w:sz="2" w:space="0"/>
              <w:left w:val="single" w:color="auto" w:sz="2" w:space="0"/>
              <w:bottom w:val="single" w:color="auto" w:sz="2" w:space="0"/>
              <w:right w:val="single" w:color="auto" w:sz="2" w:space="0"/>
            </w:tcBorders>
            <w:vAlign w:val="center"/>
          </w:tcPr>
          <w:p w14:paraId="5D971040">
            <w:pPr>
              <w:jc w:val="center"/>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矿粉仓</w:t>
            </w:r>
          </w:p>
        </w:tc>
        <w:tc>
          <w:tcPr>
            <w:tcW w:w="784" w:type="pct"/>
            <w:tcBorders>
              <w:top w:val="single" w:color="auto" w:sz="2" w:space="0"/>
              <w:left w:val="single" w:color="auto" w:sz="2" w:space="0"/>
              <w:bottom w:val="single" w:color="auto" w:sz="2" w:space="0"/>
              <w:right w:val="single" w:color="auto" w:sz="2" w:space="0"/>
            </w:tcBorders>
            <w:vAlign w:val="center"/>
          </w:tcPr>
          <w:p w14:paraId="1B6CA80F">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133.031448</w:t>
            </w:r>
          </w:p>
        </w:tc>
        <w:tc>
          <w:tcPr>
            <w:tcW w:w="785" w:type="pct"/>
            <w:tcBorders>
              <w:top w:val="single" w:color="auto" w:sz="2" w:space="0"/>
              <w:left w:val="single" w:color="auto" w:sz="2" w:space="0"/>
              <w:bottom w:val="single" w:color="auto" w:sz="2" w:space="0"/>
              <w:right w:val="single" w:color="auto" w:sz="2" w:space="0"/>
            </w:tcBorders>
            <w:vAlign w:val="center"/>
          </w:tcPr>
          <w:p w14:paraId="0D8E80A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45.792388</w:t>
            </w:r>
          </w:p>
        </w:tc>
        <w:tc>
          <w:tcPr>
            <w:tcW w:w="424" w:type="pct"/>
            <w:tcBorders>
              <w:top w:val="single" w:color="auto" w:sz="2" w:space="0"/>
              <w:left w:val="single" w:color="auto" w:sz="2" w:space="0"/>
              <w:bottom w:val="single" w:color="auto" w:sz="2" w:space="0"/>
              <w:right w:val="single" w:color="auto" w:sz="2" w:space="0"/>
            </w:tcBorders>
            <w:vAlign w:val="center"/>
          </w:tcPr>
          <w:p w14:paraId="155DC4F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107</w:t>
            </w:r>
          </w:p>
        </w:tc>
        <w:tc>
          <w:tcPr>
            <w:tcW w:w="544" w:type="pct"/>
            <w:tcBorders>
              <w:top w:val="single" w:color="auto" w:sz="2" w:space="0"/>
              <w:left w:val="single" w:color="auto" w:sz="2" w:space="0"/>
              <w:bottom w:val="single" w:color="auto" w:sz="2" w:space="0"/>
              <w:right w:val="single" w:color="auto" w:sz="2" w:space="0"/>
            </w:tcBorders>
            <w:vAlign w:val="center"/>
          </w:tcPr>
          <w:p w14:paraId="3FE86BF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20.00</w:t>
            </w:r>
          </w:p>
        </w:tc>
        <w:tc>
          <w:tcPr>
            <w:tcW w:w="552" w:type="pct"/>
            <w:tcBorders>
              <w:top w:val="single" w:color="auto" w:sz="2" w:space="0"/>
              <w:left w:val="single" w:color="auto" w:sz="2" w:space="0"/>
              <w:bottom w:val="single" w:color="auto" w:sz="2" w:space="0"/>
              <w:right w:val="single" w:color="auto" w:sz="2" w:space="0"/>
            </w:tcBorders>
            <w:vAlign w:val="center"/>
          </w:tcPr>
          <w:p w14:paraId="6D7AE83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9.30</w:t>
            </w:r>
          </w:p>
        </w:tc>
        <w:tc>
          <w:tcPr>
            <w:tcW w:w="408" w:type="pct"/>
            <w:tcBorders>
              <w:top w:val="single" w:color="auto" w:sz="2" w:space="0"/>
              <w:left w:val="single" w:color="auto" w:sz="2" w:space="0"/>
              <w:bottom w:val="single" w:color="auto" w:sz="2" w:space="0"/>
              <w:right w:val="single" w:color="auto" w:sz="2" w:space="0"/>
            </w:tcBorders>
            <w:vAlign w:val="center"/>
          </w:tcPr>
          <w:p w14:paraId="33E227FC">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1.50</w:t>
            </w:r>
          </w:p>
        </w:tc>
        <w:tc>
          <w:tcPr>
            <w:tcW w:w="684" w:type="pct"/>
            <w:tcBorders>
              <w:top w:val="single" w:color="auto" w:sz="2" w:space="0"/>
              <w:left w:val="single" w:color="auto" w:sz="2" w:space="0"/>
              <w:bottom w:val="single" w:color="auto" w:sz="2" w:space="0"/>
              <w:right w:val="nil"/>
            </w:tcBorders>
            <w:vAlign w:val="center"/>
          </w:tcPr>
          <w:p w14:paraId="0BA2628D">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0.0375</w:t>
            </w:r>
          </w:p>
        </w:tc>
      </w:tr>
    </w:tbl>
    <w:p w14:paraId="2BAC56C5">
      <w:pPr>
        <w:widowControl/>
        <w:adjustRightInd w:val="0"/>
        <w:snapToGrid w:val="0"/>
        <w:spacing w:line="500" w:lineRule="exact"/>
        <w:ind w:firstLine="420" w:firstLineChars="200"/>
        <w:jc w:val="center"/>
        <w:rPr>
          <w:rFonts w:hint="default" w:ascii="Times New Roman" w:hAnsi="Times New Roman" w:eastAsia="黑体" w:cs="Times New Roman"/>
          <w:color w:val="auto"/>
          <w:kern w:val="0"/>
          <w:szCs w:val="20"/>
          <w:highlight w:val="none"/>
        </w:rPr>
      </w:pPr>
    </w:p>
    <w:p w14:paraId="351EE923">
      <w:pPr>
        <w:pStyle w:val="29"/>
        <w:rPr>
          <w:rFonts w:hint="default" w:ascii="Times New Roman" w:hAnsi="Times New Roman" w:cs="Times New Roman"/>
          <w:color w:val="auto"/>
          <w:highlight w:val="none"/>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8C78DA7">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表1-1</w:t>
      </w:r>
      <w:r>
        <w:rPr>
          <w:rFonts w:hint="default" w:ascii="Times New Roman" w:hAnsi="Times New Roman" w:eastAsia="黑体" w:cs="Times New Roman"/>
          <w:color w:val="auto"/>
          <w:kern w:val="0"/>
          <w:sz w:val="24"/>
          <w:szCs w:val="20"/>
          <w:highlight w:val="none"/>
          <w:lang w:val="en-US" w:eastAsia="zh-CN"/>
        </w:rPr>
        <w:t>6</w:t>
      </w:r>
      <w:r>
        <w:rPr>
          <w:rFonts w:hint="default" w:ascii="Times New Roman" w:hAnsi="Times New Roman" w:eastAsia="黑体" w:cs="Times New Roman"/>
          <w:color w:val="auto"/>
          <w:kern w:val="0"/>
          <w:sz w:val="24"/>
          <w:szCs w:val="20"/>
          <w:highlight w:val="none"/>
        </w:rPr>
        <w:t>估算模式计算结果一览表（DA00</w:t>
      </w:r>
      <w:r>
        <w:rPr>
          <w:rFonts w:hint="default" w:ascii="Times New Roman" w:hAnsi="Times New Roman" w:eastAsia="黑体" w:cs="Times New Roman"/>
          <w:color w:val="auto"/>
          <w:kern w:val="0"/>
          <w:sz w:val="24"/>
          <w:szCs w:val="20"/>
          <w:highlight w:val="none"/>
          <w:lang w:val="en-US" w:eastAsia="zh-CN"/>
        </w:rPr>
        <w:t>1</w:t>
      </w:r>
      <w:r>
        <w:rPr>
          <w:rFonts w:hint="default" w:ascii="Times New Roman" w:hAnsi="Times New Roman" w:eastAsia="黑体" w:cs="Times New Roman"/>
          <w:color w:val="auto"/>
          <w:kern w:val="0"/>
          <w:sz w:val="24"/>
          <w:szCs w:val="20"/>
          <w:highlight w:val="none"/>
        </w:rPr>
        <w:t>）</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19"/>
        <w:gridCol w:w="2051"/>
        <w:gridCol w:w="1629"/>
        <w:gridCol w:w="1938"/>
        <w:gridCol w:w="1728"/>
        <w:gridCol w:w="2037"/>
        <w:gridCol w:w="1661"/>
      </w:tblGrid>
      <w:tr w14:paraId="54472B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Merge w:val="restart"/>
            <w:vAlign w:val="center"/>
          </w:tcPr>
          <w:p w14:paraId="5512B17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下风向距离（m）</w:t>
            </w:r>
          </w:p>
        </w:tc>
        <w:tc>
          <w:tcPr>
            <w:tcW w:w="3898" w:type="pct"/>
            <w:gridSpan w:val="6"/>
            <w:vAlign w:val="center"/>
          </w:tcPr>
          <w:p w14:paraId="2670F8D2">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rPr>
              <w:t>点源-排气筒DA00</w:t>
            </w:r>
            <w:r>
              <w:rPr>
                <w:rFonts w:hint="default" w:ascii="Times New Roman" w:hAnsi="Times New Roman" w:cs="Times New Roman"/>
                <w:snapToGrid w:val="0"/>
                <w:color w:val="auto"/>
                <w:szCs w:val="21"/>
                <w:highlight w:val="none"/>
                <w:lang w:val="en-US" w:eastAsia="zh-CN"/>
              </w:rPr>
              <w:t>1</w:t>
            </w:r>
          </w:p>
        </w:tc>
      </w:tr>
      <w:tr w14:paraId="7F650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Merge w:val="continue"/>
            <w:vAlign w:val="center"/>
          </w:tcPr>
          <w:p w14:paraId="322CE908">
            <w:pPr>
              <w:adjustRightInd w:val="0"/>
              <w:snapToGrid w:val="0"/>
              <w:jc w:val="center"/>
              <w:rPr>
                <w:rFonts w:hint="default" w:ascii="Times New Roman" w:hAnsi="Times New Roman" w:cs="Times New Roman"/>
                <w:snapToGrid w:val="0"/>
                <w:color w:val="auto"/>
                <w:szCs w:val="21"/>
                <w:highlight w:val="none"/>
              </w:rPr>
            </w:pPr>
          </w:p>
        </w:tc>
        <w:tc>
          <w:tcPr>
            <w:tcW w:w="1299" w:type="pct"/>
            <w:gridSpan w:val="2"/>
            <w:vAlign w:val="center"/>
          </w:tcPr>
          <w:p w14:paraId="3AC06E65">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PM</w:t>
            </w:r>
            <w:r>
              <w:rPr>
                <w:rFonts w:hint="default" w:ascii="Times New Roman" w:hAnsi="Times New Roman" w:cs="Times New Roman"/>
                <w:snapToGrid w:val="0"/>
                <w:color w:val="auto"/>
                <w:szCs w:val="21"/>
                <w:highlight w:val="none"/>
                <w:vertAlign w:val="subscript"/>
              </w:rPr>
              <w:t>10</w:t>
            </w:r>
          </w:p>
        </w:tc>
        <w:tc>
          <w:tcPr>
            <w:tcW w:w="1294" w:type="pct"/>
            <w:gridSpan w:val="2"/>
            <w:vAlign w:val="center"/>
          </w:tcPr>
          <w:p w14:paraId="1BC5C2A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SO</w:t>
            </w:r>
            <w:r>
              <w:rPr>
                <w:rFonts w:hint="default" w:ascii="Times New Roman" w:hAnsi="Times New Roman" w:cs="Times New Roman"/>
                <w:snapToGrid w:val="0"/>
                <w:color w:val="auto"/>
                <w:szCs w:val="21"/>
                <w:highlight w:val="none"/>
                <w:vertAlign w:val="subscript"/>
              </w:rPr>
              <w:t>2</w:t>
            </w:r>
          </w:p>
        </w:tc>
        <w:tc>
          <w:tcPr>
            <w:tcW w:w="1305" w:type="pct"/>
            <w:gridSpan w:val="2"/>
            <w:vAlign w:val="center"/>
          </w:tcPr>
          <w:p w14:paraId="25A6EB12">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rPr>
              <w:t>NO</w:t>
            </w:r>
            <w:r>
              <w:rPr>
                <w:rFonts w:hint="default" w:ascii="Times New Roman" w:hAnsi="Times New Roman" w:cs="Times New Roman"/>
                <w:snapToGrid w:val="0"/>
                <w:color w:val="auto"/>
                <w:szCs w:val="21"/>
                <w:highlight w:val="none"/>
                <w:vertAlign w:val="subscript"/>
                <w:lang w:val="en-US" w:eastAsia="zh-CN"/>
              </w:rPr>
              <w:t>2</w:t>
            </w:r>
          </w:p>
        </w:tc>
      </w:tr>
      <w:tr w14:paraId="4199ED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Merge w:val="continue"/>
            <w:vAlign w:val="center"/>
          </w:tcPr>
          <w:p w14:paraId="66D994D9">
            <w:pPr>
              <w:adjustRightInd w:val="0"/>
              <w:snapToGrid w:val="0"/>
              <w:jc w:val="center"/>
              <w:rPr>
                <w:rFonts w:hint="default" w:ascii="Times New Roman" w:hAnsi="Times New Roman" w:cs="Times New Roman"/>
                <w:snapToGrid w:val="0"/>
                <w:color w:val="auto"/>
                <w:szCs w:val="21"/>
                <w:highlight w:val="none"/>
              </w:rPr>
            </w:pPr>
          </w:p>
        </w:tc>
        <w:tc>
          <w:tcPr>
            <w:tcW w:w="724" w:type="pct"/>
            <w:vAlign w:val="center"/>
          </w:tcPr>
          <w:p w14:paraId="62BCF10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预测质量浓度μg/m</w:t>
            </w:r>
            <w:r>
              <w:rPr>
                <w:rFonts w:hint="default" w:ascii="Times New Roman" w:hAnsi="Times New Roman" w:cs="Times New Roman"/>
                <w:snapToGrid w:val="0"/>
                <w:color w:val="auto"/>
                <w:szCs w:val="21"/>
                <w:highlight w:val="none"/>
                <w:vertAlign w:val="superscript"/>
              </w:rPr>
              <w:t>3</w:t>
            </w:r>
          </w:p>
        </w:tc>
        <w:tc>
          <w:tcPr>
            <w:tcW w:w="575" w:type="pct"/>
            <w:vAlign w:val="center"/>
          </w:tcPr>
          <w:p w14:paraId="5A3225E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占标率%</w:t>
            </w:r>
          </w:p>
        </w:tc>
        <w:tc>
          <w:tcPr>
            <w:tcW w:w="684" w:type="pct"/>
            <w:vAlign w:val="center"/>
          </w:tcPr>
          <w:p w14:paraId="3FED636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预测质量浓度μg/m</w:t>
            </w:r>
            <w:r>
              <w:rPr>
                <w:rFonts w:hint="default" w:ascii="Times New Roman" w:hAnsi="Times New Roman" w:cs="Times New Roman"/>
                <w:snapToGrid w:val="0"/>
                <w:color w:val="auto"/>
                <w:szCs w:val="21"/>
                <w:highlight w:val="none"/>
                <w:vertAlign w:val="superscript"/>
              </w:rPr>
              <w:t>3</w:t>
            </w:r>
          </w:p>
        </w:tc>
        <w:tc>
          <w:tcPr>
            <w:tcW w:w="610" w:type="pct"/>
            <w:vAlign w:val="center"/>
          </w:tcPr>
          <w:p w14:paraId="60809F3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占标率%</w:t>
            </w:r>
          </w:p>
        </w:tc>
        <w:tc>
          <w:tcPr>
            <w:tcW w:w="719" w:type="pct"/>
            <w:vAlign w:val="center"/>
          </w:tcPr>
          <w:p w14:paraId="50F7E5C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预测质量浓度μg/m</w:t>
            </w:r>
            <w:r>
              <w:rPr>
                <w:rFonts w:hint="default" w:ascii="Times New Roman" w:hAnsi="Times New Roman" w:cs="Times New Roman"/>
                <w:snapToGrid w:val="0"/>
                <w:color w:val="auto"/>
                <w:szCs w:val="21"/>
                <w:highlight w:val="none"/>
                <w:vertAlign w:val="superscript"/>
              </w:rPr>
              <w:t>3</w:t>
            </w:r>
          </w:p>
        </w:tc>
        <w:tc>
          <w:tcPr>
            <w:tcW w:w="586" w:type="pct"/>
            <w:vAlign w:val="center"/>
          </w:tcPr>
          <w:p w14:paraId="0F2FD5E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占标率%</w:t>
            </w:r>
          </w:p>
        </w:tc>
      </w:tr>
      <w:tr w14:paraId="137396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0C87F275">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w:t>
            </w:r>
          </w:p>
        </w:tc>
        <w:tc>
          <w:tcPr>
            <w:tcW w:w="2051" w:type="dxa"/>
            <w:vAlign w:val="center"/>
          </w:tcPr>
          <w:p w14:paraId="7AC0D48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3.0264</w:t>
            </w:r>
          </w:p>
        </w:tc>
        <w:tc>
          <w:tcPr>
            <w:tcW w:w="1629" w:type="dxa"/>
            <w:vAlign w:val="center"/>
          </w:tcPr>
          <w:p w14:paraId="4FF0ADF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0.6725</w:t>
            </w:r>
          </w:p>
        </w:tc>
        <w:tc>
          <w:tcPr>
            <w:tcW w:w="1938" w:type="dxa"/>
            <w:vAlign w:val="center"/>
          </w:tcPr>
          <w:p w14:paraId="1EE71CD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0.1284</w:t>
            </w:r>
          </w:p>
        </w:tc>
        <w:tc>
          <w:tcPr>
            <w:tcW w:w="1728" w:type="dxa"/>
            <w:vAlign w:val="center"/>
          </w:tcPr>
          <w:p w14:paraId="6EA502A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0.0257</w:t>
            </w:r>
          </w:p>
        </w:tc>
        <w:tc>
          <w:tcPr>
            <w:tcW w:w="2037" w:type="dxa"/>
            <w:vAlign w:val="center"/>
          </w:tcPr>
          <w:p w14:paraId="4A23987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12.9401</w:t>
            </w:r>
          </w:p>
        </w:tc>
        <w:tc>
          <w:tcPr>
            <w:tcW w:w="1661" w:type="dxa"/>
            <w:vAlign w:val="center"/>
          </w:tcPr>
          <w:p w14:paraId="47F25E6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6.4701</w:t>
            </w:r>
          </w:p>
        </w:tc>
      </w:tr>
      <w:tr w14:paraId="46F31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70F3A7A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100</w:t>
            </w:r>
          </w:p>
        </w:tc>
        <w:tc>
          <w:tcPr>
            <w:tcW w:w="2051" w:type="dxa"/>
            <w:vAlign w:val="center"/>
          </w:tcPr>
          <w:p w14:paraId="534EF34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4.2501</w:t>
            </w:r>
          </w:p>
        </w:tc>
        <w:tc>
          <w:tcPr>
            <w:tcW w:w="1629" w:type="dxa"/>
            <w:vAlign w:val="center"/>
          </w:tcPr>
          <w:p w14:paraId="124E6FC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0.9445</w:t>
            </w:r>
          </w:p>
        </w:tc>
        <w:tc>
          <w:tcPr>
            <w:tcW w:w="1938" w:type="dxa"/>
            <w:vAlign w:val="center"/>
          </w:tcPr>
          <w:p w14:paraId="0FDBB8AE">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0.1803</w:t>
            </w:r>
          </w:p>
        </w:tc>
        <w:tc>
          <w:tcPr>
            <w:tcW w:w="1728" w:type="dxa"/>
            <w:vAlign w:val="center"/>
          </w:tcPr>
          <w:p w14:paraId="1C51B3E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0.0361</w:t>
            </w:r>
          </w:p>
        </w:tc>
        <w:tc>
          <w:tcPr>
            <w:tcW w:w="2037" w:type="dxa"/>
            <w:vAlign w:val="center"/>
          </w:tcPr>
          <w:p w14:paraId="10E8ABE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18.1724</w:t>
            </w:r>
          </w:p>
        </w:tc>
        <w:tc>
          <w:tcPr>
            <w:tcW w:w="1661" w:type="dxa"/>
            <w:vAlign w:val="center"/>
          </w:tcPr>
          <w:p w14:paraId="1B4B977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9.0862</w:t>
            </w:r>
          </w:p>
        </w:tc>
      </w:tr>
      <w:tr w14:paraId="42224B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410C206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200</w:t>
            </w:r>
          </w:p>
        </w:tc>
        <w:tc>
          <w:tcPr>
            <w:tcW w:w="2051" w:type="dxa"/>
            <w:vAlign w:val="center"/>
          </w:tcPr>
          <w:p w14:paraId="115C289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4.2024</w:t>
            </w:r>
          </w:p>
        </w:tc>
        <w:tc>
          <w:tcPr>
            <w:tcW w:w="1629" w:type="dxa"/>
            <w:vAlign w:val="center"/>
          </w:tcPr>
          <w:p w14:paraId="6BB275D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0.9339</w:t>
            </w:r>
          </w:p>
        </w:tc>
        <w:tc>
          <w:tcPr>
            <w:tcW w:w="1938" w:type="dxa"/>
            <w:vAlign w:val="center"/>
          </w:tcPr>
          <w:p w14:paraId="0F9CCA1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0.1783</w:t>
            </w:r>
          </w:p>
        </w:tc>
        <w:tc>
          <w:tcPr>
            <w:tcW w:w="1728" w:type="dxa"/>
            <w:vAlign w:val="center"/>
          </w:tcPr>
          <w:p w14:paraId="01978F5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0.0357</w:t>
            </w:r>
          </w:p>
        </w:tc>
        <w:tc>
          <w:tcPr>
            <w:tcW w:w="2037" w:type="dxa"/>
            <w:vAlign w:val="center"/>
          </w:tcPr>
          <w:p w14:paraId="67ACFDC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17.9684</w:t>
            </w:r>
          </w:p>
        </w:tc>
        <w:tc>
          <w:tcPr>
            <w:tcW w:w="1661" w:type="dxa"/>
            <w:vAlign w:val="center"/>
          </w:tcPr>
          <w:p w14:paraId="4824493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8.9842</w:t>
            </w:r>
          </w:p>
        </w:tc>
      </w:tr>
      <w:tr w14:paraId="14E3B8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316BE01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300</w:t>
            </w:r>
          </w:p>
        </w:tc>
        <w:tc>
          <w:tcPr>
            <w:tcW w:w="2051" w:type="dxa"/>
            <w:vAlign w:val="center"/>
          </w:tcPr>
          <w:p w14:paraId="45B9A9B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3.3286</w:t>
            </w:r>
          </w:p>
        </w:tc>
        <w:tc>
          <w:tcPr>
            <w:tcW w:w="1629" w:type="dxa"/>
            <w:vAlign w:val="center"/>
          </w:tcPr>
          <w:p w14:paraId="2C52088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0.7397</w:t>
            </w:r>
          </w:p>
        </w:tc>
        <w:tc>
          <w:tcPr>
            <w:tcW w:w="1938" w:type="dxa"/>
            <w:vAlign w:val="center"/>
          </w:tcPr>
          <w:p w14:paraId="2D2238A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0.1412</w:t>
            </w:r>
          </w:p>
        </w:tc>
        <w:tc>
          <w:tcPr>
            <w:tcW w:w="1728" w:type="dxa"/>
            <w:vAlign w:val="center"/>
          </w:tcPr>
          <w:p w14:paraId="315D4BF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0.0282</w:t>
            </w:r>
          </w:p>
        </w:tc>
        <w:tc>
          <w:tcPr>
            <w:tcW w:w="2037" w:type="dxa"/>
            <w:vAlign w:val="center"/>
          </w:tcPr>
          <w:p w14:paraId="7FA946B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14.2323</w:t>
            </w:r>
          </w:p>
        </w:tc>
        <w:tc>
          <w:tcPr>
            <w:tcW w:w="1661" w:type="dxa"/>
            <w:vAlign w:val="center"/>
          </w:tcPr>
          <w:p w14:paraId="0A1445A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7.1162</w:t>
            </w:r>
          </w:p>
        </w:tc>
      </w:tr>
      <w:tr w14:paraId="28958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1231ABA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400</w:t>
            </w:r>
          </w:p>
        </w:tc>
        <w:tc>
          <w:tcPr>
            <w:tcW w:w="2051" w:type="dxa"/>
            <w:vAlign w:val="center"/>
          </w:tcPr>
          <w:p w14:paraId="3C911C5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3.4245</w:t>
            </w:r>
          </w:p>
        </w:tc>
        <w:tc>
          <w:tcPr>
            <w:tcW w:w="1629" w:type="dxa"/>
            <w:vAlign w:val="center"/>
          </w:tcPr>
          <w:p w14:paraId="01B746A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0.7610</w:t>
            </w:r>
          </w:p>
        </w:tc>
        <w:tc>
          <w:tcPr>
            <w:tcW w:w="1938" w:type="dxa"/>
            <w:vAlign w:val="center"/>
          </w:tcPr>
          <w:p w14:paraId="1C077E5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0.1453</w:t>
            </w:r>
          </w:p>
        </w:tc>
        <w:tc>
          <w:tcPr>
            <w:tcW w:w="1728" w:type="dxa"/>
            <w:vAlign w:val="center"/>
          </w:tcPr>
          <w:p w14:paraId="7E5FA63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0.0291</w:t>
            </w:r>
          </w:p>
        </w:tc>
        <w:tc>
          <w:tcPr>
            <w:tcW w:w="2037" w:type="dxa"/>
            <w:vAlign w:val="center"/>
          </w:tcPr>
          <w:p w14:paraId="0B2973F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14.6423</w:t>
            </w:r>
          </w:p>
        </w:tc>
        <w:tc>
          <w:tcPr>
            <w:tcW w:w="1661" w:type="dxa"/>
            <w:vAlign w:val="center"/>
          </w:tcPr>
          <w:p w14:paraId="45822C8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7.3211</w:t>
            </w:r>
          </w:p>
        </w:tc>
      </w:tr>
      <w:tr w14:paraId="5F5C5C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5CA87E5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500</w:t>
            </w:r>
          </w:p>
        </w:tc>
        <w:tc>
          <w:tcPr>
            <w:tcW w:w="2051" w:type="dxa"/>
            <w:vAlign w:val="center"/>
          </w:tcPr>
          <w:p w14:paraId="3B880C1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3.2286</w:t>
            </w:r>
          </w:p>
        </w:tc>
        <w:tc>
          <w:tcPr>
            <w:tcW w:w="1629" w:type="dxa"/>
            <w:vAlign w:val="center"/>
          </w:tcPr>
          <w:p w14:paraId="33B4206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0.7175</w:t>
            </w:r>
          </w:p>
        </w:tc>
        <w:tc>
          <w:tcPr>
            <w:tcW w:w="1938" w:type="dxa"/>
            <w:vAlign w:val="center"/>
          </w:tcPr>
          <w:p w14:paraId="29031B6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0.1370</w:t>
            </w:r>
          </w:p>
        </w:tc>
        <w:tc>
          <w:tcPr>
            <w:tcW w:w="1728" w:type="dxa"/>
            <w:vAlign w:val="center"/>
          </w:tcPr>
          <w:p w14:paraId="6847332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0.0274</w:t>
            </w:r>
          </w:p>
        </w:tc>
        <w:tc>
          <w:tcPr>
            <w:tcW w:w="2037" w:type="dxa"/>
            <w:vAlign w:val="center"/>
          </w:tcPr>
          <w:p w14:paraId="4EC1533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13.8046</w:t>
            </w:r>
          </w:p>
        </w:tc>
        <w:tc>
          <w:tcPr>
            <w:tcW w:w="1661" w:type="dxa"/>
            <w:vAlign w:val="center"/>
          </w:tcPr>
          <w:p w14:paraId="70B411A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6.9023</w:t>
            </w:r>
          </w:p>
        </w:tc>
      </w:tr>
      <w:tr w14:paraId="2694C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1C3F55B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600</w:t>
            </w:r>
          </w:p>
        </w:tc>
        <w:tc>
          <w:tcPr>
            <w:tcW w:w="2051" w:type="dxa"/>
            <w:vAlign w:val="center"/>
          </w:tcPr>
          <w:p w14:paraId="4F6464D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2.9522</w:t>
            </w:r>
          </w:p>
        </w:tc>
        <w:tc>
          <w:tcPr>
            <w:tcW w:w="1629" w:type="dxa"/>
            <w:vAlign w:val="center"/>
          </w:tcPr>
          <w:p w14:paraId="4594155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0.6560</w:t>
            </w:r>
          </w:p>
        </w:tc>
        <w:tc>
          <w:tcPr>
            <w:tcW w:w="1938" w:type="dxa"/>
            <w:vAlign w:val="center"/>
          </w:tcPr>
          <w:p w14:paraId="1591A7E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0.1252</w:t>
            </w:r>
          </w:p>
        </w:tc>
        <w:tc>
          <w:tcPr>
            <w:tcW w:w="1728" w:type="dxa"/>
            <w:vAlign w:val="center"/>
          </w:tcPr>
          <w:p w14:paraId="08BFD77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0.0250</w:t>
            </w:r>
          </w:p>
        </w:tc>
        <w:tc>
          <w:tcPr>
            <w:tcW w:w="2037" w:type="dxa"/>
            <w:vAlign w:val="center"/>
          </w:tcPr>
          <w:p w14:paraId="6D862FB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12.6226</w:t>
            </w:r>
          </w:p>
        </w:tc>
        <w:tc>
          <w:tcPr>
            <w:tcW w:w="1661" w:type="dxa"/>
            <w:vAlign w:val="center"/>
          </w:tcPr>
          <w:p w14:paraId="4D7721F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6.3113</w:t>
            </w:r>
          </w:p>
        </w:tc>
      </w:tr>
      <w:tr w14:paraId="4EB5C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43D739E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700</w:t>
            </w:r>
          </w:p>
        </w:tc>
        <w:tc>
          <w:tcPr>
            <w:tcW w:w="2051" w:type="dxa"/>
            <w:vAlign w:val="center"/>
          </w:tcPr>
          <w:p w14:paraId="2595B32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2.7019</w:t>
            </w:r>
          </w:p>
        </w:tc>
        <w:tc>
          <w:tcPr>
            <w:tcW w:w="1629" w:type="dxa"/>
            <w:vAlign w:val="center"/>
          </w:tcPr>
          <w:p w14:paraId="661CDA2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0.6004</w:t>
            </w:r>
          </w:p>
        </w:tc>
        <w:tc>
          <w:tcPr>
            <w:tcW w:w="1938" w:type="dxa"/>
            <w:vAlign w:val="center"/>
          </w:tcPr>
          <w:p w14:paraId="4A1A58C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0.1146</w:t>
            </w:r>
          </w:p>
        </w:tc>
        <w:tc>
          <w:tcPr>
            <w:tcW w:w="1728" w:type="dxa"/>
            <w:vAlign w:val="center"/>
          </w:tcPr>
          <w:p w14:paraId="2D061EB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0.0229</w:t>
            </w:r>
          </w:p>
        </w:tc>
        <w:tc>
          <w:tcPr>
            <w:tcW w:w="2037" w:type="dxa"/>
            <w:vAlign w:val="center"/>
          </w:tcPr>
          <w:p w14:paraId="5B16128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11.5523</w:t>
            </w:r>
          </w:p>
        </w:tc>
        <w:tc>
          <w:tcPr>
            <w:tcW w:w="1661" w:type="dxa"/>
            <w:vAlign w:val="center"/>
          </w:tcPr>
          <w:p w14:paraId="7C86034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5.7762</w:t>
            </w:r>
          </w:p>
        </w:tc>
      </w:tr>
      <w:tr w14:paraId="530A06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4EBE155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800</w:t>
            </w:r>
          </w:p>
        </w:tc>
        <w:tc>
          <w:tcPr>
            <w:tcW w:w="2051" w:type="dxa"/>
            <w:vAlign w:val="center"/>
          </w:tcPr>
          <w:p w14:paraId="6F5929E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2.4907</w:t>
            </w:r>
          </w:p>
        </w:tc>
        <w:tc>
          <w:tcPr>
            <w:tcW w:w="1629" w:type="dxa"/>
            <w:vAlign w:val="center"/>
          </w:tcPr>
          <w:p w14:paraId="167B552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0.5535</w:t>
            </w:r>
          </w:p>
        </w:tc>
        <w:tc>
          <w:tcPr>
            <w:tcW w:w="1938" w:type="dxa"/>
            <w:vAlign w:val="center"/>
          </w:tcPr>
          <w:p w14:paraId="5B0ACBC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0.1057</w:t>
            </w:r>
          </w:p>
        </w:tc>
        <w:tc>
          <w:tcPr>
            <w:tcW w:w="1728" w:type="dxa"/>
            <w:vAlign w:val="center"/>
          </w:tcPr>
          <w:p w14:paraId="71635A2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0.0211</w:t>
            </w:r>
          </w:p>
        </w:tc>
        <w:tc>
          <w:tcPr>
            <w:tcW w:w="2037" w:type="dxa"/>
            <w:vAlign w:val="center"/>
          </w:tcPr>
          <w:p w14:paraId="6473969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10.6495</w:t>
            </w:r>
          </w:p>
        </w:tc>
        <w:tc>
          <w:tcPr>
            <w:tcW w:w="1661" w:type="dxa"/>
            <w:vAlign w:val="center"/>
          </w:tcPr>
          <w:p w14:paraId="2C35D1F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5.3247</w:t>
            </w:r>
          </w:p>
        </w:tc>
      </w:tr>
      <w:tr w14:paraId="077606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24EB96F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900</w:t>
            </w:r>
          </w:p>
        </w:tc>
        <w:tc>
          <w:tcPr>
            <w:tcW w:w="2051" w:type="dxa"/>
            <w:vAlign w:val="center"/>
          </w:tcPr>
          <w:p w14:paraId="715963C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2.3252</w:t>
            </w:r>
          </w:p>
        </w:tc>
        <w:tc>
          <w:tcPr>
            <w:tcW w:w="1629" w:type="dxa"/>
            <w:vAlign w:val="center"/>
          </w:tcPr>
          <w:p w14:paraId="408BB26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0.5167</w:t>
            </w:r>
          </w:p>
        </w:tc>
        <w:tc>
          <w:tcPr>
            <w:tcW w:w="1938" w:type="dxa"/>
            <w:vAlign w:val="center"/>
          </w:tcPr>
          <w:p w14:paraId="1BFB4AA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0.0986</w:t>
            </w:r>
          </w:p>
        </w:tc>
        <w:tc>
          <w:tcPr>
            <w:tcW w:w="1728" w:type="dxa"/>
            <w:vAlign w:val="center"/>
          </w:tcPr>
          <w:p w14:paraId="11790E5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0.0197</w:t>
            </w:r>
          </w:p>
        </w:tc>
        <w:tc>
          <w:tcPr>
            <w:tcW w:w="2037" w:type="dxa"/>
            <w:vAlign w:val="center"/>
          </w:tcPr>
          <w:p w14:paraId="6F935A4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9.9422</w:t>
            </w:r>
          </w:p>
        </w:tc>
        <w:tc>
          <w:tcPr>
            <w:tcW w:w="1661" w:type="dxa"/>
            <w:vAlign w:val="center"/>
          </w:tcPr>
          <w:p w14:paraId="7AA46A0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4.9711</w:t>
            </w:r>
          </w:p>
        </w:tc>
      </w:tr>
      <w:tr w14:paraId="068732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74533FC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1000</w:t>
            </w:r>
          </w:p>
        </w:tc>
        <w:tc>
          <w:tcPr>
            <w:tcW w:w="2051" w:type="dxa"/>
            <w:vAlign w:val="center"/>
          </w:tcPr>
          <w:p w14:paraId="4ED2B96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2.2655</w:t>
            </w:r>
          </w:p>
        </w:tc>
        <w:tc>
          <w:tcPr>
            <w:tcW w:w="1629" w:type="dxa"/>
            <w:vAlign w:val="center"/>
          </w:tcPr>
          <w:p w14:paraId="42EA67F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0.5034</w:t>
            </w:r>
          </w:p>
        </w:tc>
        <w:tc>
          <w:tcPr>
            <w:tcW w:w="1938" w:type="dxa"/>
            <w:vAlign w:val="center"/>
          </w:tcPr>
          <w:p w14:paraId="7DE5770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0.0961</w:t>
            </w:r>
          </w:p>
        </w:tc>
        <w:tc>
          <w:tcPr>
            <w:tcW w:w="1728" w:type="dxa"/>
            <w:vAlign w:val="center"/>
          </w:tcPr>
          <w:p w14:paraId="5E6683D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0.0192</w:t>
            </w:r>
          </w:p>
        </w:tc>
        <w:tc>
          <w:tcPr>
            <w:tcW w:w="2037" w:type="dxa"/>
            <w:vAlign w:val="center"/>
          </w:tcPr>
          <w:p w14:paraId="34BBAF1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9.6863</w:t>
            </w:r>
          </w:p>
        </w:tc>
        <w:tc>
          <w:tcPr>
            <w:tcW w:w="1661" w:type="dxa"/>
            <w:vAlign w:val="center"/>
          </w:tcPr>
          <w:p w14:paraId="1C6EB88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4.8432</w:t>
            </w:r>
          </w:p>
        </w:tc>
      </w:tr>
      <w:tr w14:paraId="14E4DD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39A9054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2000</w:t>
            </w:r>
          </w:p>
        </w:tc>
        <w:tc>
          <w:tcPr>
            <w:tcW w:w="2051" w:type="dxa"/>
            <w:vAlign w:val="center"/>
          </w:tcPr>
          <w:p w14:paraId="5B57446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1.6644</w:t>
            </w:r>
          </w:p>
        </w:tc>
        <w:tc>
          <w:tcPr>
            <w:tcW w:w="1629" w:type="dxa"/>
            <w:vAlign w:val="center"/>
          </w:tcPr>
          <w:p w14:paraId="03C9BFB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0.3699</w:t>
            </w:r>
          </w:p>
        </w:tc>
        <w:tc>
          <w:tcPr>
            <w:tcW w:w="1938" w:type="dxa"/>
            <w:vAlign w:val="center"/>
          </w:tcPr>
          <w:p w14:paraId="16D25D6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0.0706</w:t>
            </w:r>
          </w:p>
        </w:tc>
        <w:tc>
          <w:tcPr>
            <w:tcW w:w="1728" w:type="dxa"/>
            <w:vAlign w:val="center"/>
          </w:tcPr>
          <w:p w14:paraId="719C07C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0.0141</w:t>
            </w:r>
          </w:p>
        </w:tc>
        <w:tc>
          <w:tcPr>
            <w:tcW w:w="2037" w:type="dxa"/>
            <w:vAlign w:val="center"/>
          </w:tcPr>
          <w:p w14:paraId="7A2A5CD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7.1166</w:t>
            </w:r>
          </w:p>
        </w:tc>
        <w:tc>
          <w:tcPr>
            <w:tcW w:w="1661" w:type="dxa"/>
            <w:vAlign w:val="center"/>
          </w:tcPr>
          <w:p w14:paraId="1CA3DB1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3.5583</w:t>
            </w:r>
          </w:p>
        </w:tc>
      </w:tr>
      <w:tr w14:paraId="050BB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5E91755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3000</w:t>
            </w:r>
          </w:p>
        </w:tc>
        <w:tc>
          <w:tcPr>
            <w:tcW w:w="2051" w:type="dxa"/>
            <w:vAlign w:val="center"/>
          </w:tcPr>
          <w:p w14:paraId="7296E4B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1.2459</w:t>
            </w:r>
          </w:p>
        </w:tc>
        <w:tc>
          <w:tcPr>
            <w:tcW w:w="1629" w:type="dxa"/>
            <w:vAlign w:val="center"/>
          </w:tcPr>
          <w:p w14:paraId="34914AF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0.2769</w:t>
            </w:r>
          </w:p>
        </w:tc>
        <w:tc>
          <w:tcPr>
            <w:tcW w:w="1938" w:type="dxa"/>
            <w:vAlign w:val="center"/>
          </w:tcPr>
          <w:p w14:paraId="7EE10A3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0.0529</w:t>
            </w:r>
          </w:p>
        </w:tc>
        <w:tc>
          <w:tcPr>
            <w:tcW w:w="1728" w:type="dxa"/>
            <w:vAlign w:val="center"/>
          </w:tcPr>
          <w:p w14:paraId="325E8D0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0.0106</w:t>
            </w:r>
          </w:p>
        </w:tc>
        <w:tc>
          <w:tcPr>
            <w:tcW w:w="2037" w:type="dxa"/>
            <w:vAlign w:val="center"/>
          </w:tcPr>
          <w:p w14:paraId="090B759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5.3274</w:t>
            </w:r>
          </w:p>
        </w:tc>
        <w:tc>
          <w:tcPr>
            <w:tcW w:w="1661" w:type="dxa"/>
            <w:vAlign w:val="center"/>
          </w:tcPr>
          <w:p w14:paraId="3E9A28E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2.6637</w:t>
            </w:r>
          </w:p>
        </w:tc>
      </w:tr>
      <w:tr w14:paraId="4DA35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3FDC3A8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4000</w:t>
            </w:r>
          </w:p>
        </w:tc>
        <w:tc>
          <w:tcPr>
            <w:tcW w:w="2051" w:type="dxa"/>
            <w:vAlign w:val="center"/>
          </w:tcPr>
          <w:p w14:paraId="2345A69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1.0343</w:t>
            </w:r>
          </w:p>
        </w:tc>
        <w:tc>
          <w:tcPr>
            <w:tcW w:w="1629" w:type="dxa"/>
            <w:vAlign w:val="center"/>
          </w:tcPr>
          <w:p w14:paraId="49B17A3E">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0.2298</w:t>
            </w:r>
          </w:p>
        </w:tc>
        <w:tc>
          <w:tcPr>
            <w:tcW w:w="1938" w:type="dxa"/>
            <w:vAlign w:val="center"/>
          </w:tcPr>
          <w:p w14:paraId="43A2A04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0.0439</w:t>
            </w:r>
          </w:p>
        </w:tc>
        <w:tc>
          <w:tcPr>
            <w:tcW w:w="1728" w:type="dxa"/>
            <w:vAlign w:val="center"/>
          </w:tcPr>
          <w:p w14:paraId="70A758D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0.0088</w:t>
            </w:r>
          </w:p>
        </w:tc>
        <w:tc>
          <w:tcPr>
            <w:tcW w:w="2037" w:type="dxa"/>
            <w:vAlign w:val="center"/>
          </w:tcPr>
          <w:p w14:paraId="65B6E34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4.4224</w:t>
            </w:r>
          </w:p>
        </w:tc>
        <w:tc>
          <w:tcPr>
            <w:tcW w:w="1661" w:type="dxa"/>
            <w:vAlign w:val="center"/>
          </w:tcPr>
          <w:p w14:paraId="0A094C1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2.2112</w:t>
            </w:r>
          </w:p>
        </w:tc>
      </w:tr>
      <w:tr w14:paraId="17C29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75BA9E75">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5000</w:t>
            </w:r>
          </w:p>
        </w:tc>
        <w:tc>
          <w:tcPr>
            <w:tcW w:w="2051" w:type="dxa"/>
            <w:vAlign w:val="center"/>
          </w:tcPr>
          <w:p w14:paraId="3DF63AD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0.9390</w:t>
            </w:r>
          </w:p>
        </w:tc>
        <w:tc>
          <w:tcPr>
            <w:tcW w:w="1629" w:type="dxa"/>
            <w:vAlign w:val="center"/>
          </w:tcPr>
          <w:p w14:paraId="5568B12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0.2087</w:t>
            </w:r>
          </w:p>
        </w:tc>
        <w:tc>
          <w:tcPr>
            <w:tcW w:w="1938" w:type="dxa"/>
            <w:vAlign w:val="center"/>
          </w:tcPr>
          <w:p w14:paraId="14998E0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0.0398</w:t>
            </w:r>
          </w:p>
        </w:tc>
        <w:tc>
          <w:tcPr>
            <w:tcW w:w="1728" w:type="dxa"/>
            <w:vAlign w:val="center"/>
          </w:tcPr>
          <w:p w14:paraId="7D32C9F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0.0080</w:t>
            </w:r>
          </w:p>
        </w:tc>
        <w:tc>
          <w:tcPr>
            <w:tcW w:w="2037" w:type="dxa"/>
            <w:vAlign w:val="center"/>
          </w:tcPr>
          <w:p w14:paraId="67AA0BB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4.0150</w:t>
            </w:r>
          </w:p>
        </w:tc>
        <w:tc>
          <w:tcPr>
            <w:tcW w:w="1661" w:type="dxa"/>
            <w:vAlign w:val="center"/>
          </w:tcPr>
          <w:p w14:paraId="70EE161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2.0075</w:t>
            </w:r>
          </w:p>
        </w:tc>
      </w:tr>
      <w:tr w14:paraId="5BA31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58C4B9B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下风向最大质量浓度及占标率%</w:t>
            </w:r>
          </w:p>
        </w:tc>
        <w:tc>
          <w:tcPr>
            <w:tcW w:w="2051" w:type="dxa"/>
            <w:vAlign w:val="center"/>
          </w:tcPr>
          <w:p w14:paraId="1884DCE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4.2827</w:t>
            </w:r>
          </w:p>
        </w:tc>
        <w:tc>
          <w:tcPr>
            <w:tcW w:w="1629" w:type="dxa"/>
            <w:vAlign w:val="center"/>
          </w:tcPr>
          <w:p w14:paraId="7904251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0.9517</w:t>
            </w:r>
          </w:p>
        </w:tc>
        <w:tc>
          <w:tcPr>
            <w:tcW w:w="1938" w:type="dxa"/>
            <w:vAlign w:val="center"/>
          </w:tcPr>
          <w:p w14:paraId="1848A8B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0.1817</w:t>
            </w:r>
          </w:p>
        </w:tc>
        <w:tc>
          <w:tcPr>
            <w:tcW w:w="1728" w:type="dxa"/>
            <w:vAlign w:val="center"/>
          </w:tcPr>
          <w:p w14:paraId="7C5AA4C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0.0363</w:t>
            </w:r>
          </w:p>
        </w:tc>
        <w:tc>
          <w:tcPr>
            <w:tcW w:w="2037" w:type="dxa"/>
            <w:vAlign w:val="center"/>
          </w:tcPr>
          <w:p w14:paraId="61028E9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18.3117</w:t>
            </w:r>
          </w:p>
        </w:tc>
        <w:tc>
          <w:tcPr>
            <w:tcW w:w="1661" w:type="dxa"/>
            <w:vAlign w:val="center"/>
          </w:tcPr>
          <w:p w14:paraId="0789B11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9.1559</w:t>
            </w:r>
          </w:p>
        </w:tc>
      </w:tr>
      <w:tr w14:paraId="27A636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0DA127C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下风向最大浓度出现距离</w:t>
            </w:r>
          </w:p>
        </w:tc>
        <w:tc>
          <w:tcPr>
            <w:tcW w:w="2051" w:type="dxa"/>
            <w:vAlign w:val="center"/>
          </w:tcPr>
          <w:p w14:paraId="1E3A18D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108.0</w:t>
            </w:r>
          </w:p>
        </w:tc>
        <w:tc>
          <w:tcPr>
            <w:tcW w:w="1629" w:type="dxa"/>
            <w:vAlign w:val="center"/>
          </w:tcPr>
          <w:p w14:paraId="1850140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108.0</w:t>
            </w:r>
          </w:p>
        </w:tc>
        <w:tc>
          <w:tcPr>
            <w:tcW w:w="1938" w:type="dxa"/>
            <w:vAlign w:val="center"/>
          </w:tcPr>
          <w:p w14:paraId="15EFD25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108.0</w:t>
            </w:r>
          </w:p>
        </w:tc>
        <w:tc>
          <w:tcPr>
            <w:tcW w:w="1728" w:type="dxa"/>
            <w:vAlign w:val="center"/>
          </w:tcPr>
          <w:p w14:paraId="1A4FF47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108.0</w:t>
            </w:r>
          </w:p>
        </w:tc>
        <w:tc>
          <w:tcPr>
            <w:tcW w:w="2037" w:type="dxa"/>
            <w:vAlign w:val="center"/>
          </w:tcPr>
          <w:p w14:paraId="18BD4C5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108.0</w:t>
            </w:r>
          </w:p>
        </w:tc>
        <w:tc>
          <w:tcPr>
            <w:tcW w:w="1661" w:type="dxa"/>
            <w:vAlign w:val="center"/>
          </w:tcPr>
          <w:p w14:paraId="3A18A6F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108.0</w:t>
            </w:r>
          </w:p>
        </w:tc>
      </w:tr>
      <w:tr w14:paraId="71F6D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pct"/>
            <w:vAlign w:val="center"/>
          </w:tcPr>
          <w:p w14:paraId="199EC06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评价等级</w:t>
            </w:r>
          </w:p>
        </w:tc>
        <w:tc>
          <w:tcPr>
            <w:tcW w:w="1299" w:type="pct"/>
            <w:gridSpan w:val="2"/>
            <w:vAlign w:val="center"/>
          </w:tcPr>
          <w:p w14:paraId="717F66D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三</w:t>
            </w:r>
            <w:r>
              <w:rPr>
                <w:rFonts w:hint="default" w:ascii="Times New Roman" w:hAnsi="Times New Roman" w:cs="Times New Roman"/>
                <w:snapToGrid w:val="0"/>
                <w:color w:val="auto"/>
                <w:szCs w:val="21"/>
                <w:highlight w:val="none"/>
              </w:rPr>
              <w:t>级</w:t>
            </w:r>
          </w:p>
        </w:tc>
        <w:tc>
          <w:tcPr>
            <w:tcW w:w="1294" w:type="pct"/>
            <w:gridSpan w:val="2"/>
            <w:vAlign w:val="center"/>
          </w:tcPr>
          <w:p w14:paraId="2347349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三</w:t>
            </w:r>
            <w:r>
              <w:rPr>
                <w:rFonts w:hint="default" w:ascii="Times New Roman" w:hAnsi="Times New Roman" w:cs="Times New Roman"/>
                <w:snapToGrid w:val="0"/>
                <w:color w:val="auto"/>
                <w:szCs w:val="21"/>
                <w:highlight w:val="none"/>
              </w:rPr>
              <w:t>级</w:t>
            </w:r>
          </w:p>
        </w:tc>
        <w:tc>
          <w:tcPr>
            <w:tcW w:w="1305" w:type="pct"/>
            <w:gridSpan w:val="2"/>
            <w:vAlign w:val="center"/>
          </w:tcPr>
          <w:p w14:paraId="3445A16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二级</w:t>
            </w:r>
          </w:p>
        </w:tc>
      </w:tr>
    </w:tbl>
    <w:p w14:paraId="5060B6CD">
      <w:pPr>
        <w:widowControl/>
        <w:adjustRightInd w:val="0"/>
        <w:snapToGrid w:val="0"/>
        <w:spacing w:line="400" w:lineRule="exact"/>
        <w:ind w:firstLine="422" w:firstLineChars="200"/>
        <w:jc w:val="center"/>
        <w:rPr>
          <w:rFonts w:hint="default" w:ascii="Times New Roman" w:hAnsi="Times New Roman" w:eastAsia="黑体" w:cs="Times New Roman"/>
          <w:b/>
          <w:bCs/>
          <w:color w:val="auto"/>
          <w:kern w:val="0"/>
          <w:szCs w:val="20"/>
          <w:highlight w:val="none"/>
        </w:rPr>
      </w:pPr>
    </w:p>
    <w:p w14:paraId="41DC10DF">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表1-17估算模式计算结果一览表（DA00</w:t>
      </w:r>
      <w:r>
        <w:rPr>
          <w:rFonts w:hint="default" w:ascii="Times New Roman" w:hAnsi="Times New Roman" w:eastAsia="黑体" w:cs="Times New Roman"/>
          <w:color w:val="auto"/>
          <w:kern w:val="0"/>
          <w:sz w:val="24"/>
          <w:szCs w:val="20"/>
          <w:highlight w:val="none"/>
          <w:lang w:val="en-US" w:eastAsia="zh-CN"/>
        </w:rPr>
        <w:t>2</w:t>
      </w:r>
      <w:r>
        <w:rPr>
          <w:rFonts w:hint="default" w:ascii="Times New Roman" w:hAnsi="Times New Roman" w:eastAsia="黑体" w:cs="Times New Roman"/>
          <w:color w:val="auto"/>
          <w:kern w:val="0"/>
          <w:sz w:val="24"/>
          <w:szCs w:val="20"/>
          <w:highlight w:val="none"/>
        </w:rPr>
        <w:t>）</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19"/>
        <w:gridCol w:w="2051"/>
        <w:gridCol w:w="1629"/>
        <w:gridCol w:w="1938"/>
        <w:gridCol w:w="1728"/>
        <w:gridCol w:w="2037"/>
        <w:gridCol w:w="1661"/>
      </w:tblGrid>
      <w:tr w14:paraId="67A21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Merge w:val="restart"/>
            <w:vAlign w:val="center"/>
          </w:tcPr>
          <w:p w14:paraId="27B9FA6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下风向距离（m）</w:t>
            </w:r>
          </w:p>
        </w:tc>
        <w:tc>
          <w:tcPr>
            <w:tcW w:w="3898" w:type="pct"/>
            <w:gridSpan w:val="6"/>
            <w:vAlign w:val="center"/>
          </w:tcPr>
          <w:p w14:paraId="1221526E">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rPr>
              <w:t>点源-排气筒DA00</w:t>
            </w:r>
            <w:r>
              <w:rPr>
                <w:rFonts w:hint="default" w:ascii="Times New Roman" w:hAnsi="Times New Roman" w:cs="Times New Roman"/>
                <w:snapToGrid w:val="0"/>
                <w:color w:val="auto"/>
                <w:szCs w:val="21"/>
                <w:highlight w:val="none"/>
                <w:lang w:val="en-US" w:eastAsia="zh-CN"/>
              </w:rPr>
              <w:t>2</w:t>
            </w:r>
          </w:p>
        </w:tc>
      </w:tr>
      <w:tr w14:paraId="44D3BD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Merge w:val="continue"/>
            <w:vAlign w:val="center"/>
          </w:tcPr>
          <w:p w14:paraId="564DD7C1">
            <w:pPr>
              <w:adjustRightInd w:val="0"/>
              <w:snapToGrid w:val="0"/>
              <w:jc w:val="center"/>
              <w:rPr>
                <w:rFonts w:hint="default" w:ascii="Times New Roman" w:hAnsi="Times New Roman" w:cs="Times New Roman"/>
                <w:snapToGrid w:val="0"/>
                <w:color w:val="auto"/>
                <w:szCs w:val="21"/>
                <w:highlight w:val="none"/>
              </w:rPr>
            </w:pPr>
          </w:p>
        </w:tc>
        <w:tc>
          <w:tcPr>
            <w:tcW w:w="1299" w:type="pct"/>
            <w:gridSpan w:val="2"/>
            <w:vAlign w:val="center"/>
          </w:tcPr>
          <w:p w14:paraId="7CA0FBB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PM</w:t>
            </w:r>
            <w:r>
              <w:rPr>
                <w:rFonts w:hint="default" w:ascii="Times New Roman" w:hAnsi="Times New Roman" w:cs="Times New Roman"/>
                <w:snapToGrid w:val="0"/>
                <w:color w:val="auto"/>
                <w:szCs w:val="21"/>
                <w:highlight w:val="none"/>
                <w:vertAlign w:val="subscript"/>
              </w:rPr>
              <w:t>10</w:t>
            </w:r>
          </w:p>
        </w:tc>
        <w:tc>
          <w:tcPr>
            <w:tcW w:w="1294" w:type="pct"/>
            <w:gridSpan w:val="2"/>
            <w:vAlign w:val="center"/>
          </w:tcPr>
          <w:p w14:paraId="6B088CF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SO</w:t>
            </w:r>
            <w:r>
              <w:rPr>
                <w:rFonts w:hint="default" w:ascii="Times New Roman" w:hAnsi="Times New Roman" w:cs="Times New Roman"/>
                <w:snapToGrid w:val="0"/>
                <w:color w:val="auto"/>
                <w:szCs w:val="21"/>
                <w:highlight w:val="none"/>
                <w:vertAlign w:val="subscript"/>
              </w:rPr>
              <w:t>2</w:t>
            </w:r>
          </w:p>
        </w:tc>
        <w:tc>
          <w:tcPr>
            <w:tcW w:w="1305" w:type="pct"/>
            <w:gridSpan w:val="2"/>
            <w:vAlign w:val="center"/>
          </w:tcPr>
          <w:p w14:paraId="222B1915">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rPr>
              <w:t>NO</w:t>
            </w:r>
            <w:r>
              <w:rPr>
                <w:rFonts w:hint="default" w:ascii="Times New Roman" w:hAnsi="Times New Roman" w:cs="Times New Roman"/>
                <w:snapToGrid w:val="0"/>
                <w:color w:val="auto"/>
                <w:szCs w:val="21"/>
                <w:highlight w:val="none"/>
                <w:vertAlign w:val="subscript"/>
                <w:lang w:val="en-US" w:eastAsia="zh-CN"/>
              </w:rPr>
              <w:t>2</w:t>
            </w:r>
          </w:p>
        </w:tc>
      </w:tr>
      <w:tr w14:paraId="58C28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Merge w:val="continue"/>
            <w:vAlign w:val="center"/>
          </w:tcPr>
          <w:p w14:paraId="46D1C4C9">
            <w:pPr>
              <w:adjustRightInd w:val="0"/>
              <w:snapToGrid w:val="0"/>
              <w:jc w:val="center"/>
              <w:rPr>
                <w:rFonts w:hint="default" w:ascii="Times New Roman" w:hAnsi="Times New Roman" w:cs="Times New Roman"/>
                <w:snapToGrid w:val="0"/>
                <w:color w:val="auto"/>
                <w:szCs w:val="21"/>
                <w:highlight w:val="none"/>
              </w:rPr>
            </w:pPr>
          </w:p>
        </w:tc>
        <w:tc>
          <w:tcPr>
            <w:tcW w:w="724" w:type="pct"/>
            <w:vAlign w:val="center"/>
          </w:tcPr>
          <w:p w14:paraId="0FB1627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预测质量浓度μg/m</w:t>
            </w:r>
            <w:r>
              <w:rPr>
                <w:rFonts w:hint="default" w:ascii="Times New Roman" w:hAnsi="Times New Roman" w:cs="Times New Roman"/>
                <w:snapToGrid w:val="0"/>
                <w:color w:val="auto"/>
                <w:szCs w:val="21"/>
                <w:highlight w:val="none"/>
                <w:vertAlign w:val="superscript"/>
              </w:rPr>
              <w:t>3</w:t>
            </w:r>
          </w:p>
        </w:tc>
        <w:tc>
          <w:tcPr>
            <w:tcW w:w="575" w:type="pct"/>
            <w:vAlign w:val="center"/>
          </w:tcPr>
          <w:p w14:paraId="3A6F826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占标率%</w:t>
            </w:r>
          </w:p>
        </w:tc>
        <w:tc>
          <w:tcPr>
            <w:tcW w:w="684" w:type="pct"/>
            <w:vAlign w:val="center"/>
          </w:tcPr>
          <w:p w14:paraId="3D8F030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预测质量浓度μg/m</w:t>
            </w:r>
            <w:r>
              <w:rPr>
                <w:rFonts w:hint="default" w:ascii="Times New Roman" w:hAnsi="Times New Roman" w:cs="Times New Roman"/>
                <w:snapToGrid w:val="0"/>
                <w:color w:val="auto"/>
                <w:szCs w:val="21"/>
                <w:highlight w:val="none"/>
                <w:vertAlign w:val="superscript"/>
              </w:rPr>
              <w:t>3</w:t>
            </w:r>
          </w:p>
        </w:tc>
        <w:tc>
          <w:tcPr>
            <w:tcW w:w="610" w:type="pct"/>
            <w:vAlign w:val="center"/>
          </w:tcPr>
          <w:p w14:paraId="49B7192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占标率%</w:t>
            </w:r>
          </w:p>
        </w:tc>
        <w:tc>
          <w:tcPr>
            <w:tcW w:w="719" w:type="pct"/>
            <w:vAlign w:val="center"/>
          </w:tcPr>
          <w:p w14:paraId="53101A9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预测质量浓度μg/m</w:t>
            </w:r>
            <w:r>
              <w:rPr>
                <w:rFonts w:hint="default" w:ascii="Times New Roman" w:hAnsi="Times New Roman" w:cs="Times New Roman"/>
                <w:snapToGrid w:val="0"/>
                <w:color w:val="auto"/>
                <w:szCs w:val="21"/>
                <w:highlight w:val="none"/>
                <w:vertAlign w:val="superscript"/>
              </w:rPr>
              <w:t>3</w:t>
            </w:r>
          </w:p>
        </w:tc>
        <w:tc>
          <w:tcPr>
            <w:tcW w:w="586" w:type="pct"/>
            <w:vAlign w:val="center"/>
          </w:tcPr>
          <w:p w14:paraId="5F50099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占标率%</w:t>
            </w:r>
          </w:p>
        </w:tc>
      </w:tr>
      <w:tr w14:paraId="42EA3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11018B0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w:t>
            </w:r>
          </w:p>
        </w:tc>
        <w:tc>
          <w:tcPr>
            <w:tcW w:w="2051" w:type="dxa"/>
            <w:vAlign w:val="center"/>
          </w:tcPr>
          <w:p w14:paraId="361745A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1.6012</w:t>
            </w:r>
          </w:p>
        </w:tc>
        <w:tc>
          <w:tcPr>
            <w:tcW w:w="1629" w:type="dxa"/>
            <w:vAlign w:val="center"/>
          </w:tcPr>
          <w:p w14:paraId="7EF9C06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0.3558</w:t>
            </w:r>
          </w:p>
        </w:tc>
        <w:tc>
          <w:tcPr>
            <w:tcW w:w="1938" w:type="dxa"/>
            <w:vAlign w:val="center"/>
          </w:tcPr>
          <w:p w14:paraId="2E4A1B1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0.1186</w:t>
            </w:r>
          </w:p>
        </w:tc>
        <w:tc>
          <w:tcPr>
            <w:tcW w:w="1728" w:type="dxa"/>
            <w:vAlign w:val="center"/>
          </w:tcPr>
          <w:p w14:paraId="7B123D1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0.0237</w:t>
            </w:r>
          </w:p>
        </w:tc>
        <w:tc>
          <w:tcPr>
            <w:tcW w:w="2037" w:type="dxa"/>
            <w:vAlign w:val="center"/>
          </w:tcPr>
          <w:p w14:paraId="0172ED2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12.3352</w:t>
            </w:r>
          </w:p>
        </w:tc>
        <w:tc>
          <w:tcPr>
            <w:tcW w:w="1661" w:type="dxa"/>
            <w:vAlign w:val="center"/>
          </w:tcPr>
          <w:p w14:paraId="76094C7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6.1676</w:t>
            </w:r>
          </w:p>
        </w:tc>
      </w:tr>
      <w:tr w14:paraId="013AAD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309BDA5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100</w:t>
            </w:r>
          </w:p>
        </w:tc>
        <w:tc>
          <w:tcPr>
            <w:tcW w:w="2051" w:type="dxa"/>
            <w:vAlign w:val="center"/>
          </w:tcPr>
          <w:p w14:paraId="2EECAC4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1.3736</w:t>
            </w:r>
          </w:p>
        </w:tc>
        <w:tc>
          <w:tcPr>
            <w:tcW w:w="1629" w:type="dxa"/>
            <w:vAlign w:val="center"/>
          </w:tcPr>
          <w:p w14:paraId="7CEB81B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0.3052</w:t>
            </w:r>
          </w:p>
        </w:tc>
        <w:tc>
          <w:tcPr>
            <w:tcW w:w="1938" w:type="dxa"/>
            <w:vAlign w:val="center"/>
          </w:tcPr>
          <w:p w14:paraId="7CFD37C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0.1017</w:t>
            </w:r>
          </w:p>
        </w:tc>
        <w:tc>
          <w:tcPr>
            <w:tcW w:w="1728" w:type="dxa"/>
            <w:vAlign w:val="center"/>
          </w:tcPr>
          <w:p w14:paraId="46C9360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0.0203</w:t>
            </w:r>
          </w:p>
        </w:tc>
        <w:tc>
          <w:tcPr>
            <w:tcW w:w="2037" w:type="dxa"/>
            <w:vAlign w:val="center"/>
          </w:tcPr>
          <w:p w14:paraId="7BE4C51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10.5818</w:t>
            </w:r>
          </w:p>
        </w:tc>
        <w:tc>
          <w:tcPr>
            <w:tcW w:w="1661" w:type="dxa"/>
            <w:vAlign w:val="center"/>
          </w:tcPr>
          <w:p w14:paraId="36384A2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5.2909</w:t>
            </w:r>
          </w:p>
        </w:tc>
      </w:tr>
      <w:tr w14:paraId="37038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1EBFD65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200</w:t>
            </w:r>
          </w:p>
        </w:tc>
        <w:tc>
          <w:tcPr>
            <w:tcW w:w="2051" w:type="dxa"/>
            <w:vAlign w:val="center"/>
          </w:tcPr>
          <w:p w14:paraId="1569655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1.4954</w:t>
            </w:r>
          </w:p>
        </w:tc>
        <w:tc>
          <w:tcPr>
            <w:tcW w:w="1629" w:type="dxa"/>
            <w:vAlign w:val="center"/>
          </w:tcPr>
          <w:p w14:paraId="5247A4E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0.3323</w:t>
            </w:r>
          </w:p>
        </w:tc>
        <w:tc>
          <w:tcPr>
            <w:tcW w:w="1938" w:type="dxa"/>
            <w:vAlign w:val="center"/>
          </w:tcPr>
          <w:p w14:paraId="3BDECE7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0.1108</w:t>
            </w:r>
          </w:p>
        </w:tc>
        <w:tc>
          <w:tcPr>
            <w:tcW w:w="1728" w:type="dxa"/>
            <w:vAlign w:val="center"/>
          </w:tcPr>
          <w:p w14:paraId="1E7DCA5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0.0222</w:t>
            </w:r>
          </w:p>
        </w:tc>
        <w:tc>
          <w:tcPr>
            <w:tcW w:w="2037" w:type="dxa"/>
            <w:vAlign w:val="center"/>
          </w:tcPr>
          <w:p w14:paraId="7F224F7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11.5201</w:t>
            </w:r>
          </w:p>
        </w:tc>
        <w:tc>
          <w:tcPr>
            <w:tcW w:w="1661" w:type="dxa"/>
            <w:vAlign w:val="center"/>
          </w:tcPr>
          <w:p w14:paraId="6A282AA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5.7601</w:t>
            </w:r>
          </w:p>
        </w:tc>
      </w:tr>
      <w:tr w14:paraId="412943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1FE1E09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300</w:t>
            </w:r>
          </w:p>
        </w:tc>
        <w:tc>
          <w:tcPr>
            <w:tcW w:w="2051" w:type="dxa"/>
            <w:vAlign w:val="center"/>
          </w:tcPr>
          <w:p w14:paraId="1CB3E4C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1.3013</w:t>
            </w:r>
          </w:p>
        </w:tc>
        <w:tc>
          <w:tcPr>
            <w:tcW w:w="1629" w:type="dxa"/>
            <w:vAlign w:val="center"/>
          </w:tcPr>
          <w:p w14:paraId="546D5F0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0.2892</w:t>
            </w:r>
          </w:p>
        </w:tc>
        <w:tc>
          <w:tcPr>
            <w:tcW w:w="1938" w:type="dxa"/>
            <w:vAlign w:val="center"/>
          </w:tcPr>
          <w:p w14:paraId="003DD1DE">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0.0964</w:t>
            </w:r>
          </w:p>
        </w:tc>
        <w:tc>
          <w:tcPr>
            <w:tcW w:w="1728" w:type="dxa"/>
            <w:vAlign w:val="center"/>
          </w:tcPr>
          <w:p w14:paraId="4D0B863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0.0193</w:t>
            </w:r>
          </w:p>
        </w:tc>
        <w:tc>
          <w:tcPr>
            <w:tcW w:w="2037" w:type="dxa"/>
            <w:vAlign w:val="center"/>
          </w:tcPr>
          <w:p w14:paraId="58922D9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10.0248</w:t>
            </w:r>
          </w:p>
        </w:tc>
        <w:tc>
          <w:tcPr>
            <w:tcW w:w="1661" w:type="dxa"/>
            <w:vAlign w:val="center"/>
          </w:tcPr>
          <w:p w14:paraId="190DFDF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5.0124</w:t>
            </w:r>
          </w:p>
        </w:tc>
      </w:tr>
      <w:tr w14:paraId="2C66AA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76C7C47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400</w:t>
            </w:r>
          </w:p>
        </w:tc>
        <w:tc>
          <w:tcPr>
            <w:tcW w:w="2051" w:type="dxa"/>
            <w:vAlign w:val="center"/>
          </w:tcPr>
          <w:p w14:paraId="23DA40AE">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1.2279</w:t>
            </w:r>
          </w:p>
        </w:tc>
        <w:tc>
          <w:tcPr>
            <w:tcW w:w="1629" w:type="dxa"/>
            <w:vAlign w:val="center"/>
          </w:tcPr>
          <w:p w14:paraId="48A4BCC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0.2729</w:t>
            </w:r>
          </w:p>
        </w:tc>
        <w:tc>
          <w:tcPr>
            <w:tcW w:w="1938" w:type="dxa"/>
            <w:vAlign w:val="center"/>
          </w:tcPr>
          <w:p w14:paraId="5EF49AF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0.0910</w:t>
            </w:r>
          </w:p>
        </w:tc>
        <w:tc>
          <w:tcPr>
            <w:tcW w:w="1728" w:type="dxa"/>
            <w:vAlign w:val="center"/>
          </w:tcPr>
          <w:p w14:paraId="5C161BF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0.0182</w:t>
            </w:r>
          </w:p>
        </w:tc>
        <w:tc>
          <w:tcPr>
            <w:tcW w:w="2037" w:type="dxa"/>
            <w:vAlign w:val="center"/>
          </w:tcPr>
          <w:p w14:paraId="3090DD8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9.4594</w:t>
            </w:r>
          </w:p>
        </w:tc>
        <w:tc>
          <w:tcPr>
            <w:tcW w:w="1661" w:type="dxa"/>
            <w:vAlign w:val="center"/>
          </w:tcPr>
          <w:p w14:paraId="0D16A00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4.7297</w:t>
            </w:r>
          </w:p>
        </w:tc>
      </w:tr>
      <w:tr w14:paraId="5A56A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445D316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500</w:t>
            </w:r>
          </w:p>
        </w:tc>
        <w:tc>
          <w:tcPr>
            <w:tcW w:w="2051" w:type="dxa"/>
            <w:vAlign w:val="center"/>
          </w:tcPr>
          <w:p w14:paraId="63B3E2D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1.0934</w:t>
            </w:r>
          </w:p>
        </w:tc>
        <w:tc>
          <w:tcPr>
            <w:tcW w:w="1629" w:type="dxa"/>
            <w:vAlign w:val="center"/>
          </w:tcPr>
          <w:p w14:paraId="7BF00F3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0.2430</w:t>
            </w:r>
          </w:p>
        </w:tc>
        <w:tc>
          <w:tcPr>
            <w:tcW w:w="1938" w:type="dxa"/>
            <w:vAlign w:val="center"/>
          </w:tcPr>
          <w:p w14:paraId="1250EDA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0.0810</w:t>
            </w:r>
          </w:p>
        </w:tc>
        <w:tc>
          <w:tcPr>
            <w:tcW w:w="1728" w:type="dxa"/>
            <w:vAlign w:val="center"/>
          </w:tcPr>
          <w:p w14:paraId="456D27F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0.0162</w:t>
            </w:r>
          </w:p>
        </w:tc>
        <w:tc>
          <w:tcPr>
            <w:tcW w:w="2037" w:type="dxa"/>
            <w:vAlign w:val="center"/>
          </w:tcPr>
          <w:p w14:paraId="5D9FE80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8.4232</w:t>
            </w:r>
          </w:p>
        </w:tc>
        <w:tc>
          <w:tcPr>
            <w:tcW w:w="1661" w:type="dxa"/>
            <w:vAlign w:val="center"/>
          </w:tcPr>
          <w:p w14:paraId="2A2D2A7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4.2116</w:t>
            </w:r>
          </w:p>
        </w:tc>
      </w:tr>
      <w:tr w14:paraId="758897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127D62E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600</w:t>
            </w:r>
          </w:p>
        </w:tc>
        <w:tc>
          <w:tcPr>
            <w:tcW w:w="2051" w:type="dxa"/>
            <w:vAlign w:val="center"/>
          </w:tcPr>
          <w:p w14:paraId="56B4135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0.9675</w:t>
            </w:r>
          </w:p>
        </w:tc>
        <w:tc>
          <w:tcPr>
            <w:tcW w:w="1629" w:type="dxa"/>
            <w:vAlign w:val="center"/>
          </w:tcPr>
          <w:p w14:paraId="66E1C6E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0.2150</w:t>
            </w:r>
          </w:p>
        </w:tc>
        <w:tc>
          <w:tcPr>
            <w:tcW w:w="1938" w:type="dxa"/>
            <w:vAlign w:val="center"/>
          </w:tcPr>
          <w:p w14:paraId="6F8AD1A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0.0717</w:t>
            </w:r>
          </w:p>
        </w:tc>
        <w:tc>
          <w:tcPr>
            <w:tcW w:w="1728" w:type="dxa"/>
            <w:vAlign w:val="center"/>
          </w:tcPr>
          <w:p w14:paraId="61C8DA4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0.0143</w:t>
            </w:r>
          </w:p>
        </w:tc>
        <w:tc>
          <w:tcPr>
            <w:tcW w:w="2037" w:type="dxa"/>
            <w:vAlign w:val="center"/>
          </w:tcPr>
          <w:p w14:paraId="3C7099A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7.4533</w:t>
            </w:r>
          </w:p>
        </w:tc>
        <w:tc>
          <w:tcPr>
            <w:tcW w:w="1661" w:type="dxa"/>
            <w:vAlign w:val="center"/>
          </w:tcPr>
          <w:p w14:paraId="4D261C0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3.7266</w:t>
            </w:r>
          </w:p>
        </w:tc>
      </w:tr>
      <w:tr w14:paraId="18A93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6058F45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700</w:t>
            </w:r>
          </w:p>
        </w:tc>
        <w:tc>
          <w:tcPr>
            <w:tcW w:w="2051" w:type="dxa"/>
            <w:vAlign w:val="center"/>
          </w:tcPr>
          <w:p w14:paraId="0D83CA4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0.8550</w:t>
            </w:r>
          </w:p>
        </w:tc>
        <w:tc>
          <w:tcPr>
            <w:tcW w:w="1629" w:type="dxa"/>
            <w:vAlign w:val="center"/>
          </w:tcPr>
          <w:p w14:paraId="1C824BD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0.1900</w:t>
            </w:r>
          </w:p>
        </w:tc>
        <w:tc>
          <w:tcPr>
            <w:tcW w:w="1938" w:type="dxa"/>
            <w:vAlign w:val="center"/>
          </w:tcPr>
          <w:p w14:paraId="6F68074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0.0633</w:t>
            </w:r>
          </w:p>
        </w:tc>
        <w:tc>
          <w:tcPr>
            <w:tcW w:w="1728" w:type="dxa"/>
            <w:vAlign w:val="center"/>
          </w:tcPr>
          <w:p w14:paraId="36AC5B7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0.0127</w:t>
            </w:r>
          </w:p>
        </w:tc>
        <w:tc>
          <w:tcPr>
            <w:tcW w:w="2037" w:type="dxa"/>
            <w:vAlign w:val="center"/>
          </w:tcPr>
          <w:p w14:paraId="4CB2BBE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6.5864</w:t>
            </w:r>
          </w:p>
        </w:tc>
        <w:tc>
          <w:tcPr>
            <w:tcW w:w="1661" w:type="dxa"/>
            <w:vAlign w:val="center"/>
          </w:tcPr>
          <w:p w14:paraId="20B6D3A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3.2932</w:t>
            </w:r>
          </w:p>
        </w:tc>
      </w:tr>
      <w:tr w14:paraId="40431B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1A8F9ED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800</w:t>
            </w:r>
          </w:p>
        </w:tc>
        <w:tc>
          <w:tcPr>
            <w:tcW w:w="2051" w:type="dxa"/>
            <w:vAlign w:val="center"/>
          </w:tcPr>
          <w:p w14:paraId="5C74659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0.7741</w:t>
            </w:r>
          </w:p>
        </w:tc>
        <w:tc>
          <w:tcPr>
            <w:tcW w:w="1629" w:type="dxa"/>
            <w:vAlign w:val="center"/>
          </w:tcPr>
          <w:p w14:paraId="248FA2C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0.1720</w:t>
            </w:r>
          </w:p>
        </w:tc>
        <w:tc>
          <w:tcPr>
            <w:tcW w:w="1938" w:type="dxa"/>
            <w:vAlign w:val="center"/>
          </w:tcPr>
          <w:p w14:paraId="36E2B2D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0.0573</w:t>
            </w:r>
          </w:p>
        </w:tc>
        <w:tc>
          <w:tcPr>
            <w:tcW w:w="1728" w:type="dxa"/>
            <w:vAlign w:val="center"/>
          </w:tcPr>
          <w:p w14:paraId="3B9F1C8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0.0115</w:t>
            </w:r>
          </w:p>
        </w:tc>
        <w:tc>
          <w:tcPr>
            <w:tcW w:w="2037" w:type="dxa"/>
            <w:vAlign w:val="center"/>
          </w:tcPr>
          <w:p w14:paraId="73EABFB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5.9637</w:t>
            </w:r>
          </w:p>
        </w:tc>
        <w:tc>
          <w:tcPr>
            <w:tcW w:w="1661" w:type="dxa"/>
            <w:vAlign w:val="center"/>
          </w:tcPr>
          <w:p w14:paraId="382DB82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2.9818</w:t>
            </w:r>
          </w:p>
        </w:tc>
      </w:tr>
      <w:tr w14:paraId="483D1B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326DA0C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900</w:t>
            </w:r>
          </w:p>
        </w:tc>
        <w:tc>
          <w:tcPr>
            <w:tcW w:w="2051" w:type="dxa"/>
            <w:vAlign w:val="center"/>
          </w:tcPr>
          <w:p w14:paraId="036AC80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0.7334</w:t>
            </w:r>
          </w:p>
        </w:tc>
        <w:tc>
          <w:tcPr>
            <w:tcW w:w="1629" w:type="dxa"/>
            <w:vAlign w:val="center"/>
          </w:tcPr>
          <w:p w14:paraId="78AEB10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0.1630</w:t>
            </w:r>
          </w:p>
        </w:tc>
        <w:tc>
          <w:tcPr>
            <w:tcW w:w="1938" w:type="dxa"/>
            <w:vAlign w:val="center"/>
          </w:tcPr>
          <w:p w14:paraId="4D78833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0.0543</w:t>
            </w:r>
          </w:p>
        </w:tc>
        <w:tc>
          <w:tcPr>
            <w:tcW w:w="1728" w:type="dxa"/>
            <w:vAlign w:val="center"/>
          </w:tcPr>
          <w:p w14:paraId="790277AE">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0.0109</w:t>
            </w:r>
          </w:p>
        </w:tc>
        <w:tc>
          <w:tcPr>
            <w:tcW w:w="2037" w:type="dxa"/>
            <w:vAlign w:val="center"/>
          </w:tcPr>
          <w:p w14:paraId="73A2F69E">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5.6501</w:t>
            </w:r>
          </w:p>
        </w:tc>
        <w:tc>
          <w:tcPr>
            <w:tcW w:w="1661" w:type="dxa"/>
            <w:vAlign w:val="center"/>
          </w:tcPr>
          <w:p w14:paraId="6AD2562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2.8250</w:t>
            </w:r>
          </w:p>
        </w:tc>
      </w:tr>
      <w:tr w14:paraId="0F710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0FBC9B0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1000</w:t>
            </w:r>
          </w:p>
        </w:tc>
        <w:tc>
          <w:tcPr>
            <w:tcW w:w="2051" w:type="dxa"/>
            <w:vAlign w:val="center"/>
          </w:tcPr>
          <w:p w14:paraId="5251238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0.6902</w:t>
            </w:r>
          </w:p>
        </w:tc>
        <w:tc>
          <w:tcPr>
            <w:tcW w:w="1629" w:type="dxa"/>
            <w:vAlign w:val="center"/>
          </w:tcPr>
          <w:p w14:paraId="484673D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0.1534</w:t>
            </w:r>
          </w:p>
        </w:tc>
        <w:tc>
          <w:tcPr>
            <w:tcW w:w="1938" w:type="dxa"/>
            <w:vAlign w:val="center"/>
          </w:tcPr>
          <w:p w14:paraId="15E61E7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0.0511</w:t>
            </w:r>
          </w:p>
        </w:tc>
        <w:tc>
          <w:tcPr>
            <w:tcW w:w="1728" w:type="dxa"/>
            <w:vAlign w:val="center"/>
          </w:tcPr>
          <w:p w14:paraId="0494C14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0.0102</w:t>
            </w:r>
          </w:p>
        </w:tc>
        <w:tc>
          <w:tcPr>
            <w:tcW w:w="2037" w:type="dxa"/>
            <w:vAlign w:val="center"/>
          </w:tcPr>
          <w:p w14:paraId="3BC0AE3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5.3169</w:t>
            </w:r>
          </w:p>
        </w:tc>
        <w:tc>
          <w:tcPr>
            <w:tcW w:w="1661" w:type="dxa"/>
            <w:vAlign w:val="center"/>
          </w:tcPr>
          <w:p w14:paraId="3E6BF5B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2.6585</w:t>
            </w:r>
          </w:p>
        </w:tc>
      </w:tr>
      <w:tr w14:paraId="3BB926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6E24ABD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2000</w:t>
            </w:r>
          </w:p>
        </w:tc>
        <w:tc>
          <w:tcPr>
            <w:tcW w:w="2051" w:type="dxa"/>
            <w:vAlign w:val="center"/>
          </w:tcPr>
          <w:p w14:paraId="67FB31E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0.4288</w:t>
            </w:r>
          </w:p>
        </w:tc>
        <w:tc>
          <w:tcPr>
            <w:tcW w:w="1629" w:type="dxa"/>
            <w:vAlign w:val="center"/>
          </w:tcPr>
          <w:p w14:paraId="615E92F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0.0953</w:t>
            </w:r>
          </w:p>
        </w:tc>
        <w:tc>
          <w:tcPr>
            <w:tcW w:w="1938" w:type="dxa"/>
            <w:vAlign w:val="center"/>
          </w:tcPr>
          <w:p w14:paraId="2D3ED1D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0.0318</w:t>
            </w:r>
          </w:p>
        </w:tc>
        <w:tc>
          <w:tcPr>
            <w:tcW w:w="1728" w:type="dxa"/>
            <w:vAlign w:val="center"/>
          </w:tcPr>
          <w:p w14:paraId="7AF992F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0.0064</w:t>
            </w:r>
          </w:p>
        </w:tc>
        <w:tc>
          <w:tcPr>
            <w:tcW w:w="2037" w:type="dxa"/>
            <w:vAlign w:val="center"/>
          </w:tcPr>
          <w:p w14:paraId="0C50CE7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3.3031</w:t>
            </w:r>
          </w:p>
        </w:tc>
        <w:tc>
          <w:tcPr>
            <w:tcW w:w="1661" w:type="dxa"/>
            <w:vAlign w:val="center"/>
          </w:tcPr>
          <w:p w14:paraId="4C7F67E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1.6516</w:t>
            </w:r>
          </w:p>
        </w:tc>
      </w:tr>
      <w:tr w14:paraId="1EDCD3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3CCE6FD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3000</w:t>
            </w:r>
          </w:p>
        </w:tc>
        <w:tc>
          <w:tcPr>
            <w:tcW w:w="2051" w:type="dxa"/>
            <w:vAlign w:val="center"/>
          </w:tcPr>
          <w:p w14:paraId="0C39044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0.3426</w:t>
            </w:r>
          </w:p>
        </w:tc>
        <w:tc>
          <w:tcPr>
            <w:tcW w:w="1629" w:type="dxa"/>
            <w:vAlign w:val="center"/>
          </w:tcPr>
          <w:p w14:paraId="46C0578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0.0761</w:t>
            </w:r>
          </w:p>
        </w:tc>
        <w:tc>
          <w:tcPr>
            <w:tcW w:w="1938" w:type="dxa"/>
            <w:vAlign w:val="center"/>
          </w:tcPr>
          <w:p w14:paraId="79D4338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0.0254</w:t>
            </w:r>
          </w:p>
        </w:tc>
        <w:tc>
          <w:tcPr>
            <w:tcW w:w="1728" w:type="dxa"/>
            <w:vAlign w:val="center"/>
          </w:tcPr>
          <w:p w14:paraId="338620C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0.0051</w:t>
            </w:r>
          </w:p>
        </w:tc>
        <w:tc>
          <w:tcPr>
            <w:tcW w:w="2037" w:type="dxa"/>
            <w:vAlign w:val="center"/>
          </w:tcPr>
          <w:p w14:paraId="5050DC9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2.6391</w:t>
            </w:r>
          </w:p>
        </w:tc>
        <w:tc>
          <w:tcPr>
            <w:tcW w:w="1661" w:type="dxa"/>
            <w:vAlign w:val="center"/>
          </w:tcPr>
          <w:p w14:paraId="34195B6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1.3195</w:t>
            </w:r>
          </w:p>
        </w:tc>
      </w:tr>
      <w:tr w14:paraId="3AB0B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606576B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4000</w:t>
            </w:r>
          </w:p>
        </w:tc>
        <w:tc>
          <w:tcPr>
            <w:tcW w:w="2051" w:type="dxa"/>
            <w:vAlign w:val="center"/>
          </w:tcPr>
          <w:p w14:paraId="0060B0C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0.2858</w:t>
            </w:r>
          </w:p>
        </w:tc>
        <w:tc>
          <w:tcPr>
            <w:tcW w:w="1629" w:type="dxa"/>
            <w:vAlign w:val="center"/>
          </w:tcPr>
          <w:p w14:paraId="50D580F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0.0635</w:t>
            </w:r>
          </w:p>
        </w:tc>
        <w:tc>
          <w:tcPr>
            <w:tcW w:w="1938" w:type="dxa"/>
            <w:vAlign w:val="center"/>
          </w:tcPr>
          <w:p w14:paraId="675BE0B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0.0212</w:t>
            </w:r>
          </w:p>
        </w:tc>
        <w:tc>
          <w:tcPr>
            <w:tcW w:w="1728" w:type="dxa"/>
            <w:vAlign w:val="center"/>
          </w:tcPr>
          <w:p w14:paraId="1D47FA4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0.0042</w:t>
            </w:r>
          </w:p>
        </w:tc>
        <w:tc>
          <w:tcPr>
            <w:tcW w:w="2037" w:type="dxa"/>
            <w:vAlign w:val="center"/>
          </w:tcPr>
          <w:p w14:paraId="550AE9A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2.2020</w:t>
            </w:r>
          </w:p>
        </w:tc>
        <w:tc>
          <w:tcPr>
            <w:tcW w:w="1661" w:type="dxa"/>
            <w:vAlign w:val="center"/>
          </w:tcPr>
          <w:p w14:paraId="4B6F91F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1.1010</w:t>
            </w:r>
          </w:p>
        </w:tc>
      </w:tr>
      <w:tr w14:paraId="03AF1A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759BF45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5000</w:t>
            </w:r>
          </w:p>
        </w:tc>
        <w:tc>
          <w:tcPr>
            <w:tcW w:w="2051" w:type="dxa"/>
            <w:vAlign w:val="center"/>
          </w:tcPr>
          <w:p w14:paraId="2332641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0.2550</w:t>
            </w:r>
          </w:p>
        </w:tc>
        <w:tc>
          <w:tcPr>
            <w:tcW w:w="1629" w:type="dxa"/>
            <w:vAlign w:val="center"/>
          </w:tcPr>
          <w:p w14:paraId="4DD7B1B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0.0567</w:t>
            </w:r>
          </w:p>
        </w:tc>
        <w:tc>
          <w:tcPr>
            <w:tcW w:w="1938" w:type="dxa"/>
            <w:vAlign w:val="center"/>
          </w:tcPr>
          <w:p w14:paraId="03D2DC2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0.0189</w:t>
            </w:r>
          </w:p>
        </w:tc>
        <w:tc>
          <w:tcPr>
            <w:tcW w:w="1728" w:type="dxa"/>
            <w:vAlign w:val="center"/>
          </w:tcPr>
          <w:p w14:paraId="5EC5A32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0.0038</w:t>
            </w:r>
          </w:p>
        </w:tc>
        <w:tc>
          <w:tcPr>
            <w:tcW w:w="2037" w:type="dxa"/>
            <w:vAlign w:val="center"/>
          </w:tcPr>
          <w:p w14:paraId="3351EF3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1.9648</w:t>
            </w:r>
          </w:p>
        </w:tc>
        <w:tc>
          <w:tcPr>
            <w:tcW w:w="1661" w:type="dxa"/>
            <w:vAlign w:val="center"/>
          </w:tcPr>
          <w:p w14:paraId="11914EA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0.9824</w:t>
            </w:r>
          </w:p>
        </w:tc>
      </w:tr>
      <w:tr w14:paraId="07AAC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4041B92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下风向最大质量浓度及占标率%</w:t>
            </w:r>
          </w:p>
        </w:tc>
        <w:tc>
          <w:tcPr>
            <w:tcW w:w="2051" w:type="dxa"/>
            <w:vAlign w:val="center"/>
          </w:tcPr>
          <w:p w14:paraId="4390F1D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1.6098</w:t>
            </w:r>
          </w:p>
        </w:tc>
        <w:tc>
          <w:tcPr>
            <w:tcW w:w="1629" w:type="dxa"/>
            <w:vAlign w:val="center"/>
          </w:tcPr>
          <w:p w14:paraId="1551708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0.3577</w:t>
            </w:r>
          </w:p>
        </w:tc>
        <w:tc>
          <w:tcPr>
            <w:tcW w:w="1938" w:type="dxa"/>
            <w:vAlign w:val="center"/>
          </w:tcPr>
          <w:p w14:paraId="717461E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0.1192</w:t>
            </w:r>
          </w:p>
        </w:tc>
        <w:tc>
          <w:tcPr>
            <w:tcW w:w="1728" w:type="dxa"/>
            <w:vAlign w:val="center"/>
          </w:tcPr>
          <w:p w14:paraId="289B92D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0.0238</w:t>
            </w:r>
          </w:p>
        </w:tc>
        <w:tc>
          <w:tcPr>
            <w:tcW w:w="2037" w:type="dxa"/>
            <w:vAlign w:val="center"/>
          </w:tcPr>
          <w:p w14:paraId="1A0A2B5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12.4014</w:t>
            </w:r>
          </w:p>
        </w:tc>
        <w:tc>
          <w:tcPr>
            <w:tcW w:w="1661" w:type="dxa"/>
            <w:vAlign w:val="center"/>
          </w:tcPr>
          <w:p w14:paraId="05B53D3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6.2007</w:t>
            </w:r>
          </w:p>
        </w:tc>
      </w:tr>
      <w:tr w14:paraId="3A64D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69C2BE2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下风向最大浓度出现距离</w:t>
            </w:r>
          </w:p>
        </w:tc>
        <w:tc>
          <w:tcPr>
            <w:tcW w:w="2051" w:type="dxa"/>
            <w:vAlign w:val="center"/>
          </w:tcPr>
          <w:p w14:paraId="16A30AD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53.0</w:t>
            </w:r>
          </w:p>
        </w:tc>
        <w:tc>
          <w:tcPr>
            <w:tcW w:w="1629" w:type="dxa"/>
            <w:vAlign w:val="center"/>
          </w:tcPr>
          <w:p w14:paraId="1C1F1B5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53.0</w:t>
            </w:r>
          </w:p>
        </w:tc>
        <w:tc>
          <w:tcPr>
            <w:tcW w:w="1938" w:type="dxa"/>
            <w:vAlign w:val="center"/>
          </w:tcPr>
          <w:p w14:paraId="47BAB26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53.0</w:t>
            </w:r>
          </w:p>
        </w:tc>
        <w:tc>
          <w:tcPr>
            <w:tcW w:w="1728" w:type="dxa"/>
            <w:vAlign w:val="center"/>
          </w:tcPr>
          <w:p w14:paraId="1B3281A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53.0</w:t>
            </w:r>
          </w:p>
        </w:tc>
        <w:tc>
          <w:tcPr>
            <w:tcW w:w="2037" w:type="dxa"/>
            <w:vAlign w:val="center"/>
          </w:tcPr>
          <w:p w14:paraId="06C09BE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53.0</w:t>
            </w:r>
          </w:p>
        </w:tc>
        <w:tc>
          <w:tcPr>
            <w:tcW w:w="1661" w:type="dxa"/>
            <w:vAlign w:val="center"/>
          </w:tcPr>
          <w:p w14:paraId="1C0D84E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53.0</w:t>
            </w:r>
          </w:p>
        </w:tc>
      </w:tr>
      <w:tr w14:paraId="0D374B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01" w:type="pct"/>
            <w:vAlign w:val="center"/>
          </w:tcPr>
          <w:p w14:paraId="3E950A9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评价等级</w:t>
            </w:r>
          </w:p>
        </w:tc>
        <w:tc>
          <w:tcPr>
            <w:tcW w:w="1299" w:type="pct"/>
            <w:gridSpan w:val="2"/>
            <w:vAlign w:val="center"/>
          </w:tcPr>
          <w:p w14:paraId="0987728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三</w:t>
            </w:r>
            <w:r>
              <w:rPr>
                <w:rFonts w:hint="default" w:ascii="Times New Roman" w:hAnsi="Times New Roman" w:cs="Times New Roman"/>
                <w:snapToGrid w:val="0"/>
                <w:color w:val="auto"/>
                <w:szCs w:val="21"/>
                <w:highlight w:val="none"/>
              </w:rPr>
              <w:t>级</w:t>
            </w:r>
          </w:p>
        </w:tc>
        <w:tc>
          <w:tcPr>
            <w:tcW w:w="1294" w:type="pct"/>
            <w:gridSpan w:val="2"/>
            <w:vAlign w:val="center"/>
          </w:tcPr>
          <w:p w14:paraId="1CF4034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三</w:t>
            </w:r>
            <w:r>
              <w:rPr>
                <w:rFonts w:hint="default" w:ascii="Times New Roman" w:hAnsi="Times New Roman" w:cs="Times New Roman"/>
                <w:snapToGrid w:val="0"/>
                <w:color w:val="auto"/>
                <w:szCs w:val="21"/>
                <w:highlight w:val="none"/>
              </w:rPr>
              <w:t>级</w:t>
            </w:r>
          </w:p>
        </w:tc>
        <w:tc>
          <w:tcPr>
            <w:tcW w:w="1305" w:type="pct"/>
            <w:gridSpan w:val="2"/>
            <w:vAlign w:val="center"/>
          </w:tcPr>
          <w:p w14:paraId="02B1883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二级</w:t>
            </w:r>
          </w:p>
        </w:tc>
      </w:tr>
    </w:tbl>
    <w:p w14:paraId="675DB0C4">
      <w:pPr>
        <w:widowControl/>
        <w:adjustRightInd w:val="0"/>
        <w:snapToGrid w:val="0"/>
        <w:spacing w:line="400" w:lineRule="atLeast"/>
        <w:ind w:firstLine="420" w:firstLineChars="200"/>
        <w:jc w:val="center"/>
        <w:rPr>
          <w:rFonts w:hint="default" w:ascii="Times New Roman" w:hAnsi="Times New Roman" w:eastAsia="黑体" w:cs="Times New Roman"/>
          <w:color w:val="auto"/>
          <w:kern w:val="0"/>
          <w:szCs w:val="20"/>
          <w:highlight w:val="none"/>
        </w:rPr>
      </w:pPr>
    </w:p>
    <w:p w14:paraId="73486B77">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表1-18估算模式计算结果一览表（DA00</w:t>
      </w:r>
      <w:r>
        <w:rPr>
          <w:rFonts w:hint="default" w:ascii="Times New Roman" w:hAnsi="Times New Roman" w:eastAsia="黑体" w:cs="Times New Roman"/>
          <w:color w:val="auto"/>
          <w:kern w:val="0"/>
          <w:sz w:val="24"/>
          <w:szCs w:val="20"/>
          <w:highlight w:val="none"/>
          <w:lang w:val="en-US" w:eastAsia="zh-CN"/>
        </w:rPr>
        <w:t>3</w:t>
      </w:r>
      <w:r>
        <w:rPr>
          <w:rFonts w:hint="default" w:ascii="Times New Roman" w:hAnsi="Times New Roman" w:eastAsia="黑体" w:cs="Times New Roman"/>
          <w:color w:val="auto"/>
          <w:kern w:val="0"/>
          <w:sz w:val="24"/>
          <w:szCs w:val="20"/>
          <w:highlight w:val="none"/>
        </w:rPr>
        <w:t>）</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2062"/>
        <w:gridCol w:w="2063"/>
        <w:gridCol w:w="2063"/>
        <w:gridCol w:w="2063"/>
        <w:gridCol w:w="2057"/>
        <w:gridCol w:w="2074"/>
      </w:tblGrid>
      <w:tr w14:paraId="666A0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Merge w:val="restart"/>
            <w:vAlign w:val="center"/>
          </w:tcPr>
          <w:p w14:paraId="3B4109F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下风向距离（m）</w:t>
            </w:r>
          </w:p>
        </w:tc>
        <w:tc>
          <w:tcPr>
            <w:tcW w:w="4370" w:type="pct"/>
            <w:gridSpan w:val="6"/>
            <w:tcBorders>
              <w:left w:val="single" w:color="000000" w:sz="2" w:space="0"/>
            </w:tcBorders>
            <w:vAlign w:val="center"/>
          </w:tcPr>
          <w:p w14:paraId="55D82FE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点源-</w:t>
            </w:r>
            <w:r>
              <w:rPr>
                <w:rFonts w:hint="default" w:ascii="Times New Roman" w:hAnsi="Times New Roman" w:cs="Times New Roman"/>
                <w:snapToGrid w:val="0"/>
                <w:color w:val="auto"/>
                <w:szCs w:val="21"/>
                <w:highlight w:val="none"/>
                <w:lang w:val="en-US" w:eastAsia="zh-CN"/>
              </w:rPr>
              <w:t>搅拌</w:t>
            </w:r>
            <w:r>
              <w:rPr>
                <w:rFonts w:hint="default" w:ascii="Times New Roman" w:hAnsi="Times New Roman" w:cs="Times New Roman"/>
                <w:snapToGrid w:val="0"/>
                <w:color w:val="auto"/>
                <w:szCs w:val="21"/>
                <w:highlight w:val="none"/>
              </w:rPr>
              <w:t>DA00</w:t>
            </w:r>
            <w:r>
              <w:rPr>
                <w:rFonts w:hint="default" w:ascii="Times New Roman" w:hAnsi="Times New Roman" w:cs="Times New Roman"/>
                <w:snapToGrid w:val="0"/>
                <w:color w:val="auto"/>
                <w:szCs w:val="21"/>
                <w:highlight w:val="none"/>
                <w:lang w:val="en-US" w:eastAsia="zh-CN"/>
              </w:rPr>
              <w:t>3</w:t>
            </w:r>
          </w:p>
        </w:tc>
      </w:tr>
      <w:tr w14:paraId="3DC7B3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Merge w:val="continue"/>
            <w:vAlign w:val="center"/>
          </w:tcPr>
          <w:p w14:paraId="02527EF9">
            <w:pPr>
              <w:adjustRightInd w:val="0"/>
              <w:snapToGrid w:val="0"/>
              <w:jc w:val="center"/>
              <w:rPr>
                <w:rFonts w:hint="default" w:ascii="Times New Roman" w:hAnsi="Times New Roman" w:cs="Times New Roman"/>
                <w:snapToGrid w:val="0"/>
                <w:color w:val="auto"/>
                <w:szCs w:val="21"/>
                <w:highlight w:val="none"/>
              </w:rPr>
            </w:pPr>
          </w:p>
        </w:tc>
        <w:tc>
          <w:tcPr>
            <w:tcW w:w="1456" w:type="pct"/>
            <w:gridSpan w:val="2"/>
            <w:tcBorders>
              <w:left w:val="single" w:color="000000" w:sz="2" w:space="0"/>
            </w:tcBorders>
          </w:tcPr>
          <w:p w14:paraId="3E47726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沥青烟</w:t>
            </w:r>
          </w:p>
        </w:tc>
        <w:tc>
          <w:tcPr>
            <w:tcW w:w="1456" w:type="pct"/>
            <w:gridSpan w:val="2"/>
          </w:tcPr>
          <w:p w14:paraId="3D83980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rPr>
              <w:t>苯并[a]芘</w:t>
            </w:r>
          </w:p>
        </w:tc>
        <w:tc>
          <w:tcPr>
            <w:tcW w:w="1457" w:type="pct"/>
            <w:gridSpan w:val="2"/>
          </w:tcPr>
          <w:p w14:paraId="7D96E9C2">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NMHC</w:t>
            </w:r>
          </w:p>
        </w:tc>
      </w:tr>
      <w:tr w14:paraId="406ADA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Merge w:val="continue"/>
            <w:vAlign w:val="center"/>
          </w:tcPr>
          <w:p w14:paraId="1ADDC62D">
            <w:pPr>
              <w:adjustRightInd w:val="0"/>
              <w:snapToGrid w:val="0"/>
              <w:jc w:val="center"/>
              <w:rPr>
                <w:rFonts w:hint="default" w:ascii="Times New Roman" w:hAnsi="Times New Roman" w:cs="Times New Roman"/>
                <w:snapToGrid w:val="0"/>
                <w:color w:val="auto"/>
                <w:szCs w:val="21"/>
                <w:highlight w:val="none"/>
              </w:rPr>
            </w:pPr>
          </w:p>
        </w:tc>
        <w:tc>
          <w:tcPr>
            <w:tcW w:w="728" w:type="pct"/>
            <w:vAlign w:val="center"/>
          </w:tcPr>
          <w:p w14:paraId="25F27F1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预测质量浓度μg/m</w:t>
            </w:r>
            <w:r>
              <w:rPr>
                <w:rFonts w:hint="default" w:ascii="Times New Roman" w:hAnsi="Times New Roman" w:cs="Times New Roman"/>
                <w:snapToGrid w:val="0"/>
                <w:color w:val="auto"/>
                <w:szCs w:val="21"/>
                <w:highlight w:val="none"/>
                <w:vertAlign w:val="superscript"/>
              </w:rPr>
              <w:t>3</w:t>
            </w:r>
          </w:p>
        </w:tc>
        <w:tc>
          <w:tcPr>
            <w:tcW w:w="727" w:type="pct"/>
            <w:vAlign w:val="center"/>
          </w:tcPr>
          <w:p w14:paraId="6937497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占标率%</w:t>
            </w:r>
          </w:p>
        </w:tc>
        <w:tc>
          <w:tcPr>
            <w:tcW w:w="728" w:type="pct"/>
            <w:vAlign w:val="center"/>
          </w:tcPr>
          <w:p w14:paraId="76CDF2F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预测质量浓度μg/m</w:t>
            </w:r>
            <w:r>
              <w:rPr>
                <w:rFonts w:hint="default" w:ascii="Times New Roman" w:hAnsi="Times New Roman" w:cs="Times New Roman"/>
                <w:snapToGrid w:val="0"/>
                <w:color w:val="auto"/>
                <w:szCs w:val="21"/>
                <w:highlight w:val="none"/>
                <w:vertAlign w:val="superscript"/>
              </w:rPr>
              <w:t>3</w:t>
            </w:r>
          </w:p>
        </w:tc>
        <w:tc>
          <w:tcPr>
            <w:tcW w:w="728" w:type="pct"/>
            <w:vAlign w:val="center"/>
          </w:tcPr>
          <w:p w14:paraId="15455395">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占标率%</w:t>
            </w:r>
          </w:p>
        </w:tc>
        <w:tc>
          <w:tcPr>
            <w:tcW w:w="2057" w:type="dxa"/>
            <w:vAlign w:val="center"/>
          </w:tcPr>
          <w:p w14:paraId="5DE52FF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预测质量浓度μg/m</w:t>
            </w:r>
            <w:r>
              <w:rPr>
                <w:rFonts w:hint="default" w:ascii="Times New Roman" w:hAnsi="Times New Roman" w:cs="Times New Roman"/>
                <w:snapToGrid w:val="0"/>
                <w:color w:val="auto"/>
                <w:szCs w:val="21"/>
                <w:highlight w:val="none"/>
                <w:vertAlign w:val="superscript"/>
              </w:rPr>
              <w:t>3</w:t>
            </w:r>
          </w:p>
        </w:tc>
        <w:tc>
          <w:tcPr>
            <w:tcW w:w="2074" w:type="dxa"/>
            <w:vAlign w:val="center"/>
          </w:tcPr>
          <w:p w14:paraId="3959B96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占标率%</w:t>
            </w:r>
          </w:p>
        </w:tc>
      </w:tr>
      <w:tr w14:paraId="0DEFE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5B39428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w:t>
            </w:r>
          </w:p>
        </w:tc>
        <w:tc>
          <w:tcPr>
            <w:tcW w:w="2062" w:type="dxa"/>
            <w:vAlign w:val="center"/>
          </w:tcPr>
          <w:p w14:paraId="7935EAC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1.1374</w:t>
            </w:r>
          </w:p>
        </w:tc>
        <w:tc>
          <w:tcPr>
            <w:tcW w:w="2063" w:type="dxa"/>
            <w:vAlign w:val="center"/>
          </w:tcPr>
          <w:p w14:paraId="4C2D39E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1.7855</w:t>
            </w:r>
          </w:p>
        </w:tc>
        <w:tc>
          <w:tcPr>
            <w:tcW w:w="728" w:type="pct"/>
            <w:vAlign w:val="center"/>
          </w:tcPr>
          <w:p w14:paraId="6C811FF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0.000027</w:t>
            </w:r>
          </w:p>
        </w:tc>
        <w:tc>
          <w:tcPr>
            <w:tcW w:w="728" w:type="pct"/>
            <w:vAlign w:val="center"/>
          </w:tcPr>
          <w:p w14:paraId="69DB07E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0.3654</w:t>
            </w:r>
          </w:p>
        </w:tc>
        <w:tc>
          <w:tcPr>
            <w:tcW w:w="2057" w:type="dxa"/>
            <w:vAlign w:val="center"/>
          </w:tcPr>
          <w:p w14:paraId="43ADFB6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0.0068</w:t>
            </w:r>
          </w:p>
        </w:tc>
        <w:tc>
          <w:tcPr>
            <w:tcW w:w="2074" w:type="dxa"/>
            <w:vAlign w:val="center"/>
          </w:tcPr>
          <w:p w14:paraId="3E2AD71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0.0003</w:t>
            </w:r>
          </w:p>
        </w:tc>
      </w:tr>
      <w:tr w14:paraId="6E281E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6C84C35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100</w:t>
            </w:r>
          </w:p>
        </w:tc>
        <w:tc>
          <w:tcPr>
            <w:tcW w:w="2062" w:type="dxa"/>
            <w:vAlign w:val="center"/>
          </w:tcPr>
          <w:p w14:paraId="174A783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1.4318</w:t>
            </w:r>
          </w:p>
        </w:tc>
        <w:tc>
          <w:tcPr>
            <w:tcW w:w="2063" w:type="dxa"/>
            <w:vAlign w:val="center"/>
          </w:tcPr>
          <w:p w14:paraId="2D85A38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2.2477</w:t>
            </w:r>
          </w:p>
        </w:tc>
        <w:tc>
          <w:tcPr>
            <w:tcW w:w="728" w:type="pct"/>
            <w:vAlign w:val="center"/>
          </w:tcPr>
          <w:p w14:paraId="32BEA2D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0.000035</w:t>
            </w:r>
          </w:p>
        </w:tc>
        <w:tc>
          <w:tcPr>
            <w:tcW w:w="728" w:type="pct"/>
            <w:vAlign w:val="center"/>
          </w:tcPr>
          <w:p w14:paraId="632683D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0.4600</w:t>
            </w:r>
          </w:p>
        </w:tc>
        <w:tc>
          <w:tcPr>
            <w:tcW w:w="2057" w:type="dxa"/>
            <w:vAlign w:val="center"/>
          </w:tcPr>
          <w:p w14:paraId="7D1F814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0.0086</w:t>
            </w:r>
          </w:p>
        </w:tc>
        <w:tc>
          <w:tcPr>
            <w:tcW w:w="2074" w:type="dxa"/>
            <w:vAlign w:val="center"/>
          </w:tcPr>
          <w:p w14:paraId="7EDA7B7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0.0004</w:t>
            </w:r>
          </w:p>
        </w:tc>
      </w:tr>
      <w:tr w14:paraId="04C2E0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3A74511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200</w:t>
            </w:r>
          </w:p>
        </w:tc>
        <w:tc>
          <w:tcPr>
            <w:tcW w:w="2062" w:type="dxa"/>
            <w:vAlign w:val="center"/>
          </w:tcPr>
          <w:p w14:paraId="55D8A13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1.5226</w:t>
            </w:r>
          </w:p>
        </w:tc>
        <w:tc>
          <w:tcPr>
            <w:tcW w:w="2063" w:type="dxa"/>
            <w:vAlign w:val="center"/>
          </w:tcPr>
          <w:p w14:paraId="4F4DB50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2.3902</w:t>
            </w:r>
          </w:p>
        </w:tc>
        <w:tc>
          <w:tcPr>
            <w:tcW w:w="728" w:type="pct"/>
            <w:vAlign w:val="center"/>
          </w:tcPr>
          <w:p w14:paraId="5977EC6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0.000037</w:t>
            </w:r>
          </w:p>
        </w:tc>
        <w:tc>
          <w:tcPr>
            <w:tcW w:w="728" w:type="pct"/>
            <w:vAlign w:val="center"/>
          </w:tcPr>
          <w:p w14:paraId="5A302F6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0.4892</w:t>
            </w:r>
          </w:p>
        </w:tc>
        <w:tc>
          <w:tcPr>
            <w:tcW w:w="2057" w:type="dxa"/>
            <w:vAlign w:val="center"/>
          </w:tcPr>
          <w:p w14:paraId="06AF1D0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0.0091</w:t>
            </w:r>
          </w:p>
        </w:tc>
        <w:tc>
          <w:tcPr>
            <w:tcW w:w="2074" w:type="dxa"/>
            <w:vAlign w:val="center"/>
          </w:tcPr>
          <w:p w14:paraId="04FD511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0.0005</w:t>
            </w:r>
          </w:p>
        </w:tc>
      </w:tr>
      <w:tr w14:paraId="199FA4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075F6D1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300</w:t>
            </w:r>
          </w:p>
        </w:tc>
        <w:tc>
          <w:tcPr>
            <w:tcW w:w="2062" w:type="dxa"/>
            <w:vAlign w:val="center"/>
          </w:tcPr>
          <w:p w14:paraId="481FE57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1.3391</w:t>
            </w:r>
          </w:p>
        </w:tc>
        <w:tc>
          <w:tcPr>
            <w:tcW w:w="2063" w:type="dxa"/>
            <w:vAlign w:val="center"/>
          </w:tcPr>
          <w:p w14:paraId="31E208C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2.1022</w:t>
            </w:r>
          </w:p>
        </w:tc>
        <w:tc>
          <w:tcPr>
            <w:tcW w:w="728" w:type="pct"/>
            <w:vAlign w:val="center"/>
          </w:tcPr>
          <w:p w14:paraId="38D171C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0.000032</w:t>
            </w:r>
          </w:p>
        </w:tc>
        <w:tc>
          <w:tcPr>
            <w:tcW w:w="728" w:type="pct"/>
            <w:vAlign w:val="center"/>
          </w:tcPr>
          <w:p w14:paraId="7BE2A4A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0.4302</w:t>
            </w:r>
          </w:p>
        </w:tc>
        <w:tc>
          <w:tcPr>
            <w:tcW w:w="2057" w:type="dxa"/>
            <w:vAlign w:val="center"/>
          </w:tcPr>
          <w:p w14:paraId="41EE394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0.0080</w:t>
            </w:r>
          </w:p>
        </w:tc>
        <w:tc>
          <w:tcPr>
            <w:tcW w:w="2074" w:type="dxa"/>
            <w:vAlign w:val="center"/>
          </w:tcPr>
          <w:p w14:paraId="1801F31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0.0004</w:t>
            </w:r>
          </w:p>
        </w:tc>
      </w:tr>
      <w:tr w14:paraId="3E551B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20F734C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400</w:t>
            </w:r>
          </w:p>
        </w:tc>
        <w:tc>
          <w:tcPr>
            <w:tcW w:w="2062" w:type="dxa"/>
            <w:vAlign w:val="center"/>
          </w:tcPr>
          <w:p w14:paraId="051F975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1.1860</w:t>
            </w:r>
          </w:p>
        </w:tc>
        <w:tc>
          <w:tcPr>
            <w:tcW w:w="2063" w:type="dxa"/>
            <w:vAlign w:val="center"/>
          </w:tcPr>
          <w:p w14:paraId="708A6D0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1.8618</w:t>
            </w:r>
          </w:p>
        </w:tc>
        <w:tc>
          <w:tcPr>
            <w:tcW w:w="728" w:type="pct"/>
            <w:vAlign w:val="center"/>
          </w:tcPr>
          <w:p w14:paraId="343348FE">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0.000029</w:t>
            </w:r>
          </w:p>
        </w:tc>
        <w:tc>
          <w:tcPr>
            <w:tcW w:w="728" w:type="pct"/>
            <w:vAlign w:val="center"/>
          </w:tcPr>
          <w:p w14:paraId="6227336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0.3810</w:t>
            </w:r>
          </w:p>
        </w:tc>
        <w:tc>
          <w:tcPr>
            <w:tcW w:w="2057" w:type="dxa"/>
            <w:vAlign w:val="center"/>
          </w:tcPr>
          <w:p w14:paraId="56A2618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0.0071</w:t>
            </w:r>
          </w:p>
        </w:tc>
        <w:tc>
          <w:tcPr>
            <w:tcW w:w="2074" w:type="dxa"/>
            <w:vAlign w:val="center"/>
          </w:tcPr>
          <w:p w14:paraId="38D28E8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0.0004</w:t>
            </w:r>
          </w:p>
        </w:tc>
      </w:tr>
      <w:tr w14:paraId="726071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3EBBAF2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500</w:t>
            </w:r>
          </w:p>
        </w:tc>
        <w:tc>
          <w:tcPr>
            <w:tcW w:w="2062" w:type="dxa"/>
            <w:vAlign w:val="center"/>
          </w:tcPr>
          <w:p w14:paraId="63D81C9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1.1052</w:t>
            </w:r>
          </w:p>
        </w:tc>
        <w:tc>
          <w:tcPr>
            <w:tcW w:w="2063" w:type="dxa"/>
            <w:vAlign w:val="center"/>
          </w:tcPr>
          <w:p w14:paraId="6176CB2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1.7350</w:t>
            </w:r>
          </w:p>
        </w:tc>
        <w:tc>
          <w:tcPr>
            <w:tcW w:w="728" w:type="pct"/>
            <w:vAlign w:val="center"/>
          </w:tcPr>
          <w:p w14:paraId="57BD37A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0.000027</w:t>
            </w:r>
          </w:p>
        </w:tc>
        <w:tc>
          <w:tcPr>
            <w:tcW w:w="728" w:type="pct"/>
            <w:vAlign w:val="center"/>
          </w:tcPr>
          <w:p w14:paraId="51184AE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0.3551</w:t>
            </w:r>
          </w:p>
        </w:tc>
        <w:tc>
          <w:tcPr>
            <w:tcW w:w="2057" w:type="dxa"/>
            <w:vAlign w:val="center"/>
          </w:tcPr>
          <w:p w14:paraId="6E644F2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0.0066</w:t>
            </w:r>
          </w:p>
        </w:tc>
        <w:tc>
          <w:tcPr>
            <w:tcW w:w="2074" w:type="dxa"/>
            <w:vAlign w:val="center"/>
          </w:tcPr>
          <w:p w14:paraId="59BA724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0.0003</w:t>
            </w:r>
          </w:p>
        </w:tc>
      </w:tr>
      <w:tr w14:paraId="6F6F21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549D972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600</w:t>
            </w:r>
          </w:p>
        </w:tc>
        <w:tc>
          <w:tcPr>
            <w:tcW w:w="2062" w:type="dxa"/>
            <w:vAlign w:val="center"/>
          </w:tcPr>
          <w:p w14:paraId="0E43E43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1.0171</w:t>
            </w:r>
          </w:p>
        </w:tc>
        <w:tc>
          <w:tcPr>
            <w:tcW w:w="2063" w:type="dxa"/>
            <w:vAlign w:val="center"/>
          </w:tcPr>
          <w:p w14:paraId="1C66F7D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1.5967</w:t>
            </w:r>
          </w:p>
        </w:tc>
        <w:tc>
          <w:tcPr>
            <w:tcW w:w="728" w:type="pct"/>
            <w:vAlign w:val="center"/>
          </w:tcPr>
          <w:p w14:paraId="70D4AA6E">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0.000025</w:t>
            </w:r>
          </w:p>
        </w:tc>
        <w:tc>
          <w:tcPr>
            <w:tcW w:w="728" w:type="pct"/>
            <w:vAlign w:val="center"/>
          </w:tcPr>
          <w:p w14:paraId="44E4A8E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0.3268</w:t>
            </w:r>
          </w:p>
        </w:tc>
        <w:tc>
          <w:tcPr>
            <w:tcW w:w="2057" w:type="dxa"/>
            <w:vAlign w:val="center"/>
          </w:tcPr>
          <w:p w14:paraId="194D8F5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0.0061</w:t>
            </w:r>
          </w:p>
        </w:tc>
        <w:tc>
          <w:tcPr>
            <w:tcW w:w="2074" w:type="dxa"/>
            <w:vAlign w:val="center"/>
          </w:tcPr>
          <w:p w14:paraId="4F172F8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0.0003</w:t>
            </w:r>
          </w:p>
        </w:tc>
      </w:tr>
      <w:tr w14:paraId="01465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1F59F89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700</w:t>
            </w:r>
          </w:p>
        </w:tc>
        <w:tc>
          <w:tcPr>
            <w:tcW w:w="2062" w:type="dxa"/>
            <w:vAlign w:val="center"/>
          </w:tcPr>
          <w:p w14:paraId="3340EBA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0.9669</w:t>
            </w:r>
          </w:p>
        </w:tc>
        <w:tc>
          <w:tcPr>
            <w:tcW w:w="2063" w:type="dxa"/>
            <w:vAlign w:val="center"/>
          </w:tcPr>
          <w:p w14:paraId="67BB24A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1.5178</w:t>
            </w:r>
          </w:p>
        </w:tc>
        <w:tc>
          <w:tcPr>
            <w:tcW w:w="728" w:type="pct"/>
            <w:vAlign w:val="center"/>
          </w:tcPr>
          <w:p w14:paraId="031E5EC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0.000023</w:t>
            </w:r>
          </w:p>
        </w:tc>
        <w:tc>
          <w:tcPr>
            <w:tcW w:w="728" w:type="pct"/>
            <w:vAlign w:val="center"/>
          </w:tcPr>
          <w:p w14:paraId="53D3EB4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0.3106</w:t>
            </w:r>
          </w:p>
        </w:tc>
        <w:tc>
          <w:tcPr>
            <w:tcW w:w="2057" w:type="dxa"/>
            <w:vAlign w:val="center"/>
          </w:tcPr>
          <w:p w14:paraId="35BDB3F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0.0058</w:t>
            </w:r>
          </w:p>
        </w:tc>
        <w:tc>
          <w:tcPr>
            <w:tcW w:w="2074" w:type="dxa"/>
            <w:vAlign w:val="center"/>
          </w:tcPr>
          <w:p w14:paraId="0CEE2F0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0.0003</w:t>
            </w:r>
          </w:p>
        </w:tc>
      </w:tr>
      <w:tr w14:paraId="469BA5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53DBD86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800</w:t>
            </w:r>
          </w:p>
        </w:tc>
        <w:tc>
          <w:tcPr>
            <w:tcW w:w="2062" w:type="dxa"/>
            <w:vAlign w:val="center"/>
          </w:tcPr>
          <w:p w14:paraId="541F25E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0.9189</w:t>
            </w:r>
          </w:p>
        </w:tc>
        <w:tc>
          <w:tcPr>
            <w:tcW w:w="2063" w:type="dxa"/>
            <w:vAlign w:val="center"/>
          </w:tcPr>
          <w:p w14:paraId="02FF357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1.4426</w:t>
            </w:r>
          </w:p>
        </w:tc>
        <w:tc>
          <w:tcPr>
            <w:tcW w:w="728" w:type="pct"/>
            <w:vAlign w:val="center"/>
          </w:tcPr>
          <w:p w14:paraId="51663CD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0.000022</w:t>
            </w:r>
          </w:p>
        </w:tc>
        <w:tc>
          <w:tcPr>
            <w:tcW w:w="728" w:type="pct"/>
            <w:vAlign w:val="center"/>
          </w:tcPr>
          <w:p w14:paraId="073A834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0.2952</w:t>
            </w:r>
          </w:p>
        </w:tc>
        <w:tc>
          <w:tcPr>
            <w:tcW w:w="2057" w:type="dxa"/>
            <w:vAlign w:val="center"/>
          </w:tcPr>
          <w:p w14:paraId="3B05996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0.0055</w:t>
            </w:r>
          </w:p>
        </w:tc>
        <w:tc>
          <w:tcPr>
            <w:tcW w:w="2074" w:type="dxa"/>
            <w:vAlign w:val="center"/>
          </w:tcPr>
          <w:p w14:paraId="7BC573A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0.0003</w:t>
            </w:r>
          </w:p>
        </w:tc>
      </w:tr>
      <w:tr w14:paraId="47B4F4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5690ABF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900</w:t>
            </w:r>
          </w:p>
        </w:tc>
        <w:tc>
          <w:tcPr>
            <w:tcW w:w="2062" w:type="dxa"/>
            <w:vAlign w:val="center"/>
          </w:tcPr>
          <w:p w14:paraId="24167BC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0.8747</w:t>
            </w:r>
          </w:p>
        </w:tc>
        <w:tc>
          <w:tcPr>
            <w:tcW w:w="2063" w:type="dxa"/>
            <w:vAlign w:val="center"/>
          </w:tcPr>
          <w:p w14:paraId="34F1B4D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1.3731</w:t>
            </w:r>
          </w:p>
        </w:tc>
        <w:tc>
          <w:tcPr>
            <w:tcW w:w="728" w:type="pct"/>
            <w:vAlign w:val="center"/>
          </w:tcPr>
          <w:p w14:paraId="56F38EA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0.000021</w:t>
            </w:r>
          </w:p>
        </w:tc>
        <w:tc>
          <w:tcPr>
            <w:tcW w:w="728" w:type="pct"/>
            <w:vAlign w:val="center"/>
          </w:tcPr>
          <w:p w14:paraId="451D2A9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0.2810</w:t>
            </w:r>
          </w:p>
        </w:tc>
        <w:tc>
          <w:tcPr>
            <w:tcW w:w="2057" w:type="dxa"/>
            <w:vAlign w:val="center"/>
          </w:tcPr>
          <w:p w14:paraId="3E7F24BC">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0.0052</w:t>
            </w:r>
          </w:p>
        </w:tc>
        <w:tc>
          <w:tcPr>
            <w:tcW w:w="2074" w:type="dxa"/>
            <w:vAlign w:val="center"/>
          </w:tcPr>
          <w:p w14:paraId="0D70A85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0.0003</w:t>
            </w:r>
          </w:p>
        </w:tc>
      </w:tr>
      <w:tr w14:paraId="1552E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5E4E09A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1000</w:t>
            </w:r>
          </w:p>
        </w:tc>
        <w:tc>
          <w:tcPr>
            <w:tcW w:w="2062" w:type="dxa"/>
            <w:vAlign w:val="center"/>
          </w:tcPr>
          <w:p w14:paraId="2B720DF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0.8551</w:t>
            </w:r>
          </w:p>
        </w:tc>
        <w:tc>
          <w:tcPr>
            <w:tcW w:w="2063" w:type="dxa"/>
            <w:vAlign w:val="center"/>
          </w:tcPr>
          <w:p w14:paraId="3CDBFDD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1.3423</w:t>
            </w:r>
          </w:p>
        </w:tc>
        <w:tc>
          <w:tcPr>
            <w:tcW w:w="728" w:type="pct"/>
            <w:vAlign w:val="center"/>
          </w:tcPr>
          <w:p w14:paraId="4668F93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0.000021</w:t>
            </w:r>
          </w:p>
        </w:tc>
        <w:tc>
          <w:tcPr>
            <w:tcW w:w="728" w:type="pct"/>
            <w:vAlign w:val="center"/>
          </w:tcPr>
          <w:p w14:paraId="178D417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0.2747</w:t>
            </w:r>
          </w:p>
        </w:tc>
        <w:tc>
          <w:tcPr>
            <w:tcW w:w="2057" w:type="dxa"/>
            <w:vAlign w:val="center"/>
          </w:tcPr>
          <w:p w14:paraId="4795A81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0.0051</w:t>
            </w:r>
          </w:p>
        </w:tc>
        <w:tc>
          <w:tcPr>
            <w:tcW w:w="2074" w:type="dxa"/>
            <w:vAlign w:val="center"/>
          </w:tcPr>
          <w:p w14:paraId="2923A53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0.0003</w:t>
            </w:r>
          </w:p>
        </w:tc>
      </w:tr>
      <w:tr w14:paraId="6C312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4DFF162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2000</w:t>
            </w:r>
          </w:p>
        </w:tc>
        <w:tc>
          <w:tcPr>
            <w:tcW w:w="2062" w:type="dxa"/>
            <w:vAlign w:val="center"/>
          </w:tcPr>
          <w:p w14:paraId="3021F59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0.5724</w:t>
            </w:r>
          </w:p>
        </w:tc>
        <w:tc>
          <w:tcPr>
            <w:tcW w:w="2063" w:type="dxa"/>
            <w:vAlign w:val="center"/>
          </w:tcPr>
          <w:p w14:paraId="75DD7FC4">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0.8986</w:t>
            </w:r>
          </w:p>
        </w:tc>
        <w:tc>
          <w:tcPr>
            <w:tcW w:w="728" w:type="pct"/>
            <w:vAlign w:val="center"/>
          </w:tcPr>
          <w:p w14:paraId="3515B98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0.000014</w:t>
            </w:r>
          </w:p>
        </w:tc>
        <w:tc>
          <w:tcPr>
            <w:tcW w:w="728" w:type="pct"/>
            <w:vAlign w:val="center"/>
          </w:tcPr>
          <w:p w14:paraId="5FD5D3C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0.1839</w:t>
            </w:r>
          </w:p>
        </w:tc>
        <w:tc>
          <w:tcPr>
            <w:tcW w:w="2057" w:type="dxa"/>
            <w:vAlign w:val="center"/>
          </w:tcPr>
          <w:p w14:paraId="5CD8763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0.0034</w:t>
            </w:r>
          </w:p>
        </w:tc>
        <w:tc>
          <w:tcPr>
            <w:tcW w:w="2074" w:type="dxa"/>
            <w:vAlign w:val="center"/>
          </w:tcPr>
          <w:p w14:paraId="222C8E1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0.0002</w:t>
            </w:r>
          </w:p>
        </w:tc>
      </w:tr>
      <w:tr w14:paraId="07505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3990506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3000</w:t>
            </w:r>
          </w:p>
        </w:tc>
        <w:tc>
          <w:tcPr>
            <w:tcW w:w="2062" w:type="dxa"/>
            <w:vAlign w:val="center"/>
          </w:tcPr>
          <w:p w14:paraId="46FE680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0.4399</w:t>
            </w:r>
          </w:p>
        </w:tc>
        <w:tc>
          <w:tcPr>
            <w:tcW w:w="2063" w:type="dxa"/>
            <w:vAlign w:val="center"/>
          </w:tcPr>
          <w:p w14:paraId="2465051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0.6906</w:t>
            </w:r>
          </w:p>
        </w:tc>
        <w:tc>
          <w:tcPr>
            <w:tcW w:w="728" w:type="pct"/>
            <w:vAlign w:val="center"/>
          </w:tcPr>
          <w:p w14:paraId="7AEE610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0.000011</w:t>
            </w:r>
          </w:p>
        </w:tc>
        <w:tc>
          <w:tcPr>
            <w:tcW w:w="728" w:type="pct"/>
            <w:vAlign w:val="center"/>
          </w:tcPr>
          <w:p w14:paraId="77408BA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0.1413</w:t>
            </w:r>
          </w:p>
        </w:tc>
        <w:tc>
          <w:tcPr>
            <w:tcW w:w="2057" w:type="dxa"/>
            <w:vAlign w:val="center"/>
          </w:tcPr>
          <w:p w14:paraId="5879271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0.0026</w:t>
            </w:r>
          </w:p>
        </w:tc>
        <w:tc>
          <w:tcPr>
            <w:tcW w:w="2074" w:type="dxa"/>
            <w:vAlign w:val="center"/>
          </w:tcPr>
          <w:p w14:paraId="40FDCE7E">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0.0001</w:t>
            </w:r>
          </w:p>
        </w:tc>
      </w:tr>
      <w:tr w14:paraId="00B63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6EFE90C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4000</w:t>
            </w:r>
          </w:p>
        </w:tc>
        <w:tc>
          <w:tcPr>
            <w:tcW w:w="2062" w:type="dxa"/>
            <w:vAlign w:val="center"/>
          </w:tcPr>
          <w:p w14:paraId="100EC47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0.3650</w:t>
            </w:r>
          </w:p>
        </w:tc>
        <w:tc>
          <w:tcPr>
            <w:tcW w:w="2063" w:type="dxa"/>
            <w:vAlign w:val="center"/>
          </w:tcPr>
          <w:p w14:paraId="28A97A0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0.5731</w:t>
            </w:r>
          </w:p>
        </w:tc>
        <w:tc>
          <w:tcPr>
            <w:tcW w:w="728" w:type="pct"/>
            <w:vAlign w:val="center"/>
          </w:tcPr>
          <w:p w14:paraId="59947F1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0.000009</w:t>
            </w:r>
          </w:p>
        </w:tc>
        <w:tc>
          <w:tcPr>
            <w:tcW w:w="728" w:type="pct"/>
            <w:vAlign w:val="center"/>
          </w:tcPr>
          <w:p w14:paraId="7D0B861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0.1173</w:t>
            </w:r>
          </w:p>
        </w:tc>
        <w:tc>
          <w:tcPr>
            <w:tcW w:w="2057" w:type="dxa"/>
            <w:vAlign w:val="center"/>
          </w:tcPr>
          <w:p w14:paraId="793B1BE8">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0.0022</w:t>
            </w:r>
          </w:p>
        </w:tc>
        <w:tc>
          <w:tcPr>
            <w:tcW w:w="2074" w:type="dxa"/>
            <w:vAlign w:val="center"/>
          </w:tcPr>
          <w:p w14:paraId="6022E715">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0.0001</w:t>
            </w:r>
          </w:p>
        </w:tc>
      </w:tr>
      <w:tr w14:paraId="503F5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3A084CC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5000</w:t>
            </w:r>
          </w:p>
        </w:tc>
        <w:tc>
          <w:tcPr>
            <w:tcW w:w="2062" w:type="dxa"/>
            <w:vAlign w:val="center"/>
          </w:tcPr>
          <w:p w14:paraId="1056A152">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0.3231</w:t>
            </w:r>
          </w:p>
        </w:tc>
        <w:tc>
          <w:tcPr>
            <w:tcW w:w="2063" w:type="dxa"/>
            <w:vAlign w:val="center"/>
          </w:tcPr>
          <w:p w14:paraId="51FFE7F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0.5072</w:t>
            </w:r>
          </w:p>
        </w:tc>
        <w:tc>
          <w:tcPr>
            <w:tcW w:w="728" w:type="pct"/>
            <w:vAlign w:val="center"/>
          </w:tcPr>
          <w:p w14:paraId="6E4CFFEF">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0.000008</w:t>
            </w:r>
          </w:p>
        </w:tc>
        <w:tc>
          <w:tcPr>
            <w:tcW w:w="728" w:type="pct"/>
            <w:vAlign w:val="center"/>
          </w:tcPr>
          <w:p w14:paraId="3543D01A">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0.1038</w:t>
            </w:r>
          </w:p>
        </w:tc>
        <w:tc>
          <w:tcPr>
            <w:tcW w:w="2057" w:type="dxa"/>
            <w:vAlign w:val="center"/>
          </w:tcPr>
          <w:p w14:paraId="0131DF6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0.0019</w:t>
            </w:r>
          </w:p>
        </w:tc>
        <w:tc>
          <w:tcPr>
            <w:tcW w:w="2074" w:type="dxa"/>
            <w:vAlign w:val="center"/>
          </w:tcPr>
          <w:p w14:paraId="1992B391">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0.0001</w:t>
            </w:r>
          </w:p>
        </w:tc>
      </w:tr>
      <w:tr w14:paraId="751D6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55BB1AC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下风向最大质量浓度及占标率%</w:t>
            </w:r>
          </w:p>
        </w:tc>
        <w:tc>
          <w:tcPr>
            <w:tcW w:w="2062" w:type="dxa"/>
            <w:vAlign w:val="center"/>
          </w:tcPr>
          <w:p w14:paraId="6D402809">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1.7146</w:t>
            </w:r>
          </w:p>
        </w:tc>
        <w:tc>
          <w:tcPr>
            <w:tcW w:w="2063" w:type="dxa"/>
            <w:vAlign w:val="center"/>
          </w:tcPr>
          <w:p w14:paraId="25000A0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2.6916</w:t>
            </w:r>
          </w:p>
        </w:tc>
        <w:tc>
          <w:tcPr>
            <w:tcW w:w="728" w:type="pct"/>
            <w:vAlign w:val="center"/>
          </w:tcPr>
          <w:p w14:paraId="391537F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0.000041</w:t>
            </w:r>
          </w:p>
        </w:tc>
        <w:tc>
          <w:tcPr>
            <w:tcW w:w="728" w:type="pct"/>
            <w:vAlign w:val="center"/>
          </w:tcPr>
          <w:p w14:paraId="123C3967">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0.5509</w:t>
            </w:r>
          </w:p>
        </w:tc>
        <w:tc>
          <w:tcPr>
            <w:tcW w:w="2057" w:type="dxa"/>
            <w:vAlign w:val="center"/>
          </w:tcPr>
          <w:p w14:paraId="3D46074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0.0103</w:t>
            </w:r>
          </w:p>
        </w:tc>
        <w:tc>
          <w:tcPr>
            <w:tcW w:w="2074" w:type="dxa"/>
            <w:vAlign w:val="center"/>
          </w:tcPr>
          <w:p w14:paraId="5173531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0.0005</w:t>
            </w:r>
          </w:p>
        </w:tc>
      </w:tr>
      <w:tr w14:paraId="3B1DBB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24F936F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下风向最大浓度出现距离</w:t>
            </w:r>
          </w:p>
        </w:tc>
        <w:tc>
          <w:tcPr>
            <w:tcW w:w="2062" w:type="dxa"/>
            <w:vAlign w:val="center"/>
          </w:tcPr>
          <w:p w14:paraId="030491E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150.0</w:t>
            </w:r>
          </w:p>
        </w:tc>
        <w:tc>
          <w:tcPr>
            <w:tcW w:w="2063" w:type="dxa"/>
            <w:vAlign w:val="center"/>
          </w:tcPr>
          <w:p w14:paraId="4342052D">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150.0</w:t>
            </w:r>
          </w:p>
        </w:tc>
        <w:tc>
          <w:tcPr>
            <w:tcW w:w="728" w:type="pct"/>
            <w:vAlign w:val="center"/>
          </w:tcPr>
          <w:p w14:paraId="3176EF16">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150.0</w:t>
            </w:r>
          </w:p>
        </w:tc>
        <w:tc>
          <w:tcPr>
            <w:tcW w:w="728" w:type="pct"/>
            <w:vAlign w:val="center"/>
          </w:tcPr>
          <w:p w14:paraId="25E3B2DB">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150.0</w:t>
            </w:r>
          </w:p>
        </w:tc>
        <w:tc>
          <w:tcPr>
            <w:tcW w:w="2057" w:type="dxa"/>
            <w:vAlign w:val="center"/>
          </w:tcPr>
          <w:p w14:paraId="66241D83">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150.0</w:t>
            </w:r>
          </w:p>
        </w:tc>
        <w:tc>
          <w:tcPr>
            <w:tcW w:w="2074" w:type="dxa"/>
            <w:vAlign w:val="center"/>
          </w:tcPr>
          <w:p w14:paraId="4BBA45B0">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150.0</w:t>
            </w:r>
          </w:p>
        </w:tc>
      </w:tr>
      <w:tr w14:paraId="5F5725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29" w:type="pct"/>
            <w:vAlign w:val="center"/>
          </w:tcPr>
          <w:p w14:paraId="6C64667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评价等级</w:t>
            </w:r>
          </w:p>
        </w:tc>
        <w:tc>
          <w:tcPr>
            <w:tcW w:w="1456" w:type="pct"/>
            <w:gridSpan w:val="2"/>
            <w:vAlign w:val="center"/>
          </w:tcPr>
          <w:p w14:paraId="52A838A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二</w:t>
            </w:r>
            <w:r>
              <w:rPr>
                <w:rFonts w:hint="default" w:ascii="Times New Roman" w:hAnsi="Times New Roman" w:cs="Times New Roman"/>
                <w:snapToGrid w:val="0"/>
                <w:color w:val="auto"/>
                <w:szCs w:val="21"/>
                <w:highlight w:val="none"/>
              </w:rPr>
              <w:t>级</w:t>
            </w:r>
          </w:p>
        </w:tc>
        <w:tc>
          <w:tcPr>
            <w:tcW w:w="1456" w:type="pct"/>
            <w:gridSpan w:val="2"/>
            <w:vAlign w:val="center"/>
          </w:tcPr>
          <w:p w14:paraId="6ED9EDE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三</w:t>
            </w:r>
            <w:r>
              <w:rPr>
                <w:rFonts w:hint="default" w:ascii="Times New Roman" w:hAnsi="Times New Roman" w:cs="Times New Roman"/>
                <w:snapToGrid w:val="0"/>
                <w:color w:val="auto"/>
                <w:szCs w:val="21"/>
                <w:highlight w:val="none"/>
              </w:rPr>
              <w:t>级</w:t>
            </w:r>
          </w:p>
        </w:tc>
        <w:tc>
          <w:tcPr>
            <w:tcW w:w="1456" w:type="pct"/>
            <w:gridSpan w:val="2"/>
            <w:vAlign w:val="center"/>
          </w:tcPr>
          <w:p w14:paraId="27AA5518">
            <w:pPr>
              <w:adjustRightInd w:val="0"/>
              <w:snapToGrid w:val="0"/>
              <w:jc w:val="center"/>
              <w:rPr>
                <w:rFonts w:hint="default" w:ascii="Times New Roman" w:hAnsi="Times New Roman"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lang w:val="en-US" w:eastAsia="zh-CN"/>
              </w:rPr>
              <w:t>三</w:t>
            </w:r>
            <w:r>
              <w:rPr>
                <w:rFonts w:hint="default" w:ascii="Times New Roman" w:hAnsi="Times New Roman" w:cs="Times New Roman"/>
                <w:snapToGrid w:val="0"/>
                <w:color w:val="auto"/>
                <w:szCs w:val="21"/>
                <w:highlight w:val="none"/>
              </w:rPr>
              <w:t>级</w:t>
            </w:r>
          </w:p>
        </w:tc>
      </w:tr>
    </w:tbl>
    <w:p w14:paraId="3395F4AF">
      <w:pPr>
        <w:adjustRightInd w:val="0"/>
        <w:rPr>
          <w:rFonts w:hint="default" w:ascii="Times New Roman" w:hAnsi="Times New Roman" w:cs="Times New Roman"/>
          <w:b/>
          <w:color w:val="auto"/>
          <w:kern w:val="0"/>
          <w:sz w:val="24"/>
          <w:szCs w:val="20"/>
          <w:highlight w:val="none"/>
        </w:rPr>
      </w:pPr>
    </w:p>
    <w:p w14:paraId="1B9A03FA">
      <w:pP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br w:type="page"/>
      </w:r>
    </w:p>
    <w:p w14:paraId="2EF57C24">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表1-19 估算模式计算结果一览表（面源）</w:t>
      </w:r>
    </w:p>
    <w:tbl>
      <w:tblPr>
        <w:tblStyle w:val="30"/>
        <w:tblW w:w="503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067"/>
        <w:gridCol w:w="1480"/>
        <w:gridCol w:w="1546"/>
        <w:gridCol w:w="1460"/>
        <w:gridCol w:w="1563"/>
        <w:gridCol w:w="1432"/>
        <w:gridCol w:w="1597"/>
        <w:gridCol w:w="1412"/>
        <w:gridCol w:w="1616"/>
      </w:tblGrid>
      <w:tr w14:paraId="086EC2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729" w:type="pct"/>
            <w:vMerge w:val="restart"/>
            <w:tcBorders>
              <w:tl2br w:val="nil"/>
              <w:tr2bl w:val="nil"/>
            </w:tcBorders>
            <w:tcMar>
              <w:left w:w="0" w:type="dxa"/>
              <w:right w:w="0" w:type="dxa"/>
            </w:tcMar>
            <w:vAlign w:val="center"/>
          </w:tcPr>
          <w:p w14:paraId="2B0A7B3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距源中心下风向距离D(m)</w:t>
            </w:r>
          </w:p>
        </w:tc>
        <w:tc>
          <w:tcPr>
            <w:tcW w:w="1067" w:type="pct"/>
            <w:gridSpan w:val="2"/>
            <w:tcBorders>
              <w:tl2br w:val="nil"/>
              <w:tr2bl w:val="nil"/>
            </w:tcBorders>
            <w:vAlign w:val="center"/>
          </w:tcPr>
          <w:p w14:paraId="46A5309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原料堆场</w:t>
            </w:r>
          </w:p>
        </w:tc>
        <w:tc>
          <w:tcPr>
            <w:tcW w:w="1066" w:type="pct"/>
            <w:gridSpan w:val="2"/>
            <w:tcBorders>
              <w:tl2br w:val="nil"/>
              <w:tr2bl w:val="nil"/>
            </w:tcBorders>
            <w:vAlign w:val="center"/>
          </w:tcPr>
          <w:p w14:paraId="5FB2FD0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冷料上料</w:t>
            </w:r>
          </w:p>
        </w:tc>
        <w:tc>
          <w:tcPr>
            <w:tcW w:w="1068" w:type="pct"/>
            <w:gridSpan w:val="2"/>
            <w:tcBorders>
              <w:tl2br w:val="nil"/>
              <w:tr2bl w:val="nil"/>
            </w:tcBorders>
            <w:vAlign w:val="center"/>
          </w:tcPr>
          <w:p w14:paraId="2B8741C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矿粉仓</w:t>
            </w:r>
          </w:p>
        </w:tc>
        <w:tc>
          <w:tcPr>
            <w:tcW w:w="1068" w:type="pct"/>
            <w:gridSpan w:val="2"/>
            <w:tcBorders>
              <w:tl2br w:val="nil"/>
              <w:tr2bl w:val="nil"/>
            </w:tcBorders>
            <w:vAlign w:val="center"/>
          </w:tcPr>
          <w:p w14:paraId="4B174A86">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柴油储罐</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50</w:t>
            </w:r>
            <w:r>
              <w:rPr>
                <w:rFonts w:hint="default" w:ascii="Times New Roman" w:hAnsi="Times New Roman" w:cs="Times New Roman"/>
                <w:color w:val="auto"/>
                <w:kern w:val="0"/>
                <w:szCs w:val="21"/>
                <w:highlight w:val="none"/>
                <w:lang w:eastAsia="zh-CN"/>
              </w:rPr>
              <w:t>）</w:t>
            </w:r>
          </w:p>
        </w:tc>
      </w:tr>
      <w:tr w14:paraId="6727EB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729" w:type="pct"/>
            <w:vMerge w:val="continue"/>
            <w:tcBorders>
              <w:tl2br w:val="nil"/>
              <w:tr2bl w:val="nil"/>
            </w:tcBorders>
            <w:tcMar>
              <w:left w:w="0" w:type="dxa"/>
              <w:right w:w="0" w:type="dxa"/>
            </w:tcMar>
            <w:vAlign w:val="center"/>
          </w:tcPr>
          <w:p w14:paraId="6315E76D">
            <w:pPr>
              <w:adjustRightInd w:val="0"/>
              <w:snapToGrid w:val="0"/>
              <w:jc w:val="center"/>
              <w:rPr>
                <w:rFonts w:hint="default" w:ascii="Times New Roman" w:hAnsi="Times New Roman" w:cs="Times New Roman"/>
                <w:color w:val="auto"/>
                <w:kern w:val="0"/>
                <w:szCs w:val="21"/>
                <w:highlight w:val="none"/>
              </w:rPr>
            </w:pPr>
          </w:p>
        </w:tc>
        <w:tc>
          <w:tcPr>
            <w:tcW w:w="1067" w:type="pct"/>
            <w:gridSpan w:val="2"/>
            <w:tcBorders>
              <w:tl2br w:val="nil"/>
              <w:tr2bl w:val="nil"/>
            </w:tcBorders>
          </w:tcPr>
          <w:p w14:paraId="0ADC27C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TSP</w:t>
            </w:r>
          </w:p>
        </w:tc>
        <w:tc>
          <w:tcPr>
            <w:tcW w:w="1066" w:type="pct"/>
            <w:gridSpan w:val="2"/>
            <w:tcBorders>
              <w:tl2br w:val="nil"/>
              <w:tr2bl w:val="nil"/>
            </w:tcBorders>
          </w:tcPr>
          <w:p w14:paraId="35866EF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TSP</w:t>
            </w:r>
          </w:p>
        </w:tc>
        <w:tc>
          <w:tcPr>
            <w:tcW w:w="1068" w:type="pct"/>
            <w:gridSpan w:val="2"/>
            <w:tcBorders>
              <w:tl2br w:val="nil"/>
              <w:tr2bl w:val="nil"/>
            </w:tcBorders>
          </w:tcPr>
          <w:p w14:paraId="75601FB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TSP</w:t>
            </w:r>
          </w:p>
        </w:tc>
        <w:tc>
          <w:tcPr>
            <w:tcW w:w="1068" w:type="pct"/>
            <w:gridSpan w:val="2"/>
            <w:tcBorders>
              <w:tl2br w:val="nil"/>
              <w:tr2bl w:val="nil"/>
            </w:tcBorders>
          </w:tcPr>
          <w:p w14:paraId="2673C79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非甲烷总烃</w:t>
            </w:r>
          </w:p>
        </w:tc>
      </w:tr>
      <w:tr w14:paraId="7EEA8B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729" w:type="pct"/>
            <w:vMerge w:val="continue"/>
            <w:tcBorders>
              <w:tl2br w:val="nil"/>
              <w:tr2bl w:val="nil"/>
            </w:tcBorders>
            <w:tcMar>
              <w:left w:w="0" w:type="dxa"/>
              <w:right w:w="0" w:type="dxa"/>
            </w:tcMar>
            <w:vAlign w:val="center"/>
          </w:tcPr>
          <w:p w14:paraId="57E8395A">
            <w:pPr>
              <w:adjustRightInd w:val="0"/>
              <w:snapToGrid w:val="0"/>
              <w:jc w:val="center"/>
              <w:rPr>
                <w:rFonts w:hint="default" w:ascii="Times New Roman" w:hAnsi="Times New Roman" w:cs="Times New Roman"/>
                <w:color w:val="auto"/>
                <w:kern w:val="0"/>
                <w:szCs w:val="21"/>
                <w:highlight w:val="none"/>
              </w:rPr>
            </w:pPr>
          </w:p>
        </w:tc>
        <w:tc>
          <w:tcPr>
            <w:tcW w:w="522" w:type="pct"/>
            <w:tcBorders>
              <w:tl2br w:val="nil"/>
              <w:tr2bl w:val="nil"/>
            </w:tcBorders>
            <w:vAlign w:val="center"/>
          </w:tcPr>
          <w:p w14:paraId="747BA2F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预测浓度(μg/m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p>
        </w:tc>
        <w:tc>
          <w:tcPr>
            <w:tcW w:w="544" w:type="pct"/>
            <w:tcBorders>
              <w:tl2br w:val="nil"/>
              <w:tr2bl w:val="nil"/>
            </w:tcBorders>
            <w:vAlign w:val="center"/>
          </w:tcPr>
          <w:p w14:paraId="758A924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占标率(%)</w:t>
            </w:r>
          </w:p>
        </w:tc>
        <w:tc>
          <w:tcPr>
            <w:tcW w:w="515" w:type="pct"/>
            <w:tcBorders>
              <w:tl2br w:val="nil"/>
              <w:tr2bl w:val="nil"/>
            </w:tcBorders>
            <w:vAlign w:val="center"/>
          </w:tcPr>
          <w:p w14:paraId="28ED7D5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预测浓度 (μg/m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p>
        </w:tc>
        <w:tc>
          <w:tcPr>
            <w:tcW w:w="550" w:type="pct"/>
            <w:tcBorders>
              <w:tl2br w:val="nil"/>
              <w:tr2bl w:val="nil"/>
            </w:tcBorders>
            <w:vAlign w:val="center"/>
          </w:tcPr>
          <w:p w14:paraId="7DCF85E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占标率(%)</w:t>
            </w:r>
          </w:p>
        </w:tc>
        <w:tc>
          <w:tcPr>
            <w:tcW w:w="505" w:type="pct"/>
            <w:tcBorders>
              <w:tl2br w:val="nil"/>
              <w:tr2bl w:val="nil"/>
            </w:tcBorders>
            <w:vAlign w:val="center"/>
          </w:tcPr>
          <w:p w14:paraId="05C3641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预测浓度(μg/m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p>
        </w:tc>
        <w:tc>
          <w:tcPr>
            <w:tcW w:w="563" w:type="pct"/>
            <w:tcBorders>
              <w:tl2br w:val="nil"/>
              <w:tr2bl w:val="nil"/>
            </w:tcBorders>
            <w:vAlign w:val="center"/>
          </w:tcPr>
          <w:p w14:paraId="609559E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占标率(%)</w:t>
            </w:r>
          </w:p>
        </w:tc>
        <w:tc>
          <w:tcPr>
            <w:tcW w:w="498" w:type="pct"/>
            <w:tcBorders>
              <w:tl2br w:val="nil"/>
              <w:tr2bl w:val="nil"/>
            </w:tcBorders>
            <w:vAlign w:val="center"/>
          </w:tcPr>
          <w:p w14:paraId="23D87C2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预测浓度 (μg/m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p>
        </w:tc>
        <w:tc>
          <w:tcPr>
            <w:tcW w:w="570" w:type="pct"/>
            <w:tcBorders>
              <w:tl2br w:val="nil"/>
              <w:tr2bl w:val="nil"/>
            </w:tcBorders>
            <w:vAlign w:val="center"/>
          </w:tcPr>
          <w:p w14:paraId="1256BD2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占标率(%)</w:t>
            </w:r>
          </w:p>
        </w:tc>
      </w:tr>
      <w:tr w14:paraId="4EFF06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729" w:type="pct"/>
            <w:tcBorders>
              <w:tl2br w:val="nil"/>
              <w:tr2bl w:val="nil"/>
            </w:tcBorders>
            <w:tcMar>
              <w:left w:w="0" w:type="dxa"/>
              <w:right w:w="0" w:type="dxa"/>
            </w:tcMar>
            <w:vAlign w:val="center"/>
          </w:tcPr>
          <w:p w14:paraId="6A6143F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w:t>
            </w:r>
          </w:p>
        </w:tc>
        <w:tc>
          <w:tcPr>
            <w:tcW w:w="1480" w:type="dxa"/>
            <w:tcBorders>
              <w:tl2br w:val="nil"/>
              <w:tr2bl w:val="nil"/>
            </w:tcBorders>
            <w:vAlign w:val="center"/>
          </w:tcPr>
          <w:p w14:paraId="392CD12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0.6458</w:t>
            </w:r>
          </w:p>
        </w:tc>
        <w:tc>
          <w:tcPr>
            <w:tcW w:w="1546" w:type="dxa"/>
            <w:tcBorders>
              <w:tl2br w:val="nil"/>
              <w:tr2bl w:val="nil"/>
            </w:tcBorders>
            <w:vAlign w:val="center"/>
          </w:tcPr>
          <w:p w14:paraId="7DBB62E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0.0718</w:t>
            </w:r>
          </w:p>
        </w:tc>
        <w:tc>
          <w:tcPr>
            <w:tcW w:w="1460" w:type="dxa"/>
            <w:tcBorders>
              <w:tl2br w:val="nil"/>
              <w:tr2bl w:val="nil"/>
            </w:tcBorders>
            <w:vAlign w:val="center"/>
          </w:tcPr>
          <w:p w14:paraId="4884EC7E">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25.0400</w:t>
            </w:r>
          </w:p>
        </w:tc>
        <w:tc>
          <w:tcPr>
            <w:tcW w:w="1563" w:type="dxa"/>
            <w:tcBorders>
              <w:tl2br w:val="nil"/>
              <w:tr2bl w:val="nil"/>
            </w:tcBorders>
            <w:vAlign w:val="center"/>
          </w:tcPr>
          <w:p w14:paraId="22FC6E1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2.7822</w:t>
            </w:r>
          </w:p>
        </w:tc>
        <w:tc>
          <w:tcPr>
            <w:tcW w:w="1432" w:type="dxa"/>
            <w:tcBorders>
              <w:tl2br w:val="nil"/>
              <w:tr2bl w:val="nil"/>
            </w:tcBorders>
            <w:vAlign w:val="center"/>
          </w:tcPr>
          <w:p w14:paraId="5961630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15.8090</w:t>
            </w:r>
          </w:p>
        </w:tc>
        <w:tc>
          <w:tcPr>
            <w:tcW w:w="1597" w:type="dxa"/>
            <w:tcBorders>
              <w:tl2br w:val="nil"/>
              <w:tr2bl w:val="nil"/>
            </w:tcBorders>
            <w:vAlign w:val="center"/>
          </w:tcPr>
          <w:p w14:paraId="1E65F5D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1.7566</w:t>
            </w:r>
          </w:p>
        </w:tc>
        <w:tc>
          <w:tcPr>
            <w:tcW w:w="1412" w:type="dxa"/>
            <w:tcBorders>
              <w:tl2br w:val="nil"/>
              <w:tr2bl w:val="nil"/>
            </w:tcBorders>
            <w:vAlign w:val="center"/>
          </w:tcPr>
          <w:p w14:paraId="11E2619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0.7644</w:t>
            </w:r>
          </w:p>
        </w:tc>
        <w:tc>
          <w:tcPr>
            <w:tcW w:w="1616" w:type="dxa"/>
            <w:tcBorders>
              <w:tl2br w:val="nil"/>
              <w:tr2bl w:val="nil"/>
            </w:tcBorders>
            <w:vAlign w:val="center"/>
          </w:tcPr>
          <w:p w14:paraId="27A6FD0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0.0382</w:t>
            </w:r>
          </w:p>
        </w:tc>
      </w:tr>
      <w:tr w14:paraId="2A814F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729" w:type="pct"/>
            <w:tcBorders>
              <w:tl2br w:val="nil"/>
              <w:tr2bl w:val="nil"/>
            </w:tcBorders>
            <w:tcMar>
              <w:left w:w="0" w:type="dxa"/>
              <w:right w:w="0" w:type="dxa"/>
            </w:tcMar>
            <w:vAlign w:val="center"/>
          </w:tcPr>
          <w:p w14:paraId="03AF832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w:t>
            </w:r>
          </w:p>
        </w:tc>
        <w:tc>
          <w:tcPr>
            <w:tcW w:w="1480" w:type="dxa"/>
            <w:tcBorders>
              <w:tl2br w:val="nil"/>
              <w:tr2bl w:val="nil"/>
            </w:tcBorders>
            <w:vAlign w:val="center"/>
          </w:tcPr>
          <w:p w14:paraId="528C0B6E">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0.6095</w:t>
            </w:r>
          </w:p>
        </w:tc>
        <w:tc>
          <w:tcPr>
            <w:tcW w:w="1546" w:type="dxa"/>
            <w:tcBorders>
              <w:tl2br w:val="nil"/>
              <w:tr2bl w:val="nil"/>
            </w:tcBorders>
            <w:vAlign w:val="center"/>
          </w:tcPr>
          <w:p w14:paraId="4595C65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0.0677</w:t>
            </w:r>
          </w:p>
        </w:tc>
        <w:tc>
          <w:tcPr>
            <w:tcW w:w="1460" w:type="dxa"/>
            <w:tcBorders>
              <w:tl2br w:val="nil"/>
              <w:tr2bl w:val="nil"/>
            </w:tcBorders>
            <w:vAlign w:val="center"/>
          </w:tcPr>
          <w:p w14:paraId="724FA09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17.7040</w:t>
            </w:r>
          </w:p>
        </w:tc>
        <w:tc>
          <w:tcPr>
            <w:tcW w:w="1563" w:type="dxa"/>
            <w:tcBorders>
              <w:tl2br w:val="nil"/>
              <w:tr2bl w:val="nil"/>
            </w:tcBorders>
            <w:vAlign w:val="center"/>
          </w:tcPr>
          <w:p w14:paraId="2460EDD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1.9671</w:t>
            </w:r>
          </w:p>
        </w:tc>
        <w:tc>
          <w:tcPr>
            <w:tcW w:w="1432" w:type="dxa"/>
            <w:tcBorders>
              <w:tl2br w:val="nil"/>
              <w:tr2bl w:val="nil"/>
            </w:tcBorders>
            <w:vAlign w:val="center"/>
          </w:tcPr>
          <w:p w14:paraId="19CF6B8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14.6750</w:t>
            </w:r>
          </w:p>
        </w:tc>
        <w:tc>
          <w:tcPr>
            <w:tcW w:w="1597" w:type="dxa"/>
            <w:tcBorders>
              <w:tl2br w:val="nil"/>
              <w:tr2bl w:val="nil"/>
            </w:tcBorders>
            <w:vAlign w:val="center"/>
          </w:tcPr>
          <w:p w14:paraId="518E0F31">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1.6306</w:t>
            </w:r>
          </w:p>
        </w:tc>
        <w:tc>
          <w:tcPr>
            <w:tcW w:w="1412" w:type="dxa"/>
            <w:tcBorders>
              <w:tl2br w:val="nil"/>
              <w:tr2bl w:val="nil"/>
            </w:tcBorders>
            <w:vAlign w:val="center"/>
          </w:tcPr>
          <w:p w14:paraId="7983BDB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0.5480</w:t>
            </w:r>
          </w:p>
        </w:tc>
        <w:tc>
          <w:tcPr>
            <w:tcW w:w="1616" w:type="dxa"/>
            <w:tcBorders>
              <w:tl2br w:val="nil"/>
              <w:tr2bl w:val="nil"/>
            </w:tcBorders>
            <w:vAlign w:val="center"/>
          </w:tcPr>
          <w:p w14:paraId="1ED4B83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0.0274</w:t>
            </w:r>
          </w:p>
        </w:tc>
      </w:tr>
      <w:tr w14:paraId="2EE89B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729" w:type="pct"/>
            <w:tcBorders>
              <w:tl2br w:val="nil"/>
              <w:tr2bl w:val="nil"/>
            </w:tcBorders>
            <w:tcMar>
              <w:left w:w="0" w:type="dxa"/>
              <w:right w:w="0" w:type="dxa"/>
            </w:tcMar>
            <w:vAlign w:val="center"/>
          </w:tcPr>
          <w:p w14:paraId="10C2ABAE">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200.0</w:t>
            </w:r>
          </w:p>
        </w:tc>
        <w:tc>
          <w:tcPr>
            <w:tcW w:w="1480" w:type="dxa"/>
            <w:tcBorders>
              <w:tl2br w:val="nil"/>
              <w:tr2bl w:val="nil"/>
            </w:tcBorders>
            <w:vAlign w:val="center"/>
          </w:tcPr>
          <w:p w14:paraId="412DF79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0.4743</w:t>
            </w:r>
          </w:p>
        </w:tc>
        <w:tc>
          <w:tcPr>
            <w:tcW w:w="1546" w:type="dxa"/>
            <w:tcBorders>
              <w:tl2br w:val="nil"/>
              <w:tr2bl w:val="nil"/>
            </w:tcBorders>
            <w:vAlign w:val="center"/>
          </w:tcPr>
          <w:p w14:paraId="40390918">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0.0527</w:t>
            </w:r>
          </w:p>
        </w:tc>
        <w:tc>
          <w:tcPr>
            <w:tcW w:w="1460" w:type="dxa"/>
            <w:tcBorders>
              <w:tl2br w:val="nil"/>
              <w:tr2bl w:val="nil"/>
            </w:tcBorders>
            <w:vAlign w:val="center"/>
          </w:tcPr>
          <w:p w14:paraId="6941DB00">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13.0570</w:t>
            </w:r>
          </w:p>
        </w:tc>
        <w:tc>
          <w:tcPr>
            <w:tcW w:w="1563" w:type="dxa"/>
            <w:tcBorders>
              <w:tl2br w:val="nil"/>
              <w:tr2bl w:val="nil"/>
            </w:tcBorders>
            <w:vAlign w:val="center"/>
          </w:tcPr>
          <w:p w14:paraId="0EEF6AD8">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1.4508</w:t>
            </w:r>
          </w:p>
        </w:tc>
        <w:tc>
          <w:tcPr>
            <w:tcW w:w="1432" w:type="dxa"/>
            <w:tcBorders>
              <w:tl2br w:val="nil"/>
              <w:tr2bl w:val="nil"/>
            </w:tcBorders>
            <w:vAlign w:val="center"/>
          </w:tcPr>
          <w:p w14:paraId="3682B60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9.3579</w:t>
            </w:r>
          </w:p>
        </w:tc>
        <w:tc>
          <w:tcPr>
            <w:tcW w:w="1597" w:type="dxa"/>
            <w:tcBorders>
              <w:tl2br w:val="nil"/>
              <w:tr2bl w:val="nil"/>
            </w:tcBorders>
            <w:vAlign w:val="center"/>
          </w:tcPr>
          <w:p w14:paraId="7B2A4AA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1.0398</w:t>
            </w:r>
          </w:p>
        </w:tc>
        <w:tc>
          <w:tcPr>
            <w:tcW w:w="1412" w:type="dxa"/>
            <w:tcBorders>
              <w:tl2br w:val="nil"/>
              <w:tr2bl w:val="nil"/>
            </w:tcBorders>
            <w:vAlign w:val="center"/>
          </w:tcPr>
          <w:p w14:paraId="7B73B71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0.3827</w:t>
            </w:r>
          </w:p>
        </w:tc>
        <w:tc>
          <w:tcPr>
            <w:tcW w:w="1616" w:type="dxa"/>
            <w:tcBorders>
              <w:tl2br w:val="nil"/>
              <w:tr2bl w:val="nil"/>
            </w:tcBorders>
            <w:vAlign w:val="center"/>
          </w:tcPr>
          <w:p w14:paraId="71CF791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0.0191</w:t>
            </w:r>
          </w:p>
        </w:tc>
      </w:tr>
      <w:tr w14:paraId="4FE071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729" w:type="pct"/>
            <w:tcBorders>
              <w:tl2br w:val="nil"/>
              <w:tr2bl w:val="nil"/>
            </w:tcBorders>
            <w:tcMar>
              <w:left w:w="0" w:type="dxa"/>
              <w:right w:w="0" w:type="dxa"/>
            </w:tcMar>
            <w:vAlign w:val="center"/>
          </w:tcPr>
          <w:p w14:paraId="2C1767C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300.0</w:t>
            </w:r>
          </w:p>
        </w:tc>
        <w:tc>
          <w:tcPr>
            <w:tcW w:w="1480" w:type="dxa"/>
            <w:tcBorders>
              <w:tl2br w:val="nil"/>
              <w:tr2bl w:val="nil"/>
            </w:tcBorders>
            <w:vAlign w:val="center"/>
          </w:tcPr>
          <w:p w14:paraId="24D3860A">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0.3971</w:t>
            </w:r>
          </w:p>
        </w:tc>
        <w:tc>
          <w:tcPr>
            <w:tcW w:w="1546" w:type="dxa"/>
            <w:tcBorders>
              <w:tl2br w:val="nil"/>
              <w:tr2bl w:val="nil"/>
            </w:tcBorders>
            <w:vAlign w:val="center"/>
          </w:tcPr>
          <w:p w14:paraId="64BB2B6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0.0441</w:t>
            </w:r>
          </w:p>
        </w:tc>
        <w:tc>
          <w:tcPr>
            <w:tcW w:w="1460" w:type="dxa"/>
            <w:tcBorders>
              <w:tl2br w:val="nil"/>
              <w:tr2bl w:val="nil"/>
            </w:tcBorders>
            <w:vAlign w:val="center"/>
          </w:tcPr>
          <w:p w14:paraId="6C7C583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10.1420</w:t>
            </w:r>
          </w:p>
        </w:tc>
        <w:tc>
          <w:tcPr>
            <w:tcW w:w="1563" w:type="dxa"/>
            <w:tcBorders>
              <w:tl2br w:val="nil"/>
              <w:tr2bl w:val="nil"/>
            </w:tcBorders>
            <w:vAlign w:val="center"/>
          </w:tcPr>
          <w:p w14:paraId="537A884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1.1269</w:t>
            </w:r>
          </w:p>
        </w:tc>
        <w:tc>
          <w:tcPr>
            <w:tcW w:w="1432" w:type="dxa"/>
            <w:tcBorders>
              <w:tl2br w:val="nil"/>
              <w:tr2bl w:val="nil"/>
            </w:tcBorders>
            <w:vAlign w:val="center"/>
          </w:tcPr>
          <w:p w14:paraId="21BB6098">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6.9586</w:t>
            </w:r>
          </w:p>
        </w:tc>
        <w:tc>
          <w:tcPr>
            <w:tcW w:w="1597" w:type="dxa"/>
            <w:tcBorders>
              <w:tl2br w:val="nil"/>
              <w:tr2bl w:val="nil"/>
            </w:tcBorders>
            <w:vAlign w:val="center"/>
          </w:tcPr>
          <w:p w14:paraId="113808B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0.7732</w:t>
            </w:r>
          </w:p>
        </w:tc>
        <w:tc>
          <w:tcPr>
            <w:tcW w:w="1412" w:type="dxa"/>
            <w:tcBorders>
              <w:tl2br w:val="nil"/>
              <w:tr2bl w:val="nil"/>
            </w:tcBorders>
            <w:vAlign w:val="center"/>
          </w:tcPr>
          <w:p w14:paraId="461E78D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0.2884</w:t>
            </w:r>
          </w:p>
        </w:tc>
        <w:tc>
          <w:tcPr>
            <w:tcW w:w="1616" w:type="dxa"/>
            <w:tcBorders>
              <w:tl2br w:val="nil"/>
              <w:tr2bl w:val="nil"/>
            </w:tcBorders>
            <w:vAlign w:val="center"/>
          </w:tcPr>
          <w:p w14:paraId="1E7D2DA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0.0144</w:t>
            </w:r>
          </w:p>
        </w:tc>
      </w:tr>
      <w:tr w14:paraId="123BE3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729" w:type="pct"/>
            <w:tcBorders>
              <w:tl2br w:val="nil"/>
              <w:tr2bl w:val="nil"/>
            </w:tcBorders>
            <w:tcMar>
              <w:left w:w="0" w:type="dxa"/>
              <w:right w:w="0" w:type="dxa"/>
            </w:tcMar>
            <w:vAlign w:val="center"/>
          </w:tcPr>
          <w:p w14:paraId="72F12C3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400.0</w:t>
            </w:r>
          </w:p>
        </w:tc>
        <w:tc>
          <w:tcPr>
            <w:tcW w:w="1480" w:type="dxa"/>
            <w:tcBorders>
              <w:tl2br w:val="nil"/>
              <w:tr2bl w:val="nil"/>
            </w:tcBorders>
            <w:vAlign w:val="center"/>
          </w:tcPr>
          <w:p w14:paraId="2D42CB1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0.3352</w:t>
            </w:r>
          </w:p>
        </w:tc>
        <w:tc>
          <w:tcPr>
            <w:tcW w:w="1546" w:type="dxa"/>
            <w:tcBorders>
              <w:tl2br w:val="nil"/>
              <w:tr2bl w:val="nil"/>
            </w:tcBorders>
            <w:vAlign w:val="center"/>
          </w:tcPr>
          <w:p w14:paraId="2E15FC0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0.0372</w:t>
            </w:r>
          </w:p>
        </w:tc>
        <w:tc>
          <w:tcPr>
            <w:tcW w:w="1460" w:type="dxa"/>
            <w:tcBorders>
              <w:tl2br w:val="nil"/>
              <w:tr2bl w:val="nil"/>
            </w:tcBorders>
            <w:vAlign w:val="center"/>
          </w:tcPr>
          <w:p w14:paraId="4573528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8.2701</w:t>
            </w:r>
          </w:p>
        </w:tc>
        <w:tc>
          <w:tcPr>
            <w:tcW w:w="1563" w:type="dxa"/>
            <w:tcBorders>
              <w:tl2br w:val="nil"/>
              <w:tr2bl w:val="nil"/>
            </w:tcBorders>
            <w:vAlign w:val="center"/>
          </w:tcPr>
          <w:p w14:paraId="70A6514A">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0.9189</w:t>
            </w:r>
          </w:p>
        </w:tc>
        <w:tc>
          <w:tcPr>
            <w:tcW w:w="1432" w:type="dxa"/>
            <w:tcBorders>
              <w:tl2br w:val="nil"/>
              <w:tr2bl w:val="nil"/>
            </w:tcBorders>
            <w:vAlign w:val="center"/>
          </w:tcPr>
          <w:p w14:paraId="0EC65C0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5.6537</w:t>
            </w:r>
          </w:p>
        </w:tc>
        <w:tc>
          <w:tcPr>
            <w:tcW w:w="1597" w:type="dxa"/>
            <w:tcBorders>
              <w:tl2br w:val="nil"/>
              <w:tr2bl w:val="nil"/>
            </w:tcBorders>
            <w:vAlign w:val="center"/>
          </w:tcPr>
          <w:p w14:paraId="39D116E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0.6282</w:t>
            </w:r>
          </w:p>
        </w:tc>
        <w:tc>
          <w:tcPr>
            <w:tcW w:w="1412" w:type="dxa"/>
            <w:tcBorders>
              <w:tl2br w:val="nil"/>
              <w:tr2bl w:val="nil"/>
            </w:tcBorders>
            <w:vAlign w:val="center"/>
          </w:tcPr>
          <w:p w14:paraId="155C2D6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0.2310</w:t>
            </w:r>
          </w:p>
        </w:tc>
        <w:tc>
          <w:tcPr>
            <w:tcW w:w="1616" w:type="dxa"/>
            <w:tcBorders>
              <w:tl2br w:val="nil"/>
              <w:tr2bl w:val="nil"/>
            </w:tcBorders>
            <w:vAlign w:val="center"/>
          </w:tcPr>
          <w:p w14:paraId="2B6273EE">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0.0116</w:t>
            </w:r>
          </w:p>
        </w:tc>
      </w:tr>
      <w:tr w14:paraId="4B98C1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3" w:hRule="atLeast"/>
          <w:jc w:val="center"/>
        </w:trPr>
        <w:tc>
          <w:tcPr>
            <w:tcW w:w="729" w:type="pct"/>
            <w:tcBorders>
              <w:tl2br w:val="nil"/>
              <w:tr2bl w:val="nil"/>
            </w:tcBorders>
            <w:tcMar>
              <w:left w:w="0" w:type="dxa"/>
              <w:right w:w="0" w:type="dxa"/>
            </w:tcMar>
            <w:vAlign w:val="center"/>
          </w:tcPr>
          <w:p w14:paraId="7FF4D71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500.0</w:t>
            </w:r>
          </w:p>
        </w:tc>
        <w:tc>
          <w:tcPr>
            <w:tcW w:w="1480" w:type="dxa"/>
            <w:tcBorders>
              <w:tl2br w:val="nil"/>
              <w:tr2bl w:val="nil"/>
            </w:tcBorders>
            <w:vAlign w:val="center"/>
          </w:tcPr>
          <w:p w14:paraId="30F41E18">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0.2894</w:t>
            </w:r>
          </w:p>
        </w:tc>
        <w:tc>
          <w:tcPr>
            <w:tcW w:w="1546" w:type="dxa"/>
            <w:tcBorders>
              <w:tl2br w:val="nil"/>
              <w:tr2bl w:val="nil"/>
            </w:tcBorders>
            <w:vAlign w:val="center"/>
          </w:tcPr>
          <w:p w14:paraId="79EC248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0.0322</w:t>
            </w:r>
          </w:p>
        </w:tc>
        <w:tc>
          <w:tcPr>
            <w:tcW w:w="1460" w:type="dxa"/>
            <w:tcBorders>
              <w:tl2br w:val="nil"/>
              <w:tr2bl w:val="nil"/>
            </w:tcBorders>
            <w:vAlign w:val="center"/>
          </w:tcPr>
          <w:p w14:paraId="67F4218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6.9818</w:t>
            </w:r>
          </w:p>
        </w:tc>
        <w:tc>
          <w:tcPr>
            <w:tcW w:w="1563" w:type="dxa"/>
            <w:tcBorders>
              <w:tl2br w:val="nil"/>
              <w:tr2bl w:val="nil"/>
            </w:tcBorders>
            <w:vAlign w:val="center"/>
          </w:tcPr>
          <w:p w14:paraId="0E5A295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0.7758</w:t>
            </w:r>
          </w:p>
        </w:tc>
        <w:tc>
          <w:tcPr>
            <w:tcW w:w="1432" w:type="dxa"/>
            <w:tcBorders>
              <w:tl2br w:val="nil"/>
              <w:tr2bl w:val="nil"/>
            </w:tcBorders>
            <w:vAlign w:val="center"/>
          </w:tcPr>
          <w:p w14:paraId="7E7F0980">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4.8176</w:t>
            </w:r>
          </w:p>
        </w:tc>
        <w:tc>
          <w:tcPr>
            <w:tcW w:w="1597" w:type="dxa"/>
            <w:tcBorders>
              <w:tl2br w:val="nil"/>
              <w:tr2bl w:val="nil"/>
            </w:tcBorders>
            <w:vAlign w:val="center"/>
          </w:tcPr>
          <w:p w14:paraId="2BA1BE0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0.5353</w:t>
            </w:r>
          </w:p>
        </w:tc>
        <w:tc>
          <w:tcPr>
            <w:tcW w:w="1412" w:type="dxa"/>
            <w:tcBorders>
              <w:tl2br w:val="nil"/>
              <w:tr2bl w:val="nil"/>
            </w:tcBorders>
            <w:vAlign w:val="center"/>
          </w:tcPr>
          <w:p w14:paraId="42C0C7BA">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0.1914</w:t>
            </w:r>
          </w:p>
        </w:tc>
        <w:tc>
          <w:tcPr>
            <w:tcW w:w="1616" w:type="dxa"/>
            <w:tcBorders>
              <w:tl2br w:val="nil"/>
              <w:tr2bl w:val="nil"/>
            </w:tcBorders>
            <w:vAlign w:val="center"/>
          </w:tcPr>
          <w:p w14:paraId="2507C3A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0.0096</w:t>
            </w:r>
          </w:p>
        </w:tc>
      </w:tr>
      <w:tr w14:paraId="4A2809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41B11C6C">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600.0</w:t>
            </w:r>
          </w:p>
        </w:tc>
        <w:tc>
          <w:tcPr>
            <w:tcW w:w="1480" w:type="dxa"/>
            <w:tcBorders>
              <w:tl2br w:val="nil"/>
              <w:tr2bl w:val="nil"/>
            </w:tcBorders>
            <w:vAlign w:val="center"/>
          </w:tcPr>
          <w:p w14:paraId="2BA2B5C0">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0.2540</w:t>
            </w:r>
          </w:p>
        </w:tc>
        <w:tc>
          <w:tcPr>
            <w:tcW w:w="1546" w:type="dxa"/>
            <w:tcBorders>
              <w:tl2br w:val="nil"/>
              <w:tr2bl w:val="nil"/>
            </w:tcBorders>
            <w:vAlign w:val="center"/>
          </w:tcPr>
          <w:p w14:paraId="12CB916C">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0.0282</w:t>
            </w:r>
          </w:p>
        </w:tc>
        <w:tc>
          <w:tcPr>
            <w:tcW w:w="1460" w:type="dxa"/>
            <w:tcBorders>
              <w:tl2br w:val="nil"/>
              <w:tr2bl w:val="nil"/>
            </w:tcBorders>
            <w:vAlign w:val="center"/>
          </w:tcPr>
          <w:p w14:paraId="6C51528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6.0312</w:t>
            </w:r>
          </w:p>
        </w:tc>
        <w:tc>
          <w:tcPr>
            <w:tcW w:w="1563" w:type="dxa"/>
            <w:tcBorders>
              <w:tl2br w:val="nil"/>
              <w:tr2bl w:val="nil"/>
            </w:tcBorders>
            <w:vAlign w:val="center"/>
          </w:tcPr>
          <w:p w14:paraId="4C93DEE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0.6701</w:t>
            </w:r>
          </w:p>
        </w:tc>
        <w:tc>
          <w:tcPr>
            <w:tcW w:w="1432" w:type="dxa"/>
            <w:tcBorders>
              <w:tl2br w:val="nil"/>
              <w:tr2bl w:val="nil"/>
            </w:tcBorders>
            <w:vAlign w:val="center"/>
          </w:tcPr>
          <w:p w14:paraId="34A61CA4">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4.2295</w:t>
            </w:r>
          </w:p>
        </w:tc>
        <w:tc>
          <w:tcPr>
            <w:tcW w:w="1597" w:type="dxa"/>
            <w:tcBorders>
              <w:tl2br w:val="nil"/>
              <w:tr2bl w:val="nil"/>
            </w:tcBorders>
            <w:vAlign w:val="center"/>
          </w:tcPr>
          <w:p w14:paraId="59CA0D7E">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0.4699</w:t>
            </w:r>
          </w:p>
        </w:tc>
        <w:tc>
          <w:tcPr>
            <w:tcW w:w="1412" w:type="dxa"/>
            <w:tcBorders>
              <w:tl2br w:val="nil"/>
              <w:tr2bl w:val="nil"/>
            </w:tcBorders>
            <w:vAlign w:val="center"/>
          </w:tcPr>
          <w:p w14:paraId="0E2992D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0.1637</w:t>
            </w:r>
          </w:p>
        </w:tc>
        <w:tc>
          <w:tcPr>
            <w:tcW w:w="1616" w:type="dxa"/>
            <w:tcBorders>
              <w:tl2br w:val="nil"/>
              <w:tr2bl w:val="nil"/>
            </w:tcBorders>
            <w:vAlign w:val="center"/>
          </w:tcPr>
          <w:p w14:paraId="0C119C6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0.0082</w:t>
            </w:r>
          </w:p>
        </w:tc>
      </w:tr>
      <w:tr w14:paraId="269DFF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315189B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700.0</w:t>
            </w:r>
          </w:p>
        </w:tc>
        <w:tc>
          <w:tcPr>
            <w:tcW w:w="1480" w:type="dxa"/>
            <w:tcBorders>
              <w:tl2br w:val="nil"/>
              <w:tr2bl w:val="nil"/>
            </w:tcBorders>
            <w:vAlign w:val="center"/>
          </w:tcPr>
          <w:p w14:paraId="205675BF">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0.2267</w:t>
            </w:r>
          </w:p>
        </w:tc>
        <w:tc>
          <w:tcPr>
            <w:tcW w:w="1546" w:type="dxa"/>
            <w:tcBorders>
              <w:tl2br w:val="nil"/>
              <w:tr2bl w:val="nil"/>
            </w:tcBorders>
            <w:vAlign w:val="center"/>
          </w:tcPr>
          <w:p w14:paraId="789A3898">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0.0252</w:t>
            </w:r>
          </w:p>
        </w:tc>
        <w:tc>
          <w:tcPr>
            <w:tcW w:w="1460" w:type="dxa"/>
            <w:tcBorders>
              <w:tl2br w:val="nil"/>
              <w:tr2bl w:val="nil"/>
            </w:tcBorders>
            <w:vAlign w:val="center"/>
          </w:tcPr>
          <w:p w14:paraId="5BD4709A">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5.2873</w:t>
            </w:r>
          </w:p>
        </w:tc>
        <w:tc>
          <w:tcPr>
            <w:tcW w:w="1563" w:type="dxa"/>
            <w:tcBorders>
              <w:tl2br w:val="nil"/>
              <w:tr2bl w:val="nil"/>
            </w:tcBorders>
            <w:vAlign w:val="center"/>
          </w:tcPr>
          <w:p w14:paraId="0EA52CDC">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0.5875</w:t>
            </w:r>
          </w:p>
        </w:tc>
        <w:tc>
          <w:tcPr>
            <w:tcW w:w="1432" w:type="dxa"/>
            <w:tcBorders>
              <w:tl2br w:val="nil"/>
              <w:tr2bl w:val="nil"/>
            </w:tcBorders>
            <w:vAlign w:val="center"/>
          </w:tcPr>
          <w:p w14:paraId="097DC5A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3.7898</w:t>
            </w:r>
          </w:p>
        </w:tc>
        <w:tc>
          <w:tcPr>
            <w:tcW w:w="1597" w:type="dxa"/>
            <w:tcBorders>
              <w:tl2br w:val="nil"/>
              <w:tr2bl w:val="nil"/>
            </w:tcBorders>
            <w:vAlign w:val="center"/>
          </w:tcPr>
          <w:p w14:paraId="57520A08">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0.4211</w:t>
            </w:r>
          </w:p>
        </w:tc>
        <w:tc>
          <w:tcPr>
            <w:tcW w:w="1412" w:type="dxa"/>
            <w:tcBorders>
              <w:tl2br w:val="nil"/>
              <w:tr2bl w:val="nil"/>
            </w:tcBorders>
            <w:vAlign w:val="center"/>
          </w:tcPr>
          <w:p w14:paraId="3B91698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0.1469</w:t>
            </w:r>
          </w:p>
        </w:tc>
        <w:tc>
          <w:tcPr>
            <w:tcW w:w="1616" w:type="dxa"/>
            <w:tcBorders>
              <w:tl2br w:val="nil"/>
              <w:tr2bl w:val="nil"/>
            </w:tcBorders>
            <w:vAlign w:val="center"/>
          </w:tcPr>
          <w:p w14:paraId="64573170">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0.0073</w:t>
            </w:r>
          </w:p>
        </w:tc>
      </w:tr>
      <w:tr w14:paraId="03388D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0B08FB71">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800.0</w:t>
            </w:r>
          </w:p>
        </w:tc>
        <w:tc>
          <w:tcPr>
            <w:tcW w:w="1480" w:type="dxa"/>
            <w:tcBorders>
              <w:tl2br w:val="nil"/>
              <w:tr2bl w:val="nil"/>
            </w:tcBorders>
            <w:vAlign w:val="center"/>
          </w:tcPr>
          <w:p w14:paraId="1E39703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0.2044</w:t>
            </w:r>
          </w:p>
        </w:tc>
        <w:tc>
          <w:tcPr>
            <w:tcW w:w="1546" w:type="dxa"/>
            <w:tcBorders>
              <w:tl2br w:val="nil"/>
              <w:tr2bl w:val="nil"/>
            </w:tcBorders>
            <w:vAlign w:val="center"/>
          </w:tcPr>
          <w:p w14:paraId="0547C870">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0.0227</w:t>
            </w:r>
          </w:p>
        </w:tc>
        <w:tc>
          <w:tcPr>
            <w:tcW w:w="1460" w:type="dxa"/>
            <w:tcBorders>
              <w:tl2br w:val="nil"/>
              <w:tr2bl w:val="nil"/>
            </w:tcBorders>
            <w:vAlign w:val="center"/>
          </w:tcPr>
          <w:p w14:paraId="3567B44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4.6918</w:t>
            </w:r>
          </w:p>
        </w:tc>
        <w:tc>
          <w:tcPr>
            <w:tcW w:w="1563" w:type="dxa"/>
            <w:tcBorders>
              <w:tl2br w:val="nil"/>
              <w:tr2bl w:val="nil"/>
            </w:tcBorders>
            <w:vAlign w:val="center"/>
          </w:tcPr>
          <w:p w14:paraId="3F981570">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0.5213</w:t>
            </w:r>
          </w:p>
        </w:tc>
        <w:tc>
          <w:tcPr>
            <w:tcW w:w="1432" w:type="dxa"/>
            <w:tcBorders>
              <w:tl2br w:val="nil"/>
              <w:tr2bl w:val="nil"/>
            </w:tcBorders>
            <w:vAlign w:val="center"/>
          </w:tcPr>
          <w:p w14:paraId="6B9DF6B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3.4468</w:t>
            </w:r>
          </w:p>
        </w:tc>
        <w:tc>
          <w:tcPr>
            <w:tcW w:w="1597" w:type="dxa"/>
            <w:tcBorders>
              <w:tl2br w:val="nil"/>
              <w:tr2bl w:val="nil"/>
            </w:tcBorders>
            <w:vAlign w:val="center"/>
          </w:tcPr>
          <w:p w14:paraId="45B03341">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0.3830</w:t>
            </w:r>
          </w:p>
        </w:tc>
        <w:tc>
          <w:tcPr>
            <w:tcW w:w="1412" w:type="dxa"/>
            <w:tcBorders>
              <w:tl2br w:val="nil"/>
              <w:tr2bl w:val="nil"/>
            </w:tcBorders>
            <w:vAlign w:val="center"/>
          </w:tcPr>
          <w:p w14:paraId="00A7E1D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0.1329</w:t>
            </w:r>
          </w:p>
        </w:tc>
        <w:tc>
          <w:tcPr>
            <w:tcW w:w="1616" w:type="dxa"/>
            <w:tcBorders>
              <w:tl2br w:val="nil"/>
              <w:tr2bl w:val="nil"/>
            </w:tcBorders>
            <w:vAlign w:val="center"/>
          </w:tcPr>
          <w:p w14:paraId="7D22138F">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0.0066</w:t>
            </w:r>
          </w:p>
        </w:tc>
      </w:tr>
      <w:tr w14:paraId="61654A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729" w:type="pct"/>
            <w:tcBorders>
              <w:tl2br w:val="nil"/>
              <w:tr2bl w:val="nil"/>
            </w:tcBorders>
            <w:tcMar>
              <w:left w:w="0" w:type="dxa"/>
              <w:right w:w="0" w:type="dxa"/>
            </w:tcMar>
            <w:vAlign w:val="center"/>
          </w:tcPr>
          <w:p w14:paraId="3FB5B9D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900.0</w:t>
            </w:r>
          </w:p>
        </w:tc>
        <w:tc>
          <w:tcPr>
            <w:tcW w:w="1480" w:type="dxa"/>
            <w:tcBorders>
              <w:tl2br w:val="nil"/>
              <w:tr2bl w:val="nil"/>
            </w:tcBorders>
            <w:vAlign w:val="center"/>
          </w:tcPr>
          <w:p w14:paraId="4101543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0.1856</w:t>
            </w:r>
          </w:p>
        </w:tc>
        <w:tc>
          <w:tcPr>
            <w:tcW w:w="1546" w:type="dxa"/>
            <w:tcBorders>
              <w:tl2br w:val="nil"/>
              <w:tr2bl w:val="nil"/>
            </w:tcBorders>
            <w:vAlign w:val="center"/>
          </w:tcPr>
          <w:p w14:paraId="099BBC6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0.0206</w:t>
            </w:r>
          </w:p>
        </w:tc>
        <w:tc>
          <w:tcPr>
            <w:tcW w:w="1460" w:type="dxa"/>
            <w:tcBorders>
              <w:tl2br w:val="nil"/>
              <w:tr2bl w:val="nil"/>
            </w:tcBorders>
            <w:vAlign w:val="center"/>
          </w:tcPr>
          <w:p w14:paraId="06D8132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4.3261</w:t>
            </w:r>
          </w:p>
        </w:tc>
        <w:tc>
          <w:tcPr>
            <w:tcW w:w="1563" w:type="dxa"/>
            <w:tcBorders>
              <w:tl2br w:val="nil"/>
              <w:tr2bl w:val="nil"/>
            </w:tcBorders>
            <w:vAlign w:val="center"/>
          </w:tcPr>
          <w:p w14:paraId="5DAF791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0.4807</w:t>
            </w:r>
          </w:p>
        </w:tc>
        <w:tc>
          <w:tcPr>
            <w:tcW w:w="1432" w:type="dxa"/>
            <w:tcBorders>
              <w:tl2br w:val="nil"/>
              <w:tr2bl w:val="nil"/>
            </w:tcBorders>
            <w:vAlign w:val="center"/>
          </w:tcPr>
          <w:p w14:paraId="5F82643C">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3.1705</w:t>
            </w:r>
          </w:p>
        </w:tc>
        <w:tc>
          <w:tcPr>
            <w:tcW w:w="1597" w:type="dxa"/>
            <w:tcBorders>
              <w:tl2br w:val="nil"/>
              <w:tr2bl w:val="nil"/>
            </w:tcBorders>
            <w:vAlign w:val="center"/>
          </w:tcPr>
          <w:p w14:paraId="3E891D1C">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0.3523</w:t>
            </w:r>
          </w:p>
        </w:tc>
        <w:tc>
          <w:tcPr>
            <w:tcW w:w="1412" w:type="dxa"/>
            <w:tcBorders>
              <w:tl2br w:val="nil"/>
              <w:tr2bl w:val="nil"/>
            </w:tcBorders>
            <w:vAlign w:val="center"/>
          </w:tcPr>
          <w:p w14:paraId="520A1991">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0.1210</w:t>
            </w:r>
          </w:p>
        </w:tc>
        <w:tc>
          <w:tcPr>
            <w:tcW w:w="1616" w:type="dxa"/>
            <w:tcBorders>
              <w:tl2br w:val="nil"/>
              <w:tr2bl w:val="nil"/>
            </w:tcBorders>
            <w:vAlign w:val="center"/>
          </w:tcPr>
          <w:p w14:paraId="4CFA192F">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0.0060</w:t>
            </w:r>
          </w:p>
        </w:tc>
      </w:tr>
      <w:tr w14:paraId="780AE6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28ACF09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1000.0</w:t>
            </w:r>
          </w:p>
        </w:tc>
        <w:tc>
          <w:tcPr>
            <w:tcW w:w="1480" w:type="dxa"/>
            <w:tcBorders>
              <w:tl2br w:val="nil"/>
              <w:tr2bl w:val="nil"/>
            </w:tcBorders>
            <w:vAlign w:val="center"/>
          </w:tcPr>
          <w:p w14:paraId="5BAE326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0.1697</w:t>
            </w:r>
          </w:p>
        </w:tc>
        <w:tc>
          <w:tcPr>
            <w:tcW w:w="1546" w:type="dxa"/>
            <w:tcBorders>
              <w:tl2br w:val="nil"/>
              <w:tr2bl w:val="nil"/>
            </w:tcBorders>
            <w:vAlign w:val="center"/>
          </w:tcPr>
          <w:p w14:paraId="63A14480">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0.0189</w:t>
            </w:r>
          </w:p>
        </w:tc>
        <w:tc>
          <w:tcPr>
            <w:tcW w:w="1460" w:type="dxa"/>
            <w:tcBorders>
              <w:tl2br w:val="nil"/>
              <w:tr2bl w:val="nil"/>
            </w:tcBorders>
            <w:vAlign w:val="center"/>
          </w:tcPr>
          <w:p w14:paraId="2124E7F8">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4.0094</w:t>
            </w:r>
          </w:p>
        </w:tc>
        <w:tc>
          <w:tcPr>
            <w:tcW w:w="1563" w:type="dxa"/>
            <w:tcBorders>
              <w:tl2br w:val="nil"/>
              <w:tr2bl w:val="nil"/>
            </w:tcBorders>
            <w:vAlign w:val="center"/>
          </w:tcPr>
          <w:p w14:paraId="1D0E60A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0.4455</w:t>
            </w:r>
          </w:p>
        </w:tc>
        <w:tc>
          <w:tcPr>
            <w:tcW w:w="1432" w:type="dxa"/>
            <w:tcBorders>
              <w:tl2br w:val="nil"/>
              <w:tr2bl w:val="nil"/>
            </w:tcBorders>
            <w:vAlign w:val="center"/>
          </w:tcPr>
          <w:p w14:paraId="67C6612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2.9425</w:t>
            </w:r>
          </w:p>
        </w:tc>
        <w:tc>
          <w:tcPr>
            <w:tcW w:w="1597" w:type="dxa"/>
            <w:tcBorders>
              <w:tl2br w:val="nil"/>
              <w:tr2bl w:val="nil"/>
            </w:tcBorders>
            <w:vAlign w:val="center"/>
          </w:tcPr>
          <w:p w14:paraId="275367E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0.3269</w:t>
            </w:r>
          </w:p>
        </w:tc>
        <w:tc>
          <w:tcPr>
            <w:tcW w:w="1412" w:type="dxa"/>
            <w:tcBorders>
              <w:tl2br w:val="nil"/>
              <w:tr2bl w:val="nil"/>
            </w:tcBorders>
            <w:vAlign w:val="center"/>
          </w:tcPr>
          <w:p w14:paraId="20C6FFB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0.1113</w:t>
            </w:r>
          </w:p>
        </w:tc>
        <w:tc>
          <w:tcPr>
            <w:tcW w:w="1616" w:type="dxa"/>
            <w:tcBorders>
              <w:tl2br w:val="nil"/>
              <w:tr2bl w:val="nil"/>
            </w:tcBorders>
            <w:vAlign w:val="center"/>
          </w:tcPr>
          <w:p w14:paraId="3E8B073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0.0056</w:t>
            </w:r>
          </w:p>
        </w:tc>
      </w:tr>
      <w:tr w14:paraId="57EAAC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0A52EA61">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2000.0</w:t>
            </w:r>
          </w:p>
        </w:tc>
        <w:tc>
          <w:tcPr>
            <w:tcW w:w="1480" w:type="dxa"/>
            <w:tcBorders>
              <w:tl2br w:val="nil"/>
              <w:tr2bl w:val="nil"/>
            </w:tcBorders>
            <w:vAlign w:val="center"/>
          </w:tcPr>
          <w:p w14:paraId="002D469F">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0.1007</w:t>
            </w:r>
          </w:p>
        </w:tc>
        <w:tc>
          <w:tcPr>
            <w:tcW w:w="1546" w:type="dxa"/>
            <w:tcBorders>
              <w:tl2br w:val="nil"/>
              <w:tr2bl w:val="nil"/>
            </w:tcBorders>
            <w:vAlign w:val="center"/>
          </w:tcPr>
          <w:p w14:paraId="1C8A5DF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0.0112</w:t>
            </w:r>
          </w:p>
        </w:tc>
        <w:tc>
          <w:tcPr>
            <w:tcW w:w="1460" w:type="dxa"/>
            <w:tcBorders>
              <w:tl2br w:val="nil"/>
              <w:tr2bl w:val="nil"/>
            </w:tcBorders>
            <w:vAlign w:val="center"/>
          </w:tcPr>
          <w:p w14:paraId="7B46E6EA">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2.3198</w:t>
            </w:r>
          </w:p>
        </w:tc>
        <w:tc>
          <w:tcPr>
            <w:tcW w:w="1563" w:type="dxa"/>
            <w:tcBorders>
              <w:tl2br w:val="nil"/>
              <w:tr2bl w:val="nil"/>
            </w:tcBorders>
            <w:vAlign w:val="center"/>
          </w:tcPr>
          <w:p w14:paraId="3424B451">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0.2578</w:t>
            </w:r>
          </w:p>
        </w:tc>
        <w:tc>
          <w:tcPr>
            <w:tcW w:w="1432" w:type="dxa"/>
            <w:tcBorders>
              <w:tl2br w:val="nil"/>
              <w:tr2bl w:val="nil"/>
            </w:tcBorders>
            <w:vAlign w:val="center"/>
          </w:tcPr>
          <w:p w14:paraId="70D0859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1.8041</w:t>
            </w:r>
          </w:p>
        </w:tc>
        <w:tc>
          <w:tcPr>
            <w:tcW w:w="1597" w:type="dxa"/>
            <w:tcBorders>
              <w:tl2br w:val="nil"/>
              <w:tr2bl w:val="nil"/>
            </w:tcBorders>
            <w:vAlign w:val="center"/>
          </w:tcPr>
          <w:p w14:paraId="310B17D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0.2005</w:t>
            </w:r>
          </w:p>
        </w:tc>
        <w:tc>
          <w:tcPr>
            <w:tcW w:w="1412" w:type="dxa"/>
            <w:tcBorders>
              <w:tl2br w:val="nil"/>
              <w:tr2bl w:val="nil"/>
            </w:tcBorders>
            <w:vAlign w:val="center"/>
          </w:tcPr>
          <w:p w14:paraId="40B5E7BA">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0.0631</w:t>
            </w:r>
          </w:p>
        </w:tc>
        <w:tc>
          <w:tcPr>
            <w:tcW w:w="1616" w:type="dxa"/>
            <w:tcBorders>
              <w:tl2br w:val="nil"/>
              <w:tr2bl w:val="nil"/>
            </w:tcBorders>
            <w:vAlign w:val="center"/>
          </w:tcPr>
          <w:p w14:paraId="2C6268CA">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0.0032</w:t>
            </w:r>
          </w:p>
        </w:tc>
      </w:tr>
      <w:tr w14:paraId="68511D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1E9842F4">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3000.0</w:t>
            </w:r>
          </w:p>
        </w:tc>
        <w:tc>
          <w:tcPr>
            <w:tcW w:w="1480" w:type="dxa"/>
            <w:tcBorders>
              <w:tl2br w:val="nil"/>
              <w:tr2bl w:val="nil"/>
            </w:tcBorders>
            <w:vAlign w:val="center"/>
          </w:tcPr>
          <w:p w14:paraId="1D95551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0.0730</w:t>
            </w:r>
          </w:p>
        </w:tc>
        <w:tc>
          <w:tcPr>
            <w:tcW w:w="1546" w:type="dxa"/>
            <w:tcBorders>
              <w:tl2br w:val="nil"/>
              <w:tr2bl w:val="nil"/>
            </w:tcBorders>
            <w:vAlign w:val="center"/>
          </w:tcPr>
          <w:p w14:paraId="71D047BC">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0.0081</w:t>
            </w:r>
          </w:p>
        </w:tc>
        <w:tc>
          <w:tcPr>
            <w:tcW w:w="1460" w:type="dxa"/>
            <w:tcBorders>
              <w:tl2br w:val="nil"/>
              <w:tr2bl w:val="nil"/>
            </w:tcBorders>
            <w:vAlign w:val="center"/>
          </w:tcPr>
          <w:p w14:paraId="3586C3B8">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1.6519</w:t>
            </w:r>
          </w:p>
        </w:tc>
        <w:tc>
          <w:tcPr>
            <w:tcW w:w="1563" w:type="dxa"/>
            <w:tcBorders>
              <w:tl2br w:val="nil"/>
              <w:tr2bl w:val="nil"/>
            </w:tcBorders>
            <w:vAlign w:val="center"/>
          </w:tcPr>
          <w:p w14:paraId="139834E4">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0.1835</w:t>
            </w:r>
          </w:p>
        </w:tc>
        <w:tc>
          <w:tcPr>
            <w:tcW w:w="1432" w:type="dxa"/>
            <w:tcBorders>
              <w:tl2br w:val="nil"/>
              <w:tr2bl w:val="nil"/>
            </w:tcBorders>
            <w:vAlign w:val="center"/>
          </w:tcPr>
          <w:p w14:paraId="28FEB0F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1.3565</w:t>
            </w:r>
          </w:p>
        </w:tc>
        <w:tc>
          <w:tcPr>
            <w:tcW w:w="1597" w:type="dxa"/>
            <w:tcBorders>
              <w:tl2br w:val="nil"/>
              <w:tr2bl w:val="nil"/>
            </w:tcBorders>
            <w:vAlign w:val="center"/>
          </w:tcPr>
          <w:p w14:paraId="440F36CE">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0.1507</w:t>
            </w:r>
          </w:p>
        </w:tc>
        <w:tc>
          <w:tcPr>
            <w:tcW w:w="1412" w:type="dxa"/>
            <w:tcBorders>
              <w:tl2br w:val="nil"/>
              <w:tr2bl w:val="nil"/>
            </w:tcBorders>
            <w:vAlign w:val="center"/>
          </w:tcPr>
          <w:p w14:paraId="3F052EB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0.0429</w:t>
            </w:r>
          </w:p>
        </w:tc>
        <w:tc>
          <w:tcPr>
            <w:tcW w:w="1616" w:type="dxa"/>
            <w:tcBorders>
              <w:tl2br w:val="nil"/>
              <w:tr2bl w:val="nil"/>
            </w:tcBorders>
            <w:vAlign w:val="center"/>
          </w:tcPr>
          <w:p w14:paraId="0FC1AB4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0.0021</w:t>
            </w:r>
          </w:p>
        </w:tc>
      </w:tr>
      <w:tr w14:paraId="1F7DC5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4B43194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4000.0</w:t>
            </w:r>
          </w:p>
        </w:tc>
        <w:tc>
          <w:tcPr>
            <w:tcW w:w="1480" w:type="dxa"/>
            <w:tcBorders>
              <w:tl2br w:val="nil"/>
              <w:tr2bl w:val="nil"/>
            </w:tcBorders>
            <w:vAlign w:val="center"/>
          </w:tcPr>
          <w:p w14:paraId="5A74F85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0.0575</w:t>
            </w:r>
          </w:p>
        </w:tc>
        <w:tc>
          <w:tcPr>
            <w:tcW w:w="1546" w:type="dxa"/>
            <w:tcBorders>
              <w:tl2br w:val="nil"/>
              <w:tr2bl w:val="nil"/>
            </w:tcBorders>
            <w:vAlign w:val="center"/>
          </w:tcPr>
          <w:p w14:paraId="4428A004">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0.0064</w:t>
            </w:r>
          </w:p>
        </w:tc>
        <w:tc>
          <w:tcPr>
            <w:tcW w:w="1460" w:type="dxa"/>
            <w:tcBorders>
              <w:tl2br w:val="nil"/>
              <w:tr2bl w:val="nil"/>
            </w:tcBorders>
            <w:vAlign w:val="center"/>
          </w:tcPr>
          <w:p w14:paraId="21FE7FCA">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1.2628</w:t>
            </w:r>
          </w:p>
        </w:tc>
        <w:tc>
          <w:tcPr>
            <w:tcW w:w="1563" w:type="dxa"/>
            <w:tcBorders>
              <w:tl2br w:val="nil"/>
              <w:tr2bl w:val="nil"/>
            </w:tcBorders>
            <w:vAlign w:val="center"/>
          </w:tcPr>
          <w:p w14:paraId="4F15A67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0.1403</w:t>
            </w:r>
          </w:p>
        </w:tc>
        <w:tc>
          <w:tcPr>
            <w:tcW w:w="1432" w:type="dxa"/>
            <w:tcBorders>
              <w:tl2br w:val="nil"/>
              <w:tr2bl w:val="nil"/>
            </w:tcBorders>
            <w:vAlign w:val="center"/>
          </w:tcPr>
          <w:p w14:paraId="5EC1262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1.1083</w:t>
            </w:r>
          </w:p>
        </w:tc>
        <w:tc>
          <w:tcPr>
            <w:tcW w:w="1597" w:type="dxa"/>
            <w:tcBorders>
              <w:tl2br w:val="nil"/>
              <w:tr2bl w:val="nil"/>
            </w:tcBorders>
            <w:vAlign w:val="center"/>
          </w:tcPr>
          <w:p w14:paraId="03238C3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0.1231</w:t>
            </w:r>
          </w:p>
        </w:tc>
        <w:tc>
          <w:tcPr>
            <w:tcW w:w="1412" w:type="dxa"/>
            <w:tcBorders>
              <w:tl2br w:val="nil"/>
              <w:tr2bl w:val="nil"/>
            </w:tcBorders>
            <w:vAlign w:val="center"/>
          </w:tcPr>
          <w:p w14:paraId="39AE2D91">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0.0319</w:t>
            </w:r>
          </w:p>
        </w:tc>
        <w:tc>
          <w:tcPr>
            <w:tcW w:w="1616" w:type="dxa"/>
            <w:tcBorders>
              <w:tl2br w:val="nil"/>
              <w:tr2bl w:val="nil"/>
            </w:tcBorders>
            <w:vAlign w:val="center"/>
          </w:tcPr>
          <w:p w14:paraId="608B441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0.0016</w:t>
            </w:r>
          </w:p>
        </w:tc>
      </w:tr>
      <w:tr w14:paraId="463CC6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64E6FA8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5000.0</w:t>
            </w:r>
          </w:p>
        </w:tc>
        <w:tc>
          <w:tcPr>
            <w:tcW w:w="1480" w:type="dxa"/>
            <w:tcBorders>
              <w:tl2br w:val="nil"/>
              <w:tr2bl w:val="nil"/>
            </w:tcBorders>
            <w:vAlign w:val="center"/>
          </w:tcPr>
          <w:p w14:paraId="3F0EC24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0.0471</w:t>
            </w:r>
          </w:p>
        </w:tc>
        <w:tc>
          <w:tcPr>
            <w:tcW w:w="1546" w:type="dxa"/>
            <w:tcBorders>
              <w:tl2br w:val="nil"/>
              <w:tr2bl w:val="nil"/>
            </w:tcBorders>
            <w:vAlign w:val="center"/>
          </w:tcPr>
          <w:p w14:paraId="5E340EC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0.0052</w:t>
            </w:r>
          </w:p>
        </w:tc>
        <w:tc>
          <w:tcPr>
            <w:tcW w:w="1460" w:type="dxa"/>
            <w:tcBorders>
              <w:tl2br w:val="nil"/>
              <w:tr2bl w:val="nil"/>
            </w:tcBorders>
            <w:vAlign w:val="center"/>
          </w:tcPr>
          <w:p w14:paraId="73E8E6A5">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1.0117</w:t>
            </w:r>
          </w:p>
        </w:tc>
        <w:tc>
          <w:tcPr>
            <w:tcW w:w="1563" w:type="dxa"/>
            <w:tcBorders>
              <w:tl2br w:val="nil"/>
              <w:tr2bl w:val="nil"/>
            </w:tcBorders>
            <w:vAlign w:val="center"/>
          </w:tcPr>
          <w:p w14:paraId="6855B251">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0.1124</w:t>
            </w:r>
          </w:p>
        </w:tc>
        <w:tc>
          <w:tcPr>
            <w:tcW w:w="1432" w:type="dxa"/>
            <w:tcBorders>
              <w:tl2br w:val="nil"/>
              <w:tr2bl w:val="nil"/>
            </w:tcBorders>
            <w:vAlign w:val="center"/>
          </w:tcPr>
          <w:p w14:paraId="5D45A4E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0.9477</w:t>
            </w:r>
          </w:p>
        </w:tc>
        <w:tc>
          <w:tcPr>
            <w:tcW w:w="1597" w:type="dxa"/>
            <w:tcBorders>
              <w:tl2br w:val="nil"/>
              <w:tr2bl w:val="nil"/>
            </w:tcBorders>
            <w:vAlign w:val="center"/>
          </w:tcPr>
          <w:p w14:paraId="36817A0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0.1053</w:t>
            </w:r>
          </w:p>
        </w:tc>
        <w:tc>
          <w:tcPr>
            <w:tcW w:w="1412" w:type="dxa"/>
            <w:tcBorders>
              <w:tl2br w:val="nil"/>
              <w:tr2bl w:val="nil"/>
            </w:tcBorders>
            <w:vAlign w:val="center"/>
          </w:tcPr>
          <w:p w14:paraId="376D7CF2">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0.0250</w:t>
            </w:r>
          </w:p>
        </w:tc>
        <w:tc>
          <w:tcPr>
            <w:tcW w:w="1616" w:type="dxa"/>
            <w:tcBorders>
              <w:tl2br w:val="nil"/>
              <w:tr2bl w:val="nil"/>
            </w:tcBorders>
            <w:vAlign w:val="center"/>
          </w:tcPr>
          <w:p w14:paraId="373FD85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0.0013</w:t>
            </w:r>
          </w:p>
        </w:tc>
      </w:tr>
      <w:tr w14:paraId="008964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5292A25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下风向最大浓度及占标率</w:t>
            </w:r>
          </w:p>
        </w:tc>
        <w:tc>
          <w:tcPr>
            <w:tcW w:w="1480" w:type="dxa"/>
            <w:tcBorders>
              <w:tl2br w:val="nil"/>
              <w:tr2bl w:val="nil"/>
            </w:tcBorders>
            <w:vAlign w:val="center"/>
          </w:tcPr>
          <w:p w14:paraId="601C625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0.6617</w:t>
            </w:r>
          </w:p>
        </w:tc>
        <w:tc>
          <w:tcPr>
            <w:tcW w:w="1546" w:type="dxa"/>
            <w:tcBorders>
              <w:tl2br w:val="nil"/>
              <w:tr2bl w:val="nil"/>
            </w:tcBorders>
            <w:vAlign w:val="center"/>
          </w:tcPr>
          <w:p w14:paraId="1D1343B1">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0.0735</w:t>
            </w:r>
          </w:p>
        </w:tc>
        <w:tc>
          <w:tcPr>
            <w:tcW w:w="1460" w:type="dxa"/>
            <w:tcBorders>
              <w:tl2br w:val="nil"/>
              <w:tr2bl w:val="nil"/>
            </w:tcBorders>
            <w:vAlign w:val="center"/>
          </w:tcPr>
          <w:p w14:paraId="4AB8B82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75.4710</w:t>
            </w:r>
          </w:p>
        </w:tc>
        <w:tc>
          <w:tcPr>
            <w:tcW w:w="1563" w:type="dxa"/>
            <w:tcBorders>
              <w:tl2br w:val="nil"/>
              <w:tr2bl w:val="nil"/>
            </w:tcBorders>
            <w:vAlign w:val="center"/>
          </w:tcPr>
          <w:p w14:paraId="677FBBC7">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8.3857</w:t>
            </w:r>
          </w:p>
        </w:tc>
        <w:tc>
          <w:tcPr>
            <w:tcW w:w="1432" w:type="dxa"/>
            <w:tcBorders>
              <w:tl2br w:val="nil"/>
              <w:tr2bl w:val="nil"/>
            </w:tcBorders>
            <w:vAlign w:val="center"/>
          </w:tcPr>
          <w:p w14:paraId="0F689FD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84.9260</w:t>
            </w:r>
          </w:p>
        </w:tc>
        <w:tc>
          <w:tcPr>
            <w:tcW w:w="1597" w:type="dxa"/>
            <w:tcBorders>
              <w:tl2br w:val="nil"/>
              <w:tr2bl w:val="nil"/>
            </w:tcBorders>
            <w:vAlign w:val="center"/>
          </w:tcPr>
          <w:p w14:paraId="31517B36">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9.4362</w:t>
            </w:r>
          </w:p>
        </w:tc>
        <w:tc>
          <w:tcPr>
            <w:tcW w:w="1412" w:type="dxa"/>
            <w:tcBorders>
              <w:tl2br w:val="nil"/>
              <w:tr2bl w:val="nil"/>
            </w:tcBorders>
            <w:vAlign w:val="center"/>
          </w:tcPr>
          <w:p w14:paraId="3A363CF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2.1333</w:t>
            </w:r>
          </w:p>
        </w:tc>
        <w:tc>
          <w:tcPr>
            <w:tcW w:w="1616" w:type="dxa"/>
            <w:tcBorders>
              <w:tl2br w:val="nil"/>
              <w:tr2bl w:val="nil"/>
            </w:tcBorders>
            <w:vAlign w:val="center"/>
          </w:tcPr>
          <w:p w14:paraId="6FAA4BA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0.1067</w:t>
            </w:r>
          </w:p>
        </w:tc>
      </w:tr>
      <w:tr w14:paraId="799BC2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tcMar>
              <w:left w:w="0" w:type="dxa"/>
              <w:right w:w="0" w:type="dxa"/>
            </w:tcMar>
            <w:vAlign w:val="center"/>
          </w:tcPr>
          <w:p w14:paraId="5DAF47C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下风向最大浓度出现距离</w:t>
            </w:r>
          </w:p>
        </w:tc>
        <w:tc>
          <w:tcPr>
            <w:tcW w:w="1480" w:type="dxa"/>
            <w:tcBorders>
              <w:tl2br w:val="nil"/>
              <w:tr2bl w:val="nil"/>
            </w:tcBorders>
            <w:vAlign w:val="center"/>
          </w:tcPr>
          <w:p w14:paraId="05FFAA6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65.0</w:t>
            </w:r>
          </w:p>
        </w:tc>
        <w:tc>
          <w:tcPr>
            <w:tcW w:w="1546" w:type="dxa"/>
            <w:tcBorders>
              <w:tl2br w:val="nil"/>
              <w:tr2bl w:val="nil"/>
            </w:tcBorders>
            <w:vAlign w:val="center"/>
          </w:tcPr>
          <w:p w14:paraId="6B187D73">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65.0</w:t>
            </w:r>
          </w:p>
        </w:tc>
        <w:tc>
          <w:tcPr>
            <w:tcW w:w="1460" w:type="dxa"/>
            <w:tcBorders>
              <w:tl2br w:val="nil"/>
              <w:tr2bl w:val="nil"/>
            </w:tcBorders>
            <w:vAlign w:val="center"/>
          </w:tcPr>
          <w:p w14:paraId="51897304">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c>
          <w:tcPr>
            <w:tcW w:w="1563" w:type="dxa"/>
            <w:tcBorders>
              <w:tl2br w:val="nil"/>
              <w:tr2bl w:val="nil"/>
            </w:tcBorders>
            <w:vAlign w:val="center"/>
          </w:tcPr>
          <w:p w14:paraId="18BE4179">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c>
          <w:tcPr>
            <w:tcW w:w="1432" w:type="dxa"/>
            <w:tcBorders>
              <w:tl2br w:val="nil"/>
              <w:tr2bl w:val="nil"/>
            </w:tcBorders>
            <w:vAlign w:val="center"/>
          </w:tcPr>
          <w:p w14:paraId="46372E20">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w:t>
            </w:r>
          </w:p>
        </w:tc>
        <w:tc>
          <w:tcPr>
            <w:tcW w:w="1597" w:type="dxa"/>
            <w:tcBorders>
              <w:tl2br w:val="nil"/>
              <w:tr2bl w:val="nil"/>
            </w:tcBorders>
            <w:vAlign w:val="center"/>
          </w:tcPr>
          <w:p w14:paraId="19818928">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w:t>
            </w:r>
          </w:p>
        </w:tc>
        <w:tc>
          <w:tcPr>
            <w:tcW w:w="1412" w:type="dxa"/>
            <w:tcBorders>
              <w:tl2br w:val="nil"/>
              <w:tr2bl w:val="nil"/>
            </w:tcBorders>
            <w:vAlign w:val="center"/>
          </w:tcPr>
          <w:p w14:paraId="056332DD">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1616" w:type="dxa"/>
            <w:tcBorders>
              <w:tl2br w:val="nil"/>
              <w:tr2bl w:val="nil"/>
            </w:tcBorders>
            <w:vAlign w:val="center"/>
          </w:tcPr>
          <w:p w14:paraId="77827C4B">
            <w:pPr>
              <w:widowControl/>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r>
      <w:tr w14:paraId="54CCE9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729" w:type="pct"/>
            <w:tcBorders>
              <w:tl2br w:val="nil"/>
              <w:tr2bl w:val="nil"/>
            </w:tcBorders>
            <w:shd w:val="clear" w:color="auto" w:fill="auto"/>
            <w:tcMar>
              <w:left w:w="0" w:type="dxa"/>
              <w:right w:w="0" w:type="dxa"/>
            </w:tcMar>
            <w:vAlign w:val="center"/>
          </w:tcPr>
          <w:p w14:paraId="17AEECE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评价等级</w:t>
            </w:r>
          </w:p>
        </w:tc>
        <w:tc>
          <w:tcPr>
            <w:tcW w:w="1067" w:type="pct"/>
            <w:gridSpan w:val="2"/>
            <w:tcBorders>
              <w:tl2br w:val="nil"/>
              <w:tr2bl w:val="nil"/>
            </w:tcBorders>
            <w:shd w:val="clear" w:color="auto" w:fill="auto"/>
            <w:vAlign w:val="center"/>
          </w:tcPr>
          <w:p w14:paraId="3FBC7220">
            <w:pPr>
              <w:jc w:val="center"/>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szCs w:val="21"/>
                <w:highlight w:val="none"/>
                <w:lang w:val="en-US" w:eastAsia="zh-CN"/>
              </w:rPr>
              <w:t>三</w:t>
            </w:r>
            <w:r>
              <w:rPr>
                <w:rFonts w:hint="default" w:ascii="Times New Roman" w:hAnsi="Times New Roman" w:cs="Times New Roman"/>
                <w:snapToGrid w:val="0"/>
                <w:color w:val="auto"/>
                <w:szCs w:val="21"/>
                <w:highlight w:val="none"/>
              </w:rPr>
              <w:t>级</w:t>
            </w:r>
          </w:p>
        </w:tc>
        <w:tc>
          <w:tcPr>
            <w:tcW w:w="1066" w:type="pct"/>
            <w:gridSpan w:val="2"/>
            <w:tcBorders>
              <w:tl2br w:val="nil"/>
              <w:tr2bl w:val="nil"/>
            </w:tcBorders>
            <w:vAlign w:val="center"/>
          </w:tcPr>
          <w:p w14:paraId="00BD19E4">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二级</w:t>
            </w:r>
          </w:p>
        </w:tc>
        <w:tc>
          <w:tcPr>
            <w:tcW w:w="1068" w:type="pct"/>
            <w:gridSpan w:val="2"/>
            <w:tcBorders>
              <w:tl2br w:val="nil"/>
              <w:tr2bl w:val="nil"/>
            </w:tcBorders>
            <w:vAlign w:val="center"/>
          </w:tcPr>
          <w:p w14:paraId="5CDF5154">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二级</w:t>
            </w:r>
          </w:p>
        </w:tc>
        <w:tc>
          <w:tcPr>
            <w:tcW w:w="1068" w:type="pct"/>
            <w:gridSpan w:val="2"/>
            <w:tcBorders>
              <w:tl2br w:val="nil"/>
              <w:tr2bl w:val="nil"/>
            </w:tcBorders>
            <w:vAlign w:val="center"/>
          </w:tcPr>
          <w:p w14:paraId="7681E44E">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三</w:t>
            </w:r>
            <w:r>
              <w:rPr>
                <w:rFonts w:hint="default" w:ascii="Times New Roman" w:hAnsi="Times New Roman" w:cs="Times New Roman"/>
                <w:color w:val="auto"/>
                <w:kern w:val="0"/>
                <w:szCs w:val="21"/>
                <w:highlight w:val="none"/>
              </w:rPr>
              <w:t>级</w:t>
            </w:r>
          </w:p>
        </w:tc>
      </w:tr>
    </w:tbl>
    <w:p w14:paraId="508A6A97">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w:t>
      </w:r>
      <w:r>
        <w:rPr>
          <w:rFonts w:hint="default" w:ascii="Times New Roman" w:hAnsi="Times New Roman" w:eastAsia="黑体" w:cs="Times New Roman"/>
          <w:color w:val="auto"/>
          <w:kern w:val="0"/>
          <w:sz w:val="24"/>
          <w:szCs w:val="20"/>
          <w:highlight w:val="none"/>
          <w:lang w:val="en-US" w:eastAsia="zh-CN"/>
        </w:rPr>
        <w:t>20</w:t>
      </w:r>
      <w:r>
        <w:rPr>
          <w:rFonts w:hint="default" w:ascii="Times New Roman" w:hAnsi="Times New Roman" w:eastAsia="黑体" w:cs="Times New Roman"/>
          <w:color w:val="auto"/>
          <w:kern w:val="0"/>
          <w:sz w:val="24"/>
          <w:szCs w:val="20"/>
          <w:highlight w:val="none"/>
        </w:rPr>
        <w:t xml:space="preserve"> 估算模式计算结果一览表（面源）</w:t>
      </w:r>
    </w:p>
    <w:tbl>
      <w:tblPr>
        <w:tblStyle w:val="30"/>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339"/>
        <w:gridCol w:w="1460"/>
        <w:gridCol w:w="1468"/>
        <w:gridCol w:w="1460"/>
        <w:gridCol w:w="1468"/>
        <w:gridCol w:w="1460"/>
        <w:gridCol w:w="1474"/>
        <w:gridCol w:w="1460"/>
        <w:gridCol w:w="1474"/>
      </w:tblGrid>
      <w:tr w14:paraId="612FAA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32" w:type="pct"/>
            <w:vMerge w:val="restart"/>
            <w:tcBorders>
              <w:tl2br w:val="nil"/>
              <w:tr2bl w:val="nil"/>
            </w:tcBorders>
            <w:tcMar>
              <w:left w:w="0" w:type="dxa"/>
              <w:right w:w="0" w:type="dxa"/>
            </w:tcMar>
            <w:vAlign w:val="center"/>
          </w:tcPr>
          <w:p w14:paraId="634B4A1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距源中心下风向距离D(m)</w:t>
            </w:r>
          </w:p>
        </w:tc>
        <w:tc>
          <w:tcPr>
            <w:tcW w:w="3124" w:type="pct"/>
            <w:gridSpan w:val="6"/>
            <w:tcBorders>
              <w:tl2br w:val="nil"/>
              <w:tr2bl w:val="nil"/>
            </w:tcBorders>
            <w:vAlign w:val="center"/>
          </w:tcPr>
          <w:p w14:paraId="637DD13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搅拌罐</w:t>
            </w:r>
          </w:p>
        </w:tc>
        <w:tc>
          <w:tcPr>
            <w:tcW w:w="1043" w:type="pct"/>
            <w:gridSpan w:val="2"/>
            <w:tcBorders>
              <w:tl2br w:val="nil"/>
              <w:tr2bl w:val="nil"/>
            </w:tcBorders>
            <w:vAlign w:val="center"/>
          </w:tcPr>
          <w:p w14:paraId="53E0D60D">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柴油储罐</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10</w:t>
            </w:r>
            <w:r>
              <w:rPr>
                <w:rFonts w:hint="default" w:ascii="Times New Roman" w:hAnsi="Times New Roman" w:cs="Times New Roman"/>
                <w:color w:val="auto"/>
                <w:kern w:val="0"/>
                <w:szCs w:val="21"/>
                <w:highlight w:val="none"/>
                <w:lang w:eastAsia="zh-CN"/>
              </w:rPr>
              <w:t>）</w:t>
            </w:r>
          </w:p>
        </w:tc>
      </w:tr>
      <w:tr w14:paraId="1AA66E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832" w:type="pct"/>
            <w:vMerge w:val="continue"/>
            <w:tcBorders>
              <w:tl2br w:val="nil"/>
              <w:tr2bl w:val="nil"/>
            </w:tcBorders>
            <w:tcMar>
              <w:left w:w="0" w:type="dxa"/>
              <w:right w:w="0" w:type="dxa"/>
            </w:tcMar>
            <w:vAlign w:val="center"/>
          </w:tcPr>
          <w:p w14:paraId="6547B0D3">
            <w:pPr>
              <w:adjustRightInd w:val="0"/>
              <w:snapToGrid w:val="0"/>
              <w:jc w:val="center"/>
              <w:rPr>
                <w:rFonts w:hint="default" w:ascii="Times New Roman" w:hAnsi="Times New Roman" w:cs="Times New Roman"/>
                <w:color w:val="auto"/>
                <w:kern w:val="0"/>
                <w:szCs w:val="21"/>
                <w:highlight w:val="none"/>
              </w:rPr>
            </w:pPr>
          </w:p>
        </w:tc>
        <w:tc>
          <w:tcPr>
            <w:tcW w:w="1041" w:type="pct"/>
            <w:gridSpan w:val="2"/>
            <w:tcBorders>
              <w:tl2br w:val="nil"/>
              <w:tr2bl w:val="nil"/>
            </w:tcBorders>
          </w:tcPr>
          <w:p w14:paraId="3D9EBD5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沥青烟</w:t>
            </w:r>
          </w:p>
        </w:tc>
        <w:tc>
          <w:tcPr>
            <w:tcW w:w="1041" w:type="pct"/>
            <w:gridSpan w:val="2"/>
            <w:tcBorders>
              <w:right w:val="single" w:color="auto" w:sz="4" w:space="0"/>
              <w:tl2br w:val="nil"/>
              <w:tr2bl w:val="nil"/>
            </w:tcBorders>
          </w:tcPr>
          <w:p w14:paraId="4F34E36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苯并[a]芘</w:t>
            </w:r>
          </w:p>
        </w:tc>
        <w:tc>
          <w:tcPr>
            <w:tcW w:w="1042" w:type="pct"/>
            <w:gridSpan w:val="2"/>
            <w:tcBorders>
              <w:left w:val="single" w:color="auto" w:sz="4" w:space="0"/>
              <w:tl2br w:val="nil"/>
              <w:tr2bl w:val="nil"/>
            </w:tcBorders>
          </w:tcPr>
          <w:p w14:paraId="23055E4A">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NMHC</w:t>
            </w:r>
          </w:p>
        </w:tc>
        <w:tc>
          <w:tcPr>
            <w:tcW w:w="1043" w:type="pct"/>
            <w:gridSpan w:val="2"/>
            <w:tcBorders>
              <w:tl2br w:val="nil"/>
              <w:tr2bl w:val="nil"/>
            </w:tcBorders>
          </w:tcPr>
          <w:p w14:paraId="37978F0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非甲烷总烃</w:t>
            </w:r>
          </w:p>
        </w:tc>
      </w:tr>
      <w:tr w14:paraId="4C36EE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832" w:type="pct"/>
            <w:vMerge w:val="continue"/>
            <w:tcBorders>
              <w:tl2br w:val="nil"/>
              <w:tr2bl w:val="nil"/>
            </w:tcBorders>
            <w:tcMar>
              <w:left w:w="0" w:type="dxa"/>
              <w:right w:w="0" w:type="dxa"/>
            </w:tcMar>
            <w:vAlign w:val="center"/>
          </w:tcPr>
          <w:p w14:paraId="147FCC37">
            <w:pPr>
              <w:adjustRightInd w:val="0"/>
              <w:snapToGrid w:val="0"/>
              <w:jc w:val="center"/>
              <w:rPr>
                <w:rFonts w:hint="default" w:ascii="Times New Roman" w:hAnsi="Times New Roman" w:cs="Times New Roman"/>
                <w:color w:val="auto"/>
                <w:kern w:val="0"/>
                <w:szCs w:val="21"/>
                <w:highlight w:val="none"/>
              </w:rPr>
            </w:pPr>
          </w:p>
        </w:tc>
        <w:tc>
          <w:tcPr>
            <w:tcW w:w="519" w:type="pct"/>
            <w:tcBorders>
              <w:tl2br w:val="nil"/>
              <w:tr2bl w:val="nil"/>
            </w:tcBorders>
            <w:vAlign w:val="center"/>
          </w:tcPr>
          <w:p w14:paraId="3E15643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预测浓度(μg/m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p>
        </w:tc>
        <w:tc>
          <w:tcPr>
            <w:tcW w:w="521" w:type="pct"/>
            <w:tcBorders>
              <w:tl2br w:val="nil"/>
              <w:tr2bl w:val="nil"/>
            </w:tcBorders>
            <w:vAlign w:val="center"/>
          </w:tcPr>
          <w:p w14:paraId="6A69055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占标率(%)</w:t>
            </w:r>
          </w:p>
        </w:tc>
        <w:tc>
          <w:tcPr>
            <w:tcW w:w="519" w:type="pct"/>
            <w:tcBorders>
              <w:tl2br w:val="nil"/>
              <w:tr2bl w:val="nil"/>
            </w:tcBorders>
            <w:vAlign w:val="center"/>
          </w:tcPr>
          <w:p w14:paraId="704E152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预测浓度 (μg/m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p>
        </w:tc>
        <w:tc>
          <w:tcPr>
            <w:tcW w:w="521" w:type="pct"/>
            <w:tcBorders>
              <w:right w:val="single" w:color="auto" w:sz="4" w:space="0"/>
              <w:tl2br w:val="nil"/>
              <w:tr2bl w:val="nil"/>
            </w:tcBorders>
            <w:vAlign w:val="center"/>
          </w:tcPr>
          <w:p w14:paraId="17798CF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占标率(%)</w:t>
            </w:r>
          </w:p>
        </w:tc>
        <w:tc>
          <w:tcPr>
            <w:tcW w:w="519" w:type="pct"/>
            <w:tcBorders>
              <w:left w:val="single" w:color="auto" w:sz="4" w:space="0"/>
              <w:right w:val="single" w:color="auto" w:sz="4" w:space="0"/>
              <w:tl2br w:val="nil"/>
              <w:tr2bl w:val="nil"/>
            </w:tcBorders>
            <w:vAlign w:val="center"/>
          </w:tcPr>
          <w:p w14:paraId="1932E64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预测浓度 (μg/m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p>
        </w:tc>
        <w:tc>
          <w:tcPr>
            <w:tcW w:w="522" w:type="pct"/>
            <w:tcBorders>
              <w:left w:val="single" w:color="auto" w:sz="4" w:space="0"/>
              <w:tl2br w:val="nil"/>
              <w:tr2bl w:val="nil"/>
            </w:tcBorders>
            <w:vAlign w:val="center"/>
          </w:tcPr>
          <w:p w14:paraId="3803E4D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占标率(%)</w:t>
            </w:r>
          </w:p>
        </w:tc>
        <w:tc>
          <w:tcPr>
            <w:tcW w:w="519" w:type="pct"/>
            <w:tcBorders>
              <w:tl2br w:val="nil"/>
              <w:tr2bl w:val="nil"/>
            </w:tcBorders>
            <w:vAlign w:val="center"/>
          </w:tcPr>
          <w:p w14:paraId="4422A71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预测浓度 (μg/m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p>
        </w:tc>
        <w:tc>
          <w:tcPr>
            <w:tcW w:w="523" w:type="pct"/>
            <w:tcBorders>
              <w:tl2br w:val="nil"/>
              <w:tr2bl w:val="nil"/>
            </w:tcBorders>
            <w:vAlign w:val="center"/>
          </w:tcPr>
          <w:p w14:paraId="512EF46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占标率(%)</w:t>
            </w:r>
          </w:p>
        </w:tc>
      </w:tr>
      <w:tr w14:paraId="078893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9" w:hRule="atLeast"/>
          <w:jc w:val="center"/>
        </w:trPr>
        <w:tc>
          <w:tcPr>
            <w:tcW w:w="832" w:type="pct"/>
            <w:tcBorders>
              <w:tl2br w:val="nil"/>
              <w:tr2bl w:val="nil"/>
            </w:tcBorders>
            <w:tcMar>
              <w:left w:w="0" w:type="dxa"/>
              <w:right w:w="0" w:type="dxa"/>
            </w:tcMar>
            <w:vAlign w:val="center"/>
          </w:tcPr>
          <w:p w14:paraId="62702A8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50.0</w:t>
            </w:r>
          </w:p>
        </w:tc>
        <w:tc>
          <w:tcPr>
            <w:tcW w:w="519" w:type="pct"/>
            <w:tcBorders>
              <w:tl2br w:val="nil"/>
              <w:tr2bl w:val="nil"/>
            </w:tcBorders>
            <w:vAlign w:val="center"/>
          </w:tcPr>
          <w:p w14:paraId="27172C7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3.0926</w:t>
            </w:r>
          </w:p>
        </w:tc>
        <w:tc>
          <w:tcPr>
            <w:tcW w:w="521" w:type="pct"/>
            <w:tcBorders>
              <w:tl2br w:val="nil"/>
              <w:tr2bl w:val="nil"/>
            </w:tcBorders>
            <w:vAlign w:val="center"/>
          </w:tcPr>
          <w:p w14:paraId="3AE9B6D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4.8549</w:t>
            </w:r>
          </w:p>
        </w:tc>
        <w:tc>
          <w:tcPr>
            <w:tcW w:w="519" w:type="pct"/>
            <w:tcBorders>
              <w:tl2br w:val="nil"/>
              <w:tr2bl w:val="nil"/>
            </w:tcBorders>
            <w:vAlign w:val="center"/>
          </w:tcPr>
          <w:p w14:paraId="0800FA1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0.000055</w:t>
            </w:r>
          </w:p>
        </w:tc>
        <w:tc>
          <w:tcPr>
            <w:tcW w:w="521" w:type="pct"/>
            <w:tcBorders>
              <w:right w:val="single" w:color="auto" w:sz="4" w:space="0"/>
              <w:tl2br w:val="nil"/>
              <w:tr2bl w:val="nil"/>
            </w:tcBorders>
            <w:vAlign w:val="center"/>
          </w:tcPr>
          <w:p w14:paraId="3DBF23D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0.7390</w:t>
            </w:r>
          </w:p>
        </w:tc>
        <w:tc>
          <w:tcPr>
            <w:tcW w:w="519" w:type="pct"/>
            <w:tcBorders>
              <w:left w:val="single" w:color="auto" w:sz="4" w:space="0"/>
              <w:right w:val="single" w:color="auto" w:sz="4" w:space="0"/>
              <w:tl2br w:val="nil"/>
              <w:tr2bl w:val="nil"/>
            </w:tcBorders>
            <w:vAlign w:val="center"/>
          </w:tcPr>
          <w:p w14:paraId="3F5D45D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0.0166</w:t>
            </w:r>
          </w:p>
        </w:tc>
        <w:tc>
          <w:tcPr>
            <w:tcW w:w="522" w:type="pct"/>
            <w:tcBorders>
              <w:left w:val="single" w:color="auto" w:sz="4" w:space="0"/>
              <w:tl2br w:val="nil"/>
              <w:tr2bl w:val="nil"/>
            </w:tcBorders>
            <w:vAlign w:val="center"/>
          </w:tcPr>
          <w:p w14:paraId="061F80A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0.0008</w:t>
            </w:r>
          </w:p>
        </w:tc>
        <w:tc>
          <w:tcPr>
            <w:tcW w:w="519" w:type="pct"/>
            <w:tcBorders>
              <w:tl2br w:val="nil"/>
              <w:tr2bl w:val="nil"/>
            </w:tcBorders>
            <w:vAlign w:val="center"/>
          </w:tcPr>
          <w:p w14:paraId="35251A0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0.3143</w:t>
            </w:r>
          </w:p>
        </w:tc>
        <w:tc>
          <w:tcPr>
            <w:tcW w:w="523" w:type="pct"/>
            <w:tcBorders>
              <w:tl2br w:val="nil"/>
              <w:tr2bl w:val="nil"/>
            </w:tcBorders>
            <w:vAlign w:val="center"/>
          </w:tcPr>
          <w:p w14:paraId="1D34BD3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0.0157</w:t>
            </w:r>
          </w:p>
        </w:tc>
      </w:tr>
      <w:tr w14:paraId="0FF7C2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3" w:hRule="atLeast"/>
          <w:jc w:val="center"/>
        </w:trPr>
        <w:tc>
          <w:tcPr>
            <w:tcW w:w="832" w:type="pct"/>
            <w:tcBorders>
              <w:tl2br w:val="nil"/>
              <w:tr2bl w:val="nil"/>
            </w:tcBorders>
            <w:tcMar>
              <w:left w:w="0" w:type="dxa"/>
              <w:right w:w="0" w:type="dxa"/>
            </w:tcMar>
            <w:vAlign w:val="center"/>
          </w:tcPr>
          <w:p w14:paraId="38870F0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100.0</w:t>
            </w:r>
          </w:p>
        </w:tc>
        <w:tc>
          <w:tcPr>
            <w:tcW w:w="519" w:type="pct"/>
            <w:tcBorders>
              <w:tl2br w:val="nil"/>
              <w:tr2bl w:val="nil"/>
            </w:tcBorders>
            <w:vAlign w:val="center"/>
          </w:tcPr>
          <w:p w14:paraId="5EFC5AC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2.8274</w:t>
            </w:r>
          </w:p>
        </w:tc>
        <w:tc>
          <w:tcPr>
            <w:tcW w:w="521" w:type="pct"/>
            <w:tcBorders>
              <w:tl2br w:val="nil"/>
              <w:tr2bl w:val="nil"/>
            </w:tcBorders>
            <w:vAlign w:val="center"/>
          </w:tcPr>
          <w:p w14:paraId="4F9092A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4.4386</w:t>
            </w:r>
          </w:p>
        </w:tc>
        <w:tc>
          <w:tcPr>
            <w:tcW w:w="519" w:type="pct"/>
            <w:tcBorders>
              <w:tl2br w:val="nil"/>
              <w:tr2bl w:val="nil"/>
            </w:tcBorders>
            <w:vAlign w:val="center"/>
          </w:tcPr>
          <w:p w14:paraId="34E06C9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0.000051</w:t>
            </w:r>
          </w:p>
        </w:tc>
        <w:tc>
          <w:tcPr>
            <w:tcW w:w="521" w:type="pct"/>
            <w:tcBorders>
              <w:right w:val="single" w:color="auto" w:sz="4" w:space="0"/>
              <w:tl2br w:val="nil"/>
              <w:tr2bl w:val="nil"/>
            </w:tcBorders>
            <w:vAlign w:val="center"/>
          </w:tcPr>
          <w:p w14:paraId="0BE5E60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0.6756</w:t>
            </w:r>
          </w:p>
        </w:tc>
        <w:tc>
          <w:tcPr>
            <w:tcW w:w="519" w:type="pct"/>
            <w:tcBorders>
              <w:left w:val="single" w:color="auto" w:sz="4" w:space="0"/>
              <w:right w:val="single" w:color="auto" w:sz="4" w:space="0"/>
              <w:tl2br w:val="nil"/>
              <w:tr2bl w:val="nil"/>
            </w:tcBorders>
            <w:vAlign w:val="center"/>
          </w:tcPr>
          <w:p w14:paraId="0EFA566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0.0152</w:t>
            </w:r>
          </w:p>
        </w:tc>
        <w:tc>
          <w:tcPr>
            <w:tcW w:w="522" w:type="pct"/>
            <w:tcBorders>
              <w:left w:val="single" w:color="auto" w:sz="4" w:space="0"/>
              <w:tl2br w:val="nil"/>
              <w:tr2bl w:val="nil"/>
            </w:tcBorders>
            <w:vAlign w:val="center"/>
          </w:tcPr>
          <w:p w14:paraId="2E03C2A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0.0008</w:t>
            </w:r>
          </w:p>
        </w:tc>
        <w:tc>
          <w:tcPr>
            <w:tcW w:w="519" w:type="pct"/>
            <w:tcBorders>
              <w:tl2br w:val="nil"/>
              <w:tr2bl w:val="nil"/>
            </w:tcBorders>
            <w:vAlign w:val="center"/>
          </w:tcPr>
          <w:p w14:paraId="4F78337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0.2250</w:t>
            </w:r>
          </w:p>
        </w:tc>
        <w:tc>
          <w:tcPr>
            <w:tcW w:w="523" w:type="pct"/>
            <w:tcBorders>
              <w:tl2br w:val="nil"/>
              <w:tr2bl w:val="nil"/>
            </w:tcBorders>
            <w:vAlign w:val="center"/>
          </w:tcPr>
          <w:p w14:paraId="5069C47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0.0113</w:t>
            </w:r>
          </w:p>
        </w:tc>
      </w:tr>
      <w:tr w14:paraId="0CAB5F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36271E4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519" w:type="pct"/>
            <w:tcBorders>
              <w:tl2br w:val="nil"/>
              <w:tr2bl w:val="nil"/>
            </w:tcBorders>
            <w:vAlign w:val="center"/>
          </w:tcPr>
          <w:p w14:paraId="2752AA3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1.7116</w:t>
            </w:r>
          </w:p>
        </w:tc>
        <w:tc>
          <w:tcPr>
            <w:tcW w:w="521" w:type="pct"/>
            <w:tcBorders>
              <w:tl2br w:val="nil"/>
              <w:tr2bl w:val="nil"/>
            </w:tcBorders>
            <w:vAlign w:val="center"/>
          </w:tcPr>
          <w:p w14:paraId="488679B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2.6870</w:t>
            </w:r>
          </w:p>
        </w:tc>
        <w:tc>
          <w:tcPr>
            <w:tcW w:w="519" w:type="pct"/>
            <w:tcBorders>
              <w:tl2br w:val="nil"/>
              <w:tr2bl w:val="nil"/>
            </w:tcBorders>
            <w:vAlign w:val="center"/>
          </w:tcPr>
          <w:p w14:paraId="76F78AA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0.000031</w:t>
            </w:r>
          </w:p>
        </w:tc>
        <w:tc>
          <w:tcPr>
            <w:tcW w:w="521" w:type="pct"/>
            <w:tcBorders>
              <w:right w:val="single" w:color="auto" w:sz="4" w:space="0"/>
              <w:tl2br w:val="nil"/>
              <w:tr2bl w:val="nil"/>
            </w:tcBorders>
            <w:vAlign w:val="center"/>
          </w:tcPr>
          <w:p w14:paraId="753F002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0.4090</w:t>
            </w:r>
          </w:p>
        </w:tc>
        <w:tc>
          <w:tcPr>
            <w:tcW w:w="519" w:type="pct"/>
            <w:tcBorders>
              <w:left w:val="single" w:color="auto" w:sz="4" w:space="0"/>
              <w:right w:val="single" w:color="auto" w:sz="4" w:space="0"/>
              <w:tl2br w:val="nil"/>
              <w:tr2bl w:val="nil"/>
            </w:tcBorders>
            <w:vAlign w:val="center"/>
          </w:tcPr>
          <w:p w14:paraId="39483C2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0.0092</w:t>
            </w:r>
          </w:p>
        </w:tc>
        <w:tc>
          <w:tcPr>
            <w:tcW w:w="522" w:type="pct"/>
            <w:tcBorders>
              <w:left w:val="single" w:color="auto" w:sz="4" w:space="0"/>
              <w:tl2br w:val="nil"/>
              <w:tr2bl w:val="nil"/>
            </w:tcBorders>
            <w:vAlign w:val="center"/>
          </w:tcPr>
          <w:p w14:paraId="62AB34F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0.0005</w:t>
            </w:r>
          </w:p>
        </w:tc>
        <w:tc>
          <w:tcPr>
            <w:tcW w:w="519" w:type="pct"/>
            <w:tcBorders>
              <w:tl2br w:val="nil"/>
              <w:tr2bl w:val="nil"/>
            </w:tcBorders>
            <w:vAlign w:val="center"/>
          </w:tcPr>
          <w:p w14:paraId="3632014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0.1359</w:t>
            </w:r>
          </w:p>
        </w:tc>
        <w:tc>
          <w:tcPr>
            <w:tcW w:w="523" w:type="pct"/>
            <w:tcBorders>
              <w:tl2br w:val="nil"/>
              <w:tr2bl w:val="nil"/>
            </w:tcBorders>
            <w:vAlign w:val="center"/>
          </w:tcPr>
          <w:p w14:paraId="2F5EAFC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0.0068</w:t>
            </w:r>
          </w:p>
        </w:tc>
      </w:tr>
      <w:tr w14:paraId="474705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3DF6185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300.0</w:t>
            </w:r>
          </w:p>
        </w:tc>
        <w:tc>
          <w:tcPr>
            <w:tcW w:w="519" w:type="pct"/>
            <w:tcBorders>
              <w:tl2br w:val="nil"/>
              <w:tr2bl w:val="nil"/>
            </w:tcBorders>
            <w:vAlign w:val="center"/>
          </w:tcPr>
          <w:p w14:paraId="2C669A3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1.2776</w:t>
            </w:r>
          </w:p>
        </w:tc>
        <w:tc>
          <w:tcPr>
            <w:tcW w:w="521" w:type="pct"/>
            <w:tcBorders>
              <w:tl2br w:val="nil"/>
              <w:tr2bl w:val="nil"/>
            </w:tcBorders>
            <w:vAlign w:val="center"/>
          </w:tcPr>
          <w:p w14:paraId="14FB5EA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2.0057</w:t>
            </w:r>
          </w:p>
        </w:tc>
        <w:tc>
          <w:tcPr>
            <w:tcW w:w="519" w:type="pct"/>
            <w:tcBorders>
              <w:tl2br w:val="nil"/>
              <w:tr2bl w:val="nil"/>
            </w:tcBorders>
            <w:vAlign w:val="center"/>
          </w:tcPr>
          <w:p w14:paraId="674E42E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0.000023</w:t>
            </w:r>
          </w:p>
        </w:tc>
        <w:tc>
          <w:tcPr>
            <w:tcW w:w="521" w:type="pct"/>
            <w:tcBorders>
              <w:right w:val="single" w:color="auto" w:sz="4" w:space="0"/>
              <w:tl2br w:val="nil"/>
              <w:tr2bl w:val="nil"/>
            </w:tcBorders>
            <w:vAlign w:val="center"/>
          </w:tcPr>
          <w:p w14:paraId="56A7420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0.3053</w:t>
            </w:r>
          </w:p>
        </w:tc>
        <w:tc>
          <w:tcPr>
            <w:tcW w:w="519" w:type="pct"/>
            <w:tcBorders>
              <w:left w:val="single" w:color="auto" w:sz="4" w:space="0"/>
              <w:right w:val="single" w:color="auto" w:sz="4" w:space="0"/>
              <w:tl2br w:val="nil"/>
              <w:tr2bl w:val="nil"/>
            </w:tcBorders>
            <w:vAlign w:val="center"/>
          </w:tcPr>
          <w:p w14:paraId="0F0161D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0.0069</w:t>
            </w:r>
          </w:p>
        </w:tc>
        <w:tc>
          <w:tcPr>
            <w:tcW w:w="522" w:type="pct"/>
            <w:tcBorders>
              <w:left w:val="single" w:color="auto" w:sz="4" w:space="0"/>
              <w:tl2br w:val="nil"/>
              <w:tr2bl w:val="nil"/>
            </w:tcBorders>
            <w:vAlign w:val="center"/>
          </w:tcPr>
          <w:p w14:paraId="4FB11D6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0.0003</w:t>
            </w:r>
          </w:p>
        </w:tc>
        <w:tc>
          <w:tcPr>
            <w:tcW w:w="519" w:type="pct"/>
            <w:tcBorders>
              <w:tl2br w:val="nil"/>
              <w:tr2bl w:val="nil"/>
            </w:tcBorders>
            <w:vAlign w:val="center"/>
          </w:tcPr>
          <w:p w14:paraId="70D1F48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0.0966</w:t>
            </w:r>
          </w:p>
        </w:tc>
        <w:tc>
          <w:tcPr>
            <w:tcW w:w="523" w:type="pct"/>
            <w:tcBorders>
              <w:tl2br w:val="nil"/>
              <w:tr2bl w:val="nil"/>
            </w:tcBorders>
            <w:vAlign w:val="center"/>
          </w:tcPr>
          <w:p w14:paraId="7C5D189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0.0048</w:t>
            </w:r>
          </w:p>
        </w:tc>
      </w:tr>
      <w:tr w14:paraId="408768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50A0C9A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400.0</w:t>
            </w:r>
          </w:p>
        </w:tc>
        <w:tc>
          <w:tcPr>
            <w:tcW w:w="519" w:type="pct"/>
            <w:tcBorders>
              <w:tl2br w:val="nil"/>
              <w:tr2bl w:val="nil"/>
            </w:tcBorders>
            <w:vAlign w:val="center"/>
          </w:tcPr>
          <w:p w14:paraId="2EE214F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1.0400</w:t>
            </w:r>
          </w:p>
        </w:tc>
        <w:tc>
          <w:tcPr>
            <w:tcW w:w="521" w:type="pct"/>
            <w:tcBorders>
              <w:tl2br w:val="nil"/>
              <w:tr2bl w:val="nil"/>
            </w:tcBorders>
            <w:vAlign w:val="center"/>
          </w:tcPr>
          <w:p w14:paraId="349AF6B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1.6327</w:t>
            </w:r>
          </w:p>
        </w:tc>
        <w:tc>
          <w:tcPr>
            <w:tcW w:w="519" w:type="pct"/>
            <w:tcBorders>
              <w:tl2br w:val="nil"/>
              <w:tr2bl w:val="nil"/>
            </w:tcBorders>
            <w:vAlign w:val="center"/>
          </w:tcPr>
          <w:p w14:paraId="3B81AA5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0.000019</w:t>
            </w:r>
          </w:p>
        </w:tc>
        <w:tc>
          <w:tcPr>
            <w:tcW w:w="521" w:type="pct"/>
            <w:tcBorders>
              <w:right w:val="single" w:color="auto" w:sz="4" w:space="0"/>
              <w:tl2br w:val="nil"/>
              <w:tr2bl w:val="nil"/>
            </w:tcBorders>
            <w:vAlign w:val="center"/>
          </w:tcPr>
          <w:p w14:paraId="0CB273A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0.2485</w:t>
            </w:r>
          </w:p>
        </w:tc>
        <w:tc>
          <w:tcPr>
            <w:tcW w:w="519" w:type="pct"/>
            <w:tcBorders>
              <w:left w:val="single" w:color="auto" w:sz="4" w:space="0"/>
              <w:right w:val="single" w:color="auto" w:sz="4" w:space="0"/>
              <w:tl2br w:val="nil"/>
              <w:tr2bl w:val="nil"/>
            </w:tcBorders>
            <w:vAlign w:val="center"/>
          </w:tcPr>
          <w:p w14:paraId="73DFCCE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0.0056</w:t>
            </w:r>
          </w:p>
        </w:tc>
        <w:tc>
          <w:tcPr>
            <w:tcW w:w="522" w:type="pct"/>
            <w:tcBorders>
              <w:left w:val="single" w:color="auto" w:sz="4" w:space="0"/>
              <w:tl2br w:val="nil"/>
              <w:tr2bl w:val="nil"/>
            </w:tcBorders>
            <w:vAlign w:val="center"/>
          </w:tcPr>
          <w:p w14:paraId="20E2445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0.0003</w:t>
            </w:r>
          </w:p>
        </w:tc>
        <w:tc>
          <w:tcPr>
            <w:tcW w:w="519" w:type="pct"/>
            <w:tcBorders>
              <w:tl2br w:val="nil"/>
              <w:tr2bl w:val="nil"/>
            </w:tcBorders>
            <w:vAlign w:val="center"/>
          </w:tcPr>
          <w:p w14:paraId="680C14D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0.0780</w:t>
            </w:r>
          </w:p>
        </w:tc>
        <w:tc>
          <w:tcPr>
            <w:tcW w:w="523" w:type="pct"/>
            <w:tcBorders>
              <w:tl2br w:val="nil"/>
              <w:tr2bl w:val="nil"/>
            </w:tcBorders>
            <w:vAlign w:val="center"/>
          </w:tcPr>
          <w:p w14:paraId="5E452E4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0.0039</w:t>
            </w:r>
          </w:p>
        </w:tc>
      </w:tr>
      <w:tr w14:paraId="4F5B37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832" w:type="pct"/>
            <w:tcBorders>
              <w:tl2br w:val="nil"/>
              <w:tr2bl w:val="nil"/>
            </w:tcBorders>
            <w:tcMar>
              <w:left w:w="0" w:type="dxa"/>
              <w:right w:w="0" w:type="dxa"/>
            </w:tcMar>
            <w:vAlign w:val="center"/>
          </w:tcPr>
          <w:p w14:paraId="6AA741C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500.0</w:t>
            </w:r>
          </w:p>
        </w:tc>
        <w:tc>
          <w:tcPr>
            <w:tcW w:w="519" w:type="pct"/>
            <w:tcBorders>
              <w:tl2br w:val="nil"/>
              <w:tr2bl w:val="nil"/>
            </w:tcBorders>
            <w:vAlign w:val="center"/>
          </w:tcPr>
          <w:p w14:paraId="01C1394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0.8873</w:t>
            </w:r>
          </w:p>
        </w:tc>
        <w:tc>
          <w:tcPr>
            <w:tcW w:w="521" w:type="pct"/>
            <w:tcBorders>
              <w:tl2br w:val="nil"/>
              <w:tr2bl w:val="nil"/>
            </w:tcBorders>
            <w:vAlign w:val="center"/>
          </w:tcPr>
          <w:p w14:paraId="7F6DE29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1.3929</w:t>
            </w:r>
          </w:p>
        </w:tc>
        <w:tc>
          <w:tcPr>
            <w:tcW w:w="519" w:type="pct"/>
            <w:tcBorders>
              <w:tl2br w:val="nil"/>
              <w:tr2bl w:val="nil"/>
            </w:tcBorders>
            <w:vAlign w:val="center"/>
          </w:tcPr>
          <w:p w14:paraId="41EBFAB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0.000016</w:t>
            </w:r>
          </w:p>
        </w:tc>
        <w:tc>
          <w:tcPr>
            <w:tcW w:w="521" w:type="pct"/>
            <w:tcBorders>
              <w:right w:val="single" w:color="auto" w:sz="4" w:space="0"/>
              <w:tl2br w:val="nil"/>
              <w:tr2bl w:val="nil"/>
            </w:tcBorders>
            <w:vAlign w:val="center"/>
          </w:tcPr>
          <w:p w14:paraId="3237B4F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0.2120</w:t>
            </w:r>
          </w:p>
        </w:tc>
        <w:tc>
          <w:tcPr>
            <w:tcW w:w="519" w:type="pct"/>
            <w:tcBorders>
              <w:left w:val="single" w:color="auto" w:sz="4" w:space="0"/>
              <w:right w:val="single" w:color="auto" w:sz="4" w:space="0"/>
              <w:tl2br w:val="nil"/>
              <w:tr2bl w:val="nil"/>
            </w:tcBorders>
            <w:vAlign w:val="center"/>
          </w:tcPr>
          <w:p w14:paraId="0A3D81D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0.0048</w:t>
            </w:r>
          </w:p>
        </w:tc>
        <w:tc>
          <w:tcPr>
            <w:tcW w:w="522" w:type="pct"/>
            <w:tcBorders>
              <w:left w:val="single" w:color="auto" w:sz="4" w:space="0"/>
              <w:tl2br w:val="nil"/>
              <w:tr2bl w:val="nil"/>
            </w:tcBorders>
            <w:vAlign w:val="center"/>
          </w:tcPr>
          <w:p w14:paraId="4F7CEED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0.0002</w:t>
            </w:r>
          </w:p>
        </w:tc>
        <w:tc>
          <w:tcPr>
            <w:tcW w:w="519" w:type="pct"/>
            <w:tcBorders>
              <w:tl2br w:val="nil"/>
              <w:tr2bl w:val="nil"/>
            </w:tcBorders>
            <w:vAlign w:val="center"/>
          </w:tcPr>
          <w:p w14:paraId="3BABE74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0.0652</w:t>
            </w:r>
          </w:p>
        </w:tc>
        <w:tc>
          <w:tcPr>
            <w:tcW w:w="523" w:type="pct"/>
            <w:tcBorders>
              <w:tl2br w:val="nil"/>
              <w:tr2bl w:val="nil"/>
            </w:tcBorders>
            <w:vAlign w:val="center"/>
          </w:tcPr>
          <w:p w14:paraId="572CE7B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0.0033</w:t>
            </w:r>
          </w:p>
        </w:tc>
      </w:tr>
      <w:tr w14:paraId="4046A2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60C31AD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600.0</w:t>
            </w:r>
          </w:p>
        </w:tc>
        <w:tc>
          <w:tcPr>
            <w:tcW w:w="519" w:type="pct"/>
            <w:tcBorders>
              <w:tl2br w:val="nil"/>
              <w:tr2bl w:val="nil"/>
            </w:tcBorders>
            <w:vAlign w:val="center"/>
          </w:tcPr>
          <w:p w14:paraId="784DC8C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0.7796</w:t>
            </w:r>
          </w:p>
        </w:tc>
        <w:tc>
          <w:tcPr>
            <w:tcW w:w="521" w:type="pct"/>
            <w:tcBorders>
              <w:tl2br w:val="nil"/>
              <w:tr2bl w:val="nil"/>
            </w:tcBorders>
            <w:vAlign w:val="center"/>
          </w:tcPr>
          <w:p w14:paraId="309F368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1.2239</w:t>
            </w:r>
          </w:p>
        </w:tc>
        <w:tc>
          <w:tcPr>
            <w:tcW w:w="519" w:type="pct"/>
            <w:tcBorders>
              <w:tl2br w:val="nil"/>
              <w:tr2bl w:val="nil"/>
            </w:tcBorders>
            <w:vAlign w:val="center"/>
          </w:tcPr>
          <w:p w14:paraId="7C4C4E4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0.000014</w:t>
            </w:r>
          </w:p>
        </w:tc>
        <w:tc>
          <w:tcPr>
            <w:tcW w:w="521" w:type="pct"/>
            <w:tcBorders>
              <w:right w:val="single" w:color="auto" w:sz="4" w:space="0"/>
              <w:tl2br w:val="nil"/>
              <w:tr2bl w:val="nil"/>
            </w:tcBorders>
            <w:vAlign w:val="center"/>
          </w:tcPr>
          <w:p w14:paraId="352C910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0.1863</w:t>
            </w:r>
          </w:p>
        </w:tc>
        <w:tc>
          <w:tcPr>
            <w:tcW w:w="519" w:type="pct"/>
            <w:tcBorders>
              <w:left w:val="single" w:color="auto" w:sz="4" w:space="0"/>
              <w:right w:val="single" w:color="auto" w:sz="4" w:space="0"/>
              <w:tl2br w:val="nil"/>
              <w:tr2bl w:val="nil"/>
            </w:tcBorders>
            <w:vAlign w:val="center"/>
          </w:tcPr>
          <w:p w14:paraId="1BC0BFD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0.0042</w:t>
            </w:r>
          </w:p>
        </w:tc>
        <w:tc>
          <w:tcPr>
            <w:tcW w:w="522" w:type="pct"/>
            <w:tcBorders>
              <w:left w:val="single" w:color="auto" w:sz="4" w:space="0"/>
              <w:tl2br w:val="nil"/>
              <w:tr2bl w:val="nil"/>
            </w:tcBorders>
            <w:vAlign w:val="center"/>
          </w:tcPr>
          <w:p w14:paraId="52EE19B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0.0002</w:t>
            </w:r>
          </w:p>
        </w:tc>
        <w:tc>
          <w:tcPr>
            <w:tcW w:w="519" w:type="pct"/>
            <w:tcBorders>
              <w:tl2br w:val="nil"/>
              <w:tr2bl w:val="nil"/>
            </w:tcBorders>
            <w:vAlign w:val="center"/>
          </w:tcPr>
          <w:p w14:paraId="0FB86B8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0.0563</w:t>
            </w:r>
          </w:p>
        </w:tc>
        <w:tc>
          <w:tcPr>
            <w:tcW w:w="523" w:type="pct"/>
            <w:tcBorders>
              <w:tl2br w:val="nil"/>
              <w:tr2bl w:val="nil"/>
            </w:tcBorders>
            <w:vAlign w:val="center"/>
          </w:tcPr>
          <w:p w14:paraId="768030D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0.0028</w:t>
            </w:r>
          </w:p>
        </w:tc>
      </w:tr>
      <w:tr w14:paraId="243515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576ED79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700.0</w:t>
            </w:r>
          </w:p>
        </w:tc>
        <w:tc>
          <w:tcPr>
            <w:tcW w:w="519" w:type="pct"/>
            <w:tcBorders>
              <w:tl2br w:val="nil"/>
              <w:tr2bl w:val="nil"/>
            </w:tcBorders>
            <w:vAlign w:val="center"/>
          </w:tcPr>
          <w:p w14:paraId="4D6768A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0.6990</w:t>
            </w:r>
          </w:p>
        </w:tc>
        <w:tc>
          <w:tcPr>
            <w:tcW w:w="521" w:type="pct"/>
            <w:tcBorders>
              <w:tl2br w:val="nil"/>
              <w:tr2bl w:val="nil"/>
            </w:tcBorders>
            <w:vAlign w:val="center"/>
          </w:tcPr>
          <w:p w14:paraId="6C749F5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1.0973</w:t>
            </w:r>
          </w:p>
        </w:tc>
        <w:tc>
          <w:tcPr>
            <w:tcW w:w="519" w:type="pct"/>
            <w:tcBorders>
              <w:tl2br w:val="nil"/>
              <w:tr2bl w:val="nil"/>
            </w:tcBorders>
            <w:vAlign w:val="center"/>
          </w:tcPr>
          <w:p w14:paraId="36C5E31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0.000013</w:t>
            </w:r>
          </w:p>
        </w:tc>
        <w:tc>
          <w:tcPr>
            <w:tcW w:w="521" w:type="pct"/>
            <w:tcBorders>
              <w:right w:val="single" w:color="auto" w:sz="4" w:space="0"/>
              <w:tl2br w:val="nil"/>
              <w:tr2bl w:val="nil"/>
            </w:tcBorders>
            <w:vAlign w:val="center"/>
          </w:tcPr>
          <w:p w14:paraId="25C69A6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0.1670</w:t>
            </w:r>
          </w:p>
        </w:tc>
        <w:tc>
          <w:tcPr>
            <w:tcW w:w="519" w:type="pct"/>
            <w:tcBorders>
              <w:left w:val="single" w:color="auto" w:sz="4" w:space="0"/>
              <w:right w:val="single" w:color="auto" w:sz="4" w:space="0"/>
              <w:tl2br w:val="nil"/>
              <w:tr2bl w:val="nil"/>
            </w:tcBorders>
            <w:vAlign w:val="center"/>
          </w:tcPr>
          <w:p w14:paraId="3237F63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0.0038</w:t>
            </w:r>
          </w:p>
        </w:tc>
        <w:tc>
          <w:tcPr>
            <w:tcW w:w="522" w:type="pct"/>
            <w:tcBorders>
              <w:left w:val="single" w:color="auto" w:sz="4" w:space="0"/>
              <w:tl2br w:val="nil"/>
              <w:tr2bl w:val="nil"/>
            </w:tcBorders>
            <w:vAlign w:val="center"/>
          </w:tcPr>
          <w:p w14:paraId="3D4CE0C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0.0002</w:t>
            </w:r>
          </w:p>
        </w:tc>
        <w:tc>
          <w:tcPr>
            <w:tcW w:w="519" w:type="pct"/>
            <w:tcBorders>
              <w:tl2br w:val="nil"/>
              <w:tr2bl w:val="nil"/>
            </w:tcBorders>
            <w:vAlign w:val="center"/>
          </w:tcPr>
          <w:p w14:paraId="0636C26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0.0497</w:t>
            </w:r>
          </w:p>
        </w:tc>
        <w:tc>
          <w:tcPr>
            <w:tcW w:w="523" w:type="pct"/>
            <w:tcBorders>
              <w:tl2br w:val="nil"/>
              <w:tr2bl w:val="nil"/>
            </w:tcBorders>
            <w:vAlign w:val="center"/>
          </w:tcPr>
          <w:p w14:paraId="116B2E8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0.0025</w:t>
            </w:r>
          </w:p>
        </w:tc>
      </w:tr>
      <w:tr w14:paraId="6F9CBE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4B36B96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800.0</w:t>
            </w:r>
          </w:p>
        </w:tc>
        <w:tc>
          <w:tcPr>
            <w:tcW w:w="519" w:type="pct"/>
            <w:tcBorders>
              <w:tl2br w:val="nil"/>
              <w:tr2bl w:val="nil"/>
            </w:tcBorders>
            <w:vAlign w:val="center"/>
          </w:tcPr>
          <w:p w14:paraId="03CA63D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0.6360</w:t>
            </w:r>
          </w:p>
        </w:tc>
        <w:tc>
          <w:tcPr>
            <w:tcW w:w="521" w:type="pct"/>
            <w:tcBorders>
              <w:tl2br w:val="nil"/>
              <w:tr2bl w:val="nil"/>
            </w:tcBorders>
            <w:vAlign w:val="center"/>
          </w:tcPr>
          <w:p w14:paraId="22B8708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0.9984</w:t>
            </w:r>
          </w:p>
        </w:tc>
        <w:tc>
          <w:tcPr>
            <w:tcW w:w="519" w:type="pct"/>
            <w:tcBorders>
              <w:tl2br w:val="nil"/>
              <w:tr2bl w:val="nil"/>
            </w:tcBorders>
            <w:vAlign w:val="center"/>
          </w:tcPr>
          <w:p w14:paraId="0ABE99F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0.000011</w:t>
            </w:r>
          </w:p>
        </w:tc>
        <w:tc>
          <w:tcPr>
            <w:tcW w:w="521" w:type="pct"/>
            <w:tcBorders>
              <w:right w:val="single" w:color="auto" w:sz="4" w:space="0"/>
              <w:tl2br w:val="nil"/>
              <w:tr2bl w:val="nil"/>
            </w:tcBorders>
            <w:vAlign w:val="center"/>
          </w:tcPr>
          <w:p w14:paraId="14BA7C7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0.1520</w:t>
            </w:r>
          </w:p>
        </w:tc>
        <w:tc>
          <w:tcPr>
            <w:tcW w:w="519" w:type="pct"/>
            <w:tcBorders>
              <w:left w:val="single" w:color="auto" w:sz="4" w:space="0"/>
              <w:right w:val="single" w:color="auto" w:sz="4" w:space="0"/>
              <w:tl2br w:val="nil"/>
              <w:tr2bl w:val="nil"/>
            </w:tcBorders>
            <w:vAlign w:val="center"/>
          </w:tcPr>
          <w:p w14:paraId="3FCBBFC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0.0034</w:t>
            </w:r>
          </w:p>
        </w:tc>
        <w:tc>
          <w:tcPr>
            <w:tcW w:w="522" w:type="pct"/>
            <w:tcBorders>
              <w:left w:val="single" w:color="auto" w:sz="4" w:space="0"/>
              <w:tl2br w:val="nil"/>
              <w:tr2bl w:val="nil"/>
            </w:tcBorders>
            <w:vAlign w:val="center"/>
          </w:tcPr>
          <w:p w14:paraId="4069782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0.0002</w:t>
            </w:r>
          </w:p>
        </w:tc>
        <w:tc>
          <w:tcPr>
            <w:tcW w:w="519" w:type="pct"/>
            <w:tcBorders>
              <w:tl2br w:val="nil"/>
              <w:tr2bl w:val="nil"/>
            </w:tcBorders>
            <w:vAlign w:val="center"/>
          </w:tcPr>
          <w:p w14:paraId="415D1F6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0.0445</w:t>
            </w:r>
          </w:p>
        </w:tc>
        <w:tc>
          <w:tcPr>
            <w:tcW w:w="523" w:type="pct"/>
            <w:tcBorders>
              <w:tl2br w:val="nil"/>
              <w:tr2bl w:val="nil"/>
            </w:tcBorders>
            <w:vAlign w:val="center"/>
          </w:tcPr>
          <w:p w14:paraId="128A0CC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0.0022</w:t>
            </w:r>
          </w:p>
        </w:tc>
      </w:tr>
      <w:tr w14:paraId="6C3E05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2A011F6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900.0</w:t>
            </w:r>
          </w:p>
        </w:tc>
        <w:tc>
          <w:tcPr>
            <w:tcW w:w="519" w:type="pct"/>
            <w:tcBorders>
              <w:tl2br w:val="nil"/>
              <w:tr2bl w:val="nil"/>
            </w:tcBorders>
            <w:vAlign w:val="center"/>
          </w:tcPr>
          <w:p w14:paraId="7909BE1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0.5852</w:t>
            </w:r>
          </w:p>
        </w:tc>
        <w:tc>
          <w:tcPr>
            <w:tcW w:w="521" w:type="pct"/>
            <w:tcBorders>
              <w:tl2br w:val="nil"/>
              <w:tr2bl w:val="nil"/>
            </w:tcBorders>
            <w:vAlign w:val="center"/>
          </w:tcPr>
          <w:p w14:paraId="34273C3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0.9187</w:t>
            </w:r>
          </w:p>
        </w:tc>
        <w:tc>
          <w:tcPr>
            <w:tcW w:w="519" w:type="pct"/>
            <w:tcBorders>
              <w:tl2br w:val="nil"/>
              <w:tr2bl w:val="nil"/>
            </w:tcBorders>
            <w:vAlign w:val="center"/>
          </w:tcPr>
          <w:p w14:paraId="73300B6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0.000010</w:t>
            </w:r>
          </w:p>
        </w:tc>
        <w:tc>
          <w:tcPr>
            <w:tcW w:w="521" w:type="pct"/>
            <w:tcBorders>
              <w:right w:val="single" w:color="auto" w:sz="4" w:space="0"/>
              <w:tl2br w:val="nil"/>
              <w:tr2bl w:val="nil"/>
            </w:tcBorders>
            <w:vAlign w:val="center"/>
          </w:tcPr>
          <w:p w14:paraId="5CF5A66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0.1398</w:t>
            </w:r>
          </w:p>
        </w:tc>
        <w:tc>
          <w:tcPr>
            <w:tcW w:w="519" w:type="pct"/>
            <w:tcBorders>
              <w:left w:val="single" w:color="auto" w:sz="4" w:space="0"/>
              <w:right w:val="single" w:color="auto" w:sz="4" w:space="0"/>
              <w:tl2br w:val="nil"/>
              <w:tr2bl w:val="nil"/>
            </w:tcBorders>
            <w:vAlign w:val="center"/>
          </w:tcPr>
          <w:p w14:paraId="1282AE2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0.0031</w:t>
            </w:r>
          </w:p>
        </w:tc>
        <w:tc>
          <w:tcPr>
            <w:tcW w:w="522" w:type="pct"/>
            <w:tcBorders>
              <w:left w:val="single" w:color="auto" w:sz="4" w:space="0"/>
              <w:tl2br w:val="nil"/>
              <w:tr2bl w:val="nil"/>
            </w:tcBorders>
            <w:vAlign w:val="center"/>
          </w:tcPr>
          <w:p w14:paraId="3D38023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0.0002</w:t>
            </w:r>
          </w:p>
        </w:tc>
        <w:tc>
          <w:tcPr>
            <w:tcW w:w="519" w:type="pct"/>
            <w:tcBorders>
              <w:tl2br w:val="nil"/>
              <w:tr2bl w:val="nil"/>
            </w:tcBorders>
            <w:vAlign w:val="center"/>
          </w:tcPr>
          <w:p w14:paraId="47542D2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0.0401</w:t>
            </w:r>
          </w:p>
        </w:tc>
        <w:tc>
          <w:tcPr>
            <w:tcW w:w="523" w:type="pct"/>
            <w:tcBorders>
              <w:tl2br w:val="nil"/>
              <w:tr2bl w:val="nil"/>
            </w:tcBorders>
            <w:vAlign w:val="center"/>
          </w:tcPr>
          <w:p w14:paraId="5F283D3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0.0020</w:t>
            </w:r>
          </w:p>
        </w:tc>
      </w:tr>
      <w:tr w14:paraId="619BF3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5AFA126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1000.0</w:t>
            </w:r>
          </w:p>
        </w:tc>
        <w:tc>
          <w:tcPr>
            <w:tcW w:w="519" w:type="pct"/>
            <w:tcBorders>
              <w:tl2br w:val="nil"/>
              <w:tr2bl w:val="nil"/>
            </w:tcBorders>
            <w:vAlign w:val="center"/>
          </w:tcPr>
          <w:p w14:paraId="194E69C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0.5433</w:t>
            </w:r>
          </w:p>
        </w:tc>
        <w:tc>
          <w:tcPr>
            <w:tcW w:w="521" w:type="pct"/>
            <w:tcBorders>
              <w:tl2br w:val="nil"/>
              <w:tr2bl w:val="nil"/>
            </w:tcBorders>
            <w:vAlign w:val="center"/>
          </w:tcPr>
          <w:p w14:paraId="26003B9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0.8529</w:t>
            </w:r>
          </w:p>
        </w:tc>
        <w:tc>
          <w:tcPr>
            <w:tcW w:w="519" w:type="pct"/>
            <w:tcBorders>
              <w:tl2br w:val="nil"/>
              <w:tr2bl w:val="nil"/>
            </w:tcBorders>
            <w:vAlign w:val="center"/>
          </w:tcPr>
          <w:p w14:paraId="422A601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0.000010</w:t>
            </w:r>
          </w:p>
        </w:tc>
        <w:tc>
          <w:tcPr>
            <w:tcW w:w="521" w:type="pct"/>
            <w:tcBorders>
              <w:right w:val="single" w:color="auto" w:sz="4" w:space="0"/>
              <w:tl2br w:val="nil"/>
              <w:tr2bl w:val="nil"/>
            </w:tcBorders>
            <w:vAlign w:val="center"/>
          </w:tcPr>
          <w:p w14:paraId="52724BE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0.1298</w:t>
            </w:r>
          </w:p>
        </w:tc>
        <w:tc>
          <w:tcPr>
            <w:tcW w:w="519" w:type="pct"/>
            <w:tcBorders>
              <w:left w:val="single" w:color="auto" w:sz="4" w:space="0"/>
              <w:right w:val="single" w:color="auto" w:sz="4" w:space="0"/>
              <w:tl2br w:val="nil"/>
              <w:tr2bl w:val="nil"/>
            </w:tcBorders>
            <w:vAlign w:val="center"/>
          </w:tcPr>
          <w:p w14:paraId="4B9F35C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0.0029</w:t>
            </w:r>
          </w:p>
        </w:tc>
        <w:tc>
          <w:tcPr>
            <w:tcW w:w="522" w:type="pct"/>
            <w:tcBorders>
              <w:left w:val="single" w:color="auto" w:sz="4" w:space="0"/>
              <w:tl2br w:val="nil"/>
              <w:tr2bl w:val="nil"/>
            </w:tcBorders>
            <w:vAlign w:val="center"/>
          </w:tcPr>
          <w:p w14:paraId="07A9D9F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0.0001</w:t>
            </w:r>
          </w:p>
        </w:tc>
        <w:tc>
          <w:tcPr>
            <w:tcW w:w="519" w:type="pct"/>
            <w:tcBorders>
              <w:tl2br w:val="nil"/>
              <w:tr2bl w:val="nil"/>
            </w:tcBorders>
            <w:vAlign w:val="center"/>
          </w:tcPr>
          <w:p w14:paraId="23DC6D0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0.0364</w:t>
            </w:r>
          </w:p>
        </w:tc>
        <w:tc>
          <w:tcPr>
            <w:tcW w:w="523" w:type="pct"/>
            <w:tcBorders>
              <w:tl2br w:val="nil"/>
              <w:tr2bl w:val="nil"/>
            </w:tcBorders>
            <w:vAlign w:val="center"/>
          </w:tcPr>
          <w:p w14:paraId="1252ECD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0.0018</w:t>
            </w:r>
          </w:p>
        </w:tc>
      </w:tr>
      <w:tr w14:paraId="54CFE3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72EAE31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2000.0</w:t>
            </w:r>
          </w:p>
        </w:tc>
        <w:tc>
          <w:tcPr>
            <w:tcW w:w="519" w:type="pct"/>
            <w:tcBorders>
              <w:tl2br w:val="nil"/>
              <w:tr2bl w:val="nil"/>
            </w:tcBorders>
            <w:vAlign w:val="center"/>
          </w:tcPr>
          <w:p w14:paraId="47A47CC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0.3335</w:t>
            </w:r>
          </w:p>
        </w:tc>
        <w:tc>
          <w:tcPr>
            <w:tcW w:w="521" w:type="pct"/>
            <w:tcBorders>
              <w:tl2br w:val="nil"/>
              <w:tr2bl w:val="nil"/>
            </w:tcBorders>
            <w:vAlign w:val="center"/>
          </w:tcPr>
          <w:p w14:paraId="744555B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0.5236</w:t>
            </w:r>
          </w:p>
        </w:tc>
        <w:tc>
          <w:tcPr>
            <w:tcW w:w="519" w:type="pct"/>
            <w:tcBorders>
              <w:tl2br w:val="nil"/>
              <w:tr2bl w:val="nil"/>
            </w:tcBorders>
            <w:vAlign w:val="center"/>
          </w:tcPr>
          <w:p w14:paraId="1752DF9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0.000006</w:t>
            </w:r>
          </w:p>
        </w:tc>
        <w:tc>
          <w:tcPr>
            <w:tcW w:w="521" w:type="pct"/>
            <w:tcBorders>
              <w:right w:val="single" w:color="auto" w:sz="4" w:space="0"/>
              <w:tl2br w:val="nil"/>
              <w:tr2bl w:val="nil"/>
            </w:tcBorders>
            <w:vAlign w:val="center"/>
          </w:tcPr>
          <w:p w14:paraId="362606C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0.0797</w:t>
            </w:r>
          </w:p>
        </w:tc>
        <w:tc>
          <w:tcPr>
            <w:tcW w:w="519" w:type="pct"/>
            <w:tcBorders>
              <w:left w:val="single" w:color="auto" w:sz="4" w:space="0"/>
              <w:right w:val="single" w:color="auto" w:sz="4" w:space="0"/>
              <w:tl2br w:val="nil"/>
              <w:tr2bl w:val="nil"/>
            </w:tcBorders>
            <w:vAlign w:val="center"/>
          </w:tcPr>
          <w:p w14:paraId="657BE80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0.0018</w:t>
            </w:r>
          </w:p>
        </w:tc>
        <w:tc>
          <w:tcPr>
            <w:tcW w:w="522" w:type="pct"/>
            <w:tcBorders>
              <w:left w:val="single" w:color="auto" w:sz="4" w:space="0"/>
              <w:tl2br w:val="nil"/>
              <w:tr2bl w:val="nil"/>
            </w:tcBorders>
            <w:vAlign w:val="center"/>
          </w:tcPr>
          <w:p w14:paraId="73C66BD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0.0001</w:t>
            </w:r>
          </w:p>
        </w:tc>
        <w:tc>
          <w:tcPr>
            <w:tcW w:w="519" w:type="pct"/>
            <w:tcBorders>
              <w:tl2br w:val="nil"/>
              <w:tr2bl w:val="nil"/>
            </w:tcBorders>
            <w:vAlign w:val="center"/>
          </w:tcPr>
          <w:p w14:paraId="3733799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0.0177</w:t>
            </w:r>
          </w:p>
        </w:tc>
        <w:tc>
          <w:tcPr>
            <w:tcW w:w="523" w:type="pct"/>
            <w:tcBorders>
              <w:tl2br w:val="nil"/>
              <w:tr2bl w:val="nil"/>
            </w:tcBorders>
            <w:vAlign w:val="center"/>
          </w:tcPr>
          <w:p w14:paraId="4938137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0.0009</w:t>
            </w:r>
          </w:p>
        </w:tc>
      </w:tr>
      <w:tr w14:paraId="041AA6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29623C0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30</w:t>
            </w:r>
            <w:r>
              <w:rPr>
                <w:rFonts w:hint="default" w:ascii="Times New Roman" w:hAnsi="Times New Roman" w:cs="Times New Roman"/>
                <w:color w:val="auto"/>
                <w:kern w:val="0"/>
                <w:szCs w:val="21"/>
                <w:highlight w:val="none"/>
              </w:rPr>
              <w:t>00.0</w:t>
            </w:r>
          </w:p>
        </w:tc>
        <w:tc>
          <w:tcPr>
            <w:tcW w:w="519" w:type="pct"/>
            <w:tcBorders>
              <w:tl2br w:val="nil"/>
              <w:tr2bl w:val="nil"/>
            </w:tcBorders>
            <w:vAlign w:val="center"/>
          </w:tcPr>
          <w:p w14:paraId="4D3CDBC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0.2509</w:t>
            </w:r>
          </w:p>
        </w:tc>
        <w:tc>
          <w:tcPr>
            <w:tcW w:w="521" w:type="pct"/>
            <w:tcBorders>
              <w:tl2br w:val="nil"/>
              <w:tr2bl w:val="nil"/>
            </w:tcBorders>
            <w:vAlign w:val="center"/>
          </w:tcPr>
          <w:p w14:paraId="633CF1B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0.3938</w:t>
            </w:r>
          </w:p>
        </w:tc>
        <w:tc>
          <w:tcPr>
            <w:tcW w:w="519" w:type="pct"/>
            <w:tcBorders>
              <w:tl2br w:val="nil"/>
              <w:tr2bl w:val="nil"/>
            </w:tcBorders>
            <w:vAlign w:val="center"/>
          </w:tcPr>
          <w:p w14:paraId="5AE7EA2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0.000004</w:t>
            </w:r>
          </w:p>
        </w:tc>
        <w:tc>
          <w:tcPr>
            <w:tcW w:w="521" w:type="pct"/>
            <w:tcBorders>
              <w:right w:val="single" w:color="auto" w:sz="4" w:space="0"/>
              <w:tl2br w:val="nil"/>
              <w:tr2bl w:val="nil"/>
            </w:tcBorders>
            <w:vAlign w:val="center"/>
          </w:tcPr>
          <w:p w14:paraId="7297702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0.0599</w:t>
            </w:r>
          </w:p>
        </w:tc>
        <w:tc>
          <w:tcPr>
            <w:tcW w:w="519" w:type="pct"/>
            <w:tcBorders>
              <w:left w:val="single" w:color="auto" w:sz="4" w:space="0"/>
              <w:right w:val="single" w:color="auto" w:sz="4" w:space="0"/>
              <w:tl2br w:val="nil"/>
              <w:tr2bl w:val="nil"/>
            </w:tcBorders>
            <w:vAlign w:val="center"/>
          </w:tcPr>
          <w:p w14:paraId="1A2BCED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0.0013</w:t>
            </w:r>
          </w:p>
        </w:tc>
        <w:tc>
          <w:tcPr>
            <w:tcW w:w="522" w:type="pct"/>
            <w:tcBorders>
              <w:left w:val="single" w:color="auto" w:sz="4" w:space="0"/>
              <w:tl2br w:val="nil"/>
              <w:tr2bl w:val="nil"/>
            </w:tcBorders>
            <w:vAlign w:val="center"/>
          </w:tcPr>
          <w:p w14:paraId="086FAB7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0.0001</w:t>
            </w:r>
          </w:p>
        </w:tc>
        <w:tc>
          <w:tcPr>
            <w:tcW w:w="519" w:type="pct"/>
            <w:tcBorders>
              <w:tl2br w:val="nil"/>
              <w:tr2bl w:val="nil"/>
            </w:tcBorders>
            <w:vAlign w:val="center"/>
          </w:tcPr>
          <w:p w14:paraId="615706B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0.0111</w:t>
            </w:r>
          </w:p>
        </w:tc>
        <w:tc>
          <w:tcPr>
            <w:tcW w:w="523" w:type="pct"/>
            <w:tcBorders>
              <w:tl2br w:val="nil"/>
              <w:tr2bl w:val="nil"/>
            </w:tcBorders>
            <w:vAlign w:val="center"/>
          </w:tcPr>
          <w:p w14:paraId="70F0B09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0.0006</w:t>
            </w:r>
          </w:p>
        </w:tc>
      </w:tr>
      <w:tr w14:paraId="5064D4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7FEC7DED">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4000.0</w:t>
            </w:r>
          </w:p>
        </w:tc>
        <w:tc>
          <w:tcPr>
            <w:tcW w:w="519" w:type="pct"/>
            <w:tcBorders>
              <w:tl2br w:val="nil"/>
              <w:tr2bl w:val="nil"/>
            </w:tcBorders>
            <w:vAlign w:val="center"/>
          </w:tcPr>
          <w:p w14:paraId="392011A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0.2050</w:t>
            </w:r>
          </w:p>
        </w:tc>
        <w:tc>
          <w:tcPr>
            <w:tcW w:w="521" w:type="pct"/>
            <w:tcBorders>
              <w:tl2br w:val="nil"/>
              <w:tr2bl w:val="nil"/>
            </w:tcBorders>
            <w:vAlign w:val="center"/>
          </w:tcPr>
          <w:p w14:paraId="4719079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0.3219</w:t>
            </w:r>
          </w:p>
        </w:tc>
        <w:tc>
          <w:tcPr>
            <w:tcW w:w="519" w:type="pct"/>
            <w:tcBorders>
              <w:tl2br w:val="nil"/>
              <w:tr2bl w:val="nil"/>
            </w:tcBorders>
            <w:vAlign w:val="center"/>
          </w:tcPr>
          <w:p w14:paraId="391CD6B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0.000004</w:t>
            </w:r>
          </w:p>
        </w:tc>
        <w:tc>
          <w:tcPr>
            <w:tcW w:w="521" w:type="pct"/>
            <w:tcBorders>
              <w:right w:val="single" w:color="auto" w:sz="4" w:space="0"/>
              <w:tl2br w:val="nil"/>
              <w:tr2bl w:val="nil"/>
            </w:tcBorders>
            <w:vAlign w:val="center"/>
          </w:tcPr>
          <w:p w14:paraId="4E465D6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0.0490</w:t>
            </w:r>
          </w:p>
        </w:tc>
        <w:tc>
          <w:tcPr>
            <w:tcW w:w="519" w:type="pct"/>
            <w:tcBorders>
              <w:left w:val="single" w:color="auto" w:sz="4" w:space="0"/>
              <w:right w:val="single" w:color="auto" w:sz="4" w:space="0"/>
              <w:tl2br w:val="nil"/>
              <w:tr2bl w:val="nil"/>
            </w:tcBorders>
            <w:vAlign w:val="center"/>
          </w:tcPr>
          <w:p w14:paraId="40F2CED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0.0011</w:t>
            </w:r>
          </w:p>
        </w:tc>
        <w:tc>
          <w:tcPr>
            <w:tcW w:w="522" w:type="pct"/>
            <w:tcBorders>
              <w:left w:val="single" w:color="auto" w:sz="4" w:space="0"/>
              <w:tl2br w:val="nil"/>
              <w:tr2bl w:val="nil"/>
            </w:tcBorders>
            <w:vAlign w:val="center"/>
          </w:tcPr>
          <w:p w14:paraId="7222637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0.0001</w:t>
            </w:r>
          </w:p>
        </w:tc>
        <w:tc>
          <w:tcPr>
            <w:tcW w:w="519" w:type="pct"/>
            <w:tcBorders>
              <w:tl2br w:val="nil"/>
              <w:tr2bl w:val="nil"/>
            </w:tcBorders>
            <w:vAlign w:val="center"/>
          </w:tcPr>
          <w:p w14:paraId="708384F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0.0078</w:t>
            </w:r>
          </w:p>
        </w:tc>
        <w:tc>
          <w:tcPr>
            <w:tcW w:w="523" w:type="pct"/>
            <w:tcBorders>
              <w:tl2br w:val="nil"/>
              <w:tr2bl w:val="nil"/>
            </w:tcBorders>
            <w:vAlign w:val="center"/>
          </w:tcPr>
          <w:p w14:paraId="03E5030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0.0004</w:t>
            </w:r>
          </w:p>
        </w:tc>
      </w:tr>
      <w:tr w14:paraId="045BD3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6BC6D2B9">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5000.0</w:t>
            </w:r>
          </w:p>
        </w:tc>
        <w:tc>
          <w:tcPr>
            <w:tcW w:w="519" w:type="pct"/>
            <w:tcBorders>
              <w:tl2br w:val="nil"/>
              <w:tr2bl w:val="nil"/>
            </w:tcBorders>
            <w:vAlign w:val="center"/>
          </w:tcPr>
          <w:p w14:paraId="39BD9A6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0.1753</w:t>
            </w:r>
          </w:p>
        </w:tc>
        <w:tc>
          <w:tcPr>
            <w:tcW w:w="521" w:type="pct"/>
            <w:tcBorders>
              <w:tl2br w:val="nil"/>
              <w:tr2bl w:val="nil"/>
            </w:tcBorders>
            <w:vAlign w:val="center"/>
          </w:tcPr>
          <w:p w14:paraId="7B68F38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0.2752</w:t>
            </w:r>
          </w:p>
        </w:tc>
        <w:tc>
          <w:tcPr>
            <w:tcW w:w="519" w:type="pct"/>
            <w:tcBorders>
              <w:tl2br w:val="nil"/>
              <w:tr2bl w:val="nil"/>
            </w:tcBorders>
            <w:vAlign w:val="center"/>
          </w:tcPr>
          <w:p w14:paraId="17A3BFA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0.000003</w:t>
            </w:r>
          </w:p>
        </w:tc>
        <w:tc>
          <w:tcPr>
            <w:tcW w:w="521" w:type="pct"/>
            <w:tcBorders>
              <w:right w:val="single" w:color="auto" w:sz="4" w:space="0"/>
              <w:tl2br w:val="nil"/>
              <w:tr2bl w:val="nil"/>
            </w:tcBorders>
            <w:vAlign w:val="center"/>
          </w:tcPr>
          <w:p w14:paraId="4946499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0.0419</w:t>
            </w:r>
          </w:p>
        </w:tc>
        <w:tc>
          <w:tcPr>
            <w:tcW w:w="519" w:type="pct"/>
            <w:tcBorders>
              <w:left w:val="single" w:color="auto" w:sz="4" w:space="0"/>
              <w:right w:val="single" w:color="auto" w:sz="4" w:space="0"/>
              <w:tl2br w:val="nil"/>
              <w:tr2bl w:val="nil"/>
            </w:tcBorders>
            <w:vAlign w:val="center"/>
          </w:tcPr>
          <w:p w14:paraId="0317185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0.0009</w:t>
            </w:r>
          </w:p>
        </w:tc>
        <w:tc>
          <w:tcPr>
            <w:tcW w:w="522" w:type="pct"/>
            <w:tcBorders>
              <w:left w:val="single" w:color="auto" w:sz="4" w:space="0"/>
              <w:tl2br w:val="nil"/>
              <w:tr2bl w:val="nil"/>
            </w:tcBorders>
            <w:vAlign w:val="center"/>
          </w:tcPr>
          <w:p w14:paraId="379FC09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0.0000</w:t>
            </w:r>
          </w:p>
        </w:tc>
        <w:tc>
          <w:tcPr>
            <w:tcW w:w="519" w:type="pct"/>
            <w:tcBorders>
              <w:tl2br w:val="nil"/>
              <w:tr2bl w:val="nil"/>
            </w:tcBorders>
            <w:vAlign w:val="center"/>
          </w:tcPr>
          <w:p w14:paraId="6C037ED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0.0060</w:t>
            </w:r>
          </w:p>
        </w:tc>
        <w:tc>
          <w:tcPr>
            <w:tcW w:w="523" w:type="pct"/>
            <w:tcBorders>
              <w:tl2br w:val="nil"/>
              <w:tr2bl w:val="nil"/>
            </w:tcBorders>
            <w:vAlign w:val="center"/>
          </w:tcPr>
          <w:p w14:paraId="37E4120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0.0003</w:t>
            </w:r>
          </w:p>
        </w:tc>
      </w:tr>
      <w:tr w14:paraId="69D722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tcMar>
              <w:left w:w="0" w:type="dxa"/>
              <w:right w:w="0" w:type="dxa"/>
            </w:tcMar>
            <w:vAlign w:val="center"/>
          </w:tcPr>
          <w:p w14:paraId="15FA951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下风向最大浓度及占标率</w:t>
            </w:r>
          </w:p>
        </w:tc>
        <w:tc>
          <w:tcPr>
            <w:tcW w:w="519" w:type="pct"/>
            <w:tcBorders>
              <w:tl2br w:val="nil"/>
              <w:tr2bl w:val="nil"/>
            </w:tcBorders>
            <w:vAlign w:val="center"/>
          </w:tcPr>
          <w:p w14:paraId="3F7091A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6.0831</w:t>
            </w:r>
          </w:p>
        </w:tc>
        <w:tc>
          <w:tcPr>
            <w:tcW w:w="521" w:type="pct"/>
            <w:tcBorders>
              <w:tl2br w:val="nil"/>
              <w:tr2bl w:val="nil"/>
            </w:tcBorders>
            <w:vAlign w:val="center"/>
          </w:tcPr>
          <w:p w14:paraId="2BFE81C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9.5496</w:t>
            </w:r>
          </w:p>
        </w:tc>
        <w:tc>
          <w:tcPr>
            <w:tcW w:w="519" w:type="pct"/>
            <w:tcBorders>
              <w:tl2br w:val="nil"/>
              <w:tr2bl w:val="nil"/>
            </w:tcBorders>
            <w:vAlign w:val="center"/>
          </w:tcPr>
          <w:p w14:paraId="310D228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0.000109</w:t>
            </w:r>
          </w:p>
        </w:tc>
        <w:tc>
          <w:tcPr>
            <w:tcW w:w="521" w:type="pct"/>
            <w:tcBorders>
              <w:right w:val="single" w:color="auto" w:sz="4" w:space="0"/>
              <w:tl2br w:val="nil"/>
              <w:tr2bl w:val="nil"/>
            </w:tcBorders>
            <w:vAlign w:val="center"/>
          </w:tcPr>
          <w:p w14:paraId="1C542AA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1.4535</w:t>
            </w:r>
          </w:p>
        </w:tc>
        <w:tc>
          <w:tcPr>
            <w:tcW w:w="519" w:type="pct"/>
            <w:tcBorders>
              <w:left w:val="single" w:color="auto" w:sz="4" w:space="0"/>
              <w:right w:val="single" w:color="auto" w:sz="4" w:space="0"/>
              <w:tl2br w:val="nil"/>
              <w:tr2bl w:val="nil"/>
            </w:tcBorders>
            <w:vAlign w:val="center"/>
          </w:tcPr>
          <w:p w14:paraId="4FDB859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0.0327</w:t>
            </w:r>
          </w:p>
        </w:tc>
        <w:tc>
          <w:tcPr>
            <w:tcW w:w="522" w:type="pct"/>
            <w:tcBorders>
              <w:left w:val="single" w:color="auto" w:sz="4" w:space="0"/>
              <w:tl2br w:val="nil"/>
              <w:tr2bl w:val="nil"/>
            </w:tcBorders>
            <w:vAlign w:val="center"/>
          </w:tcPr>
          <w:p w14:paraId="08D97A2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0.0016</w:t>
            </w:r>
          </w:p>
        </w:tc>
        <w:tc>
          <w:tcPr>
            <w:tcW w:w="519" w:type="pct"/>
            <w:tcBorders>
              <w:tl2br w:val="nil"/>
              <w:tr2bl w:val="nil"/>
            </w:tcBorders>
            <w:vAlign w:val="center"/>
          </w:tcPr>
          <w:p w14:paraId="45519A4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1.0299</w:t>
            </w:r>
          </w:p>
        </w:tc>
        <w:tc>
          <w:tcPr>
            <w:tcW w:w="523" w:type="pct"/>
            <w:tcBorders>
              <w:tl2br w:val="nil"/>
              <w:tr2bl w:val="nil"/>
            </w:tcBorders>
            <w:vAlign w:val="center"/>
          </w:tcPr>
          <w:p w14:paraId="3368D55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0.0515</w:t>
            </w:r>
          </w:p>
        </w:tc>
      </w:tr>
      <w:tr w14:paraId="3F8390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2" w:hRule="atLeast"/>
          <w:jc w:val="center"/>
        </w:trPr>
        <w:tc>
          <w:tcPr>
            <w:tcW w:w="832" w:type="pct"/>
            <w:tcBorders>
              <w:tl2br w:val="nil"/>
              <w:tr2bl w:val="nil"/>
            </w:tcBorders>
            <w:tcMar>
              <w:left w:w="0" w:type="dxa"/>
              <w:right w:w="0" w:type="dxa"/>
            </w:tcMar>
            <w:vAlign w:val="center"/>
          </w:tcPr>
          <w:p w14:paraId="30666A1E">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下风向最大浓度出现距离</w:t>
            </w:r>
          </w:p>
        </w:tc>
        <w:tc>
          <w:tcPr>
            <w:tcW w:w="519" w:type="pct"/>
            <w:tcBorders>
              <w:tl2br w:val="nil"/>
              <w:tr2bl w:val="nil"/>
            </w:tcBorders>
            <w:vAlign w:val="center"/>
          </w:tcPr>
          <w:p w14:paraId="03C57E5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w:t>
            </w:r>
          </w:p>
        </w:tc>
        <w:tc>
          <w:tcPr>
            <w:tcW w:w="521" w:type="pct"/>
            <w:tcBorders>
              <w:tl2br w:val="nil"/>
              <w:tr2bl w:val="nil"/>
            </w:tcBorders>
            <w:vAlign w:val="center"/>
          </w:tcPr>
          <w:p w14:paraId="09697B0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w:t>
            </w:r>
          </w:p>
        </w:tc>
        <w:tc>
          <w:tcPr>
            <w:tcW w:w="519" w:type="pct"/>
            <w:tcBorders>
              <w:tl2br w:val="nil"/>
              <w:tr2bl w:val="nil"/>
            </w:tcBorders>
            <w:vAlign w:val="center"/>
          </w:tcPr>
          <w:p w14:paraId="1FAB174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w:t>
            </w:r>
          </w:p>
        </w:tc>
        <w:tc>
          <w:tcPr>
            <w:tcW w:w="521" w:type="pct"/>
            <w:tcBorders>
              <w:right w:val="single" w:color="auto" w:sz="4" w:space="0"/>
              <w:tl2br w:val="nil"/>
              <w:tr2bl w:val="nil"/>
            </w:tcBorders>
            <w:vAlign w:val="center"/>
          </w:tcPr>
          <w:p w14:paraId="0ED3C04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w:t>
            </w:r>
          </w:p>
        </w:tc>
        <w:tc>
          <w:tcPr>
            <w:tcW w:w="519" w:type="pct"/>
            <w:tcBorders>
              <w:left w:val="single" w:color="auto" w:sz="4" w:space="0"/>
              <w:right w:val="single" w:color="auto" w:sz="4" w:space="0"/>
              <w:tl2br w:val="nil"/>
              <w:tr2bl w:val="nil"/>
            </w:tcBorders>
            <w:vAlign w:val="center"/>
          </w:tcPr>
          <w:p w14:paraId="1B1AB9E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w:t>
            </w:r>
          </w:p>
        </w:tc>
        <w:tc>
          <w:tcPr>
            <w:tcW w:w="522" w:type="pct"/>
            <w:tcBorders>
              <w:left w:val="single" w:color="auto" w:sz="4" w:space="0"/>
              <w:tl2br w:val="nil"/>
              <w:tr2bl w:val="nil"/>
            </w:tcBorders>
            <w:vAlign w:val="center"/>
          </w:tcPr>
          <w:p w14:paraId="20A1EEC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w:t>
            </w:r>
          </w:p>
        </w:tc>
        <w:tc>
          <w:tcPr>
            <w:tcW w:w="519" w:type="pct"/>
            <w:tcBorders>
              <w:tl2br w:val="nil"/>
              <w:tr2bl w:val="nil"/>
            </w:tcBorders>
            <w:vAlign w:val="center"/>
          </w:tcPr>
          <w:p w14:paraId="5C7F9C0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w:t>
            </w:r>
          </w:p>
        </w:tc>
        <w:tc>
          <w:tcPr>
            <w:tcW w:w="523" w:type="pct"/>
            <w:tcBorders>
              <w:tl2br w:val="nil"/>
              <w:tr2bl w:val="nil"/>
            </w:tcBorders>
            <w:vAlign w:val="center"/>
          </w:tcPr>
          <w:p w14:paraId="4A11E38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w:t>
            </w:r>
          </w:p>
        </w:tc>
      </w:tr>
      <w:tr w14:paraId="53DF1A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832" w:type="pct"/>
            <w:tcBorders>
              <w:tl2br w:val="nil"/>
              <w:tr2bl w:val="nil"/>
            </w:tcBorders>
            <w:shd w:val="clear" w:color="auto" w:fill="auto"/>
            <w:tcMar>
              <w:left w:w="0" w:type="dxa"/>
              <w:right w:w="0" w:type="dxa"/>
            </w:tcMar>
            <w:vAlign w:val="center"/>
          </w:tcPr>
          <w:p w14:paraId="399AD240">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评价等级</w:t>
            </w:r>
          </w:p>
        </w:tc>
        <w:tc>
          <w:tcPr>
            <w:tcW w:w="1041" w:type="pct"/>
            <w:gridSpan w:val="2"/>
            <w:tcBorders>
              <w:tl2br w:val="nil"/>
              <w:tr2bl w:val="nil"/>
            </w:tcBorders>
            <w:shd w:val="clear" w:color="auto" w:fill="auto"/>
            <w:vAlign w:val="center"/>
          </w:tcPr>
          <w:p w14:paraId="327645BA">
            <w:pPr>
              <w:jc w:val="center"/>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szCs w:val="21"/>
                <w:highlight w:val="none"/>
              </w:rPr>
              <w:t>二级</w:t>
            </w:r>
          </w:p>
        </w:tc>
        <w:tc>
          <w:tcPr>
            <w:tcW w:w="1041" w:type="pct"/>
            <w:gridSpan w:val="2"/>
            <w:tcBorders>
              <w:right w:val="single" w:color="auto" w:sz="4" w:space="0"/>
              <w:tl2br w:val="nil"/>
              <w:tr2bl w:val="nil"/>
            </w:tcBorders>
            <w:vAlign w:val="center"/>
          </w:tcPr>
          <w:p w14:paraId="5F6547DE">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二级</w:t>
            </w:r>
          </w:p>
        </w:tc>
        <w:tc>
          <w:tcPr>
            <w:tcW w:w="1042" w:type="pct"/>
            <w:gridSpan w:val="2"/>
            <w:tcBorders>
              <w:left w:val="single" w:color="auto" w:sz="4" w:space="0"/>
              <w:tl2br w:val="nil"/>
              <w:tr2bl w:val="nil"/>
            </w:tcBorders>
            <w:vAlign w:val="center"/>
          </w:tcPr>
          <w:p w14:paraId="6E8B0BC1">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三级</w:t>
            </w:r>
          </w:p>
        </w:tc>
        <w:tc>
          <w:tcPr>
            <w:tcW w:w="1043" w:type="pct"/>
            <w:gridSpan w:val="2"/>
            <w:tcBorders>
              <w:tl2br w:val="nil"/>
              <w:tr2bl w:val="nil"/>
            </w:tcBorders>
            <w:vAlign w:val="center"/>
          </w:tcPr>
          <w:p w14:paraId="42F36601">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三</w:t>
            </w:r>
            <w:r>
              <w:rPr>
                <w:rFonts w:hint="default" w:ascii="Times New Roman" w:hAnsi="Times New Roman" w:cs="Times New Roman"/>
                <w:color w:val="auto"/>
                <w:kern w:val="0"/>
                <w:szCs w:val="21"/>
                <w:highlight w:val="none"/>
              </w:rPr>
              <w:t>级</w:t>
            </w:r>
          </w:p>
        </w:tc>
      </w:tr>
    </w:tbl>
    <w:p w14:paraId="3998D02E">
      <w:pPr>
        <w:adjustRightInd w:val="0"/>
        <w:snapToGrid w:val="0"/>
        <w:spacing w:before="81" w:after="81" w:line="500" w:lineRule="exact"/>
        <w:jc w:val="left"/>
        <w:rPr>
          <w:rFonts w:hint="default" w:ascii="Times New Roman" w:hAnsi="Times New Roman" w:eastAsia="仿宋" w:cs="Times New Roman"/>
          <w:color w:val="auto"/>
          <w:kern w:val="0"/>
          <w:sz w:val="24"/>
          <w:szCs w:val="20"/>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4D8F4696">
      <w:pPr>
        <w:spacing w:line="500" w:lineRule="exact"/>
        <w:ind w:firstLine="480" w:firstLineChars="200"/>
        <w:rPr>
          <w:rFonts w:hint="default" w:ascii="Times New Roman" w:hAnsi="Times New Roman" w:cs="Times New Roman"/>
          <w:color w:val="auto"/>
          <w:kern w:val="0"/>
          <w:sz w:val="24"/>
          <w:highlight w:val="none"/>
        </w:rPr>
      </w:pPr>
      <w:bookmarkStart w:id="171" w:name="_Toc24433"/>
      <w:r>
        <w:rPr>
          <w:rFonts w:hint="default" w:ascii="Times New Roman" w:hAnsi="Times New Roman" w:cs="Times New Roman"/>
          <w:color w:val="auto"/>
          <w:kern w:val="0"/>
          <w:sz w:val="24"/>
          <w:highlight w:val="none"/>
        </w:rPr>
        <w:t>根据上表内容，本项目最大地面浓度占标率Pmax=</w:t>
      </w:r>
      <w:r>
        <w:rPr>
          <w:rFonts w:hint="default" w:ascii="Times New Roman" w:hAnsi="Times New Roman" w:cs="Times New Roman"/>
          <w:color w:val="auto"/>
          <w:kern w:val="0"/>
          <w:sz w:val="24"/>
          <w:highlight w:val="none"/>
          <w:lang w:val="en-US" w:eastAsia="zh-CN"/>
        </w:rPr>
        <w:t>9.5496</w:t>
      </w:r>
      <w:r>
        <w:rPr>
          <w:rFonts w:hint="default" w:ascii="Times New Roman" w:hAnsi="Times New Roman" w:cs="Times New Roman"/>
          <w:color w:val="auto"/>
          <w:kern w:val="0"/>
          <w:sz w:val="24"/>
          <w:highlight w:val="none"/>
        </w:rPr>
        <w:t>%，</w:t>
      </w:r>
      <w:r>
        <w:rPr>
          <w:rFonts w:hint="default" w:ascii="Times New Roman" w:hAnsi="Times New Roman" w:cs="Times New Roman"/>
          <w:snapToGrid w:val="0"/>
          <w:color w:val="auto"/>
          <w:kern w:val="0"/>
          <w:sz w:val="24"/>
          <w:highlight w:val="none"/>
        </w:rPr>
        <w:t>P</w:t>
      </w:r>
      <w:r>
        <w:rPr>
          <w:rFonts w:hint="default" w:ascii="Times New Roman" w:hAnsi="Times New Roman" w:cs="Times New Roman"/>
          <w:snapToGrid w:val="0"/>
          <w:color w:val="auto"/>
          <w:kern w:val="0"/>
          <w:sz w:val="24"/>
          <w:highlight w:val="none"/>
          <w:vertAlign w:val="subscript"/>
        </w:rPr>
        <w:t>max</w:t>
      </w:r>
      <w:r>
        <w:rPr>
          <w:rFonts w:hint="default" w:ascii="Times New Roman" w:hAnsi="Times New Roman" w:cs="Times New Roman"/>
          <w:snapToGrid w:val="0"/>
          <w:color w:val="auto"/>
          <w:kern w:val="0"/>
          <w:sz w:val="24"/>
          <w:highlight w:val="none"/>
        </w:rPr>
        <w:t>＜10%且P</w:t>
      </w:r>
      <w:r>
        <w:rPr>
          <w:rFonts w:hint="default" w:ascii="Times New Roman" w:hAnsi="Times New Roman" w:cs="Times New Roman"/>
          <w:snapToGrid w:val="0"/>
          <w:color w:val="auto"/>
          <w:kern w:val="0"/>
          <w:sz w:val="24"/>
          <w:highlight w:val="none"/>
          <w:vertAlign w:val="subscript"/>
        </w:rPr>
        <w:t>max</w:t>
      </w:r>
      <w:r>
        <w:rPr>
          <w:rFonts w:hint="default" w:ascii="Times New Roman" w:hAnsi="Times New Roman" w:cs="Times New Roman"/>
          <w:snapToGrid w:val="0"/>
          <w:color w:val="auto"/>
          <w:kern w:val="0"/>
          <w:sz w:val="24"/>
          <w:highlight w:val="none"/>
        </w:rPr>
        <w:t>≥1%</w:t>
      </w:r>
      <w:r>
        <w:rPr>
          <w:rFonts w:hint="default" w:ascii="Times New Roman" w:hAnsi="Times New Roman" w:cs="Times New Roman"/>
          <w:color w:val="auto"/>
          <w:kern w:val="0"/>
          <w:sz w:val="24"/>
          <w:highlight w:val="none"/>
        </w:rPr>
        <w:t>，根据《环境影响评价技术导则 大气环境》（HJ2.2-2018）分级判据，确定本项目大气环境影响评价工作等级为二级。</w:t>
      </w:r>
      <w:bookmarkEnd w:id="171"/>
      <w:bookmarkStart w:id="172" w:name="_Hlk71735964"/>
    </w:p>
    <w:p w14:paraId="5C951038">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173" w:name="_Toc11913"/>
      <w:bookmarkStart w:id="174" w:name="_Toc192758892"/>
      <w:bookmarkStart w:id="175" w:name="_Toc21130"/>
      <w:bookmarkStart w:id="176" w:name="_Toc30856"/>
      <w:bookmarkStart w:id="177" w:name="_Toc4546"/>
      <w:bookmarkStart w:id="178" w:name="_Toc14099"/>
      <w:bookmarkStart w:id="179" w:name="_Toc193459981"/>
      <w:bookmarkStart w:id="180" w:name="_Toc25368"/>
      <w:r>
        <w:rPr>
          <w:rFonts w:hint="default" w:ascii="Times New Roman" w:hAnsi="Times New Roman" w:eastAsia="黑体" w:cs="Times New Roman"/>
          <w:bCs/>
          <w:color w:val="auto"/>
          <w:kern w:val="44"/>
          <w:sz w:val="24"/>
          <w:highlight w:val="none"/>
        </w:rPr>
        <w:t>1.4.2评价范围</w:t>
      </w:r>
      <w:bookmarkEnd w:id="173"/>
      <w:bookmarkEnd w:id="174"/>
      <w:bookmarkEnd w:id="175"/>
      <w:bookmarkEnd w:id="176"/>
      <w:bookmarkEnd w:id="177"/>
      <w:bookmarkEnd w:id="178"/>
      <w:bookmarkEnd w:id="179"/>
      <w:bookmarkEnd w:id="180"/>
    </w:p>
    <w:p w14:paraId="3C2D73C9">
      <w:pPr>
        <w:adjustRightInd w:val="0"/>
        <w:snapToGrid w:val="0"/>
        <w:spacing w:line="500" w:lineRule="exact"/>
        <w:ind w:firstLine="480" w:firstLineChars="200"/>
        <w:jc w:val="left"/>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根据《环境影响评价技术导则 大气环境》（HJ2.2-2018）第5.4.2条规定，根据预测结果，本项目大气评价等级为二级，大气环境影响评价范围为项目为中心区域，边长为5km的矩形区域。</w:t>
      </w:r>
    </w:p>
    <w:bookmarkEnd w:id="172"/>
    <w:p w14:paraId="131B8AE6">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181" w:name="_Toc192758893"/>
      <w:bookmarkStart w:id="182" w:name="_Toc8034"/>
      <w:bookmarkStart w:id="183" w:name="_Toc24412"/>
      <w:bookmarkStart w:id="184" w:name="_Toc22581"/>
      <w:bookmarkStart w:id="185" w:name="_Toc25411"/>
      <w:bookmarkStart w:id="186" w:name="_Toc193459982"/>
      <w:bookmarkStart w:id="187" w:name="_Toc27510"/>
      <w:bookmarkStart w:id="188" w:name="_Toc31071"/>
      <w:r>
        <w:rPr>
          <w:rFonts w:hint="default" w:ascii="Times New Roman" w:hAnsi="Times New Roman" w:eastAsia="黑体" w:cs="Times New Roman"/>
          <w:bCs/>
          <w:color w:val="auto"/>
          <w:kern w:val="44"/>
          <w:sz w:val="24"/>
          <w:highlight w:val="none"/>
        </w:rPr>
        <w:t>1.5大气环境保护目标</w:t>
      </w:r>
      <w:bookmarkEnd w:id="181"/>
      <w:bookmarkEnd w:id="182"/>
      <w:bookmarkEnd w:id="183"/>
      <w:bookmarkEnd w:id="184"/>
      <w:bookmarkEnd w:id="185"/>
      <w:bookmarkEnd w:id="186"/>
      <w:bookmarkEnd w:id="187"/>
      <w:bookmarkEnd w:id="188"/>
    </w:p>
    <w:p w14:paraId="1E5E58B6">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bookmarkStart w:id="189" w:name="_Toc171173100"/>
      <w:r>
        <w:rPr>
          <w:rFonts w:hint="default" w:ascii="Times New Roman" w:hAnsi="Times New Roman" w:cs="Times New Roman"/>
          <w:snapToGrid w:val="0"/>
          <w:color w:val="auto"/>
          <w:kern w:val="0"/>
          <w:sz w:val="24"/>
          <w:highlight w:val="none"/>
        </w:rPr>
        <w:t>根据大气预测结果，本项目大气环境评价等级为二级评价项目，大气环境影响评价范围为以本项目厂址为中心，边长5km的矩形区域。本项目评价范围内无自然保护区、风景名胜区等保护目标，根据项目特点及周边环境状况，确定大气环境保护目标</w:t>
      </w:r>
      <w:r>
        <w:rPr>
          <w:rFonts w:hint="default" w:ascii="Times New Roman" w:hAnsi="Times New Roman" w:cs="Times New Roman"/>
          <w:snapToGrid w:val="0"/>
          <w:color w:val="auto"/>
          <w:kern w:val="0"/>
          <w:sz w:val="24"/>
          <w:highlight w:val="none"/>
          <w:lang w:val="en-GB"/>
        </w:rPr>
        <w:t>，详见</w:t>
      </w:r>
      <w:r>
        <w:rPr>
          <w:rFonts w:hint="default" w:ascii="Times New Roman" w:hAnsi="Times New Roman" w:cs="Times New Roman"/>
          <w:snapToGrid w:val="0"/>
          <w:color w:val="auto"/>
          <w:kern w:val="0"/>
          <w:sz w:val="24"/>
          <w:highlight w:val="none"/>
        </w:rPr>
        <w:t>下</w:t>
      </w:r>
      <w:r>
        <w:rPr>
          <w:rFonts w:hint="default" w:ascii="Times New Roman" w:hAnsi="Times New Roman" w:cs="Times New Roman"/>
          <w:snapToGrid w:val="0"/>
          <w:color w:val="auto"/>
          <w:kern w:val="0"/>
          <w:sz w:val="24"/>
          <w:highlight w:val="none"/>
          <w:lang w:val="en-GB"/>
        </w:rPr>
        <w:t>表。</w:t>
      </w:r>
    </w:p>
    <w:bookmarkEnd w:id="189"/>
    <w:p w14:paraId="1851F7D8">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表1-20环境空气保护目标一览表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7"/>
        <w:gridCol w:w="1156"/>
        <w:gridCol w:w="1425"/>
        <w:gridCol w:w="1620"/>
        <w:gridCol w:w="721"/>
        <w:gridCol w:w="479"/>
        <w:gridCol w:w="555"/>
        <w:gridCol w:w="705"/>
        <w:gridCol w:w="711"/>
      </w:tblGrid>
      <w:tr w14:paraId="6C3DD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Merge w:val="restart"/>
            <w:vAlign w:val="center"/>
          </w:tcPr>
          <w:p w14:paraId="6FF89473">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名称</w:t>
            </w:r>
          </w:p>
        </w:tc>
        <w:tc>
          <w:tcPr>
            <w:tcW w:w="678" w:type="pct"/>
            <w:vMerge w:val="restart"/>
            <w:vAlign w:val="center"/>
          </w:tcPr>
          <w:p w14:paraId="35F0958D">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规模（人）</w:t>
            </w:r>
          </w:p>
        </w:tc>
        <w:tc>
          <w:tcPr>
            <w:tcW w:w="1787" w:type="pct"/>
            <w:gridSpan w:val="2"/>
            <w:vAlign w:val="center"/>
          </w:tcPr>
          <w:p w14:paraId="77861F93">
            <w:pPr>
              <w:adjustRightInd w:val="0"/>
              <w:snapToGrid w:val="0"/>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rPr>
              <w:t>坐标</w:t>
            </w:r>
            <w:r>
              <w:rPr>
                <w:rFonts w:hint="default" w:ascii="Times New Roman" w:hAnsi="Times New Roman" w:cs="Times New Roman"/>
                <w:snapToGrid w:val="0"/>
                <w:color w:val="auto"/>
                <w:kern w:val="0"/>
                <w:szCs w:val="21"/>
                <w:highlight w:val="none"/>
                <w:lang w:eastAsia="zh-CN"/>
              </w:rPr>
              <w:t>（</w:t>
            </w:r>
            <w:r>
              <w:rPr>
                <w:rFonts w:hint="default" w:ascii="Times New Roman" w:hAnsi="Times New Roman" w:cs="Times New Roman"/>
                <w:snapToGrid w:val="0"/>
                <w:color w:val="auto"/>
                <w:kern w:val="0"/>
                <w:szCs w:val="21"/>
                <w:highlight w:val="none"/>
                <w:lang w:val="en-US" w:eastAsia="zh-CN"/>
              </w:rPr>
              <w:t>°</w:t>
            </w:r>
            <w:r>
              <w:rPr>
                <w:rFonts w:hint="default" w:ascii="Times New Roman" w:hAnsi="Times New Roman" w:cs="Times New Roman"/>
                <w:snapToGrid w:val="0"/>
                <w:color w:val="auto"/>
                <w:kern w:val="0"/>
                <w:szCs w:val="21"/>
                <w:highlight w:val="none"/>
                <w:lang w:eastAsia="zh-CN"/>
              </w:rPr>
              <w:t>）</w:t>
            </w:r>
          </w:p>
        </w:tc>
        <w:tc>
          <w:tcPr>
            <w:tcW w:w="423" w:type="pct"/>
            <w:vMerge w:val="restart"/>
            <w:vAlign w:val="center"/>
          </w:tcPr>
          <w:p w14:paraId="343C154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保护对象</w:t>
            </w:r>
          </w:p>
        </w:tc>
        <w:tc>
          <w:tcPr>
            <w:tcW w:w="281" w:type="pct"/>
            <w:vMerge w:val="restart"/>
            <w:vAlign w:val="center"/>
          </w:tcPr>
          <w:p w14:paraId="796A7E1D">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保护内容</w:t>
            </w:r>
          </w:p>
        </w:tc>
        <w:tc>
          <w:tcPr>
            <w:tcW w:w="325" w:type="pct"/>
            <w:vMerge w:val="restart"/>
            <w:vAlign w:val="center"/>
          </w:tcPr>
          <w:p w14:paraId="309C1588">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环境功能区</w:t>
            </w:r>
          </w:p>
        </w:tc>
        <w:tc>
          <w:tcPr>
            <w:tcW w:w="413" w:type="pct"/>
            <w:vMerge w:val="restart"/>
            <w:vAlign w:val="center"/>
          </w:tcPr>
          <w:p w14:paraId="5860071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相对厂址方位</w:t>
            </w:r>
          </w:p>
        </w:tc>
        <w:tc>
          <w:tcPr>
            <w:tcW w:w="417" w:type="pct"/>
            <w:vMerge w:val="restart"/>
            <w:vAlign w:val="center"/>
          </w:tcPr>
          <w:p w14:paraId="7483B28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相对厂界距离/</w:t>
            </w:r>
            <w:r>
              <w:rPr>
                <w:rFonts w:hint="default" w:ascii="Times New Roman" w:hAnsi="Times New Roman" w:cs="Times New Roman"/>
                <w:snapToGrid w:val="0"/>
                <w:color w:val="auto"/>
                <w:kern w:val="0"/>
                <w:szCs w:val="21"/>
                <w:highlight w:val="none"/>
                <w:lang w:val="en-US" w:eastAsia="zh-CN"/>
              </w:rPr>
              <w:t>k</w:t>
            </w:r>
            <w:r>
              <w:rPr>
                <w:rFonts w:hint="default" w:ascii="Times New Roman" w:hAnsi="Times New Roman" w:cs="Times New Roman"/>
                <w:snapToGrid w:val="0"/>
                <w:color w:val="auto"/>
                <w:kern w:val="0"/>
                <w:szCs w:val="21"/>
                <w:highlight w:val="none"/>
              </w:rPr>
              <w:t>m</w:t>
            </w:r>
          </w:p>
        </w:tc>
      </w:tr>
      <w:tr w14:paraId="5D329A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Merge w:val="continue"/>
            <w:vAlign w:val="center"/>
          </w:tcPr>
          <w:p w14:paraId="0E2696BE">
            <w:pPr>
              <w:adjustRightInd w:val="0"/>
              <w:snapToGrid w:val="0"/>
              <w:jc w:val="center"/>
              <w:rPr>
                <w:rFonts w:hint="default" w:ascii="Times New Roman" w:hAnsi="Times New Roman" w:cs="Times New Roman"/>
                <w:snapToGrid w:val="0"/>
                <w:color w:val="auto"/>
                <w:kern w:val="0"/>
                <w:szCs w:val="21"/>
                <w:highlight w:val="none"/>
              </w:rPr>
            </w:pPr>
          </w:p>
        </w:tc>
        <w:tc>
          <w:tcPr>
            <w:tcW w:w="678" w:type="pct"/>
            <w:vMerge w:val="continue"/>
            <w:vAlign w:val="center"/>
          </w:tcPr>
          <w:p w14:paraId="100543DC">
            <w:pPr>
              <w:adjustRightInd w:val="0"/>
              <w:snapToGrid w:val="0"/>
              <w:jc w:val="center"/>
              <w:rPr>
                <w:rFonts w:hint="default" w:ascii="Times New Roman" w:hAnsi="Times New Roman" w:cs="Times New Roman"/>
                <w:snapToGrid w:val="0"/>
                <w:color w:val="auto"/>
                <w:kern w:val="0"/>
                <w:szCs w:val="21"/>
                <w:highlight w:val="none"/>
              </w:rPr>
            </w:pPr>
          </w:p>
        </w:tc>
        <w:tc>
          <w:tcPr>
            <w:tcW w:w="836" w:type="pct"/>
            <w:vAlign w:val="center"/>
          </w:tcPr>
          <w:p w14:paraId="42F8B56B">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东经</w:t>
            </w:r>
          </w:p>
        </w:tc>
        <w:tc>
          <w:tcPr>
            <w:tcW w:w="950" w:type="pct"/>
            <w:vAlign w:val="center"/>
          </w:tcPr>
          <w:p w14:paraId="24AEE6C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北纬</w:t>
            </w:r>
          </w:p>
        </w:tc>
        <w:tc>
          <w:tcPr>
            <w:tcW w:w="423" w:type="pct"/>
            <w:vMerge w:val="continue"/>
            <w:vAlign w:val="center"/>
          </w:tcPr>
          <w:p w14:paraId="027BE114">
            <w:pPr>
              <w:adjustRightInd w:val="0"/>
              <w:snapToGrid w:val="0"/>
              <w:jc w:val="center"/>
              <w:rPr>
                <w:rFonts w:hint="default" w:ascii="Times New Roman" w:hAnsi="Times New Roman" w:cs="Times New Roman"/>
                <w:b/>
                <w:snapToGrid w:val="0"/>
                <w:color w:val="auto"/>
                <w:kern w:val="0"/>
                <w:szCs w:val="21"/>
                <w:highlight w:val="none"/>
              </w:rPr>
            </w:pPr>
          </w:p>
        </w:tc>
        <w:tc>
          <w:tcPr>
            <w:tcW w:w="281" w:type="pct"/>
            <w:vMerge w:val="continue"/>
            <w:vAlign w:val="center"/>
          </w:tcPr>
          <w:p w14:paraId="19F3256E">
            <w:pPr>
              <w:adjustRightInd w:val="0"/>
              <w:snapToGrid w:val="0"/>
              <w:jc w:val="center"/>
              <w:rPr>
                <w:rFonts w:hint="default" w:ascii="Times New Roman" w:hAnsi="Times New Roman" w:cs="Times New Roman"/>
                <w:b/>
                <w:snapToGrid w:val="0"/>
                <w:color w:val="auto"/>
                <w:kern w:val="0"/>
                <w:szCs w:val="21"/>
                <w:highlight w:val="none"/>
              </w:rPr>
            </w:pPr>
          </w:p>
        </w:tc>
        <w:tc>
          <w:tcPr>
            <w:tcW w:w="325" w:type="pct"/>
            <w:vMerge w:val="continue"/>
            <w:vAlign w:val="center"/>
          </w:tcPr>
          <w:p w14:paraId="1109D316">
            <w:pPr>
              <w:adjustRightInd w:val="0"/>
              <w:snapToGrid w:val="0"/>
              <w:jc w:val="center"/>
              <w:rPr>
                <w:rFonts w:hint="default" w:ascii="Times New Roman" w:hAnsi="Times New Roman" w:cs="Times New Roman"/>
                <w:snapToGrid w:val="0"/>
                <w:color w:val="auto"/>
                <w:kern w:val="0"/>
                <w:szCs w:val="21"/>
                <w:highlight w:val="none"/>
              </w:rPr>
            </w:pPr>
          </w:p>
        </w:tc>
        <w:tc>
          <w:tcPr>
            <w:tcW w:w="413" w:type="pct"/>
            <w:vMerge w:val="continue"/>
            <w:vAlign w:val="center"/>
          </w:tcPr>
          <w:p w14:paraId="2B87150C">
            <w:pPr>
              <w:adjustRightInd w:val="0"/>
              <w:snapToGrid w:val="0"/>
              <w:jc w:val="center"/>
              <w:rPr>
                <w:rFonts w:hint="default" w:ascii="Times New Roman" w:hAnsi="Times New Roman" w:cs="Times New Roman"/>
                <w:snapToGrid w:val="0"/>
                <w:color w:val="auto"/>
                <w:kern w:val="0"/>
                <w:szCs w:val="21"/>
                <w:highlight w:val="none"/>
              </w:rPr>
            </w:pPr>
          </w:p>
        </w:tc>
        <w:tc>
          <w:tcPr>
            <w:tcW w:w="417" w:type="pct"/>
            <w:vMerge w:val="continue"/>
            <w:vAlign w:val="center"/>
          </w:tcPr>
          <w:p w14:paraId="5C8679E8">
            <w:pPr>
              <w:adjustRightInd w:val="0"/>
              <w:snapToGrid w:val="0"/>
              <w:jc w:val="center"/>
              <w:rPr>
                <w:rFonts w:hint="default" w:ascii="Times New Roman" w:hAnsi="Times New Roman" w:cs="Times New Roman"/>
                <w:snapToGrid w:val="0"/>
                <w:color w:val="auto"/>
                <w:kern w:val="0"/>
                <w:szCs w:val="21"/>
                <w:highlight w:val="none"/>
              </w:rPr>
            </w:pPr>
          </w:p>
        </w:tc>
      </w:tr>
      <w:tr w14:paraId="7C1F9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73" w:type="pct"/>
            <w:vMerge w:val="restart"/>
            <w:shd w:val="clear" w:color="auto" w:fill="auto"/>
            <w:vAlign w:val="center"/>
          </w:tcPr>
          <w:p w14:paraId="4FCD25E9">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东风村</w:t>
            </w:r>
          </w:p>
        </w:tc>
        <w:tc>
          <w:tcPr>
            <w:tcW w:w="678" w:type="pct"/>
            <w:vMerge w:val="restart"/>
            <w:shd w:val="clear" w:color="auto" w:fill="auto"/>
            <w:vAlign w:val="center"/>
          </w:tcPr>
          <w:p w14:paraId="58F76976">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lang w:val="en-US" w:eastAsia="zh-CN"/>
              </w:rPr>
              <w:t>500</w:t>
            </w:r>
          </w:p>
        </w:tc>
        <w:tc>
          <w:tcPr>
            <w:tcW w:w="836" w:type="pct"/>
            <w:vMerge w:val="restart"/>
            <w:shd w:val="clear" w:color="auto" w:fill="auto"/>
            <w:vAlign w:val="center"/>
          </w:tcPr>
          <w:p w14:paraId="049BB4A3">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133.033508</w:t>
            </w:r>
          </w:p>
        </w:tc>
        <w:tc>
          <w:tcPr>
            <w:tcW w:w="950" w:type="pct"/>
            <w:vMerge w:val="restart"/>
            <w:shd w:val="clear" w:color="auto" w:fill="auto"/>
            <w:vAlign w:val="center"/>
          </w:tcPr>
          <w:p w14:paraId="6FB40FFD">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45.789774</w:t>
            </w:r>
          </w:p>
        </w:tc>
        <w:tc>
          <w:tcPr>
            <w:tcW w:w="423" w:type="pct"/>
            <w:vMerge w:val="restart"/>
            <w:vAlign w:val="center"/>
          </w:tcPr>
          <w:p w14:paraId="5C4DE20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农村人群集中区</w:t>
            </w:r>
          </w:p>
        </w:tc>
        <w:tc>
          <w:tcPr>
            <w:tcW w:w="281" w:type="pct"/>
            <w:vMerge w:val="restart"/>
            <w:vAlign w:val="center"/>
          </w:tcPr>
          <w:p w14:paraId="68377E12">
            <w:pPr>
              <w:adjustRightInd w:val="0"/>
              <w:snapToGrid w:val="0"/>
              <w:jc w:val="center"/>
              <w:rPr>
                <w:rFonts w:hint="default" w:ascii="Times New Roman" w:hAnsi="Times New Roman" w:cs="Times New Roman"/>
                <w:b/>
                <w:snapToGrid w:val="0"/>
                <w:color w:val="auto"/>
                <w:kern w:val="0"/>
                <w:szCs w:val="21"/>
                <w:highlight w:val="none"/>
              </w:rPr>
            </w:pPr>
            <w:r>
              <w:rPr>
                <w:rFonts w:hint="default" w:ascii="Times New Roman" w:hAnsi="Times New Roman" w:cs="Times New Roman"/>
                <w:snapToGrid w:val="0"/>
                <w:color w:val="auto"/>
                <w:kern w:val="0"/>
                <w:szCs w:val="21"/>
                <w:highlight w:val="none"/>
              </w:rPr>
              <w:t>人群</w:t>
            </w:r>
          </w:p>
        </w:tc>
        <w:tc>
          <w:tcPr>
            <w:tcW w:w="325" w:type="pct"/>
            <w:vMerge w:val="restart"/>
            <w:vAlign w:val="center"/>
          </w:tcPr>
          <w:p w14:paraId="6C672B63">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二类区</w:t>
            </w:r>
          </w:p>
        </w:tc>
        <w:tc>
          <w:tcPr>
            <w:tcW w:w="705" w:type="dxa"/>
            <w:shd w:val="clear" w:color="auto" w:fill="auto"/>
            <w:vAlign w:val="center"/>
          </w:tcPr>
          <w:p w14:paraId="1A6A0CC2">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E</w:t>
            </w:r>
          </w:p>
        </w:tc>
        <w:tc>
          <w:tcPr>
            <w:tcW w:w="711" w:type="dxa"/>
            <w:shd w:val="clear" w:color="auto" w:fill="auto"/>
            <w:vAlign w:val="center"/>
          </w:tcPr>
          <w:p w14:paraId="479EBB6C">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0.07</w:t>
            </w:r>
          </w:p>
        </w:tc>
      </w:tr>
      <w:tr w14:paraId="6E3FE9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673" w:type="pct"/>
            <w:vMerge w:val="continue"/>
            <w:shd w:val="clear" w:color="auto" w:fill="auto"/>
            <w:vAlign w:val="center"/>
          </w:tcPr>
          <w:p w14:paraId="782526B3">
            <w:pPr>
              <w:adjustRightInd w:val="0"/>
              <w:snapToGrid w:val="0"/>
              <w:jc w:val="center"/>
              <w:rPr>
                <w:rFonts w:hint="default" w:ascii="Times New Roman" w:hAnsi="Times New Roman" w:cs="Times New Roman"/>
                <w:snapToGrid w:val="0"/>
                <w:color w:val="auto"/>
                <w:kern w:val="0"/>
                <w:szCs w:val="21"/>
                <w:highlight w:val="none"/>
                <w:lang w:val="en-US" w:eastAsia="zh-CN"/>
              </w:rPr>
            </w:pPr>
          </w:p>
        </w:tc>
        <w:tc>
          <w:tcPr>
            <w:tcW w:w="678" w:type="pct"/>
            <w:vMerge w:val="continue"/>
            <w:shd w:val="clear" w:color="auto" w:fill="auto"/>
            <w:vAlign w:val="center"/>
          </w:tcPr>
          <w:p w14:paraId="6DEE695C">
            <w:pPr>
              <w:adjustRightInd w:val="0"/>
              <w:snapToGrid w:val="0"/>
              <w:jc w:val="center"/>
              <w:rPr>
                <w:rFonts w:hint="default" w:ascii="Times New Roman" w:hAnsi="Times New Roman" w:cs="Times New Roman"/>
                <w:snapToGrid w:val="0"/>
                <w:color w:val="auto"/>
                <w:kern w:val="0"/>
                <w:szCs w:val="21"/>
                <w:highlight w:val="none"/>
                <w:lang w:val="en-US" w:eastAsia="zh-CN"/>
              </w:rPr>
            </w:pPr>
          </w:p>
        </w:tc>
        <w:tc>
          <w:tcPr>
            <w:tcW w:w="836" w:type="pct"/>
            <w:vMerge w:val="continue"/>
            <w:shd w:val="clear" w:color="auto" w:fill="auto"/>
            <w:vAlign w:val="center"/>
          </w:tcPr>
          <w:p w14:paraId="31671FEE">
            <w:pPr>
              <w:adjustRightInd w:val="0"/>
              <w:snapToGrid w:val="0"/>
              <w:jc w:val="center"/>
              <w:rPr>
                <w:rFonts w:hint="default" w:ascii="Times New Roman" w:hAnsi="Times New Roman" w:cs="Times New Roman"/>
                <w:snapToGrid w:val="0"/>
                <w:color w:val="auto"/>
                <w:kern w:val="0"/>
                <w:szCs w:val="21"/>
                <w:highlight w:val="none"/>
              </w:rPr>
            </w:pPr>
          </w:p>
        </w:tc>
        <w:tc>
          <w:tcPr>
            <w:tcW w:w="950" w:type="pct"/>
            <w:vMerge w:val="continue"/>
            <w:shd w:val="clear" w:color="auto" w:fill="auto"/>
            <w:vAlign w:val="center"/>
          </w:tcPr>
          <w:p w14:paraId="42BB7A51">
            <w:pPr>
              <w:adjustRightInd w:val="0"/>
              <w:snapToGrid w:val="0"/>
              <w:jc w:val="center"/>
              <w:rPr>
                <w:rFonts w:hint="default" w:ascii="Times New Roman" w:hAnsi="Times New Roman" w:cs="Times New Roman"/>
                <w:snapToGrid w:val="0"/>
                <w:color w:val="auto"/>
                <w:kern w:val="0"/>
                <w:szCs w:val="21"/>
                <w:highlight w:val="none"/>
              </w:rPr>
            </w:pPr>
          </w:p>
        </w:tc>
        <w:tc>
          <w:tcPr>
            <w:tcW w:w="423" w:type="pct"/>
            <w:vMerge w:val="continue"/>
            <w:vAlign w:val="center"/>
          </w:tcPr>
          <w:p w14:paraId="05CE0419">
            <w:pPr>
              <w:adjustRightInd w:val="0"/>
              <w:snapToGrid w:val="0"/>
              <w:jc w:val="center"/>
              <w:rPr>
                <w:rFonts w:hint="default" w:ascii="Times New Roman" w:hAnsi="Times New Roman" w:cs="Times New Roman"/>
                <w:snapToGrid w:val="0"/>
                <w:color w:val="auto"/>
                <w:kern w:val="0"/>
                <w:szCs w:val="21"/>
                <w:highlight w:val="none"/>
              </w:rPr>
            </w:pPr>
          </w:p>
        </w:tc>
        <w:tc>
          <w:tcPr>
            <w:tcW w:w="281" w:type="pct"/>
            <w:vMerge w:val="continue"/>
            <w:vAlign w:val="center"/>
          </w:tcPr>
          <w:p w14:paraId="7BD47920">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7DE57956">
            <w:pPr>
              <w:adjustRightInd w:val="0"/>
              <w:snapToGrid w:val="0"/>
              <w:jc w:val="center"/>
              <w:rPr>
                <w:rFonts w:hint="default" w:ascii="Times New Roman" w:hAnsi="Times New Roman" w:cs="Times New Roman"/>
                <w:snapToGrid w:val="0"/>
                <w:color w:val="auto"/>
                <w:kern w:val="0"/>
                <w:szCs w:val="21"/>
                <w:highlight w:val="none"/>
              </w:rPr>
            </w:pPr>
          </w:p>
        </w:tc>
        <w:tc>
          <w:tcPr>
            <w:tcW w:w="705" w:type="dxa"/>
            <w:shd w:val="clear" w:color="auto" w:fill="auto"/>
            <w:vAlign w:val="center"/>
          </w:tcPr>
          <w:p w14:paraId="6000B911">
            <w:pPr>
              <w:adjustRightInd w:val="0"/>
              <w:snapToGrid w:val="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S</w:t>
            </w:r>
          </w:p>
        </w:tc>
        <w:tc>
          <w:tcPr>
            <w:tcW w:w="711" w:type="dxa"/>
            <w:shd w:val="clear" w:color="auto" w:fill="auto"/>
            <w:vAlign w:val="center"/>
          </w:tcPr>
          <w:p w14:paraId="2A6A417B">
            <w:pPr>
              <w:adjustRightInd w:val="0"/>
              <w:snapToGrid w:val="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0.21</w:t>
            </w:r>
          </w:p>
        </w:tc>
      </w:tr>
      <w:tr w14:paraId="66924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7D30AD10">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庆丰农场</w:t>
            </w:r>
          </w:p>
        </w:tc>
        <w:tc>
          <w:tcPr>
            <w:tcW w:w="678" w:type="pct"/>
            <w:vAlign w:val="center"/>
          </w:tcPr>
          <w:p w14:paraId="5160AA3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3000</w:t>
            </w:r>
          </w:p>
        </w:tc>
        <w:tc>
          <w:tcPr>
            <w:tcW w:w="836" w:type="pct"/>
            <w:vAlign w:val="center"/>
          </w:tcPr>
          <w:p w14:paraId="140A873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133.057669</w:t>
            </w:r>
          </w:p>
        </w:tc>
        <w:tc>
          <w:tcPr>
            <w:tcW w:w="950" w:type="pct"/>
            <w:vAlign w:val="center"/>
          </w:tcPr>
          <w:p w14:paraId="5F80625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45.783658</w:t>
            </w:r>
          </w:p>
        </w:tc>
        <w:tc>
          <w:tcPr>
            <w:tcW w:w="423" w:type="pct"/>
            <w:vMerge w:val="continue"/>
            <w:vAlign w:val="center"/>
          </w:tcPr>
          <w:p w14:paraId="17E885B8">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7E4F30B0">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2CE25E00">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33C394A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SE</w:t>
            </w:r>
          </w:p>
        </w:tc>
        <w:tc>
          <w:tcPr>
            <w:tcW w:w="417" w:type="pct"/>
            <w:vAlign w:val="center"/>
          </w:tcPr>
          <w:p w14:paraId="2DD051C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1.93</w:t>
            </w:r>
          </w:p>
        </w:tc>
      </w:tr>
      <w:tr w14:paraId="461B9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50F89878">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东风一组</w:t>
            </w:r>
          </w:p>
        </w:tc>
        <w:tc>
          <w:tcPr>
            <w:tcW w:w="678" w:type="pct"/>
            <w:vAlign w:val="center"/>
          </w:tcPr>
          <w:p w14:paraId="3127AF5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270</w:t>
            </w:r>
          </w:p>
        </w:tc>
        <w:tc>
          <w:tcPr>
            <w:tcW w:w="836" w:type="pct"/>
            <w:vAlign w:val="center"/>
          </w:tcPr>
          <w:p w14:paraId="2F20CC8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133.057069</w:t>
            </w:r>
          </w:p>
        </w:tc>
        <w:tc>
          <w:tcPr>
            <w:tcW w:w="950" w:type="pct"/>
            <w:vAlign w:val="center"/>
          </w:tcPr>
          <w:p w14:paraId="781AAE6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45.787349</w:t>
            </w:r>
          </w:p>
        </w:tc>
        <w:tc>
          <w:tcPr>
            <w:tcW w:w="423" w:type="pct"/>
            <w:vMerge w:val="continue"/>
            <w:vAlign w:val="center"/>
          </w:tcPr>
          <w:p w14:paraId="43751713">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29547D8F">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5BB5FC53">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0121A51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SE</w:t>
            </w:r>
          </w:p>
        </w:tc>
        <w:tc>
          <w:tcPr>
            <w:tcW w:w="417" w:type="pct"/>
            <w:vAlign w:val="center"/>
          </w:tcPr>
          <w:p w14:paraId="7F6E712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1.60</w:t>
            </w:r>
          </w:p>
        </w:tc>
      </w:tr>
      <w:tr w14:paraId="3ED3A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3EFDB17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庆丰屯</w:t>
            </w:r>
          </w:p>
        </w:tc>
        <w:tc>
          <w:tcPr>
            <w:tcW w:w="678" w:type="pct"/>
            <w:vAlign w:val="center"/>
          </w:tcPr>
          <w:p w14:paraId="25F1B9E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60</w:t>
            </w:r>
          </w:p>
        </w:tc>
        <w:tc>
          <w:tcPr>
            <w:tcW w:w="836" w:type="pct"/>
            <w:vAlign w:val="center"/>
          </w:tcPr>
          <w:p w14:paraId="04ED237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133.029592</w:t>
            </w:r>
          </w:p>
        </w:tc>
        <w:tc>
          <w:tcPr>
            <w:tcW w:w="950" w:type="pct"/>
            <w:vAlign w:val="center"/>
          </w:tcPr>
          <w:p w14:paraId="6C1B338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45.772929</w:t>
            </w:r>
          </w:p>
        </w:tc>
        <w:tc>
          <w:tcPr>
            <w:tcW w:w="423" w:type="pct"/>
            <w:vMerge w:val="continue"/>
            <w:vAlign w:val="center"/>
          </w:tcPr>
          <w:p w14:paraId="28C464B4">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1D6B97E3">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430A9379">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22C312A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SW</w:t>
            </w:r>
          </w:p>
        </w:tc>
        <w:tc>
          <w:tcPr>
            <w:tcW w:w="417" w:type="pct"/>
            <w:vAlign w:val="center"/>
          </w:tcPr>
          <w:p w14:paraId="545CC2D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1.93</w:t>
            </w:r>
          </w:p>
        </w:tc>
      </w:tr>
      <w:tr w14:paraId="4F161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415DE47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永丰六组</w:t>
            </w:r>
          </w:p>
        </w:tc>
        <w:tc>
          <w:tcPr>
            <w:tcW w:w="678" w:type="pct"/>
            <w:vAlign w:val="center"/>
          </w:tcPr>
          <w:p w14:paraId="22A714A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120</w:t>
            </w:r>
          </w:p>
        </w:tc>
        <w:tc>
          <w:tcPr>
            <w:tcW w:w="836" w:type="pct"/>
            <w:vAlign w:val="center"/>
          </w:tcPr>
          <w:p w14:paraId="7D082C7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133.010838</w:t>
            </w:r>
          </w:p>
        </w:tc>
        <w:tc>
          <w:tcPr>
            <w:tcW w:w="950" w:type="pct"/>
            <w:vAlign w:val="center"/>
          </w:tcPr>
          <w:p w14:paraId="1292447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45.771342</w:t>
            </w:r>
          </w:p>
        </w:tc>
        <w:tc>
          <w:tcPr>
            <w:tcW w:w="423" w:type="pct"/>
            <w:vMerge w:val="continue"/>
            <w:vAlign w:val="center"/>
          </w:tcPr>
          <w:p w14:paraId="309CD0E0">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3068094D">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47ADE63D">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4F5E90E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SW</w:t>
            </w:r>
          </w:p>
        </w:tc>
        <w:tc>
          <w:tcPr>
            <w:tcW w:w="417" w:type="pct"/>
            <w:vAlign w:val="center"/>
          </w:tcPr>
          <w:p w14:paraId="41AEFC2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2.58</w:t>
            </w:r>
          </w:p>
        </w:tc>
      </w:tr>
      <w:tr w14:paraId="08F79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7A67436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永丰七组</w:t>
            </w:r>
          </w:p>
        </w:tc>
        <w:tc>
          <w:tcPr>
            <w:tcW w:w="678" w:type="pct"/>
            <w:vAlign w:val="center"/>
          </w:tcPr>
          <w:p w14:paraId="7CF240D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280</w:t>
            </w:r>
          </w:p>
        </w:tc>
        <w:tc>
          <w:tcPr>
            <w:tcW w:w="836" w:type="pct"/>
            <w:vAlign w:val="center"/>
          </w:tcPr>
          <w:p w14:paraId="53C362A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133.009615</w:t>
            </w:r>
          </w:p>
        </w:tc>
        <w:tc>
          <w:tcPr>
            <w:tcW w:w="950" w:type="pct"/>
            <w:vAlign w:val="center"/>
          </w:tcPr>
          <w:p w14:paraId="102EF92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45.776320</w:t>
            </w:r>
          </w:p>
        </w:tc>
        <w:tc>
          <w:tcPr>
            <w:tcW w:w="423" w:type="pct"/>
            <w:vMerge w:val="continue"/>
            <w:vAlign w:val="center"/>
          </w:tcPr>
          <w:p w14:paraId="291F2E5D">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6CE24203">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3DC41DE0">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16F2DBF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SW</w:t>
            </w:r>
          </w:p>
        </w:tc>
        <w:tc>
          <w:tcPr>
            <w:tcW w:w="417" w:type="pct"/>
            <w:vAlign w:val="center"/>
          </w:tcPr>
          <w:p w14:paraId="79CA7A5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2.14</w:t>
            </w:r>
          </w:p>
        </w:tc>
      </w:tr>
      <w:tr w14:paraId="5030EB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4E79F85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东风二组</w:t>
            </w:r>
          </w:p>
        </w:tc>
        <w:tc>
          <w:tcPr>
            <w:tcW w:w="678" w:type="pct"/>
            <w:vAlign w:val="center"/>
          </w:tcPr>
          <w:p w14:paraId="1BFF2C9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130</w:t>
            </w:r>
          </w:p>
        </w:tc>
        <w:tc>
          <w:tcPr>
            <w:tcW w:w="836" w:type="pct"/>
            <w:vAlign w:val="center"/>
          </w:tcPr>
          <w:p w14:paraId="23D38EB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133.051929</w:t>
            </w:r>
          </w:p>
        </w:tc>
        <w:tc>
          <w:tcPr>
            <w:tcW w:w="950" w:type="pct"/>
            <w:vAlign w:val="center"/>
          </w:tcPr>
          <w:p w14:paraId="4AFDA84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45.803657</w:t>
            </w:r>
          </w:p>
        </w:tc>
        <w:tc>
          <w:tcPr>
            <w:tcW w:w="423" w:type="pct"/>
            <w:vMerge w:val="continue"/>
            <w:vAlign w:val="center"/>
          </w:tcPr>
          <w:p w14:paraId="431A9EFB">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5F0B2705">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199BB306">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457ECB4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NE</w:t>
            </w:r>
          </w:p>
        </w:tc>
        <w:tc>
          <w:tcPr>
            <w:tcW w:w="417" w:type="pct"/>
            <w:vAlign w:val="center"/>
          </w:tcPr>
          <w:p w14:paraId="2A0A009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1.75</w:t>
            </w:r>
          </w:p>
        </w:tc>
      </w:tr>
      <w:tr w14:paraId="3CF78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4483E32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东风三组</w:t>
            </w:r>
          </w:p>
        </w:tc>
        <w:tc>
          <w:tcPr>
            <w:tcW w:w="678" w:type="pct"/>
            <w:vAlign w:val="center"/>
          </w:tcPr>
          <w:p w14:paraId="3F0D6C0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180</w:t>
            </w:r>
          </w:p>
        </w:tc>
        <w:tc>
          <w:tcPr>
            <w:tcW w:w="836" w:type="pct"/>
            <w:vAlign w:val="center"/>
          </w:tcPr>
          <w:p w14:paraId="754ADA6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133.040943</w:t>
            </w:r>
          </w:p>
        </w:tc>
        <w:tc>
          <w:tcPr>
            <w:tcW w:w="950" w:type="pct"/>
            <w:vAlign w:val="center"/>
          </w:tcPr>
          <w:p w14:paraId="40AD27E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45.799451</w:t>
            </w:r>
          </w:p>
        </w:tc>
        <w:tc>
          <w:tcPr>
            <w:tcW w:w="423" w:type="pct"/>
            <w:vMerge w:val="continue"/>
            <w:vAlign w:val="center"/>
          </w:tcPr>
          <w:p w14:paraId="19B56B08">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228407F4">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0D7568D4">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7D06808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NE</w:t>
            </w:r>
          </w:p>
        </w:tc>
        <w:tc>
          <w:tcPr>
            <w:tcW w:w="417" w:type="pct"/>
            <w:vAlign w:val="center"/>
          </w:tcPr>
          <w:p w14:paraId="13F839A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0.63</w:t>
            </w:r>
          </w:p>
        </w:tc>
      </w:tr>
      <w:tr w14:paraId="3533E5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424E772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东风四组</w:t>
            </w:r>
          </w:p>
        </w:tc>
        <w:tc>
          <w:tcPr>
            <w:tcW w:w="678" w:type="pct"/>
            <w:vAlign w:val="center"/>
          </w:tcPr>
          <w:p w14:paraId="7368ECF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120</w:t>
            </w:r>
          </w:p>
        </w:tc>
        <w:tc>
          <w:tcPr>
            <w:tcW w:w="836" w:type="pct"/>
            <w:vAlign w:val="center"/>
          </w:tcPr>
          <w:p w14:paraId="5643E36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133.016481</w:t>
            </w:r>
          </w:p>
        </w:tc>
        <w:tc>
          <w:tcPr>
            <w:tcW w:w="950" w:type="pct"/>
            <w:vAlign w:val="center"/>
          </w:tcPr>
          <w:p w14:paraId="1FE5FF5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45.810480</w:t>
            </w:r>
          </w:p>
        </w:tc>
        <w:tc>
          <w:tcPr>
            <w:tcW w:w="423" w:type="pct"/>
            <w:vMerge w:val="continue"/>
            <w:vAlign w:val="center"/>
          </w:tcPr>
          <w:p w14:paraId="223F8607">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0064788D">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50A91CBB">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337DAD7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NW</w:t>
            </w:r>
          </w:p>
        </w:tc>
        <w:tc>
          <w:tcPr>
            <w:tcW w:w="417" w:type="pct"/>
            <w:vAlign w:val="center"/>
          </w:tcPr>
          <w:p w14:paraId="65E4591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2.00</w:t>
            </w:r>
          </w:p>
        </w:tc>
      </w:tr>
      <w:tr w14:paraId="67B63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4FDA724F">
            <w:pPr>
              <w:adjustRightInd w:val="0"/>
              <w:snapToGrid w:val="0"/>
              <w:jc w:val="center"/>
              <w:rPr>
                <w:rFonts w:hint="default" w:ascii="Times New Roman" w:hAnsi="Times New Roman" w:cs="Times New Roman"/>
                <w:color w:val="auto"/>
                <w:kern w:val="0"/>
                <w:szCs w:val="21"/>
                <w:highlight w:val="none"/>
                <w:lang w:val="en-US"/>
              </w:rPr>
            </w:pPr>
            <w:r>
              <w:rPr>
                <w:rFonts w:hint="default" w:ascii="Times New Roman" w:hAnsi="Times New Roman" w:cs="Times New Roman"/>
                <w:color w:val="auto"/>
                <w:kern w:val="0"/>
                <w:szCs w:val="21"/>
                <w:highlight w:val="none"/>
                <w:lang w:val="en-US" w:eastAsia="zh-CN"/>
              </w:rPr>
              <w:t>东风五组</w:t>
            </w:r>
          </w:p>
        </w:tc>
        <w:tc>
          <w:tcPr>
            <w:tcW w:w="678" w:type="pct"/>
            <w:shd w:val="clear" w:color="auto" w:fill="auto"/>
            <w:vAlign w:val="center"/>
          </w:tcPr>
          <w:p w14:paraId="5812660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80</w:t>
            </w:r>
          </w:p>
        </w:tc>
        <w:tc>
          <w:tcPr>
            <w:tcW w:w="836" w:type="pct"/>
            <w:shd w:val="clear" w:color="auto" w:fill="auto"/>
            <w:vAlign w:val="center"/>
          </w:tcPr>
          <w:p w14:paraId="2CC7D3EF">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133.008027</w:t>
            </w:r>
          </w:p>
        </w:tc>
        <w:tc>
          <w:tcPr>
            <w:tcW w:w="950" w:type="pct"/>
            <w:shd w:val="clear" w:color="auto" w:fill="auto"/>
            <w:vAlign w:val="center"/>
          </w:tcPr>
          <w:p w14:paraId="67C71EF5">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45.814472</w:t>
            </w:r>
          </w:p>
        </w:tc>
        <w:tc>
          <w:tcPr>
            <w:tcW w:w="423" w:type="pct"/>
            <w:vMerge w:val="continue"/>
            <w:vAlign w:val="center"/>
          </w:tcPr>
          <w:p w14:paraId="4BC6D1A3">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4766A18B">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79C64564">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414B067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NW</w:t>
            </w:r>
          </w:p>
        </w:tc>
        <w:tc>
          <w:tcPr>
            <w:tcW w:w="417" w:type="pct"/>
            <w:vAlign w:val="center"/>
          </w:tcPr>
          <w:p w14:paraId="0F08839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2.99</w:t>
            </w:r>
          </w:p>
        </w:tc>
      </w:tr>
      <w:tr w14:paraId="28903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66EDE2F1">
            <w:pPr>
              <w:adjustRightInd w:val="0"/>
              <w:snapToGrid w:val="0"/>
              <w:jc w:val="center"/>
              <w:rPr>
                <w:rFonts w:hint="default" w:ascii="Times New Roman" w:hAnsi="Times New Roman" w:cs="Times New Roman"/>
                <w:color w:val="auto"/>
                <w:kern w:val="0"/>
                <w:szCs w:val="21"/>
                <w:highlight w:val="none"/>
                <w:lang w:val="en-US"/>
              </w:rPr>
            </w:pPr>
            <w:r>
              <w:rPr>
                <w:rFonts w:hint="default" w:ascii="Times New Roman" w:hAnsi="Times New Roman" w:cs="Times New Roman"/>
                <w:color w:val="auto"/>
                <w:kern w:val="0"/>
                <w:szCs w:val="21"/>
                <w:highlight w:val="none"/>
                <w:lang w:val="en-US" w:eastAsia="zh-CN"/>
              </w:rPr>
              <w:t>东风八组</w:t>
            </w:r>
          </w:p>
        </w:tc>
        <w:tc>
          <w:tcPr>
            <w:tcW w:w="678" w:type="pct"/>
            <w:vAlign w:val="center"/>
          </w:tcPr>
          <w:p w14:paraId="228F640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100</w:t>
            </w:r>
          </w:p>
        </w:tc>
        <w:tc>
          <w:tcPr>
            <w:tcW w:w="836" w:type="pct"/>
            <w:vAlign w:val="center"/>
          </w:tcPr>
          <w:p w14:paraId="72A905A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133.008263</w:t>
            </w:r>
          </w:p>
        </w:tc>
        <w:tc>
          <w:tcPr>
            <w:tcW w:w="950" w:type="pct"/>
            <w:vAlign w:val="center"/>
          </w:tcPr>
          <w:p w14:paraId="7C50BE6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45.767715</w:t>
            </w:r>
          </w:p>
        </w:tc>
        <w:tc>
          <w:tcPr>
            <w:tcW w:w="423" w:type="pct"/>
            <w:vMerge w:val="continue"/>
            <w:vAlign w:val="center"/>
          </w:tcPr>
          <w:p w14:paraId="0EE91BC1">
            <w:pPr>
              <w:adjustRightInd w:val="0"/>
              <w:snapToGrid w:val="0"/>
              <w:jc w:val="center"/>
              <w:rPr>
                <w:rFonts w:hint="default" w:ascii="Times New Roman" w:hAnsi="Times New Roman" w:cs="Times New Roman"/>
                <w:color w:val="auto"/>
                <w:kern w:val="0"/>
                <w:szCs w:val="21"/>
                <w:highlight w:val="none"/>
              </w:rPr>
            </w:pPr>
          </w:p>
        </w:tc>
        <w:tc>
          <w:tcPr>
            <w:tcW w:w="281" w:type="pct"/>
            <w:vMerge w:val="continue"/>
            <w:vAlign w:val="center"/>
          </w:tcPr>
          <w:p w14:paraId="55265D64">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3E83A8A8">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25FAC93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NW</w:t>
            </w:r>
          </w:p>
        </w:tc>
        <w:tc>
          <w:tcPr>
            <w:tcW w:w="417" w:type="pct"/>
            <w:vAlign w:val="center"/>
          </w:tcPr>
          <w:p w14:paraId="6829888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1.43</w:t>
            </w:r>
          </w:p>
        </w:tc>
      </w:tr>
      <w:tr w14:paraId="31FD5B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78343CDE">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庆丰学校</w:t>
            </w:r>
          </w:p>
        </w:tc>
        <w:tc>
          <w:tcPr>
            <w:tcW w:w="678" w:type="pct"/>
            <w:vAlign w:val="center"/>
          </w:tcPr>
          <w:p w14:paraId="5468A31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600</w:t>
            </w:r>
          </w:p>
        </w:tc>
        <w:tc>
          <w:tcPr>
            <w:tcW w:w="836" w:type="pct"/>
            <w:vAlign w:val="center"/>
          </w:tcPr>
          <w:p w14:paraId="4451E4F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133.059815</w:t>
            </w:r>
          </w:p>
        </w:tc>
        <w:tc>
          <w:tcPr>
            <w:tcW w:w="950" w:type="pct"/>
            <w:vAlign w:val="center"/>
          </w:tcPr>
          <w:p w14:paraId="6819939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45.784860</w:t>
            </w:r>
          </w:p>
        </w:tc>
        <w:tc>
          <w:tcPr>
            <w:tcW w:w="423" w:type="pct"/>
            <w:vAlign w:val="center"/>
          </w:tcPr>
          <w:p w14:paraId="20AAD820">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文化区</w:t>
            </w:r>
          </w:p>
        </w:tc>
        <w:tc>
          <w:tcPr>
            <w:tcW w:w="281" w:type="pct"/>
            <w:vMerge w:val="continue"/>
            <w:vAlign w:val="center"/>
          </w:tcPr>
          <w:p w14:paraId="75284BC1">
            <w:pPr>
              <w:adjustRightInd w:val="0"/>
              <w:snapToGrid w:val="0"/>
              <w:jc w:val="center"/>
              <w:rPr>
                <w:rFonts w:hint="default" w:ascii="Times New Roman" w:hAnsi="Times New Roman" w:cs="Times New Roman"/>
                <w:snapToGrid w:val="0"/>
                <w:color w:val="auto"/>
                <w:kern w:val="0"/>
                <w:szCs w:val="21"/>
                <w:highlight w:val="none"/>
              </w:rPr>
            </w:pPr>
          </w:p>
        </w:tc>
        <w:tc>
          <w:tcPr>
            <w:tcW w:w="325" w:type="pct"/>
            <w:vMerge w:val="continue"/>
            <w:vAlign w:val="center"/>
          </w:tcPr>
          <w:p w14:paraId="31A96943">
            <w:pPr>
              <w:adjustRightInd w:val="0"/>
              <w:snapToGrid w:val="0"/>
              <w:jc w:val="center"/>
              <w:rPr>
                <w:rFonts w:hint="default" w:ascii="Times New Roman" w:hAnsi="Times New Roman" w:cs="Times New Roman"/>
                <w:snapToGrid w:val="0"/>
                <w:color w:val="auto"/>
                <w:kern w:val="0"/>
                <w:szCs w:val="21"/>
                <w:highlight w:val="none"/>
              </w:rPr>
            </w:pPr>
          </w:p>
        </w:tc>
        <w:tc>
          <w:tcPr>
            <w:tcW w:w="413" w:type="pct"/>
            <w:vAlign w:val="center"/>
          </w:tcPr>
          <w:p w14:paraId="25798348">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SE</w:t>
            </w:r>
          </w:p>
        </w:tc>
        <w:tc>
          <w:tcPr>
            <w:tcW w:w="417" w:type="pct"/>
            <w:vAlign w:val="center"/>
          </w:tcPr>
          <w:p w14:paraId="6A406F37">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2.19</w:t>
            </w:r>
          </w:p>
        </w:tc>
      </w:tr>
    </w:tbl>
    <w:p w14:paraId="44909F46">
      <w:pPr>
        <w:widowControl/>
        <w:adjustRightInd w:val="0"/>
        <w:snapToGrid w:val="0"/>
        <w:spacing w:line="500" w:lineRule="exact"/>
        <w:ind w:firstLine="420" w:firstLineChars="200"/>
        <w:rPr>
          <w:rFonts w:hint="default" w:ascii="Times New Roman" w:hAnsi="Times New Roman" w:cs="Times New Roman"/>
          <w:color w:val="auto"/>
          <w:kern w:val="0"/>
          <w:szCs w:val="20"/>
          <w:highlight w:val="none"/>
        </w:rPr>
        <w:sectPr>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E421BB5">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8"/>
          <w:szCs w:val="28"/>
          <w:highlight w:val="none"/>
        </w:rPr>
      </w:pPr>
      <w:bookmarkStart w:id="190" w:name="_Toc23295"/>
      <w:bookmarkStart w:id="191" w:name="_Toc7195"/>
      <w:bookmarkStart w:id="192" w:name="_Toc11660"/>
      <w:bookmarkStart w:id="193" w:name="_Toc10105"/>
      <w:bookmarkStart w:id="194" w:name="_Toc193459983"/>
      <w:bookmarkStart w:id="195" w:name="_Toc11520"/>
      <w:bookmarkStart w:id="196" w:name="_Toc19669"/>
      <w:bookmarkStart w:id="197" w:name="_Toc192758894"/>
      <w:r>
        <w:rPr>
          <w:rFonts w:hint="default" w:ascii="Times New Roman" w:hAnsi="Times New Roman" w:eastAsia="黑体" w:cs="Times New Roman"/>
          <w:bCs/>
          <w:color w:val="auto"/>
          <w:kern w:val="44"/>
          <w:sz w:val="28"/>
          <w:szCs w:val="28"/>
          <w:highlight w:val="none"/>
        </w:rPr>
        <w:t>2工艺流程分析</w:t>
      </w:r>
      <w:bookmarkEnd w:id="190"/>
      <w:bookmarkEnd w:id="191"/>
      <w:bookmarkEnd w:id="192"/>
      <w:bookmarkEnd w:id="193"/>
      <w:bookmarkEnd w:id="194"/>
      <w:bookmarkEnd w:id="195"/>
      <w:bookmarkEnd w:id="196"/>
      <w:bookmarkEnd w:id="197"/>
    </w:p>
    <w:p w14:paraId="508C7433">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198" w:name="_Toc192758895"/>
      <w:bookmarkStart w:id="199" w:name="_Toc2964"/>
      <w:bookmarkStart w:id="200" w:name="_Toc15448"/>
      <w:bookmarkStart w:id="201" w:name="_Toc32725"/>
      <w:bookmarkStart w:id="202" w:name="_Toc874"/>
      <w:bookmarkStart w:id="203" w:name="_Toc11348"/>
      <w:bookmarkStart w:id="204" w:name="_Toc193459984"/>
      <w:bookmarkStart w:id="205" w:name="_Toc28530"/>
      <w:r>
        <w:rPr>
          <w:rFonts w:hint="default" w:ascii="Times New Roman" w:hAnsi="Times New Roman" w:eastAsia="黑体" w:cs="Times New Roman"/>
          <w:bCs/>
          <w:color w:val="auto"/>
          <w:kern w:val="44"/>
          <w:sz w:val="24"/>
          <w:highlight w:val="none"/>
        </w:rPr>
        <w:t>2.1项目概况</w:t>
      </w:r>
      <w:bookmarkEnd w:id="198"/>
      <w:bookmarkEnd w:id="199"/>
      <w:bookmarkEnd w:id="200"/>
      <w:bookmarkEnd w:id="201"/>
      <w:bookmarkEnd w:id="202"/>
      <w:bookmarkEnd w:id="203"/>
      <w:bookmarkEnd w:id="204"/>
      <w:bookmarkEnd w:id="205"/>
    </w:p>
    <w:p w14:paraId="2A727772">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lang w:eastAsia="zh-CN"/>
        </w:rPr>
        <w:t>虎林市迎胜沥青混凝土搅拌有限公司</w:t>
      </w:r>
      <w:r>
        <w:rPr>
          <w:rFonts w:hint="default" w:ascii="Times New Roman" w:hAnsi="Times New Roman" w:cs="Times New Roman"/>
          <w:color w:val="auto"/>
          <w:sz w:val="24"/>
          <w:highlight w:val="none"/>
        </w:rPr>
        <w:t>位于</w:t>
      </w:r>
      <w:r>
        <w:rPr>
          <w:rFonts w:hint="default" w:ascii="Times New Roman" w:hAnsi="Times New Roman" w:cs="Times New Roman"/>
          <w:color w:val="auto"/>
          <w:sz w:val="24"/>
          <w:highlight w:val="none"/>
          <w:lang w:eastAsia="zh-CN"/>
        </w:rPr>
        <w:t>黑龙江省鸡西市虎林市东诚镇东风村村委会西南350米</w:t>
      </w:r>
      <w:r>
        <w:rPr>
          <w:rFonts w:hint="default" w:ascii="Times New Roman" w:hAnsi="Times New Roman" w:cs="Times New Roman"/>
          <w:color w:val="auto"/>
          <w:sz w:val="24"/>
          <w:highlight w:val="none"/>
        </w:rPr>
        <w:t>，</w:t>
      </w:r>
      <w:r>
        <w:rPr>
          <w:rFonts w:hint="default" w:ascii="Times New Roman" w:hAnsi="Times New Roman" w:cs="Times New Roman"/>
          <w:bCs/>
          <w:color w:val="auto"/>
          <w:sz w:val="24"/>
          <w:highlight w:val="none"/>
        </w:rPr>
        <w:t>本</w:t>
      </w:r>
      <w:r>
        <w:rPr>
          <w:rFonts w:hint="default" w:ascii="Times New Roman" w:hAnsi="Times New Roman" w:cs="Times New Roman"/>
          <w:color w:val="auto"/>
          <w:kern w:val="0"/>
          <w:sz w:val="24"/>
          <w:highlight w:val="none"/>
        </w:rPr>
        <w:t>项目总占地面积为</w:t>
      </w:r>
      <w:r>
        <w:rPr>
          <w:rFonts w:hint="default" w:ascii="Times New Roman" w:hAnsi="Times New Roman" w:cs="Times New Roman"/>
          <w:color w:val="auto"/>
          <w:sz w:val="24"/>
          <w:highlight w:val="none"/>
          <w:lang w:val="en-US" w:eastAsia="zh-CN"/>
        </w:rPr>
        <w:t>10920.022</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kern w:val="0"/>
          <w:sz w:val="24"/>
          <w:highlight w:val="none"/>
        </w:rPr>
        <w:t>。主要建设内容为新建</w:t>
      </w:r>
      <w:r>
        <w:rPr>
          <w:rFonts w:hint="default" w:ascii="Times New Roman" w:hAnsi="Times New Roman" w:cs="Times New Roman"/>
          <w:color w:val="auto"/>
          <w:kern w:val="0"/>
          <w:sz w:val="24"/>
          <w:highlight w:val="none"/>
          <w:lang w:eastAsia="zh-CN"/>
        </w:rPr>
        <w:t>1条沥青混凝土生产线</w:t>
      </w:r>
      <w:r>
        <w:rPr>
          <w:rFonts w:hint="default" w:ascii="Times New Roman" w:hAnsi="Times New Roman" w:cs="Times New Roman"/>
          <w:color w:val="auto"/>
          <w:kern w:val="0"/>
          <w:sz w:val="24"/>
          <w:highlight w:val="none"/>
          <w:lang w:val="en-US" w:eastAsia="zh-CN"/>
        </w:rPr>
        <w:t>及1条乳化沥青生产线</w:t>
      </w:r>
      <w:r>
        <w:rPr>
          <w:rFonts w:hint="default" w:ascii="Times New Roman" w:hAnsi="Times New Roman" w:cs="Times New Roman"/>
          <w:color w:val="auto"/>
          <w:kern w:val="0"/>
          <w:sz w:val="24"/>
          <w:highlight w:val="none"/>
        </w:rPr>
        <w:t>。项目建成后年生产沥青混凝土</w:t>
      </w:r>
      <w:r>
        <w:rPr>
          <w:rFonts w:hint="default" w:ascii="Times New Roman" w:hAnsi="Times New Roman" w:cs="Times New Roman"/>
          <w:color w:val="auto"/>
          <w:kern w:val="0"/>
          <w:sz w:val="24"/>
          <w:highlight w:val="none"/>
          <w:lang w:val="en-US" w:eastAsia="zh-CN"/>
        </w:rPr>
        <w:t>10</w:t>
      </w:r>
      <w:r>
        <w:rPr>
          <w:rFonts w:hint="default" w:ascii="Times New Roman" w:hAnsi="Times New Roman" w:cs="Times New Roman"/>
          <w:color w:val="auto"/>
          <w:kern w:val="0"/>
          <w:sz w:val="24"/>
          <w:highlight w:val="none"/>
        </w:rPr>
        <w:t>万m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/a</w:t>
      </w:r>
      <w:r>
        <w:rPr>
          <w:rFonts w:hint="default" w:ascii="Times New Roman" w:hAnsi="Times New Roman" w:cs="Times New Roman"/>
          <w:color w:val="auto"/>
          <w:kern w:val="0"/>
          <w:sz w:val="24"/>
          <w:highlight w:val="none"/>
          <w:lang w:val="en-US" w:eastAsia="zh-CN"/>
        </w:rPr>
        <w:t>及100吨乳化沥青。</w:t>
      </w:r>
    </w:p>
    <w:p w14:paraId="660B682B">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206" w:name="_Toc17096"/>
      <w:bookmarkStart w:id="207" w:name="_Toc192758896"/>
      <w:bookmarkStart w:id="208" w:name="_Toc28601"/>
      <w:bookmarkStart w:id="209" w:name="_Toc25693"/>
      <w:bookmarkStart w:id="210" w:name="_Toc5071"/>
      <w:bookmarkStart w:id="211" w:name="_Toc193459985"/>
      <w:bookmarkStart w:id="212" w:name="_Toc12119"/>
      <w:bookmarkStart w:id="213" w:name="_Toc18023"/>
      <w:r>
        <w:rPr>
          <w:rFonts w:hint="default" w:ascii="Times New Roman" w:hAnsi="Times New Roman" w:eastAsia="黑体" w:cs="Times New Roman"/>
          <w:bCs/>
          <w:color w:val="auto"/>
          <w:kern w:val="44"/>
          <w:sz w:val="24"/>
          <w:highlight w:val="none"/>
        </w:rPr>
        <w:t>2.2建设内容</w:t>
      </w:r>
      <w:bookmarkEnd w:id="206"/>
      <w:bookmarkEnd w:id="207"/>
      <w:bookmarkEnd w:id="208"/>
      <w:bookmarkEnd w:id="209"/>
      <w:bookmarkEnd w:id="210"/>
      <w:bookmarkEnd w:id="211"/>
      <w:bookmarkEnd w:id="212"/>
      <w:bookmarkEnd w:id="213"/>
    </w:p>
    <w:p w14:paraId="0AB2EA5A">
      <w:pPr>
        <w:spacing w:line="500" w:lineRule="exact"/>
        <w:ind w:firstLine="480" w:firstLineChars="200"/>
        <w:rPr>
          <w:rFonts w:hint="default" w:ascii="Times New Roman" w:hAnsi="Times New Roman" w:cs="Times New Roman"/>
          <w:color w:val="auto"/>
          <w:kern w:val="0"/>
          <w:sz w:val="24"/>
          <w:highlight w:val="none"/>
        </w:rPr>
      </w:pPr>
      <w:bookmarkStart w:id="214" w:name="_Toc14645"/>
      <w:r>
        <w:rPr>
          <w:rFonts w:hint="default" w:ascii="Times New Roman" w:hAnsi="Times New Roman" w:cs="Times New Roman"/>
          <w:color w:val="auto"/>
          <w:kern w:val="0"/>
          <w:sz w:val="24"/>
          <w:highlight w:val="none"/>
        </w:rPr>
        <w:t>本项目主体工程、辅助工程、储运工程、公用工程及环保工程、防渗工程等详见下表。</w:t>
      </w:r>
    </w:p>
    <w:p w14:paraId="2EDDF196">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表2-1 建设项目组成一览表</w:t>
      </w:r>
    </w:p>
    <w:tbl>
      <w:tblPr>
        <w:tblStyle w:val="30"/>
        <w:tblW w:w="0" w:type="auto"/>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655"/>
        <w:gridCol w:w="1203"/>
        <w:gridCol w:w="5362"/>
        <w:gridCol w:w="689"/>
      </w:tblGrid>
      <w:tr w14:paraId="357D41F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Align w:val="center"/>
          </w:tcPr>
          <w:p w14:paraId="07D2D39E">
            <w:pPr>
              <w:pStyle w:val="65"/>
              <w:rPr>
                <w:rFonts w:hint="default" w:ascii="Times New Roman" w:hAnsi="Times New Roman" w:cs="Times New Roman"/>
                <w:color w:val="auto"/>
                <w:sz w:val="21"/>
                <w:szCs w:val="21"/>
                <w:highlight w:val="none"/>
              </w:rPr>
            </w:pPr>
            <w:bookmarkStart w:id="215" w:name="_Toc13583"/>
            <w:bookmarkStart w:id="216" w:name="_Toc193459986"/>
            <w:bookmarkStart w:id="217" w:name="_Toc22267"/>
            <w:bookmarkStart w:id="218" w:name="_Toc192758897"/>
            <w:bookmarkStart w:id="219" w:name="_Toc6285"/>
            <w:bookmarkStart w:id="220" w:name="_Toc16665"/>
            <w:bookmarkStart w:id="221" w:name="_Toc26347"/>
            <w:r>
              <w:rPr>
                <w:rFonts w:hint="default" w:ascii="Times New Roman" w:hAnsi="Times New Roman" w:cs="Times New Roman"/>
                <w:color w:val="auto"/>
                <w:sz w:val="21"/>
                <w:szCs w:val="21"/>
                <w:highlight w:val="none"/>
              </w:rPr>
              <w:t>项目</w:t>
            </w:r>
          </w:p>
        </w:tc>
        <w:tc>
          <w:tcPr>
            <w:tcW w:w="1203" w:type="dxa"/>
            <w:vAlign w:val="center"/>
          </w:tcPr>
          <w:p w14:paraId="4C2FD1A2">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5362" w:type="dxa"/>
            <w:vAlign w:val="center"/>
          </w:tcPr>
          <w:p w14:paraId="37E92943">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tc>
        <w:tc>
          <w:tcPr>
            <w:tcW w:w="689" w:type="dxa"/>
            <w:vAlign w:val="center"/>
          </w:tcPr>
          <w:p w14:paraId="18E47574">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r>
      <w:tr w14:paraId="0D7025B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001" w:hRule="atLeast"/>
          <w:jc w:val="center"/>
        </w:trPr>
        <w:tc>
          <w:tcPr>
            <w:tcW w:w="655" w:type="dxa"/>
            <w:vMerge w:val="restart"/>
            <w:vAlign w:val="center"/>
          </w:tcPr>
          <w:p w14:paraId="1BAD4D2A">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1203" w:type="dxa"/>
            <w:tcBorders>
              <w:bottom w:val="single" w:color="auto" w:sz="4" w:space="0"/>
            </w:tcBorders>
            <w:vAlign w:val="center"/>
          </w:tcPr>
          <w:p w14:paraId="19A5E01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沥青混凝土</w:t>
            </w:r>
            <w:r>
              <w:rPr>
                <w:rFonts w:hint="default" w:ascii="Times New Roman" w:hAnsi="Times New Roman" w:cs="Times New Roman"/>
                <w:color w:val="auto"/>
                <w:szCs w:val="21"/>
                <w:highlight w:val="none"/>
                <w:lang w:eastAsia="zh-CN"/>
              </w:rPr>
              <w:t>拌合</w:t>
            </w:r>
            <w:r>
              <w:rPr>
                <w:rFonts w:hint="default" w:ascii="Times New Roman" w:hAnsi="Times New Roman" w:cs="Times New Roman"/>
                <w:color w:val="auto"/>
                <w:szCs w:val="21"/>
                <w:highlight w:val="none"/>
                <w:lang w:val="en-US" w:eastAsia="zh-CN"/>
              </w:rPr>
              <w:t>系统</w:t>
            </w:r>
          </w:p>
        </w:tc>
        <w:tc>
          <w:tcPr>
            <w:tcW w:w="5362" w:type="dxa"/>
            <w:shd w:val="clear" w:color="auto" w:fill="auto"/>
            <w:vAlign w:val="center"/>
          </w:tcPr>
          <w:p w14:paraId="5D729BF8">
            <w:pP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本项目</w:t>
            </w:r>
            <w:r>
              <w:rPr>
                <w:rFonts w:hint="default" w:ascii="Times New Roman" w:hAnsi="Times New Roman" w:cs="Times New Roman"/>
                <w:color w:val="auto"/>
                <w:sz w:val="21"/>
                <w:szCs w:val="21"/>
                <w:highlight w:val="none"/>
                <w:lang w:val="en-US" w:eastAsia="zh-CN"/>
              </w:rPr>
              <w:t>建设沥青混凝土生产线一条，建成后年生产沥青混凝土10万吨，沥青混凝土成品直接外运，不在厂区内储存。拌合装置设备型号为XAP245。占地面积1444m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，钢结构，高20m密闭设置，内设拌合装置</w:t>
            </w:r>
            <w:r>
              <w:rPr>
                <w:rFonts w:hint="default" w:ascii="Times New Roman" w:hAnsi="Times New Roman" w:cs="Times New Roman"/>
                <w:color w:val="auto"/>
                <w:szCs w:val="21"/>
                <w:highlight w:val="none"/>
              </w:rPr>
              <w:t>及各配套系统，将沥青、碎石、矿粉等原料按照一定的比例进行搅拌成沥青混凝土成品</w:t>
            </w:r>
            <w:r>
              <w:rPr>
                <w:rFonts w:hint="default" w:ascii="Times New Roman" w:hAnsi="Times New Roman" w:cs="Times New Roman"/>
                <w:color w:val="auto"/>
                <w:sz w:val="21"/>
                <w:szCs w:val="21"/>
                <w:highlight w:val="none"/>
                <w:lang w:val="en-US" w:eastAsia="zh-CN"/>
              </w:rPr>
              <w:t>，导热油炉，沥青罐、矿粉仓等生产设施均位于拌合系统旁，输送系统均为密闭</w:t>
            </w:r>
            <w:r>
              <w:rPr>
                <w:rFonts w:hint="default" w:ascii="Times New Roman" w:hAnsi="Times New Roman" w:cs="Times New Roman"/>
                <w:color w:val="auto"/>
                <w:szCs w:val="21"/>
                <w:highlight w:val="none"/>
              </w:rPr>
              <w:t>。</w:t>
            </w:r>
          </w:p>
        </w:tc>
        <w:tc>
          <w:tcPr>
            <w:tcW w:w="689" w:type="dxa"/>
            <w:shd w:val="clear" w:color="auto" w:fill="auto"/>
            <w:vAlign w:val="center"/>
          </w:tcPr>
          <w:p w14:paraId="472DEB4A">
            <w:pPr>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新建</w:t>
            </w:r>
          </w:p>
        </w:tc>
      </w:tr>
      <w:tr w14:paraId="5288BC8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0311AE94">
            <w:pPr>
              <w:pStyle w:val="65"/>
              <w:rPr>
                <w:rFonts w:hint="default" w:ascii="Times New Roman" w:hAnsi="Times New Roman" w:cs="Times New Roman"/>
                <w:color w:val="auto"/>
                <w:sz w:val="21"/>
                <w:szCs w:val="21"/>
                <w:highlight w:val="none"/>
              </w:rPr>
            </w:pPr>
          </w:p>
        </w:tc>
        <w:tc>
          <w:tcPr>
            <w:tcW w:w="1203" w:type="dxa"/>
            <w:tcBorders>
              <w:top w:val="single" w:color="auto" w:sz="4" w:space="0"/>
            </w:tcBorders>
            <w:vAlign w:val="center"/>
          </w:tcPr>
          <w:p w14:paraId="53F8E1B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乳化沥青</w:t>
            </w:r>
            <w:r>
              <w:rPr>
                <w:rFonts w:hint="default" w:ascii="Times New Roman" w:hAnsi="Times New Roman" w:cs="Times New Roman"/>
                <w:bCs/>
                <w:color w:val="auto"/>
                <w:sz w:val="21"/>
                <w:szCs w:val="21"/>
                <w:highlight w:val="none"/>
                <w:lang w:val="en-US" w:eastAsia="zh-CN"/>
              </w:rPr>
              <w:t>搅拌系统</w:t>
            </w:r>
          </w:p>
        </w:tc>
        <w:tc>
          <w:tcPr>
            <w:tcW w:w="5362" w:type="dxa"/>
            <w:vAlign w:val="center"/>
          </w:tcPr>
          <w:p w14:paraId="746B365B">
            <w:pPr>
              <w:rPr>
                <w:rFonts w:hint="default" w:ascii="Times New Roman" w:hAnsi="Times New Roman" w:cs="Times New Roman"/>
                <w:color w:val="auto"/>
                <w:szCs w:val="21"/>
                <w:highlight w:val="none"/>
                <w:lang w:val="en-US"/>
              </w:rPr>
            </w:pPr>
            <w:r>
              <w:rPr>
                <w:rFonts w:hint="default" w:ascii="Times New Roman" w:hAnsi="Times New Roman" w:eastAsia="宋体" w:cs="Times New Roman"/>
                <w:bCs/>
                <w:color w:val="auto"/>
                <w:sz w:val="21"/>
                <w:szCs w:val="21"/>
                <w:highlight w:val="none"/>
                <w:vertAlign w:val="baseline"/>
                <w:lang w:val="en-US" w:eastAsia="zh-CN"/>
              </w:rPr>
              <w:t>本项目新建</w:t>
            </w:r>
            <w:r>
              <w:rPr>
                <w:rFonts w:hint="default" w:ascii="Times New Roman" w:hAnsi="Times New Roman" w:cs="Times New Roman"/>
                <w:bCs/>
                <w:color w:val="auto"/>
                <w:sz w:val="21"/>
                <w:szCs w:val="21"/>
                <w:highlight w:val="none"/>
                <w:vertAlign w:val="baseline"/>
                <w:lang w:val="en-US" w:eastAsia="zh-CN"/>
              </w:rPr>
              <w:t>一条</w:t>
            </w:r>
            <w:r>
              <w:rPr>
                <w:rFonts w:hint="default" w:ascii="Times New Roman" w:hAnsi="Times New Roman" w:eastAsia="宋体" w:cs="Times New Roman"/>
                <w:bCs/>
                <w:color w:val="auto"/>
                <w:sz w:val="21"/>
                <w:szCs w:val="21"/>
                <w:highlight w:val="none"/>
                <w:vertAlign w:val="baseline"/>
                <w:lang w:val="en-US" w:eastAsia="zh-CN"/>
              </w:rPr>
              <w:t>乳化沥青生产线，产能为100t/a，</w:t>
            </w:r>
            <w:r>
              <w:rPr>
                <w:rFonts w:hint="default" w:ascii="Times New Roman" w:hAnsi="Times New Roman" w:cs="Times New Roman"/>
                <w:bCs/>
                <w:color w:val="auto"/>
                <w:sz w:val="21"/>
                <w:szCs w:val="21"/>
                <w:highlight w:val="none"/>
                <w:vertAlign w:val="baseline"/>
                <w:lang w:val="en-US" w:eastAsia="zh-CN"/>
              </w:rPr>
              <w:t>占地</w:t>
            </w:r>
            <w:r>
              <w:rPr>
                <w:rFonts w:hint="default" w:ascii="Times New Roman" w:hAnsi="Times New Roman" w:eastAsia="宋体" w:cs="Times New Roman"/>
                <w:bCs/>
                <w:color w:val="auto"/>
                <w:sz w:val="21"/>
                <w:szCs w:val="21"/>
                <w:highlight w:val="none"/>
                <w:vertAlign w:val="baseline"/>
                <w:lang w:val="en-US" w:eastAsia="zh-CN"/>
              </w:rPr>
              <w:t>面积</w:t>
            </w:r>
            <w:r>
              <w:rPr>
                <w:rFonts w:hint="default" w:ascii="Times New Roman" w:hAnsi="Times New Roman" w:cs="Times New Roman"/>
                <w:bCs/>
                <w:color w:val="auto"/>
                <w:sz w:val="21"/>
                <w:szCs w:val="21"/>
                <w:highlight w:val="none"/>
                <w:vertAlign w:val="baseline"/>
                <w:lang w:val="en-US" w:eastAsia="zh-CN"/>
              </w:rPr>
              <w:t>13</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，高2.2米。内设乳化沥青搅拌装置，将沥青、乳化剂、水按一定比例搅拌，输送系统均为密闭</w:t>
            </w:r>
            <w:r>
              <w:rPr>
                <w:rFonts w:hint="default" w:ascii="Times New Roman" w:hAnsi="Times New Roman" w:cs="Times New Roman"/>
                <w:color w:val="auto"/>
                <w:szCs w:val="21"/>
                <w:highlight w:val="none"/>
              </w:rPr>
              <w:t>。</w:t>
            </w:r>
          </w:p>
        </w:tc>
        <w:tc>
          <w:tcPr>
            <w:tcW w:w="689" w:type="dxa"/>
            <w:vAlign w:val="center"/>
          </w:tcPr>
          <w:p w14:paraId="7A07A2FC">
            <w:pPr>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新建</w:t>
            </w:r>
          </w:p>
        </w:tc>
      </w:tr>
      <w:tr w14:paraId="054ABA8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restart"/>
            <w:vAlign w:val="center"/>
          </w:tcPr>
          <w:p w14:paraId="1EAC2861">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辅助工程</w:t>
            </w:r>
          </w:p>
        </w:tc>
        <w:tc>
          <w:tcPr>
            <w:tcW w:w="1203" w:type="dxa"/>
            <w:vAlign w:val="center"/>
          </w:tcPr>
          <w:p w14:paraId="13C8949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导热油炉</w:t>
            </w:r>
          </w:p>
        </w:tc>
        <w:tc>
          <w:tcPr>
            <w:tcW w:w="5362" w:type="dxa"/>
            <w:vAlign w:val="center"/>
          </w:tcPr>
          <w:p w14:paraId="746B5E79">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rPr>
              <w:t>占地面积30m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，位于厂区西北侧，设置一台100万kcal燃油导热油炉，年运行150天，年工作800小时。</w:t>
            </w:r>
          </w:p>
        </w:tc>
        <w:tc>
          <w:tcPr>
            <w:tcW w:w="689" w:type="dxa"/>
            <w:vAlign w:val="center"/>
          </w:tcPr>
          <w:p w14:paraId="78AD89CA">
            <w:pPr>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新建</w:t>
            </w:r>
          </w:p>
        </w:tc>
      </w:tr>
      <w:tr w14:paraId="62E1BC7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43830555">
            <w:pPr>
              <w:pStyle w:val="65"/>
              <w:rPr>
                <w:rFonts w:hint="default" w:ascii="Times New Roman" w:hAnsi="Times New Roman" w:cs="Times New Roman"/>
                <w:color w:val="auto"/>
                <w:sz w:val="21"/>
                <w:szCs w:val="21"/>
                <w:highlight w:val="none"/>
              </w:rPr>
            </w:pPr>
          </w:p>
        </w:tc>
        <w:tc>
          <w:tcPr>
            <w:tcW w:w="1203" w:type="dxa"/>
            <w:shd w:val="clear" w:color="auto" w:fill="auto"/>
            <w:vAlign w:val="center"/>
          </w:tcPr>
          <w:p w14:paraId="5CEEB252">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实验室</w:t>
            </w:r>
          </w:p>
        </w:tc>
        <w:tc>
          <w:tcPr>
            <w:tcW w:w="5362" w:type="dxa"/>
            <w:shd w:val="clear" w:color="auto" w:fill="auto"/>
            <w:vAlign w:val="center"/>
          </w:tcPr>
          <w:p w14:paraId="02EAB0EB">
            <w:pPr>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建设</w:t>
            </w:r>
            <w:r>
              <w:rPr>
                <w:rFonts w:hint="default" w:ascii="Times New Roman" w:hAnsi="Times New Roman" w:cs="Times New Roman"/>
                <w:color w:val="auto"/>
                <w:szCs w:val="21"/>
                <w:highlight w:val="none"/>
              </w:rPr>
              <w:t>1</w:t>
            </w:r>
            <w:r>
              <w:rPr>
                <w:rFonts w:hint="default" w:ascii="Times New Roman" w:hAnsi="Times New Roman" w:cs="Times New Roman"/>
                <w:color w:val="auto"/>
                <w:highlight w:val="none"/>
              </w:rPr>
              <w:t>座实验室</w:t>
            </w:r>
            <w:r>
              <w:rPr>
                <w:rFonts w:hint="default" w:ascii="Times New Roman" w:hAnsi="Times New Roman" w:cs="Times New Roman"/>
                <w:color w:val="auto"/>
                <w:szCs w:val="21"/>
                <w:highlight w:val="none"/>
              </w:rPr>
              <w:t>，</w:t>
            </w:r>
            <w:r>
              <w:rPr>
                <w:rStyle w:val="108"/>
                <w:rFonts w:hint="default" w:ascii="Times New Roman" w:hAnsi="Times New Roman" w:cs="Times New Roman"/>
                <w:color w:val="auto"/>
                <w:sz w:val="21"/>
                <w:szCs w:val="21"/>
                <w:highlight w:val="none"/>
              </w:rPr>
              <w:t>建筑面积</w:t>
            </w:r>
            <w:r>
              <w:rPr>
                <w:rStyle w:val="108"/>
                <w:rFonts w:hint="default" w:ascii="Times New Roman" w:hAnsi="Times New Roman" w:cs="Times New Roman"/>
                <w:color w:val="auto"/>
                <w:sz w:val="21"/>
                <w:szCs w:val="21"/>
                <w:highlight w:val="none"/>
                <w:lang w:val="en-US"/>
              </w:rPr>
              <w:t>40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2</w:t>
            </w:r>
            <w:r>
              <w:rPr>
                <w:rStyle w:val="108"/>
                <w:rFonts w:hint="default" w:ascii="Times New Roman" w:hAnsi="Times New Roman" w:cs="Times New Roman"/>
                <w:color w:val="auto"/>
                <w:sz w:val="21"/>
                <w:szCs w:val="21"/>
                <w:highlight w:val="none"/>
              </w:rPr>
              <w:t>，1层建筑，高</w:t>
            </w:r>
            <w:r>
              <w:rPr>
                <w:rFonts w:hint="default" w:ascii="Times New Roman" w:hAnsi="Times New Roman" w:cs="Times New Roman"/>
                <w:color w:val="auto"/>
                <w:highlight w:val="none"/>
              </w:rPr>
              <w:t>3</w:t>
            </w:r>
            <w:r>
              <w:rPr>
                <w:rFonts w:hint="default" w:ascii="Times New Roman" w:hAnsi="Times New Roman" w:cs="Times New Roman"/>
                <w:color w:val="auto"/>
                <w:szCs w:val="21"/>
                <w:highlight w:val="none"/>
              </w:rPr>
              <w:t>m</w:t>
            </w:r>
            <w:r>
              <w:rPr>
                <w:rStyle w:val="108"/>
                <w:rFonts w:hint="default" w:ascii="Times New Roman" w:hAnsi="Times New Roman" w:cs="Times New Roman"/>
                <w:color w:val="auto"/>
                <w:sz w:val="21"/>
                <w:szCs w:val="21"/>
                <w:highlight w:val="none"/>
              </w:rPr>
              <w:t>，全封闭钢结构，其中主要是对本项目产品进行测定强度、硬度等物理实验，不使用药品、化学品。</w:t>
            </w:r>
          </w:p>
        </w:tc>
        <w:tc>
          <w:tcPr>
            <w:tcW w:w="689" w:type="dxa"/>
            <w:shd w:val="clear" w:color="auto" w:fill="auto"/>
            <w:vAlign w:val="center"/>
          </w:tcPr>
          <w:p w14:paraId="11ECDB90">
            <w:pPr>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利用原有建筑</w:t>
            </w:r>
          </w:p>
        </w:tc>
      </w:tr>
      <w:tr w14:paraId="3B3CDA1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51D1899A">
            <w:pPr>
              <w:pStyle w:val="65"/>
              <w:rPr>
                <w:rFonts w:hint="default" w:ascii="Times New Roman" w:hAnsi="Times New Roman" w:cs="Times New Roman"/>
                <w:color w:val="auto"/>
                <w:sz w:val="21"/>
                <w:szCs w:val="21"/>
                <w:highlight w:val="none"/>
              </w:rPr>
            </w:pPr>
          </w:p>
        </w:tc>
        <w:tc>
          <w:tcPr>
            <w:tcW w:w="1203" w:type="dxa"/>
            <w:vAlign w:val="center"/>
          </w:tcPr>
          <w:p w14:paraId="4FDAA1E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称房</w:t>
            </w:r>
          </w:p>
        </w:tc>
        <w:tc>
          <w:tcPr>
            <w:tcW w:w="5362" w:type="dxa"/>
            <w:vAlign w:val="center"/>
          </w:tcPr>
          <w:p w14:paraId="3471A521">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对运输车辆进行称重，建筑面积</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00m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，1层建筑，高</w:t>
            </w:r>
            <w:r>
              <w:rPr>
                <w:rFonts w:hint="default" w:ascii="Times New Roman" w:hAnsi="Times New Roman" w:cs="Times New Roman"/>
                <w:color w:val="auto"/>
                <w:szCs w:val="21"/>
                <w:highlight w:val="none"/>
                <w:lang w:val="en-US" w:eastAsia="zh-CN"/>
              </w:rPr>
              <w:t>2.8</w:t>
            </w:r>
            <w:r>
              <w:rPr>
                <w:rFonts w:hint="default" w:ascii="Times New Roman" w:hAnsi="Times New Roman" w:cs="Times New Roman"/>
                <w:color w:val="auto"/>
                <w:szCs w:val="21"/>
                <w:highlight w:val="none"/>
              </w:rPr>
              <w:t>m，全封闭钢结构。</w:t>
            </w:r>
          </w:p>
        </w:tc>
        <w:tc>
          <w:tcPr>
            <w:tcW w:w="689" w:type="dxa"/>
            <w:vAlign w:val="center"/>
          </w:tcPr>
          <w:p w14:paraId="62B4B1F5">
            <w:pPr>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新建</w:t>
            </w:r>
          </w:p>
        </w:tc>
      </w:tr>
      <w:tr w14:paraId="1D4F669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7549B7BE">
            <w:pPr>
              <w:pStyle w:val="65"/>
              <w:rPr>
                <w:rFonts w:hint="default" w:ascii="Times New Roman" w:hAnsi="Times New Roman" w:cs="Times New Roman"/>
                <w:color w:val="auto"/>
                <w:sz w:val="21"/>
                <w:szCs w:val="21"/>
                <w:highlight w:val="none"/>
              </w:rPr>
            </w:pPr>
          </w:p>
        </w:tc>
        <w:tc>
          <w:tcPr>
            <w:tcW w:w="1203" w:type="dxa"/>
            <w:vAlign w:val="center"/>
          </w:tcPr>
          <w:p w14:paraId="2944A04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宿舍</w:t>
            </w:r>
          </w:p>
        </w:tc>
        <w:tc>
          <w:tcPr>
            <w:tcW w:w="5362" w:type="dxa"/>
            <w:vAlign w:val="center"/>
          </w:tcPr>
          <w:p w14:paraId="5B049556">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建设</w:t>
            </w:r>
            <w:r>
              <w:rPr>
                <w:rFonts w:hint="default" w:ascii="Times New Roman" w:hAnsi="Times New Roman" w:cs="Times New Roman"/>
                <w:color w:val="auto"/>
                <w:szCs w:val="21"/>
                <w:highlight w:val="none"/>
              </w:rPr>
              <w:t>1座宿舍，建筑面积</w:t>
            </w:r>
            <w:r>
              <w:rPr>
                <w:rFonts w:hint="default" w:ascii="Times New Roman" w:hAnsi="Times New Roman" w:cs="Times New Roman"/>
                <w:color w:val="auto"/>
                <w:szCs w:val="21"/>
                <w:highlight w:val="none"/>
                <w:lang w:val="en-US" w:eastAsia="zh-CN"/>
              </w:rPr>
              <w:t>13</w:t>
            </w:r>
            <w:r>
              <w:rPr>
                <w:rFonts w:hint="default" w:ascii="Times New Roman" w:hAnsi="Times New Roman" w:cs="Times New Roman"/>
                <w:color w:val="auto"/>
                <w:szCs w:val="21"/>
                <w:highlight w:val="none"/>
              </w:rPr>
              <w:t>0m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，1层建筑，高3m，全封闭钢结构，</w:t>
            </w:r>
            <w:r>
              <w:rPr>
                <w:rFonts w:hint="default" w:ascii="Times New Roman" w:hAnsi="Times New Roman" w:cs="Times New Roman"/>
                <w:color w:val="auto"/>
                <w:szCs w:val="21"/>
                <w:highlight w:val="none"/>
                <w:lang w:val="en-US" w:eastAsia="zh-CN"/>
              </w:rPr>
              <w:t>用于员工休息，</w:t>
            </w:r>
            <w:r>
              <w:rPr>
                <w:rFonts w:hint="default" w:ascii="Times New Roman" w:hAnsi="Times New Roman" w:cs="Times New Roman"/>
                <w:color w:val="auto"/>
                <w:szCs w:val="21"/>
                <w:highlight w:val="none"/>
              </w:rPr>
              <w:t>本项目不设置食堂。</w:t>
            </w:r>
          </w:p>
        </w:tc>
        <w:tc>
          <w:tcPr>
            <w:tcW w:w="689" w:type="dxa"/>
            <w:vAlign w:val="center"/>
          </w:tcPr>
          <w:p w14:paraId="33540858">
            <w:pPr>
              <w:pStyle w:val="65"/>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bidi="ar-SA"/>
              </w:rPr>
              <w:t>利用原有建筑</w:t>
            </w:r>
          </w:p>
        </w:tc>
      </w:tr>
      <w:tr w14:paraId="3E3C690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restart"/>
            <w:vAlign w:val="center"/>
          </w:tcPr>
          <w:p w14:paraId="1C9AA619">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储运工程</w:t>
            </w:r>
          </w:p>
        </w:tc>
        <w:tc>
          <w:tcPr>
            <w:tcW w:w="1203" w:type="dxa"/>
            <w:vAlign w:val="center"/>
          </w:tcPr>
          <w:p w14:paraId="57EAF049">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原料堆场</w:t>
            </w:r>
          </w:p>
        </w:tc>
        <w:tc>
          <w:tcPr>
            <w:tcW w:w="5362" w:type="dxa"/>
            <w:vAlign w:val="center"/>
          </w:tcPr>
          <w:p w14:paraId="7866A876">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新建1个</w:t>
            </w:r>
            <w:r>
              <w:rPr>
                <w:rFonts w:hint="default" w:ascii="Times New Roman" w:hAnsi="Times New Roman" w:cs="Times New Roman"/>
                <w:color w:val="auto"/>
                <w:sz w:val="21"/>
                <w:szCs w:val="21"/>
                <w:highlight w:val="none"/>
                <w:lang w:val="en-US" w:eastAsia="zh-CN"/>
              </w:rPr>
              <w:t>2000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的原料堆场，用于储存碎石。最大堆存高度为</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m，最大储量为</w:t>
            </w:r>
            <w:r>
              <w:rPr>
                <w:rFonts w:hint="default" w:ascii="Times New Roman" w:hAnsi="Times New Roman" w:cs="Times New Roman"/>
                <w:color w:val="auto"/>
                <w:sz w:val="21"/>
                <w:szCs w:val="21"/>
                <w:highlight w:val="none"/>
                <w:lang w:val="en-US" w:eastAsia="zh-CN"/>
              </w:rPr>
              <w:t>20000t</w:t>
            </w:r>
            <w:r>
              <w:rPr>
                <w:rFonts w:hint="default" w:ascii="Times New Roman" w:hAnsi="Times New Roman" w:cs="Times New Roman"/>
                <w:color w:val="auto"/>
                <w:sz w:val="21"/>
                <w:szCs w:val="21"/>
                <w:highlight w:val="none"/>
              </w:rPr>
              <w:t>，转运周期为</w:t>
            </w:r>
            <w:r>
              <w:rPr>
                <w:rFonts w:hint="default" w:ascii="Times New Roman" w:hAnsi="Times New Roman"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天。原料堆场表面铺盖苫布，四周设置防风抑尘网，防风抑尘网高4.5m，总长度约</w:t>
            </w:r>
            <w:r>
              <w:rPr>
                <w:rFonts w:hint="default" w:ascii="Times New Roman" w:hAnsi="Times New Roman" w:cs="Times New Roman"/>
                <w:color w:val="auto"/>
                <w:sz w:val="21"/>
                <w:szCs w:val="21"/>
                <w:highlight w:val="none"/>
                <w:lang w:val="en-US" w:eastAsia="zh-CN"/>
              </w:rPr>
              <w:t>200</w:t>
            </w:r>
            <w:r>
              <w:rPr>
                <w:rFonts w:hint="default" w:ascii="Times New Roman" w:hAnsi="Times New Roman" w:cs="Times New Roman"/>
                <w:color w:val="auto"/>
                <w:sz w:val="21"/>
                <w:szCs w:val="21"/>
                <w:highlight w:val="none"/>
              </w:rPr>
              <w:t>m，堆场配套安装喷淋装置进行定期</w:t>
            </w:r>
            <w:r>
              <w:rPr>
                <w:rFonts w:hint="default" w:ascii="Times New Roman" w:hAnsi="Times New Roman" w:cs="Times New Roman"/>
                <w:color w:val="auto"/>
                <w:sz w:val="21"/>
                <w:szCs w:val="21"/>
                <w:highlight w:val="none"/>
                <w:lang w:eastAsia="zh-CN"/>
              </w:rPr>
              <w:t>喷淋降尘</w:t>
            </w:r>
            <w:r>
              <w:rPr>
                <w:rFonts w:hint="default" w:ascii="Times New Roman" w:hAnsi="Times New Roman" w:cs="Times New Roman"/>
                <w:color w:val="auto"/>
                <w:sz w:val="21"/>
                <w:szCs w:val="21"/>
                <w:highlight w:val="none"/>
              </w:rPr>
              <w:t>。</w:t>
            </w:r>
          </w:p>
        </w:tc>
        <w:tc>
          <w:tcPr>
            <w:tcW w:w="689" w:type="dxa"/>
            <w:vAlign w:val="center"/>
          </w:tcPr>
          <w:p w14:paraId="2A16E961">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57AEFA2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12438E8B">
            <w:pPr>
              <w:pStyle w:val="65"/>
              <w:rPr>
                <w:rFonts w:hint="default" w:ascii="Times New Roman" w:hAnsi="Times New Roman" w:cs="Times New Roman"/>
                <w:color w:val="auto"/>
                <w:sz w:val="21"/>
                <w:szCs w:val="21"/>
                <w:highlight w:val="none"/>
              </w:rPr>
            </w:pPr>
          </w:p>
        </w:tc>
        <w:tc>
          <w:tcPr>
            <w:tcW w:w="1203" w:type="dxa"/>
            <w:vAlign w:val="center"/>
          </w:tcPr>
          <w:p w14:paraId="52BF5C57">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库房</w:t>
            </w:r>
          </w:p>
        </w:tc>
        <w:tc>
          <w:tcPr>
            <w:tcW w:w="5362" w:type="dxa"/>
            <w:vAlign w:val="center"/>
          </w:tcPr>
          <w:p w14:paraId="01B72FC4">
            <w:pPr>
              <w:pStyle w:val="6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1座，总建筑面积6</w:t>
            </w:r>
            <w:r>
              <w:rPr>
                <w:rFonts w:hint="default" w:ascii="Times New Roman" w:hAnsi="Times New Roman" w:cs="Times New Roman"/>
                <w:color w:val="auto"/>
                <w:sz w:val="21"/>
                <w:szCs w:val="21"/>
                <w:highlight w:val="none"/>
              </w:rPr>
              <w:t>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用于存放乳化剂、工具等。</w:t>
            </w:r>
          </w:p>
        </w:tc>
        <w:tc>
          <w:tcPr>
            <w:tcW w:w="689" w:type="dxa"/>
            <w:vAlign w:val="center"/>
          </w:tcPr>
          <w:p w14:paraId="0092C775">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bidi="ar-SA"/>
              </w:rPr>
              <w:t>利用原有建筑</w:t>
            </w:r>
          </w:p>
        </w:tc>
      </w:tr>
      <w:tr w14:paraId="0CB5192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7DEDA42E">
            <w:pPr>
              <w:pStyle w:val="65"/>
              <w:rPr>
                <w:rFonts w:hint="default" w:ascii="Times New Roman" w:hAnsi="Times New Roman" w:cs="Times New Roman"/>
                <w:color w:val="auto"/>
                <w:sz w:val="21"/>
                <w:szCs w:val="21"/>
                <w:highlight w:val="none"/>
              </w:rPr>
            </w:pPr>
          </w:p>
        </w:tc>
        <w:tc>
          <w:tcPr>
            <w:tcW w:w="1203" w:type="dxa"/>
            <w:vAlign w:val="center"/>
          </w:tcPr>
          <w:p w14:paraId="25944DA8">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矿粉仓</w:t>
            </w:r>
          </w:p>
        </w:tc>
        <w:tc>
          <w:tcPr>
            <w:tcW w:w="5362" w:type="dxa"/>
            <w:vAlign w:val="center"/>
          </w:tcPr>
          <w:p w14:paraId="3AF5C5BA">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位于厂区西北侧，</w:t>
            </w:r>
            <w:r>
              <w:rPr>
                <w:rFonts w:hint="default" w:ascii="Times New Roman" w:hAnsi="Times New Roman" w:cs="Times New Roman"/>
                <w:color w:val="auto"/>
                <w:sz w:val="21"/>
                <w:szCs w:val="21"/>
                <w:highlight w:val="none"/>
                <w:lang w:val="en-US" w:eastAsia="zh-CN"/>
              </w:rPr>
              <w:t>矿粉仓1个（75m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），罐顶离地高度20m。</w:t>
            </w:r>
          </w:p>
        </w:tc>
        <w:tc>
          <w:tcPr>
            <w:tcW w:w="689" w:type="dxa"/>
            <w:vAlign w:val="center"/>
          </w:tcPr>
          <w:p w14:paraId="5328A3A9">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275320D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2B567BD4">
            <w:pPr>
              <w:pStyle w:val="65"/>
              <w:rPr>
                <w:rFonts w:hint="default" w:ascii="Times New Roman" w:hAnsi="Times New Roman" w:cs="Times New Roman"/>
                <w:color w:val="auto"/>
                <w:sz w:val="21"/>
                <w:szCs w:val="21"/>
                <w:highlight w:val="none"/>
              </w:rPr>
            </w:pPr>
          </w:p>
        </w:tc>
        <w:tc>
          <w:tcPr>
            <w:tcW w:w="1203" w:type="dxa"/>
            <w:vAlign w:val="center"/>
          </w:tcPr>
          <w:p w14:paraId="78636967">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沥青罐</w:t>
            </w:r>
          </w:p>
        </w:tc>
        <w:tc>
          <w:tcPr>
            <w:tcW w:w="5362" w:type="dxa"/>
            <w:vAlign w:val="center"/>
          </w:tcPr>
          <w:p w14:paraId="1D6C3086">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设置</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个封闭式沥青罐，单个储罐储存量为50m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。沥青储罐区地面参照重点防渗要求进行防渗，设置非燃烧材料的防火堤围堰，有效容积不小于最大贮罐的容积，发生泄漏时可及时收集全部泄漏物，并转移到空置的容器内，不会引起大气及水环境污染。</w:t>
            </w:r>
          </w:p>
        </w:tc>
        <w:tc>
          <w:tcPr>
            <w:tcW w:w="689" w:type="dxa"/>
            <w:vAlign w:val="center"/>
          </w:tcPr>
          <w:p w14:paraId="5834E156">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2813B69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68465FBB">
            <w:pPr>
              <w:pStyle w:val="65"/>
              <w:rPr>
                <w:rFonts w:hint="default" w:ascii="Times New Roman" w:hAnsi="Times New Roman" w:cs="Times New Roman"/>
                <w:color w:val="auto"/>
                <w:sz w:val="21"/>
                <w:szCs w:val="21"/>
                <w:highlight w:val="none"/>
              </w:rPr>
            </w:pPr>
          </w:p>
        </w:tc>
        <w:tc>
          <w:tcPr>
            <w:tcW w:w="1203" w:type="dxa"/>
            <w:vAlign w:val="center"/>
          </w:tcPr>
          <w:p w14:paraId="7D5A4A52">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柴油储罐</w:t>
            </w:r>
          </w:p>
        </w:tc>
        <w:tc>
          <w:tcPr>
            <w:tcW w:w="5362" w:type="dxa"/>
            <w:vAlign w:val="center"/>
          </w:tcPr>
          <w:p w14:paraId="2E9305BE">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设置</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个柴油储罐，（容积</w:t>
            </w:r>
            <w:r>
              <w:rPr>
                <w:rFonts w:hint="default" w:ascii="Times New Roman" w:hAnsi="Times New Roman" w:cs="Times New Roman"/>
                <w:color w:val="auto"/>
                <w:szCs w:val="21"/>
                <w:highlight w:val="none"/>
                <w:lang w:val="en-US" w:eastAsia="zh-CN"/>
              </w:rPr>
              <w:t>分别</w:t>
            </w:r>
            <w:r>
              <w:rPr>
                <w:rFonts w:hint="default" w:ascii="Times New Roman" w:hAnsi="Times New Roman" w:cs="Times New Roman"/>
                <w:color w:val="auto"/>
                <w:szCs w:val="21"/>
                <w:highlight w:val="none"/>
              </w:rPr>
              <w:t>为</w:t>
            </w:r>
            <w:r>
              <w:rPr>
                <w:rFonts w:hint="default" w:ascii="Times New Roman" w:hAnsi="Times New Roman" w:cs="Times New Roman"/>
                <w:color w:val="auto"/>
                <w:szCs w:val="21"/>
                <w:highlight w:val="none"/>
                <w:lang w:val="en-US" w:eastAsia="zh-CN"/>
              </w:rPr>
              <w:t>50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lang w:val="en-US" w:eastAsia="zh-CN"/>
              </w:rPr>
              <w:t>、10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），柴油罐区地面参照重点防渗要求进行防渗，设置非燃烧材料的防火堤围堰，有效容积不小于最大贮罐的容积，发生泄漏时可及时收集全部泄漏物，并转移到空置的容器内，不会引起大气及水环境污染。</w:t>
            </w:r>
          </w:p>
        </w:tc>
        <w:tc>
          <w:tcPr>
            <w:tcW w:w="689" w:type="dxa"/>
            <w:vAlign w:val="center"/>
          </w:tcPr>
          <w:p w14:paraId="0DADF2BE">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1705661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7F98ED71">
            <w:pPr>
              <w:pStyle w:val="65"/>
              <w:rPr>
                <w:rFonts w:hint="default" w:ascii="Times New Roman" w:hAnsi="Times New Roman" w:cs="Times New Roman"/>
                <w:color w:val="auto"/>
                <w:sz w:val="21"/>
                <w:szCs w:val="21"/>
                <w:highlight w:val="none"/>
              </w:rPr>
            </w:pPr>
          </w:p>
        </w:tc>
        <w:tc>
          <w:tcPr>
            <w:tcW w:w="1203" w:type="dxa"/>
            <w:vAlign w:val="center"/>
          </w:tcPr>
          <w:p w14:paraId="7780A1E0">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危险废物</w:t>
            </w:r>
            <w:r>
              <w:rPr>
                <w:rFonts w:hint="default" w:ascii="Times New Roman" w:hAnsi="Times New Roman" w:cs="Times New Roman"/>
                <w:color w:val="auto"/>
                <w:szCs w:val="21"/>
                <w:highlight w:val="none"/>
                <w:lang w:eastAsia="zh-CN"/>
              </w:rPr>
              <w:t>贮存点</w:t>
            </w:r>
          </w:p>
        </w:tc>
        <w:tc>
          <w:tcPr>
            <w:tcW w:w="5362" w:type="dxa"/>
            <w:vAlign w:val="center"/>
          </w:tcPr>
          <w:p w14:paraId="00473D13">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本项目建设危险废物</w:t>
            </w:r>
            <w:r>
              <w:rPr>
                <w:rFonts w:hint="default" w:ascii="Times New Roman" w:hAnsi="Times New Roman" w:cs="Times New Roman"/>
                <w:color w:val="auto"/>
                <w:highlight w:val="none"/>
                <w:lang w:eastAsia="zh-CN"/>
              </w:rPr>
              <w:t>贮存点</w:t>
            </w:r>
            <w:r>
              <w:rPr>
                <w:rFonts w:hint="default" w:ascii="Times New Roman" w:hAnsi="Times New Roman" w:cs="Times New Roman"/>
                <w:color w:val="auto"/>
                <w:highlight w:val="none"/>
              </w:rPr>
              <w:t>1座，占地面积10m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。危险废物</w:t>
            </w:r>
            <w:r>
              <w:rPr>
                <w:rFonts w:hint="default" w:ascii="Times New Roman" w:hAnsi="Times New Roman" w:cs="Times New Roman"/>
                <w:color w:val="auto"/>
                <w:highlight w:val="none"/>
                <w:lang w:eastAsia="zh-CN"/>
              </w:rPr>
              <w:t>贮存点</w:t>
            </w:r>
            <w:r>
              <w:rPr>
                <w:rFonts w:hint="default" w:ascii="Times New Roman" w:hAnsi="Times New Roman" w:cs="Times New Roman"/>
                <w:color w:val="auto"/>
                <w:highlight w:val="none"/>
              </w:rPr>
              <w:t>按照《危险废物贮存污染控制标准》（GB18597-2023）的相关要求，</w:t>
            </w:r>
            <w:r>
              <w:rPr>
                <w:rFonts w:hint="default" w:ascii="Times New Roman" w:hAnsi="Times New Roman" w:cs="Times New Roman"/>
                <w:color w:val="auto"/>
                <w:highlight w:val="none"/>
                <w:lang w:val="en-US" w:eastAsia="zh-CN"/>
              </w:rPr>
              <w:t>采用重点防渗，表面防渗材料应与所接触的物料或污染物相容，可采用抗渗混凝土、高密度聚乙烯膜、钠基膨润土防水毯或其他防渗性能等效的材料。贮存的危险废物直接接触地面的，还应进行基础防渗，防渗层为至少 1 m 厚黏土层（渗透系数不大于 10</w:t>
            </w:r>
            <w:r>
              <w:rPr>
                <w:rFonts w:hint="default" w:ascii="Times New Roman" w:hAnsi="Times New Roman" w:cs="Times New Roman"/>
                <w:color w:val="auto"/>
                <w:highlight w:val="none"/>
                <w:vertAlign w:val="superscript"/>
                <w:lang w:val="en-US" w:eastAsia="zh-CN"/>
              </w:rPr>
              <w:t>-7</w:t>
            </w:r>
            <w:r>
              <w:rPr>
                <w:rFonts w:hint="default" w:ascii="Times New Roman" w:hAnsi="Times New Roman" w:cs="Times New Roman"/>
                <w:color w:val="auto"/>
                <w:highlight w:val="none"/>
                <w:lang w:val="en-US" w:eastAsia="zh-CN"/>
              </w:rPr>
              <w:t xml:space="preserve"> cm/s），或至少2 mm 厚高密度聚乙烯膜等人工防渗材料（渗透系数不大于 10</w:t>
            </w:r>
            <w:r>
              <w:rPr>
                <w:rFonts w:hint="default" w:ascii="Times New Roman" w:hAnsi="Times New Roman" w:cs="Times New Roman"/>
                <w:color w:val="auto"/>
                <w:highlight w:val="none"/>
                <w:vertAlign w:val="superscript"/>
                <w:lang w:val="en-US" w:eastAsia="zh-CN"/>
              </w:rPr>
              <w:t>-10</w:t>
            </w:r>
            <w:r>
              <w:rPr>
                <w:rFonts w:hint="default" w:ascii="Times New Roman" w:hAnsi="Times New Roman" w:cs="Times New Roman"/>
                <w:color w:val="auto"/>
                <w:highlight w:val="none"/>
                <w:lang w:val="en-US" w:eastAsia="zh-CN"/>
              </w:rPr>
              <w:t xml:space="preserve"> cm/s），或其他防渗性能等效的材料</w:t>
            </w:r>
            <w:r>
              <w:rPr>
                <w:rFonts w:hint="default" w:ascii="Times New Roman" w:hAnsi="Times New Roman" w:cs="Times New Roman"/>
                <w:color w:val="auto"/>
                <w:szCs w:val="21"/>
                <w:highlight w:val="none"/>
              </w:rPr>
              <w:t>。</w:t>
            </w:r>
          </w:p>
        </w:tc>
        <w:tc>
          <w:tcPr>
            <w:tcW w:w="689" w:type="dxa"/>
            <w:vAlign w:val="center"/>
          </w:tcPr>
          <w:p w14:paraId="7F85D71C">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155C99D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62F27B25">
            <w:pPr>
              <w:pStyle w:val="65"/>
              <w:rPr>
                <w:rFonts w:hint="default" w:ascii="Times New Roman" w:hAnsi="Times New Roman" w:cs="Times New Roman"/>
                <w:color w:val="auto"/>
                <w:sz w:val="21"/>
                <w:szCs w:val="21"/>
                <w:highlight w:val="none"/>
              </w:rPr>
            </w:pPr>
          </w:p>
        </w:tc>
        <w:tc>
          <w:tcPr>
            <w:tcW w:w="1203" w:type="dxa"/>
            <w:vAlign w:val="center"/>
          </w:tcPr>
          <w:p w14:paraId="239A083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沉淀池</w:t>
            </w:r>
          </w:p>
        </w:tc>
        <w:tc>
          <w:tcPr>
            <w:tcW w:w="5362" w:type="dxa"/>
            <w:vAlign w:val="center"/>
          </w:tcPr>
          <w:p w14:paraId="47E9CD1B">
            <w:pPr>
              <w:adjustRightInd w:val="0"/>
              <w:snapToGrid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本项目设置5m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sz w:val="21"/>
                <w:szCs w:val="21"/>
                <w:highlight w:val="none"/>
                <w:lang w:val="en-US" w:eastAsia="zh-CN"/>
              </w:rPr>
              <w:t>沉淀池，沉淀池采取重点防渗，沉淀池用于冲洗废水的隔油沉淀处理。</w:t>
            </w:r>
          </w:p>
        </w:tc>
        <w:tc>
          <w:tcPr>
            <w:tcW w:w="689" w:type="dxa"/>
            <w:vAlign w:val="center"/>
          </w:tcPr>
          <w:p w14:paraId="46BB2937">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567AD4A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1D30F739">
            <w:pPr>
              <w:pStyle w:val="65"/>
              <w:rPr>
                <w:rFonts w:hint="default" w:ascii="Times New Roman" w:hAnsi="Times New Roman" w:cs="Times New Roman"/>
                <w:color w:val="auto"/>
                <w:sz w:val="21"/>
                <w:szCs w:val="21"/>
                <w:highlight w:val="none"/>
              </w:rPr>
            </w:pPr>
          </w:p>
        </w:tc>
        <w:tc>
          <w:tcPr>
            <w:tcW w:w="1203" w:type="dxa"/>
            <w:shd w:val="clear" w:color="auto" w:fill="auto"/>
            <w:vAlign w:val="center"/>
          </w:tcPr>
          <w:p w14:paraId="7028695A">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事故池</w:t>
            </w:r>
          </w:p>
        </w:tc>
        <w:tc>
          <w:tcPr>
            <w:tcW w:w="5362" w:type="dxa"/>
            <w:shd w:val="clear" w:color="auto" w:fill="auto"/>
            <w:vAlign w:val="center"/>
          </w:tcPr>
          <w:p w14:paraId="7E249038">
            <w:pPr>
              <w:adjustRightInd w:val="0"/>
              <w:snapToGrid w:val="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sz w:val="21"/>
                <w:szCs w:val="21"/>
                <w:highlight w:val="none"/>
                <w:lang w:val="en-US" w:eastAsia="zh-CN"/>
              </w:rPr>
              <w:t>罐区设置50m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事故池，事故池采取重点防渗。</w:t>
            </w:r>
          </w:p>
        </w:tc>
        <w:tc>
          <w:tcPr>
            <w:tcW w:w="689" w:type="dxa"/>
            <w:shd w:val="clear" w:color="auto" w:fill="auto"/>
            <w:vAlign w:val="center"/>
          </w:tcPr>
          <w:p w14:paraId="6A53BFFB">
            <w:pPr>
              <w:pStyle w:val="65"/>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新建</w:t>
            </w:r>
          </w:p>
        </w:tc>
      </w:tr>
      <w:tr w14:paraId="18B8D4B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238C2780">
            <w:pPr>
              <w:pStyle w:val="65"/>
              <w:rPr>
                <w:rFonts w:hint="default" w:ascii="Times New Roman" w:hAnsi="Times New Roman" w:cs="Times New Roman"/>
                <w:color w:val="auto"/>
                <w:sz w:val="21"/>
                <w:szCs w:val="21"/>
                <w:highlight w:val="none"/>
              </w:rPr>
            </w:pPr>
          </w:p>
        </w:tc>
        <w:tc>
          <w:tcPr>
            <w:tcW w:w="1203" w:type="dxa"/>
            <w:vAlign w:val="center"/>
          </w:tcPr>
          <w:p w14:paraId="5C3FAA5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初期雨水收集池</w:t>
            </w:r>
          </w:p>
        </w:tc>
        <w:tc>
          <w:tcPr>
            <w:tcW w:w="5362" w:type="dxa"/>
            <w:vAlign w:val="center"/>
          </w:tcPr>
          <w:p w14:paraId="70C37F62">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初期雨水经四周排水沟收集汇入厂区一座</w:t>
            </w:r>
            <w:r>
              <w:rPr>
                <w:rFonts w:hint="default" w:ascii="Times New Roman" w:hAnsi="Times New Roman" w:cs="Times New Roman"/>
                <w:color w:val="auto"/>
                <w:szCs w:val="21"/>
                <w:highlight w:val="none"/>
                <w:lang w:eastAsia="zh-CN"/>
              </w:rPr>
              <w:t>160</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初期雨水</w:t>
            </w:r>
            <w:r>
              <w:rPr>
                <w:rFonts w:hint="default" w:ascii="Times New Roman" w:hAnsi="Times New Roman" w:cs="Times New Roman"/>
                <w:color w:val="auto"/>
                <w:szCs w:val="21"/>
                <w:highlight w:val="none"/>
                <w:lang w:val="en-US" w:eastAsia="zh-CN"/>
              </w:rPr>
              <w:t>收集池</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收集</w:t>
            </w:r>
            <w:r>
              <w:rPr>
                <w:rFonts w:hint="default" w:ascii="Times New Roman" w:hAnsi="Times New Roman" w:cs="Times New Roman"/>
                <w:color w:val="auto"/>
                <w:szCs w:val="21"/>
                <w:highlight w:val="none"/>
              </w:rPr>
              <w:t>后回用于厂区</w:t>
            </w:r>
            <w:r>
              <w:rPr>
                <w:rFonts w:hint="default" w:ascii="Times New Roman" w:hAnsi="Times New Roman" w:cs="Times New Roman"/>
                <w:color w:val="auto"/>
                <w:szCs w:val="21"/>
                <w:highlight w:val="none"/>
                <w:lang w:eastAsia="zh-CN"/>
              </w:rPr>
              <w:t>喷淋降尘</w:t>
            </w:r>
            <w:r>
              <w:rPr>
                <w:rFonts w:hint="default" w:ascii="Times New Roman" w:hAnsi="Times New Roman" w:cs="Times New Roman"/>
                <w:color w:val="auto"/>
                <w:szCs w:val="21"/>
                <w:highlight w:val="none"/>
              </w:rPr>
              <w:t>，不外排。</w:t>
            </w:r>
          </w:p>
        </w:tc>
        <w:tc>
          <w:tcPr>
            <w:tcW w:w="689" w:type="dxa"/>
            <w:vAlign w:val="center"/>
          </w:tcPr>
          <w:p w14:paraId="434F5443">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0FE668E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restart"/>
            <w:vAlign w:val="center"/>
          </w:tcPr>
          <w:p w14:paraId="7944B1D5">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1203" w:type="dxa"/>
            <w:vAlign w:val="center"/>
          </w:tcPr>
          <w:p w14:paraId="43F58B2F">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给水</w:t>
            </w:r>
          </w:p>
        </w:tc>
        <w:tc>
          <w:tcPr>
            <w:tcW w:w="5362" w:type="dxa"/>
            <w:vAlign w:val="center"/>
          </w:tcPr>
          <w:p w14:paraId="1C03AFBE">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w:t>
            </w:r>
            <w:r>
              <w:rPr>
                <w:rFonts w:hint="default" w:ascii="Times New Roman" w:hAnsi="Times New Roman" w:cs="Times New Roman"/>
                <w:color w:val="auto"/>
                <w:sz w:val="21"/>
                <w:szCs w:val="21"/>
                <w:highlight w:val="none"/>
                <w:lang w:val="en-US" w:eastAsia="zh-CN"/>
              </w:rPr>
              <w:t>厂区原有地下水井</w:t>
            </w:r>
            <w:r>
              <w:rPr>
                <w:rFonts w:hint="default" w:ascii="Times New Roman" w:hAnsi="Times New Roman" w:cs="Times New Roman"/>
                <w:color w:val="auto"/>
                <w:sz w:val="21"/>
                <w:szCs w:val="21"/>
                <w:highlight w:val="none"/>
              </w:rPr>
              <w:t>提供。</w:t>
            </w:r>
          </w:p>
        </w:tc>
        <w:tc>
          <w:tcPr>
            <w:tcW w:w="689" w:type="dxa"/>
            <w:vAlign w:val="center"/>
          </w:tcPr>
          <w:p w14:paraId="36F7A70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依托</w:t>
            </w:r>
          </w:p>
        </w:tc>
      </w:tr>
      <w:tr w14:paraId="01F210C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10" w:hRule="atLeast"/>
          <w:jc w:val="center"/>
        </w:trPr>
        <w:tc>
          <w:tcPr>
            <w:tcW w:w="655" w:type="dxa"/>
            <w:vMerge w:val="continue"/>
            <w:vAlign w:val="center"/>
          </w:tcPr>
          <w:p w14:paraId="39092B90">
            <w:pPr>
              <w:pStyle w:val="65"/>
              <w:rPr>
                <w:rFonts w:hint="default" w:ascii="Times New Roman" w:hAnsi="Times New Roman" w:cs="Times New Roman"/>
                <w:color w:val="auto"/>
                <w:sz w:val="21"/>
                <w:szCs w:val="21"/>
                <w:highlight w:val="none"/>
              </w:rPr>
            </w:pPr>
          </w:p>
        </w:tc>
        <w:tc>
          <w:tcPr>
            <w:tcW w:w="1203" w:type="dxa"/>
            <w:vAlign w:val="center"/>
          </w:tcPr>
          <w:p w14:paraId="46FD9FFF">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排水</w:t>
            </w:r>
          </w:p>
        </w:tc>
        <w:tc>
          <w:tcPr>
            <w:tcW w:w="5362" w:type="dxa"/>
            <w:vAlign w:val="center"/>
          </w:tcPr>
          <w:p w14:paraId="12FD1539">
            <w:pPr>
              <w:pStyle w:val="6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项目采取雨污分流，生活污水</w:t>
            </w:r>
            <w:r>
              <w:rPr>
                <w:rFonts w:hint="default" w:ascii="Times New Roman" w:hAnsi="Times New Roman" w:cs="Times New Roman"/>
                <w:color w:val="auto"/>
                <w:sz w:val="21"/>
                <w:szCs w:val="21"/>
                <w:highlight w:val="none"/>
                <w:lang w:val="en-US" w:eastAsia="zh-CN"/>
              </w:rPr>
              <w:t>排入防渗旱厕，定期清掏，外运堆肥</w:t>
            </w:r>
            <w:r>
              <w:rPr>
                <w:rFonts w:hint="default" w:ascii="Times New Roman" w:hAnsi="Times New Roman" w:cs="Times New Roman"/>
                <w:color w:val="auto"/>
                <w:sz w:val="21"/>
                <w:szCs w:val="21"/>
                <w:highlight w:val="none"/>
              </w:rPr>
              <w:t>。初期雨水经四周排水沟收集汇入厂区一座</w:t>
            </w:r>
            <w:r>
              <w:rPr>
                <w:rFonts w:hint="default" w:ascii="Times New Roman" w:hAnsi="Times New Roman" w:cs="Times New Roman"/>
                <w:color w:val="auto"/>
                <w:sz w:val="21"/>
                <w:szCs w:val="21"/>
                <w:highlight w:val="none"/>
                <w:lang w:eastAsia="zh-CN"/>
              </w:rPr>
              <w:t>160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初期雨水收集池，收集后回用于厂区喷淋降尘，不外排。</w:t>
            </w:r>
            <w:r>
              <w:rPr>
                <w:rFonts w:hint="default" w:ascii="Times New Roman" w:hAnsi="Times New Roman" w:cs="Times New Roman"/>
                <w:color w:val="auto"/>
                <w:sz w:val="21"/>
                <w:szCs w:val="21"/>
                <w:highlight w:val="none"/>
                <w:lang w:val="en-US" w:eastAsia="zh-CN"/>
              </w:rPr>
              <w:t>冲洗废水经隔油沉淀处理后回用，不外排。</w:t>
            </w:r>
          </w:p>
        </w:tc>
        <w:tc>
          <w:tcPr>
            <w:tcW w:w="689" w:type="dxa"/>
            <w:vAlign w:val="center"/>
          </w:tcPr>
          <w:p w14:paraId="2402F8C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新建</w:t>
            </w:r>
          </w:p>
        </w:tc>
      </w:tr>
      <w:tr w14:paraId="110CCFC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55" w:type="dxa"/>
            <w:vMerge w:val="continue"/>
            <w:vAlign w:val="center"/>
          </w:tcPr>
          <w:p w14:paraId="63FC5362">
            <w:pPr>
              <w:pStyle w:val="65"/>
              <w:rPr>
                <w:rFonts w:hint="default" w:ascii="Times New Roman" w:hAnsi="Times New Roman" w:cs="Times New Roman"/>
                <w:color w:val="auto"/>
                <w:sz w:val="21"/>
                <w:szCs w:val="21"/>
                <w:highlight w:val="none"/>
              </w:rPr>
            </w:pPr>
          </w:p>
        </w:tc>
        <w:tc>
          <w:tcPr>
            <w:tcW w:w="1203" w:type="dxa"/>
            <w:vAlign w:val="center"/>
          </w:tcPr>
          <w:p w14:paraId="18EC891C">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w:t>
            </w:r>
          </w:p>
        </w:tc>
        <w:tc>
          <w:tcPr>
            <w:tcW w:w="5362" w:type="dxa"/>
            <w:vAlign w:val="center"/>
          </w:tcPr>
          <w:p w14:paraId="4B3204FB">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由当地电网供给。</w:t>
            </w:r>
          </w:p>
        </w:tc>
        <w:tc>
          <w:tcPr>
            <w:tcW w:w="689" w:type="dxa"/>
            <w:vAlign w:val="center"/>
          </w:tcPr>
          <w:p w14:paraId="742D1F5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依托</w:t>
            </w:r>
          </w:p>
        </w:tc>
      </w:tr>
      <w:tr w14:paraId="34BD1D3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55" w:type="dxa"/>
            <w:vMerge w:val="continue"/>
            <w:vAlign w:val="center"/>
          </w:tcPr>
          <w:p w14:paraId="1EDC1D0A">
            <w:pPr>
              <w:pStyle w:val="65"/>
              <w:rPr>
                <w:rFonts w:hint="default" w:ascii="Times New Roman" w:hAnsi="Times New Roman" w:cs="Times New Roman"/>
                <w:color w:val="auto"/>
                <w:sz w:val="21"/>
                <w:szCs w:val="21"/>
                <w:highlight w:val="none"/>
              </w:rPr>
            </w:pPr>
          </w:p>
        </w:tc>
        <w:tc>
          <w:tcPr>
            <w:tcW w:w="1203" w:type="dxa"/>
            <w:vAlign w:val="center"/>
          </w:tcPr>
          <w:p w14:paraId="5403C86E">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供热</w:t>
            </w:r>
          </w:p>
        </w:tc>
        <w:tc>
          <w:tcPr>
            <w:tcW w:w="5362" w:type="dxa"/>
            <w:vAlign w:val="center"/>
          </w:tcPr>
          <w:p w14:paraId="55555356">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项目冬季不生产，办公室无需取暖。用热主要为生产用热，分别为沥青储罐加热保温及骨料烘干，沥青罐加热使用1台</w:t>
            </w:r>
            <w:r>
              <w:rPr>
                <w:rFonts w:hint="default" w:ascii="Times New Roman" w:hAnsi="Times New Roman" w:cs="Times New Roman"/>
                <w:color w:val="auto"/>
                <w:sz w:val="21"/>
                <w:szCs w:val="21"/>
                <w:highlight w:val="none"/>
                <w:lang w:eastAsia="zh-CN"/>
              </w:rPr>
              <w:t>100万Kcal</w:t>
            </w:r>
            <w:r>
              <w:rPr>
                <w:rFonts w:hint="default" w:ascii="Times New Roman" w:hAnsi="Times New Roman" w:cs="Times New Roman"/>
                <w:color w:val="auto"/>
                <w:sz w:val="21"/>
                <w:szCs w:val="21"/>
                <w:highlight w:val="none"/>
              </w:rPr>
              <w:t>导热油炉加热，燃料为轻质柴油；骨料烘干使用1台21</w:t>
            </w:r>
            <w:r>
              <w:rPr>
                <w:rFonts w:hint="default" w:ascii="Times New Roman" w:hAnsi="Times New Roman"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MW燃烧器对骨料进行烘干，燃料为轻质柴油。</w:t>
            </w:r>
          </w:p>
        </w:tc>
        <w:tc>
          <w:tcPr>
            <w:tcW w:w="689" w:type="dxa"/>
            <w:vAlign w:val="center"/>
          </w:tcPr>
          <w:p w14:paraId="797FD7DA">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59C96A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57" w:hRule="atLeast"/>
          <w:jc w:val="center"/>
        </w:trPr>
        <w:tc>
          <w:tcPr>
            <w:tcW w:w="655" w:type="dxa"/>
            <w:vMerge w:val="restart"/>
            <w:vAlign w:val="center"/>
          </w:tcPr>
          <w:p w14:paraId="573D52AF">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1203" w:type="dxa"/>
            <w:vAlign w:val="center"/>
          </w:tcPr>
          <w:p w14:paraId="66D2024C">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5362" w:type="dxa"/>
            <w:vAlign w:val="center"/>
          </w:tcPr>
          <w:p w14:paraId="2B62025F">
            <w:pPr>
              <w:pStyle w:val="6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项目采取雨污分流，生活污水</w:t>
            </w:r>
            <w:r>
              <w:rPr>
                <w:rFonts w:hint="default" w:ascii="Times New Roman" w:hAnsi="Times New Roman" w:cs="Times New Roman"/>
                <w:color w:val="auto"/>
                <w:sz w:val="21"/>
                <w:szCs w:val="21"/>
                <w:highlight w:val="none"/>
                <w:lang w:val="en-US" w:eastAsia="zh-CN"/>
              </w:rPr>
              <w:t>排入防渗旱厕，定期清掏外运堆肥</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冲洗废水经沉淀隔油处理后回用，不外排。</w:t>
            </w:r>
            <w:r>
              <w:rPr>
                <w:rFonts w:hint="default" w:ascii="Times New Roman" w:hAnsi="Times New Roman" w:cs="Times New Roman"/>
                <w:color w:val="auto"/>
                <w:sz w:val="21"/>
                <w:szCs w:val="21"/>
                <w:highlight w:val="none"/>
              </w:rPr>
              <w:t>初期雨水经四周排水沟收集汇入厂区一座</w:t>
            </w:r>
            <w:r>
              <w:rPr>
                <w:rFonts w:hint="default" w:ascii="Times New Roman" w:hAnsi="Times New Roman" w:cs="Times New Roman"/>
                <w:color w:val="auto"/>
                <w:sz w:val="21"/>
                <w:szCs w:val="21"/>
                <w:highlight w:val="none"/>
                <w:lang w:eastAsia="zh-CN"/>
              </w:rPr>
              <w:t>160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初期雨水收集池，收集后回用于厂区喷淋降尘，不外排</w:t>
            </w:r>
            <w:r>
              <w:rPr>
                <w:rFonts w:hint="default" w:ascii="Times New Roman" w:hAnsi="Times New Roman" w:cs="Times New Roman"/>
                <w:color w:val="auto"/>
                <w:sz w:val="21"/>
                <w:szCs w:val="21"/>
                <w:highlight w:val="none"/>
                <w:lang w:eastAsia="zh-CN"/>
              </w:rPr>
              <w:t>。</w:t>
            </w:r>
          </w:p>
        </w:tc>
        <w:tc>
          <w:tcPr>
            <w:tcW w:w="689" w:type="dxa"/>
            <w:vAlign w:val="center"/>
          </w:tcPr>
          <w:p w14:paraId="3789636E">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64394E0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7" w:hRule="atLeast"/>
          <w:jc w:val="center"/>
        </w:trPr>
        <w:tc>
          <w:tcPr>
            <w:tcW w:w="655" w:type="dxa"/>
            <w:vMerge w:val="continue"/>
            <w:vAlign w:val="center"/>
          </w:tcPr>
          <w:p w14:paraId="1F18ADBB">
            <w:pPr>
              <w:pStyle w:val="65"/>
              <w:rPr>
                <w:rFonts w:hint="default" w:ascii="Times New Roman" w:hAnsi="Times New Roman" w:cs="Times New Roman"/>
                <w:color w:val="auto"/>
                <w:sz w:val="21"/>
                <w:szCs w:val="21"/>
                <w:highlight w:val="none"/>
              </w:rPr>
            </w:pPr>
          </w:p>
        </w:tc>
        <w:tc>
          <w:tcPr>
            <w:tcW w:w="1203" w:type="dxa"/>
            <w:vAlign w:val="center"/>
          </w:tcPr>
          <w:p w14:paraId="120351AD">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5362" w:type="dxa"/>
            <w:vAlign w:val="center"/>
          </w:tcPr>
          <w:p w14:paraId="00E9D573">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（1）原料运输及原料堆场装卸粉尘：原料采用封闭式罐车运入厂区，砂石料运输车辆全部采用苫布覆盖。</w:t>
            </w:r>
            <w:r>
              <w:rPr>
                <w:rFonts w:hint="default" w:ascii="Times New Roman" w:hAnsi="Times New Roman" w:cs="Times New Roman"/>
                <w:color w:val="auto"/>
                <w:szCs w:val="21"/>
                <w:highlight w:val="none"/>
                <w:lang w:val="en-US" w:eastAsia="zh-CN"/>
              </w:rPr>
              <w:t>车辆减速慢行，定期洒水抑尘。</w:t>
            </w:r>
            <w:r>
              <w:rPr>
                <w:rFonts w:hint="default" w:ascii="Times New Roman" w:hAnsi="Times New Roman" w:cs="Times New Roman"/>
                <w:color w:val="auto"/>
                <w:szCs w:val="21"/>
                <w:highlight w:val="none"/>
              </w:rPr>
              <w:t>原料碎石堆存于原料堆场内，本项目原料堆场表面铺盖苫布，四周设置防风抑尘网，进行定期</w:t>
            </w:r>
            <w:r>
              <w:rPr>
                <w:rFonts w:hint="default" w:ascii="Times New Roman" w:hAnsi="Times New Roman" w:cs="Times New Roman"/>
                <w:color w:val="auto"/>
                <w:szCs w:val="21"/>
                <w:highlight w:val="none"/>
                <w:lang w:eastAsia="zh-CN"/>
              </w:rPr>
              <w:t>喷淋降尘</w:t>
            </w:r>
            <w:r>
              <w:rPr>
                <w:rFonts w:hint="default" w:ascii="Times New Roman" w:hAnsi="Times New Roman" w:cs="Times New Roman"/>
                <w:color w:val="auto"/>
                <w:szCs w:val="21"/>
                <w:highlight w:val="none"/>
              </w:rPr>
              <w:t>，堆场地面全部硬化，原料运输无组织粉尘及原料存放无组织粉尘排放浓度满足《大气污染物综合排放标准》（GB16297-1996）表2中无组织排放监控浓度限值。</w:t>
            </w:r>
          </w:p>
          <w:p w14:paraId="339266B0">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（2）原料堆场粉尘：本项目原料外购进场卸料到原料堆场会产生无组织粉尘，本项目堆场四周设置防风抑尘网，设置</w:t>
            </w:r>
            <w:r>
              <w:rPr>
                <w:rFonts w:hint="default" w:ascii="Times New Roman" w:hAnsi="Times New Roman" w:cs="Times New Roman"/>
                <w:color w:val="auto"/>
                <w:szCs w:val="21"/>
                <w:highlight w:val="none"/>
                <w:lang w:eastAsia="zh-CN"/>
              </w:rPr>
              <w:t>喷淋</w:t>
            </w:r>
            <w:r>
              <w:rPr>
                <w:rFonts w:hint="default" w:ascii="Times New Roman" w:hAnsi="Times New Roman" w:cs="Times New Roman"/>
                <w:color w:val="auto"/>
                <w:szCs w:val="21"/>
                <w:highlight w:val="none"/>
              </w:rPr>
              <w:t>系统进行</w:t>
            </w:r>
            <w:r>
              <w:rPr>
                <w:rFonts w:hint="default" w:ascii="Times New Roman" w:hAnsi="Times New Roman" w:cs="Times New Roman"/>
                <w:color w:val="auto"/>
                <w:szCs w:val="21"/>
                <w:highlight w:val="none"/>
                <w:lang w:eastAsia="zh-CN"/>
              </w:rPr>
              <w:t>喷淋降尘</w:t>
            </w:r>
            <w:r>
              <w:rPr>
                <w:rFonts w:hint="default" w:ascii="Times New Roman" w:hAnsi="Times New Roman" w:cs="Times New Roman"/>
                <w:color w:val="auto"/>
                <w:szCs w:val="21"/>
                <w:highlight w:val="none"/>
              </w:rPr>
              <w:t>，堆场地面全部硬化，采取上述措施后无组织粉尘排放浓度能够满足《大气污染物综合排放标准》（GB16297-1996）表2中无组织排放监控浓度限值要求。</w:t>
            </w:r>
          </w:p>
          <w:p w14:paraId="6319946C">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（3）冷料上料、输送废气：冷料通过铲车、封闭皮带输送至烘干筒，过程中会产生一定量的粉尘，冷料上料于封闭式骨料仓</w:t>
            </w:r>
            <w:r>
              <w:rPr>
                <w:rFonts w:hint="default" w:ascii="Times New Roman" w:hAnsi="Times New Roman" w:cs="Times New Roman"/>
                <w:color w:val="auto"/>
                <w:szCs w:val="21"/>
                <w:highlight w:val="none"/>
                <w:lang w:val="en-US" w:eastAsia="zh-CN"/>
              </w:rPr>
              <w:t>中</w:t>
            </w:r>
            <w:r>
              <w:rPr>
                <w:rFonts w:hint="default" w:ascii="Times New Roman" w:hAnsi="Times New Roman" w:cs="Times New Roman"/>
                <w:color w:val="auto"/>
                <w:szCs w:val="21"/>
                <w:highlight w:val="none"/>
              </w:rPr>
              <w:t>进行，排放浓度满足《大气污染物综合排放标准》（GB16297-1996）表2中无组织排放监控浓度限值。</w:t>
            </w:r>
          </w:p>
          <w:p w14:paraId="403F49AA">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r>
              <w:rPr>
                <w:rFonts w:hint="default" w:ascii="Times New Roman" w:hAnsi="Times New Roman" w:cs="Times New Roman"/>
                <w:color w:val="auto"/>
                <w:szCs w:val="21"/>
                <w:highlight w:val="none"/>
                <w:lang w:val="en-US" w:eastAsia="zh-CN"/>
              </w:rPr>
              <w:t>矿粉</w:t>
            </w:r>
            <w:r>
              <w:rPr>
                <w:rFonts w:hint="default" w:ascii="Times New Roman" w:hAnsi="Times New Roman" w:cs="Times New Roman"/>
                <w:color w:val="auto"/>
                <w:sz w:val="21"/>
                <w:szCs w:val="21"/>
                <w:highlight w:val="none"/>
                <w:lang w:val="en-US" w:eastAsia="zh-CN"/>
              </w:rPr>
              <w:t>筒仓废气经自带的布袋除尘器处理后通过仓顶排放，污染物排放执行《大气污染物综合排放标准》（GB16297-1996）无组织排放监控浓度限值，收灰回用于生产，不外排。</w:t>
            </w:r>
          </w:p>
          <w:p w14:paraId="0EAE2F99">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骨料加热烘干废气</w:t>
            </w:r>
          </w:p>
          <w:p w14:paraId="5D623D89">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①烘干、筛分粉尘：石料在烘干滚筒内翻滚以及筛分过程中会产生粉尘。本项目烘干滚筒及筛分设备为密闭形式，烘干、筛分粉尘经旋风除尘器（除尘效率40%）+布袋除尘器（除尘效率99%）处理后通过</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m高烟囱DA00</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排放，有组织排放浓度及排放速率满足《大气污染物综合排放标准》（GB16297-1996）表2中二级标准要求。</w:t>
            </w:r>
          </w:p>
          <w:p w14:paraId="3943D002">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②燃油废气：本项目采用燃烧器向烘干滚筒喷入火焰的方式对骨料进行加热，燃烧器以轻质柴油为燃料</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燃烧采用低氮燃烧技术</w:t>
            </w:r>
            <w:r>
              <w:rPr>
                <w:rFonts w:hint="default" w:ascii="Times New Roman" w:hAnsi="Times New Roman" w:cs="Times New Roman"/>
                <w:color w:val="auto"/>
                <w:szCs w:val="21"/>
                <w:highlight w:val="none"/>
              </w:rPr>
              <w:t>。燃油废气与烘干、筛分粉尘形成混合气体，混合气体通过引风机引入旋风除尘器（除尘效率40%）+布袋除尘器（除尘效率99%）处理后通过</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m高烟囱DA00</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排放，本项目骨料加热烘干废气中SO</w:t>
            </w:r>
            <w:r>
              <w:rPr>
                <w:rFonts w:hint="default" w:ascii="Times New Roman" w:hAnsi="Times New Roman" w:cs="Times New Roman"/>
                <w:color w:val="auto"/>
                <w:szCs w:val="21"/>
                <w:highlight w:val="none"/>
                <w:vertAlign w:val="subscript"/>
              </w:rPr>
              <w:t>2</w:t>
            </w:r>
            <w:r>
              <w:rPr>
                <w:rFonts w:hint="default" w:ascii="Times New Roman" w:hAnsi="Times New Roman" w:cs="Times New Roman"/>
                <w:color w:val="auto"/>
                <w:szCs w:val="21"/>
                <w:highlight w:val="none"/>
              </w:rPr>
              <w:t>、颗粒物、NO</w:t>
            </w:r>
            <w:r>
              <w:rPr>
                <w:rFonts w:hint="default" w:ascii="Times New Roman" w:hAnsi="Times New Roman" w:cs="Times New Roman"/>
                <w:color w:val="auto"/>
                <w:szCs w:val="21"/>
                <w:highlight w:val="none"/>
                <w:vertAlign w:val="subscript"/>
              </w:rPr>
              <w:t>X</w:t>
            </w:r>
            <w:r>
              <w:rPr>
                <w:rFonts w:hint="default" w:ascii="Times New Roman" w:hAnsi="Times New Roman" w:cs="Times New Roman"/>
                <w:color w:val="auto"/>
                <w:szCs w:val="21"/>
                <w:highlight w:val="none"/>
              </w:rPr>
              <w:t>排放浓度及排放速率满足《大气污染物综合排放标准》（GB16297-1996）表2中二级标准要求。</w:t>
            </w:r>
          </w:p>
          <w:p w14:paraId="24E7B796">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（6）导热油炉烟气：本项目采用</w:t>
            </w:r>
            <w:r>
              <w:rPr>
                <w:rFonts w:hint="default" w:ascii="Times New Roman" w:hAnsi="Times New Roman" w:cs="Times New Roman"/>
                <w:color w:val="auto"/>
                <w:szCs w:val="21"/>
                <w:highlight w:val="none"/>
                <w:lang w:val="en-US" w:eastAsia="zh-CN"/>
              </w:rPr>
              <w:t>10</w:t>
            </w:r>
            <w:r>
              <w:rPr>
                <w:rFonts w:hint="default" w:ascii="Times New Roman" w:hAnsi="Times New Roman" w:cs="Times New Roman"/>
                <w:color w:val="auto"/>
                <w:szCs w:val="21"/>
                <w:highlight w:val="none"/>
              </w:rPr>
              <w:t>0万Kcal导热油炉加热沥青储罐，产生的导热油炉燃油烟气经</w:t>
            </w:r>
            <w:r>
              <w:rPr>
                <w:rFonts w:hint="default" w:ascii="Times New Roman" w:hAnsi="Times New Roman" w:cs="Times New Roman"/>
                <w:color w:val="auto"/>
                <w:szCs w:val="21"/>
                <w:highlight w:val="none"/>
                <w:lang w:val="en-US" w:eastAsia="zh-CN"/>
              </w:rPr>
              <w:t>低氮燃烧后通过10</w:t>
            </w:r>
            <w:r>
              <w:rPr>
                <w:rFonts w:hint="default" w:ascii="Times New Roman" w:hAnsi="Times New Roman" w:cs="Times New Roman"/>
                <w:color w:val="auto"/>
                <w:szCs w:val="21"/>
                <w:highlight w:val="none"/>
              </w:rPr>
              <w:t>m高烟囱DA00</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排放，污染物排放浓度符合《锅炉大气污染物排放标准》（GB13271-2014）表2新建锅炉大气污染物排放浓度限值中燃油锅炉排放限值。</w:t>
            </w:r>
          </w:p>
          <w:p w14:paraId="66E41CF6">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（7）沥青烟气：沥青烟气经负压抽风废气整体收集系统，沥青储罐</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搅拌废气</w:t>
            </w:r>
            <w:r>
              <w:rPr>
                <w:rFonts w:hint="default" w:ascii="Times New Roman" w:hAnsi="Times New Roman" w:cs="Times New Roman"/>
                <w:color w:val="auto"/>
                <w:szCs w:val="21"/>
                <w:highlight w:val="none"/>
              </w:rPr>
              <w:t>通过集气管收集沥青烟气、出料区设置自动升降门及集气管，密闭收集沥青烟气，沥青烟</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苯并[a]芘、非甲烷总烃</w:t>
            </w:r>
            <w:r>
              <w:rPr>
                <w:rFonts w:hint="default" w:ascii="Times New Roman" w:hAnsi="Times New Roman" w:cs="Times New Roman"/>
                <w:color w:val="auto"/>
                <w:szCs w:val="21"/>
                <w:highlight w:val="none"/>
              </w:rPr>
              <w:t>经负压收集</w:t>
            </w:r>
            <w:r>
              <w:rPr>
                <w:rFonts w:hint="default" w:ascii="Times New Roman" w:hAnsi="Times New Roman" w:cs="Times New Roman"/>
                <w:color w:val="auto"/>
                <w:szCs w:val="21"/>
                <w:highlight w:val="none"/>
                <w:lang w:val="en-US" w:eastAsia="zh-CN"/>
              </w:rPr>
              <w:t>+电捕焦油器</w:t>
            </w:r>
            <w:r>
              <w:rPr>
                <w:rFonts w:hint="default" w:ascii="Times New Roman" w:hAnsi="Times New Roman" w:cs="Times New Roman"/>
                <w:color w:val="auto"/>
                <w:szCs w:val="21"/>
                <w:highlight w:val="none"/>
              </w:rPr>
              <w:t>+活性炭吸附装置处理后通过</w:t>
            </w: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m高排气筒DA00</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排放。有组织排放浓度及排放速率满足《大气污染物综合排放标准》（GB16297-1996）表2中二级标准限值。</w:t>
            </w:r>
          </w:p>
          <w:p w14:paraId="00D16B04">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（8）柴油储罐呼吸废气：柴油储罐采用碳钢材质封闭式柴油储罐，柴油储罐</w:t>
            </w:r>
            <w:r>
              <w:rPr>
                <w:rFonts w:hint="default" w:ascii="Times New Roman" w:hAnsi="Times New Roman" w:cs="Times New Roman"/>
                <w:color w:val="auto"/>
                <w:szCs w:val="21"/>
                <w:highlight w:val="none"/>
                <w:lang w:val="en-US" w:eastAsia="zh-CN"/>
              </w:rPr>
              <w:t>废气</w:t>
            </w:r>
            <w:r>
              <w:rPr>
                <w:rFonts w:hint="default" w:ascii="Times New Roman" w:hAnsi="Times New Roman" w:cs="Times New Roman"/>
                <w:color w:val="auto"/>
                <w:szCs w:val="21"/>
                <w:highlight w:val="none"/>
              </w:rPr>
              <w:t>经露天扩散和周边绿化净化，呈无组织排放，非甲烷总烃无组织排放浓度满足《大气污染物综合排放标准》（GB16297-1996）表2中无组织排放监控浓度限值</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非甲烷总烃厂房外厂区内监控点处1h平均浓度值和厂房外厂区内监控点处任意一次浓度值执行《挥发性有机物无组织排放控制标准》（GB37822-2019)表A.1厂区内VOCs无组织排放限值要求。</w:t>
            </w:r>
          </w:p>
        </w:tc>
        <w:tc>
          <w:tcPr>
            <w:tcW w:w="689" w:type="dxa"/>
            <w:vAlign w:val="center"/>
          </w:tcPr>
          <w:p w14:paraId="45D8A436">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1DFA8A1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239" w:hRule="atLeast"/>
          <w:jc w:val="center"/>
        </w:trPr>
        <w:tc>
          <w:tcPr>
            <w:tcW w:w="655" w:type="dxa"/>
            <w:vMerge w:val="continue"/>
            <w:vAlign w:val="center"/>
          </w:tcPr>
          <w:p w14:paraId="19BC964B">
            <w:pPr>
              <w:pStyle w:val="65"/>
              <w:rPr>
                <w:rFonts w:hint="default" w:ascii="Times New Roman" w:hAnsi="Times New Roman" w:cs="Times New Roman"/>
                <w:color w:val="auto"/>
                <w:sz w:val="21"/>
                <w:szCs w:val="21"/>
                <w:highlight w:val="none"/>
              </w:rPr>
            </w:pPr>
          </w:p>
        </w:tc>
        <w:tc>
          <w:tcPr>
            <w:tcW w:w="1203" w:type="dxa"/>
            <w:vAlign w:val="center"/>
          </w:tcPr>
          <w:p w14:paraId="62AD0246">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5362" w:type="dxa"/>
            <w:vAlign w:val="center"/>
          </w:tcPr>
          <w:p w14:paraId="41854F86">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本项目运行期间产生的噪声主要是生产设备发出的机械噪声。采用低噪环保设备，采取减振、降噪、隔声等措施后，厂界噪声可满足《工业企业厂界环境噪声排放标准》（GB12348-2008）2类标准要求。</w:t>
            </w:r>
          </w:p>
        </w:tc>
        <w:tc>
          <w:tcPr>
            <w:tcW w:w="689" w:type="dxa"/>
            <w:vAlign w:val="center"/>
          </w:tcPr>
          <w:p w14:paraId="4B41810D">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36186D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859" w:hRule="atLeast"/>
          <w:jc w:val="center"/>
        </w:trPr>
        <w:tc>
          <w:tcPr>
            <w:tcW w:w="655" w:type="dxa"/>
            <w:vMerge w:val="continue"/>
            <w:vAlign w:val="center"/>
          </w:tcPr>
          <w:p w14:paraId="2E407476">
            <w:pPr>
              <w:pStyle w:val="65"/>
              <w:rPr>
                <w:rFonts w:hint="default" w:ascii="Times New Roman" w:hAnsi="Times New Roman" w:cs="Times New Roman"/>
                <w:color w:val="auto"/>
                <w:sz w:val="21"/>
                <w:szCs w:val="21"/>
                <w:highlight w:val="none"/>
              </w:rPr>
            </w:pPr>
          </w:p>
        </w:tc>
        <w:tc>
          <w:tcPr>
            <w:tcW w:w="1203" w:type="dxa"/>
            <w:vAlign w:val="center"/>
          </w:tcPr>
          <w:p w14:paraId="6C95BCD5">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5362" w:type="dxa"/>
            <w:vAlign w:val="center"/>
          </w:tcPr>
          <w:p w14:paraId="47D2FC44">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①生活垃圾：集中收集，由市政环卫部门统一清运处理。</w:t>
            </w:r>
          </w:p>
          <w:p w14:paraId="633AB6B8">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②除尘器收尘：集中收集，袋装，回用于生产。</w:t>
            </w:r>
          </w:p>
          <w:p w14:paraId="3BC44E32">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③不合格石料：交由石料供应商回收处置。</w:t>
            </w:r>
          </w:p>
          <w:p w14:paraId="59019BB1">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④废活性炭：暂存在危险废物</w:t>
            </w:r>
            <w:r>
              <w:rPr>
                <w:rFonts w:hint="default" w:ascii="Times New Roman" w:hAnsi="Times New Roman" w:cs="Times New Roman"/>
                <w:color w:val="auto"/>
                <w:szCs w:val="21"/>
                <w:highlight w:val="none"/>
                <w:lang w:eastAsia="zh-CN"/>
              </w:rPr>
              <w:t>贮存点</w:t>
            </w:r>
            <w:r>
              <w:rPr>
                <w:rFonts w:hint="default" w:ascii="Times New Roman" w:hAnsi="Times New Roman" w:cs="Times New Roman"/>
                <w:color w:val="auto"/>
                <w:szCs w:val="21"/>
                <w:highlight w:val="none"/>
              </w:rPr>
              <w:t>，定期交由有资质单位处理。</w:t>
            </w:r>
          </w:p>
          <w:p w14:paraId="127DA114">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⑤废导热油：暂存在危险废物</w:t>
            </w:r>
            <w:r>
              <w:rPr>
                <w:rFonts w:hint="default" w:ascii="Times New Roman" w:hAnsi="Times New Roman" w:cs="Times New Roman"/>
                <w:color w:val="auto"/>
                <w:szCs w:val="21"/>
                <w:highlight w:val="none"/>
                <w:lang w:eastAsia="zh-CN"/>
              </w:rPr>
              <w:t>贮存点</w:t>
            </w:r>
            <w:r>
              <w:rPr>
                <w:rFonts w:hint="default" w:ascii="Times New Roman" w:hAnsi="Times New Roman" w:cs="Times New Roman"/>
                <w:color w:val="auto"/>
                <w:szCs w:val="21"/>
                <w:highlight w:val="none"/>
              </w:rPr>
              <w:t>，定期交由有资质单位处理。</w:t>
            </w:r>
          </w:p>
          <w:p w14:paraId="01E082C0">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⑥布袋除尘器废布袋：集中收集，由市政环卫部门统一清运处理。</w:t>
            </w:r>
          </w:p>
          <w:p w14:paraId="1C29A147">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⑦滴漏沥青及</w:t>
            </w:r>
            <w:r>
              <w:rPr>
                <w:rFonts w:hint="default" w:ascii="Times New Roman" w:hAnsi="Times New Roman" w:cs="Times New Roman"/>
                <w:color w:val="auto"/>
                <w:sz w:val="21"/>
                <w:szCs w:val="21"/>
                <w:highlight w:val="none"/>
                <w:lang w:eastAsia="zh-CN"/>
              </w:rPr>
              <w:t>拌合</w:t>
            </w:r>
            <w:r>
              <w:rPr>
                <w:rFonts w:hint="default" w:ascii="Times New Roman" w:hAnsi="Times New Roman" w:cs="Times New Roman"/>
                <w:color w:val="auto"/>
                <w:sz w:val="21"/>
                <w:szCs w:val="21"/>
                <w:highlight w:val="none"/>
              </w:rPr>
              <w:t>残渣：作为原料回用于生产。</w:t>
            </w:r>
          </w:p>
          <w:p w14:paraId="4C086A66">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⑧废焦油：暂存在危险废物</w:t>
            </w:r>
            <w:r>
              <w:rPr>
                <w:rFonts w:hint="default" w:ascii="Times New Roman" w:hAnsi="Times New Roman" w:cs="Times New Roman"/>
                <w:color w:val="auto"/>
                <w:sz w:val="21"/>
                <w:szCs w:val="21"/>
                <w:highlight w:val="none"/>
                <w:lang w:eastAsia="zh-CN"/>
              </w:rPr>
              <w:t>贮存点</w:t>
            </w:r>
            <w:r>
              <w:rPr>
                <w:rFonts w:hint="default" w:ascii="Times New Roman" w:hAnsi="Times New Roman" w:cs="Times New Roman"/>
                <w:color w:val="auto"/>
                <w:sz w:val="21"/>
                <w:szCs w:val="21"/>
                <w:highlight w:val="none"/>
              </w:rPr>
              <w:t>，定期交由有资质单位处理。</w:t>
            </w:r>
          </w:p>
          <w:p w14:paraId="0FC8C4F7">
            <w:pPr>
              <w:pStyle w:val="65"/>
              <w:jc w:val="both"/>
              <w:rPr>
                <w:rFonts w:hint="default" w:ascii="Times New Roman" w:hAnsi="Times New Roman"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rPr>
              <w:t>⑨废机油：维修工序就近委托附近机械维修站，车辆、机械设备每半年更换一次机油，外委附近机械维修站进行更换，厂区内不进行储存</w:t>
            </w:r>
            <w:r>
              <w:rPr>
                <w:rFonts w:hint="default" w:ascii="Times New Roman" w:hAnsi="Times New Roman" w:cs="Times New Roman"/>
                <w:color w:val="auto"/>
                <w:kern w:val="2"/>
                <w:sz w:val="21"/>
                <w:szCs w:val="21"/>
                <w:highlight w:val="none"/>
                <w:lang w:eastAsia="zh-CN"/>
              </w:rPr>
              <w:t>。</w:t>
            </w:r>
          </w:p>
          <w:p w14:paraId="3828E1BE">
            <w:pPr>
              <w:pStyle w:val="65"/>
              <w:jc w:val="both"/>
              <w:rPr>
                <w:rFonts w:hint="default" w:ascii="Times New Roman" w:hAnsi="Times New Roman" w:cs="Times New Roman"/>
                <w:color w:val="auto"/>
                <w:szCs w:val="21"/>
                <w:highlight w:val="none"/>
              </w:rPr>
            </w:pPr>
            <w:r>
              <w:rPr>
                <w:rFonts w:hint="default" w:ascii="Times New Roman" w:hAnsi="Times New Roman" w:eastAsia="宋体" w:cs="Times New Roman"/>
                <w:color w:val="auto"/>
                <w:kern w:val="2"/>
                <w:sz w:val="21"/>
                <w:szCs w:val="21"/>
                <w:highlight w:val="none"/>
              </w:rPr>
              <w:t>⑩</w:t>
            </w:r>
            <w:r>
              <w:rPr>
                <w:rFonts w:hint="default" w:ascii="Times New Roman" w:hAnsi="Times New Roman" w:cs="Times New Roman"/>
                <w:color w:val="auto"/>
                <w:kern w:val="2"/>
                <w:sz w:val="21"/>
                <w:szCs w:val="21"/>
                <w:highlight w:val="none"/>
                <w:lang w:eastAsia="zh-CN"/>
              </w:rPr>
              <w:t>油泥</w:t>
            </w:r>
            <w:r>
              <w:rPr>
                <w:rFonts w:hint="default" w:ascii="Times New Roman" w:hAnsi="Times New Roman" w:eastAsia="宋体" w:cs="Times New Roman"/>
                <w:color w:val="auto"/>
                <w:kern w:val="2"/>
                <w:sz w:val="21"/>
                <w:szCs w:val="21"/>
                <w:highlight w:val="none"/>
                <w:lang w:eastAsia="zh-CN"/>
              </w:rPr>
              <w:t>：柴油罐频率为5年一次，隔油沉淀池清理频次为2年一次，更换后直接交有危险废物处置资质单位处理，不在厂区内储存</w:t>
            </w:r>
            <w:r>
              <w:rPr>
                <w:rFonts w:hint="default" w:ascii="Times New Roman" w:hAnsi="Times New Roman" w:cs="Times New Roman"/>
                <w:color w:val="auto"/>
                <w:kern w:val="2"/>
                <w:sz w:val="21"/>
                <w:szCs w:val="21"/>
                <w:highlight w:val="none"/>
              </w:rPr>
              <w:t>。</w:t>
            </w:r>
          </w:p>
        </w:tc>
        <w:tc>
          <w:tcPr>
            <w:tcW w:w="689" w:type="dxa"/>
            <w:vAlign w:val="center"/>
          </w:tcPr>
          <w:p w14:paraId="6B8B383D">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43C0EC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320" w:hRule="atLeast"/>
          <w:jc w:val="center"/>
        </w:trPr>
        <w:tc>
          <w:tcPr>
            <w:tcW w:w="655" w:type="dxa"/>
            <w:vAlign w:val="center"/>
          </w:tcPr>
          <w:p w14:paraId="6A546FAD">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防渗工程</w:t>
            </w:r>
          </w:p>
        </w:tc>
        <w:tc>
          <w:tcPr>
            <w:tcW w:w="1203" w:type="dxa"/>
            <w:vAlign w:val="center"/>
          </w:tcPr>
          <w:p w14:paraId="145CE1F0">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防渗措施</w:t>
            </w:r>
          </w:p>
        </w:tc>
        <w:tc>
          <w:tcPr>
            <w:tcW w:w="5362" w:type="dxa"/>
            <w:vAlign w:val="center"/>
          </w:tcPr>
          <w:p w14:paraId="5277802A">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①厂区</w:t>
            </w:r>
            <w:r>
              <w:rPr>
                <w:rFonts w:hint="default" w:ascii="Times New Roman" w:hAnsi="Times New Roman" w:cs="Times New Roman"/>
                <w:color w:val="auto"/>
                <w:sz w:val="21"/>
                <w:szCs w:val="21"/>
                <w:highlight w:val="none"/>
                <w:lang w:val="en-US" w:eastAsia="zh-CN"/>
              </w:rPr>
              <w:t>雨水收集</w:t>
            </w:r>
            <w:r>
              <w:rPr>
                <w:rFonts w:hint="default" w:ascii="Times New Roman" w:hAnsi="Times New Roman" w:cs="Times New Roman"/>
                <w:color w:val="auto"/>
                <w:sz w:val="21"/>
                <w:szCs w:val="21"/>
                <w:highlight w:val="none"/>
              </w:rPr>
              <w:t>池采取防渗措施，参考《</w:t>
            </w:r>
            <w:r>
              <w:rPr>
                <w:rFonts w:hint="default" w:ascii="Times New Roman" w:hAnsi="Times New Roman" w:cs="Times New Roman"/>
                <w:color w:val="auto"/>
                <w:sz w:val="21"/>
                <w:szCs w:val="21"/>
                <w:highlight w:val="none"/>
                <w:lang w:eastAsia="zh-CN"/>
              </w:rPr>
              <w:t>环境影响评价技术导则 地下水环境</w:t>
            </w:r>
            <w:r>
              <w:rPr>
                <w:rFonts w:hint="default" w:ascii="Times New Roman" w:hAnsi="Times New Roman" w:cs="Times New Roman"/>
                <w:color w:val="auto"/>
                <w:sz w:val="21"/>
                <w:szCs w:val="21"/>
                <w:highlight w:val="none"/>
              </w:rPr>
              <w:t>》（HJ610-2016）中一般防渗区防渗技术要求，满足等效黏土防渗层Mb≥1.5m，K≤1×10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cm/s的要求。</w:t>
            </w:r>
          </w:p>
          <w:p w14:paraId="29D110E2">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②沥青储罐、柴油储罐区</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事故池、沉淀池、危险废物贮存点</w:t>
            </w:r>
            <w:r>
              <w:rPr>
                <w:rFonts w:hint="default" w:ascii="Times New Roman" w:hAnsi="Times New Roman" w:cs="Times New Roman"/>
                <w:color w:val="auto"/>
                <w:sz w:val="21"/>
                <w:szCs w:val="21"/>
                <w:highlight w:val="none"/>
              </w:rPr>
              <w:t>采取防渗措施，参考《</w:t>
            </w:r>
            <w:r>
              <w:rPr>
                <w:rFonts w:hint="default" w:ascii="Times New Roman" w:hAnsi="Times New Roman" w:cs="Times New Roman"/>
                <w:color w:val="auto"/>
                <w:sz w:val="21"/>
                <w:szCs w:val="21"/>
                <w:highlight w:val="none"/>
                <w:lang w:eastAsia="zh-CN"/>
              </w:rPr>
              <w:t>环境影响评价技术导则 地下水环境</w:t>
            </w:r>
            <w:r>
              <w:rPr>
                <w:rFonts w:hint="default" w:ascii="Times New Roman" w:hAnsi="Times New Roman" w:cs="Times New Roman"/>
                <w:color w:val="auto"/>
                <w:sz w:val="21"/>
                <w:szCs w:val="21"/>
                <w:highlight w:val="none"/>
              </w:rPr>
              <w:t>》（HJ610-2016）中重点防渗区防渗技术要求，满足等效黏土防渗层Mb≥6m，K≤1×10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cm/s的要求，并设置非燃烧材料的防火堤围堰，防火堤内的有效容积不小于最大贮罐的容积，切断影响途径。</w:t>
            </w:r>
          </w:p>
          <w:p w14:paraId="10346177">
            <w:pPr>
              <w:pStyle w:val="65"/>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③</w:t>
            </w:r>
            <w:r>
              <w:rPr>
                <w:rFonts w:hint="default" w:ascii="Times New Roman" w:hAnsi="Times New Roman" w:cs="Times New Roman"/>
                <w:color w:val="auto"/>
                <w:sz w:val="21"/>
                <w:szCs w:val="21"/>
                <w:highlight w:val="none"/>
                <w:lang w:val="en-US" w:eastAsia="zh-CN"/>
              </w:rPr>
              <w:t>危险废物贮存点</w:t>
            </w:r>
            <w:r>
              <w:rPr>
                <w:rFonts w:hint="default" w:ascii="Times New Roman" w:hAnsi="Times New Roman" w:cs="Times New Roman"/>
                <w:color w:val="auto"/>
                <w:sz w:val="21"/>
                <w:szCs w:val="21"/>
                <w:highlight w:val="none"/>
              </w:rPr>
              <w:t>按照《危险废物贮存污染控制标准》（GB18597-2023）要求进行</w:t>
            </w:r>
            <w:r>
              <w:rPr>
                <w:rFonts w:hint="default" w:ascii="Times New Roman" w:hAnsi="Times New Roman" w:cs="Times New Roman"/>
                <w:color w:val="auto"/>
                <w:sz w:val="21"/>
                <w:szCs w:val="21"/>
                <w:highlight w:val="none"/>
                <w:lang w:val="en-US" w:eastAsia="zh-CN"/>
              </w:rPr>
              <w:t>重点</w:t>
            </w:r>
            <w:r>
              <w:rPr>
                <w:rFonts w:hint="default" w:ascii="Times New Roman" w:hAnsi="Times New Roman" w:cs="Times New Roman"/>
                <w:color w:val="auto"/>
                <w:sz w:val="21"/>
                <w:szCs w:val="21"/>
                <w:highlight w:val="none"/>
              </w:rPr>
              <w:t>防渗处理，</w:t>
            </w:r>
            <w:r>
              <w:rPr>
                <w:rFonts w:hint="default" w:ascii="Times New Roman" w:hAnsi="Times New Roman" w:cs="Times New Roman"/>
                <w:color w:val="auto"/>
                <w:sz w:val="21"/>
                <w:szCs w:val="21"/>
                <w:highlight w:val="none"/>
                <w:lang w:val="en-US" w:eastAsia="zh-CN"/>
              </w:rPr>
              <w:t>表面防渗材料应与所接触的物料或污染物相容，可采用抗渗混凝土、高密度聚乙烯膜、钠基膨润土防水毯或其他防渗性能等效的材料。贮存的危险废物直接接触地面的，还应进行基础防渗，防渗层为至少 1 m 厚黏土层（渗透系数不大于 10</w:t>
            </w:r>
            <w:r>
              <w:rPr>
                <w:rFonts w:hint="default" w:ascii="Times New Roman" w:hAnsi="Times New Roman" w:cs="Times New Roman"/>
                <w:color w:val="auto"/>
                <w:sz w:val="21"/>
                <w:szCs w:val="21"/>
                <w:highlight w:val="none"/>
                <w:vertAlign w:val="superscript"/>
                <w:lang w:val="en-US" w:eastAsia="zh-CN"/>
              </w:rPr>
              <w:t>-7</w:t>
            </w:r>
            <w:r>
              <w:rPr>
                <w:rFonts w:hint="default" w:ascii="Times New Roman" w:hAnsi="Times New Roman" w:cs="Times New Roman"/>
                <w:color w:val="auto"/>
                <w:sz w:val="21"/>
                <w:szCs w:val="21"/>
                <w:highlight w:val="none"/>
                <w:lang w:val="en-US" w:eastAsia="zh-CN"/>
              </w:rPr>
              <w:t xml:space="preserve"> cm/s），或至少2 mm 厚高密度聚乙烯膜等人工防渗材料（渗透系数不大于 10</w:t>
            </w:r>
            <w:r>
              <w:rPr>
                <w:rFonts w:hint="default" w:ascii="Times New Roman" w:hAnsi="Times New Roman" w:cs="Times New Roman"/>
                <w:color w:val="auto"/>
                <w:sz w:val="21"/>
                <w:szCs w:val="21"/>
                <w:highlight w:val="none"/>
                <w:vertAlign w:val="superscript"/>
                <w:lang w:val="en-US" w:eastAsia="zh-CN"/>
              </w:rPr>
              <w:t>-10</w:t>
            </w:r>
            <w:r>
              <w:rPr>
                <w:rFonts w:hint="default" w:ascii="Times New Roman" w:hAnsi="Times New Roman" w:cs="Times New Roman"/>
                <w:color w:val="auto"/>
                <w:sz w:val="21"/>
                <w:szCs w:val="21"/>
                <w:highlight w:val="none"/>
                <w:lang w:val="en-US" w:eastAsia="zh-CN"/>
              </w:rPr>
              <w:t xml:space="preserve"> cm/s），或其他防渗性能等效的材料</w:t>
            </w:r>
            <w:r>
              <w:rPr>
                <w:rFonts w:hint="default" w:ascii="Times New Roman" w:hAnsi="Times New Roman" w:cs="Times New Roman"/>
                <w:color w:val="auto"/>
                <w:sz w:val="21"/>
                <w:szCs w:val="21"/>
                <w:highlight w:val="none"/>
              </w:rPr>
              <w:t>。</w:t>
            </w:r>
          </w:p>
          <w:p w14:paraId="23A493FD">
            <w:pPr>
              <w:pStyle w:val="90"/>
              <w:jc w:val="both"/>
              <w:rPr>
                <w:rFonts w:hint="default" w:ascii="Times New Roman" w:hAnsi="Times New Roman" w:eastAsia="宋体" w:cs="Times New Roman"/>
                <w:bCs/>
                <w:color w:val="auto"/>
                <w:spacing w:val="-10"/>
                <w:sz w:val="21"/>
                <w:szCs w:val="21"/>
                <w:highlight w:val="none"/>
                <w:lang w:eastAsia="zh-CN"/>
              </w:rPr>
            </w:pPr>
            <w:r>
              <w:rPr>
                <w:rFonts w:hint="default" w:ascii="Times New Roman" w:hAnsi="Times New Roman" w:cs="Times New Roman"/>
                <w:color w:val="auto"/>
                <w:sz w:val="21"/>
                <w:szCs w:val="21"/>
                <w:highlight w:val="none"/>
              </w:rPr>
              <w:t>④厂区地面进行水泥硬化</w:t>
            </w:r>
            <w:r>
              <w:rPr>
                <w:rFonts w:hint="default" w:ascii="Times New Roman" w:hAnsi="Times New Roman" w:cs="Times New Roman"/>
                <w:color w:val="auto"/>
                <w:sz w:val="21"/>
                <w:szCs w:val="21"/>
                <w:highlight w:val="none"/>
                <w:lang w:eastAsia="zh-CN"/>
              </w:rPr>
              <w:t>。</w:t>
            </w:r>
          </w:p>
        </w:tc>
        <w:tc>
          <w:tcPr>
            <w:tcW w:w="689" w:type="dxa"/>
            <w:vAlign w:val="center"/>
          </w:tcPr>
          <w:p w14:paraId="3CFFCF68">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29EFFD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655" w:type="dxa"/>
            <w:vMerge w:val="restart"/>
            <w:vAlign w:val="center"/>
          </w:tcPr>
          <w:p w14:paraId="0935D451">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w:t>
            </w:r>
          </w:p>
        </w:tc>
        <w:tc>
          <w:tcPr>
            <w:tcW w:w="1203" w:type="dxa"/>
            <w:vAlign w:val="center"/>
          </w:tcPr>
          <w:p w14:paraId="39AC3F7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罐区</w:t>
            </w:r>
          </w:p>
        </w:tc>
        <w:tc>
          <w:tcPr>
            <w:tcW w:w="5362" w:type="dxa"/>
            <w:vAlign w:val="center"/>
          </w:tcPr>
          <w:p w14:paraId="7B5B9881">
            <w:pPr>
              <w:pStyle w:val="9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沥青储罐、柴油储罐区设置非燃烧材料的防火堤围堰</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罐区围堰高度0.4m</w:t>
            </w:r>
            <w:r>
              <w:rPr>
                <w:rFonts w:hint="default" w:ascii="Times New Roman" w:hAnsi="Times New Roman" w:cs="Times New Roman"/>
                <w:color w:val="auto"/>
                <w:sz w:val="21"/>
                <w:szCs w:val="21"/>
                <w:highlight w:val="none"/>
              </w:rPr>
              <w:t>，有效容积不小于最大贮罐的容积，发生泄漏时可及时收集全部泄漏物，并转移到空置的容器内，不会引起大气及水环境污染。</w:t>
            </w:r>
            <w:r>
              <w:rPr>
                <w:rFonts w:hint="default" w:ascii="Times New Roman" w:hAnsi="Times New Roman" w:cs="Times New Roman"/>
                <w:color w:val="auto"/>
                <w:sz w:val="21"/>
                <w:szCs w:val="21"/>
                <w:highlight w:val="none"/>
                <w:lang w:val="en-US" w:eastAsia="zh-CN"/>
              </w:rPr>
              <w:t>厂区内应设置50m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事故池。</w:t>
            </w:r>
          </w:p>
        </w:tc>
        <w:tc>
          <w:tcPr>
            <w:tcW w:w="689" w:type="dxa"/>
            <w:vAlign w:val="center"/>
          </w:tcPr>
          <w:p w14:paraId="7BE68703">
            <w:pPr>
              <w:pStyle w:val="6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5F321C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1191" w:hRule="atLeast"/>
          <w:jc w:val="center"/>
        </w:trPr>
        <w:tc>
          <w:tcPr>
            <w:tcW w:w="655" w:type="dxa"/>
            <w:vMerge w:val="continue"/>
            <w:vAlign w:val="center"/>
          </w:tcPr>
          <w:p w14:paraId="2937C4D8">
            <w:pPr>
              <w:pStyle w:val="65"/>
              <w:rPr>
                <w:rFonts w:hint="default" w:ascii="Times New Roman" w:hAnsi="Times New Roman" w:cs="Times New Roman"/>
                <w:color w:val="auto"/>
                <w:sz w:val="21"/>
                <w:szCs w:val="21"/>
                <w:highlight w:val="none"/>
              </w:rPr>
            </w:pPr>
          </w:p>
        </w:tc>
        <w:tc>
          <w:tcPr>
            <w:tcW w:w="1203" w:type="dxa"/>
            <w:vAlign w:val="center"/>
          </w:tcPr>
          <w:p w14:paraId="286965F0">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危险废物贮存</w:t>
            </w:r>
          </w:p>
        </w:tc>
        <w:tc>
          <w:tcPr>
            <w:tcW w:w="5362" w:type="dxa"/>
            <w:vAlign w:val="center"/>
          </w:tcPr>
          <w:p w14:paraId="7135893B">
            <w:pPr>
              <w:pStyle w:val="9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危险废物贮存点应设置事故围堰、导流槽及事故池，危险废物贮存点围堰设计高度为0.15m，安全围堰有效容积不得小于1m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，事故池容积为1m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w:t>
            </w:r>
          </w:p>
        </w:tc>
        <w:tc>
          <w:tcPr>
            <w:tcW w:w="689" w:type="dxa"/>
            <w:vAlign w:val="center"/>
          </w:tcPr>
          <w:p w14:paraId="7F431B82">
            <w:pPr>
              <w:pStyle w:val="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新建</w:t>
            </w:r>
          </w:p>
        </w:tc>
      </w:tr>
    </w:tbl>
    <w:p w14:paraId="6925663D">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r>
        <w:rPr>
          <w:rFonts w:hint="default" w:ascii="Times New Roman" w:hAnsi="Times New Roman" w:eastAsia="黑体" w:cs="Times New Roman"/>
          <w:bCs/>
          <w:color w:val="auto"/>
          <w:kern w:val="44"/>
          <w:sz w:val="24"/>
          <w:highlight w:val="none"/>
        </w:rPr>
        <w:t>2.3主要原辅材料</w:t>
      </w:r>
      <w:bookmarkEnd w:id="214"/>
      <w:bookmarkEnd w:id="215"/>
      <w:bookmarkEnd w:id="216"/>
      <w:bookmarkEnd w:id="217"/>
      <w:bookmarkEnd w:id="218"/>
      <w:bookmarkEnd w:id="219"/>
      <w:bookmarkEnd w:id="220"/>
      <w:bookmarkEnd w:id="221"/>
    </w:p>
    <w:p w14:paraId="17344443">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本项目主要原辅材料一览表详见下表。</w:t>
      </w:r>
    </w:p>
    <w:p w14:paraId="7EA36C32">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bookmarkStart w:id="222" w:name="_Toc15140"/>
      <w:r>
        <w:rPr>
          <w:rFonts w:hint="default" w:ascii="Times New Roman" w:hAnsi="Times New Roman" w:eastAsia="黑体" w:cs="Times New Roman"/>
          <w:color w:val="auto"/>
          <w:kern w:val="0"/>
          <w:sz w:val="24"/>
          <w:szCs w:val="20"/>
          <w:highlight w:val="none"/>
        </w:rPr>
        <w:t>表2-2 项目主要原辅材料一览表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7"/>
        <w:gridCol w:w="1362"/>
        <w:gridCol w:w="1857"/>
        <w:gridCol w:w="4056"/>
      </w:tblGrid>
      <w:tr w14:paraId="31E16A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2" w:type="pct"/>
            <w:vAlign w:val="center"/>
          </w:tcPr>
          <w:p w14:paraId="72116DA1">
            <w:pPr>
              <w:pStyle w:val="90"/>
              <w:jc w:val="center"/>
              <w:rPr>
                <w:rFonts w:hint="default" w:ascii="Times New Roman" w:hAnsi="Times New Roman" w:cs="Times New Roman"/>
                <w:color w:val="auto"/>
                <w:sz w:val="21"/>
                <w:szCs w:val="21"/>
                <w:highlight w:val="none"/>
              </w:rPr>
            </w:pPr>
            <w:bookmarkStart w:id="223" w:name="_Toc11868"/>
            <w:bookmarkStart w:id="224" w:name="_Toc22221"/>
            <w:bookmarkStart w:id="225" w:name="_Toc12669"/>
            <w:bookmarkStart w:id="226" w:name="_Toc192758898"/>
            <w:bookmarkStart w:id="227" w:name="_Toc6976"/>
            <w:bookmarkStart w:id="228" w:name="_Toc193459987"/>
            <w:bookmarkStart w:id="229" w:name="_Toc24000"/>
            <w:r>
              <w:rPr>
                <w:rFonts w:hint="default" w:ascii="Times New Roman" w:hAnsi="Times New Roman" w:cs="Times New Roman"/>
                <w:color w:val="auto"/>
                <w:sz w:val="21"/>
                <w:szCs w:val="21"/>
                <w:highlight w:val="none"/>
              </w:rPr>
              <w:t>序号</w:t>
            </w:r>
          </w:p>
        </w:tc>
        <w:tc>
          <w:tcPr>
            <w:tcW w:w="799" w:type="pct"/>
            <w:vAlign w:val="center"/>
          </w:tcPr>
          <w:p w14:paraId="48F6A27D">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1089" w:type="pct"/>
            <w:vAlign w:val="center"/>
          </w:tcPr>
          <w:p w14:paraId="452EB3C9">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用量</w:t>
            </w:r>
          </w:p>
        </w:tc>
        <w:tc>
          <w:tcPr>
            <w:tcW w:w="2379" w:type="pct"/>
            <w:vAlign w:val="center"/>
          </w:tcPr>
          <w:p w14:paraId="4E0D2FAC">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r>
      <w:tr w14:paraId="1C4D8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2" w:type="pct"/>
            <w:vAlign w:val="center"/>
          </w:tcPr>
          <w:p w14:paraId="381C89F9">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799" w:type="pct"/>
            <w:vAlign w:val="center"/>
          </w:tcPr>
          <w:p w14:paraId="3E57A345">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w:t>
            </w:r>
          </w:p>
        </w:tc>
        <w:tc>
          <w:tcPr>
            <w:tcW w:w="1089" w:type="pct"/>
            <w:vAlign w:val="center"/>
          </w:tcPr>
          <w:p w14:paraId="2C11AC35">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4020</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/a</w:t>
            </w:r>
          </w:p>
        </w:tc>
        <w:tc>
          <w:tcPr>
            <w:tcW w:w="2379" w:type="pct"/>
            <w:vAlign w:val="center"/>
          </w:tcPr>
          <w:p w14:paraId="45A958B4">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外购，进厂暂存于沥青储罐</w:t>
            </w:r>
          </w:p>
        </w:tc>
      </w:tr>
      <w:tr w14:paraId="23E8E9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2" w:type="pct"/>
            <w:vAlign w:val="center"/>
          </w:tcPr>
          <w:p w14:paraId="607A39D4">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799" w:type="pct"/>
            <w:vAlign w:val="center"/>
          </w:tcPr>
          <w:p w14:paraId="242F24BB">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石料</w:t>
            </w:r>
          </w:p>
        </w:tc>
        <w:tc>
          <w:tcPr>
            <w:tcW w:w="1089" w:type="pct"/>
            <w:vAlign w:val="center"/>
          </w:tcPr>
          <w:p w14:paraId="134739D8">
            <w:pPr>
              <w:pStyle w:val="9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95600t/a</w:t>
            </w:r>
          </w:p>
        </w:tc>
        <w:tc>
          <w:tcPr>
            <w:tcW w:w="2379" w:type="pct"/>
            <w:vAlign w:val="center"/>
          </w:tcPr>
          <w:p w14:paraId="7BDD2033">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外购，进厂暂存于原料堆场</w:t>
            </w:r>
          </w:p>
        </w:tc>
      </w:tr>
      <w:tr w14:paraId="212CEA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2" w:type="pct"/>
            <w:vAlign w:val="center"/>
          </w:tcPr>
          <w:p w14:paraId="2601DEFE">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799" w:type="pct"/>
            <w:shd w:val="clear" w:color="auto" w:fill="auto"/>
            <w:vAlign w:val="center"/>
          </w:tcPr>
          <w:p w14:paraId="026CD0C9">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矿粉</w:t>
            </w:r>
          </w:p>
        </w:tc>
        <w:tc>
          <w:tcPr>
            <w:tcW w:w="1089" w:type="pct"/>
            <w:shd w:val="clear" w:color="auto" w:fill="auto"/>
            <w:vAlign w:val="center"/>
          </w:tcPr>
          <w:p w14:paraId="4FF3384D">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500</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/a</w:t>
            </w:r>
          </w:p>
        </w:tc>
        <w:tc>
          <w:tcPr>
            <w:tcW w:w="2379" w:type="pct"/>
            <w:shd w:val="clear" w:color="auto" w:fill="auto"/>
            <w:vAlign w:val="center"/>
          </w:tcPr>
          <w:p w14:paraId="606B7FB3">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外购，进厂暂存于</w:t>
            </w:r>
            <w:r>
              <w:rPr>
                <w:rFonts w:hint="default" w:ascii="Times New Roman" w:hAnsi="Times New Roman" w:cs="Times New Roman"/>
                <w:color w:val="auto"/>
                <w:sz w:val="21"/>
                <w:szCs w:val="21"/>
                <w:highlight w:val="none"/>
                <w:lang w:val="en-US" w:eastAsia="zh-CN"/>
              </w:rPr>
              <w:t>矿粉仓</w:t>
            </w:r>
          </w:p>
        </w:tc>
      </w:tr>
      <w:tr w14:paraId="16B40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2" w:type="pct"/>
            <w:vAlign w:val="center"/>
          </w:tcPr>
          <w:p w14:paraId="32C3BCF6">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799" w:type="pct"/>
            <w:shd w:val="clear" w:color="auto" w:fill="auto"/>
            <w:vAlign w:val="center"/>
          </w:tcPr>
          <w:p w14:paraId="47347AA3">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柴油</w:t>
            </w:r>
          </w:p>
        </w:tc>
        <w:tc>
          <w:tcPr>
            <w:tcW w:w="1089" w:type="pct"/>
            <w:shd w:val="clear" w:color="auto" w:fill="auto"/>
            <w:vAlign w:val="center"/>
          </w:tcPr>
          <w:p w14:paraId="4413743C">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370.87</w:t>
            </w:r>
            <w:r>
              <w:rPr>
                <w:rFonts w:hint="default" w:ascii="Times New Roman" w:hAnsi="Times New Roman" w:cs="Times New Roman"/>
                <w:color w:val="auto"/>
                <w:sz w:val="21"/>
                <w:szCs w:val="21"/>
                <w:highlight w:val="none"/>
              </w:rPr>
              <w:t>t/a</w:t>
            </w:r>
          </w:p>
        </w:tc>
        <w:tc>
          <w:tcPr>
            <w:tcW w:w="2379" w:type="pct"/>
            <w:shd w:val="clear" w:color="auto" w:fill="auto"/>
            <w:vAlign w:val="center"/>
          </w:tcPr>
          <w:p w14:paraId="2AFDBB32">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外购，进厂暂存于柴油储罐</w:t>
            </w:r>
          </w:p>
        </w:tc>
      </w:tr>
      <w:tr w14:paraId="44257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2" w:type="pct"/>
            <w:vAlign w:val="center"/>
          </w:tcPr>
          <w:p w14:paraId="02BF77BF">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799" w:type="pct"/>
            <w:shd w:val="clear" w:color="auto" w:fill="auto"/>
            <w:vAlign w:val="center"/>
          </w:tcPr>
          <w:p w14:paraId="2B9370EB">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导热油</w:t>
            </w:r>
          </w:p>
        </w:tc>
        <w:tc>
          <w:tcPr>
            <w:tcW w:w="1089" w:type="pct"/>
            <w:shd w:val="clear" w:color="auto" w:fill="auto"/>
            <w:vAlign w:val="center"/>
          </w:tcPr>
          <w:p w14:paraId="64B1873C">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0.</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/a</w:t>
            </w:r>
          </w:p>
        </w:tc>
        <w:tc>
          <w:tcPr>
            <w:tcW w:w="2379" w:type="pct"/>
            <w:shd w:val="clear" w:color="auto" w:fill="auto"/>
            <w:vAlign w:val="center"/>
          </w:tcPr>
          <w:p w14:paraId="442AD29D">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委托锅炉厂家定期更换</w:t>
            </w:r>
          </w:p>
        </w:tc>
      </w:tr>
      <w:tr w14:paraId="2ECE3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2" w:type="pct"/>
            <w:vAlign w:val="center"/>
          </w:tcPr>
          <w:p w14:paraId="475A7BED">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6</w:t>
            </w:r>
          </w:p>
        </w:tc>
        <w:tc>
          <w:tcPr>
            <w:tcW w:w="799" w:type="pct"/>
            <w:shd w:val="clear" w:color="auto" w:fill="auto"/>
            <w:vAlign w:val="center"/>
          </w:tcPr>
          <w:p w14:paraId="14B77FED">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乳化剂</w:t>
            </w:r>
          </w:p>
        </w:tc>
        <w:tc>
          <w:tcPr>
            <w:tcW w:w="1089" w:type="pct"/>
            <w:shd w:val="clear" w:color="auto" w:fill="auto"/>
            <w:vAlign w:val="center"/>
          </w:tcPr>
          <w:p w14:paraId="26BB93A0">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2t/a</w:t>
            </w:r>
          </w:p>
        </w:tc>
        <w:tc>
          <w:tcPr>
            <w:tcW w:w="2379" w:type="pct"/>
            <w:shd w:val="clear" w:color="auto" w:fill="auto"/>
            <w:vAlign w:val="center"/>
          </w:tcPr>
          <w:p w14:paraId="19D58C28">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外购</w:t>
            </w:r>
          </w:p>
        </w:tc>
      </w:tr>
      <w:tr w14:paraId="4535C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2" w:type="pct"/>
            <w:vAlign w:val="center"/>
          </w:tcPr>
          <w:p w14:paraId="2ADAD72E">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w:t>
            </w:r>
          </w:p>
        </w:tc>
        <w:tc>
          <w:tcPr>
            <w:tcW w:w="799" w:type="pct"/>
            <w:shd w:val="clear" w:color="auto" w:fill="auto"/>
            <w:vAlign w:val="center"/>
          </w:tcPr>
          <w:p w14:paraId="32E6591A">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活性炭</w:t>
            </w:r>
          </w:p>
        </w:tc>
        <w:tc>
          <w:tcPr>
            <w:tcW w:w="1089" w:type="pct"/>
            <w:shd w:val="clear" w:color="auto" w:fill="auto"/>
            <w:vAlign w:val="center"/>
          </w:tcPr>
          <w:p w14:paraId="43B33946">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7.6092t/a</w:t>
            </w:r>
          </w:p>
        </w:tc>
        <w:tc>
          <w:tcPr>
            <w:tcW w:w="2379" w:type="pct"/>
            <w:shd w:val="clear" w:color="auto" w:fill="auto"/>
            <w:vAlign w:val="center"/>
          </w:tcPr>
          <w:p w14:paraId="3640C0B2">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外购</w:t>
            </w:r>
          </w:p>
        </w:tc>
      </w:tr>
      <w:tr w14:paraId="37FB8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2" w:type="pct"/>
            <w:vAlign w:val="center"/>
          </w:tcPr>
          <w:p w14:paraId="0E5C28A0">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799" w:type="pct"/>
            <w:shd w:val="clear" w:color="auto" w:fill="auto"/>
            <w:vAlign w:val="center"/>
          </w:tcPr>
          <w:p w14:paraId="1DA2D501">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w:t>
            </w:r>
          </w:p>
        </w:tc>
        <w:tc>
          <w:tcPr>
            <w:tcW w:w="1089" w:type="pct"/>
            <w:shd w:val="clear" w:color="auto" w:fill="auto"/>
            <w:vAlign w:val="center"/>
          </w:tcPr>
          <w:p w14:paraId="4CA82A7E">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1058t/a</w:t>
            </w:r>
          </w:p>
        </w:tc>
        <w:tc>
          <w:tcPr>
            <w:tcW w:w="2379" w:type="pct"/>
            <w:shd w:val="clear" w:color="auto" w:fill="auto"/>
            <w:vAlign w:val="center"/>
          </w:tcPr>
          <w:p w14:paraId="78538248">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井水</w:t>
            </w:r>
          </w:p>
        </w:tc>
      </w:tr>
    </w:tbl>
    <w:p w14:paraId="6677B48A">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r>
        <w:rPr>
          <w:rFonts w:hint="default" w:ascii="Times New Roman" w:hAnsi="Times New Roman" w:eastAsia="黑体" w:cs="Times New Roman"/>
          <w:bCs/>
          <w:color w:val="auto"/>
          <w:kern w:val="44"/>
          <w:sz w:val="24"/>
          <w:highlight w:val="none"/>
        </w:rPr>
        <w:t>2.4主要产品方案</w:t>
      </w:r>
      <w:bookmarkEnd w:id="222"/>
      <w:bookmarkEnd w:id="223"/>
      <w:bookmarkEnd w:id="224"/>
      <w:bookmarkEnd w:id="225"/>
      <w:bookmarkEnd w:id="226"/>
      <w:bookmarkEnd w:id="227"/>
      <w:bookmarkEnd w:id="228"/>
      <w:bookmarkEnd w:id="229"/>
    </w:p>
    <w:p w14:paraId="12189C1D">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主要产品方案表见下表。</w:t>
      </w:r>
    </w:p>
    <w:p w14:paraId="4E88F731">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bookmarkStart w:id="230" w:name="_Toc15972"/>
      <w:r>
        <w:rPr>
          <w:rFonts w:hint="default" w:ascii="Times New Roman" w:hAnsi="Times New Roman" w:eastAsia="黑体" w:cs="Times New Roman"/>
          <w:color w:val="auto"/>
          <w:kern w:val="0"/>
          <w:sz w:val="24"/>
          <w:szCs w:val="20"/>
          <w:highlight w:val="none"/>
        </w:rPr>
        <w:t>表2-3 主要产品方案表</w:t>
      </w:r>
    </w:p>
    <w:tbl>
      <w:tblPr>
        <w:tblStyle w:val="93"/>
        <w:tblW w:w="489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2279"/>
        <w:gridCol w:w="2280"/>
        <w:gridCol w:w="2799"/>
      </w:tblGrid>
      <w:tr w14:paraId="242EE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342CDB93">
            <w:pPr>
              <w:pStyle w:val="90"/>
              <w:rPr>
                <w:rFonts w:hint="default" w:ascii="Times New Roman" w:hAnsi="Times New Roman" w:cs="Times New Roman"/>
                <w:color w:val="auto"/>
                <w:sz w:val="21"/>
                <w:szCs w:val="21"/>
                <w:highlight w:val="none"/>
              </w:rPr>
            </w:pPr>
            <w:bookmarkStart w:id="231" w:name="_Toc15136"/>
            <w:bookmarkStart w:id="232" w:name="_Toc12239"/>
            <w:bookmarkStart w:id="233" w:name="_Toc10945"/>
            <w:bookmarkStart w:id="234" w:name="_Toc192758899"/>
            <w:bookmarkStart w:id="235" w:name="_Toc193459988"/>
            <w:r>
              <w:rPr>
                <w:rFonts w:hint="default" w:ascii="Times New Roman" w:hAnsi="Times New Roman" w:cs="Times New Roman"/>
                <w:color w:val="auto"/>
                <w:sz w:val="21"/>
                <w:szCs w:val="21"/>
                <w:highlight w:val="none"/>
              </w:rPr>
              <w:t>序号</w:t>
            </w:r>
          </w:p>
        </w:tc>
        <w:tc>
          <w:tcPr>
            <w:tcW w:w="1367" w:type="pct"/>
            <w:vAlign w:val="center"/>
          </w:tcPr>
          <w:p w14:paraId="7BF6BCF8">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1368" w:type="pct"/>
            <w:vAlign w:val="center"/>
          </w:tcPr>
          <w:p w14:paraId="371F95E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产品规格</w:t>
            </w:r>
          </w:p>
        </w:tc>
        <w:tc>
          <w:tcPr>
            <w:tcW w:w="1679" w:type="pct"/>
            <w:vAlign w:val="center"/>
          </w:tcPr>
          <w:p w14:paraId="2E780767">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产量/年</w:t>
            </w:r>
          </w:p>
        </w:tc>
      </w:tr>
      <w:tr w14:paraId="698A4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2A03D3E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115" w:type="dxa"/>
            <w:vAlign w:val="center"/>
          </w:tcPr>
          <w:p w14:paraId="375F3C42">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沥青混凝土</w:t>
            </w:r>
          </w:p>
        </w:tc>
        <w:tc>
          <w:tcPr>
            <w:tcW w:w="2116" w:type="dxa"/>
            <w:vAlign w:val="center"/>
          </w:tcPr>
          <w:p w14:paraId="69C1EC30">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AC-1</w:t>
            </w:r>
            <w:r>
              <w:rPr>
                <w:rFonts w:hint="default" w:ascii="Times New Roman" w:hAnsi="Times New Roman" w:cs="Times New Roman"/>
                <w:color w:val="auto"/>
                <w:sz w:val="21"/>
                <w:szCs w:val="21"/>
                <w:highlight w:val="none"/>
                <w:lang w:val="en-US" w:eastAsia="zh-CN"/>
              </w:rPr>
              <w:t>3</w:t>
            </w:r>
          </w:p>
        </w:tc>
        <w:tc>
          <w:tcPr>
            <w:tcW w:w="2597" w:type="dxa"/>
            <w:vAlign w:val="center"/>
          </w:tcPr>
          <w:p w14:paraId="2FD33F5C">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万</w:t>
            </w:r>
            <w:r>
              <w:rPr>
                <w:rFonts w:hint="default" w:ascii="Times New Roman" w:hAnsi="Times New Roman" w:cs="Times New Roman"/>
                <w:color w:val="auto"/>
                <w:sz w:val="21"/>
                <w:szCs w:val="21"/>
                <w:highlight w:val="none"/>
                <w:lang w:val="en-US" w:eastAsia="zh-CN"/>
              </w:rPr>
              <w:t>吨</w:t>
            </w:r>
            <w:r>
              <w:rPr>
                <w:rFonts w:hint="default" w:ascii="Times New Roman" w:hAnsi="Times New Roman" w:cs="Times New Roman"/>
                <w:color w:val="auto"/>
                <w:sz w:val="21"/>
                <w:szCs w:val="21"/>
                <w:highlight w:val="none"/>
              </w:rPr>
              <w:t>/a</w:t>
            </w:r>
          </w:p>
        </w:tc>
      </w:tr>
      <w:tr w14:paraId="52DED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254333A4">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115" w:type="dxa"/>
            <w:vAlign w:val="center"/>
          </w:tcPr>
          <w:p w14:paraId="60C00C1B">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沥青混凝土</w:t>
            </w:r>
          </w:p>
        </w:tc>
        <w:tc>
          <w:tcPr>
            <w:tcW w:w="2116" w:type="dxa"/>
            <w:vAlign w:val="center"/>
          </w:tcPr>
          <w:p w14:paraId="4B0069A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AC-16</w:t>
            </w:r>
          </w:p>
        </w:tc>
        <w:tc>
          <w:tcPr>
            <w:tcW w:w="2597" w:type="dxa"/>
            <w:vAlign w:val="center"/>
          </w:tcPr>
          <w:p w14:paraId="578D153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万</w:t>
            </w:r>
            <w:r>
              <w:rPr>
                <w:rFonts w:hint="default" w:ascii="Times New Roman" w:hAnsi="Times New Roman" w:cs="Times New Roman"/>
                <w:color w:val="auto"/>
                <w:sz w:val="21"/>
                <w:szCs w:val="21"/>
                <w:highlight w:val="none"/>
                <w:lang w:val="en-US" w:eastAsia="zh-CN"/>
              </w:rPr>
              <w:t>吨</w:t>
            </w:r>
            <w:r>
              <w:rPr>
                <w:rFonts w:hint="default" w:ascii="Times New Roman" w:hAnsi="Times New Roman" w:cs="Times New Roman"/>
                <w:color w:val="auto"/>
                <w:sz w:val="21"/>
                <w:szCs w:val="21"/>
                <w:highlight w:val="none"/>
              </w:rPr>
              <w:t>/a</w:t>
            </w:r>
          </w:p>
        </w:tc>
      </w:tr>
      <w:tr w14:paraId="0E1B8B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38D499D2">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2115" w:type="dxa"/>
            <w:vAlign w:val="center"/>
          </w:tcPr>
          <w:p w14:paraId="24323BBE">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沥青混凝土</w:t>
            </w:r>
          </w:p>
        </w:tc>
        <w:tc>
          <w:tcPr>
            <w:tcW w:w="2116" w:type="dxa"/>
            <w:vAlign w:val="center"/>
          </w:tcPr>
          <w:p w14:paraId="22305D8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AC-20</w:t>
            </w:r>
          </w:p>
        </w:tc>
        <w:tc>
          <w:tcPr>
            <w:tcW w:w="2597" w:type="dxa"/>
            <w:vAlign w:val="center"/>
          </w:tcPr>
          <w:p w14:paraId="3A31C91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万</w:t>
            </w:r>
            <w:r>
              <w:rPr>
                <w:rFonts w:hint="default" w:ascii="Times New Roman" w:hAnsi="Times New Roman" w:cs="Times New Roman"/>
                <w:color w:val="auto"/>
                <w:sz w:val="21"/>
                <w:szCs w:val="21"/>
                <w:highlight w:val="none"/>
                <w:lang w:val="en-US" w:eastAsia="zh-CN"/>
              </w:rPr>
              <w:t>吨</w:t>
            </w:r>
            <w:r>
              <w:rPr>
                <w:rFonts w:hint="default" w:ascii="Times New Roman" w:hAnsi="Times New Roman" w:cs="Times New Roman"/>
                <w:color w:val="auto"/>
                <w:sz w:val="21"/>
                <w:szCs w:val="21"/>
                <w:highlight w:val="none"/>
              </w:rPr>
              <w:t>/a</w:t>
            </w:r>
          </w:p>
        </w:tc>
      </w:tr>
      <w:tr w14:paraId="4179D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6" w:type="pct"/>
            <w:vAlign w:val="center"/>
          </w:tcPr>
          <w:p w14:paraId="183F41E9">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2115" w:type="dxa"/>
            <w:vAlign w:val="center"/>
          </w:tcPr>
          <w:p w14:paraId="60D5F409">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乳化沥青</w:t>
            </w:r>
          </w:p>
        </w:tc>
        <w:tc>
          <w:tcPr>
            <w:tcW w:w="2116" w:type="dxa"/>
            <w:vAlign w:val="center"/>
          </w:tcPr>
          <w:p w14:paraId="6E478118">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2597" w:type="dxa"/>
            <w:vAlign w:val="center"/>
          </w:tcPr>
          <w:p w14:paraId="0645BBEB">
            <w:pPr>
              <w:pStyle w:val="9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100吨</w:t>
            </w:r>
          </w:p>
        </w:tc>
      </w:tr>
    </w:tbl>
    <w:p w14:paraId="6A7C1709">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236" w:name="_Toc15744"/>
      <w:bookmarkStart w:id="237" w:name="_Toc2794"/>
      <w:r>
        <w:rPr>
          <w:rFonts w:hint="default" w:ascii="Times New Roman" w:hAnsi="Times New Roman" w:eastAsia="黑体" w:cs="Times New Roman"/>
          <w:bCs/>
          <w:color w:val="auto"/>
          <w:kern w:val="44"/>
          <w:sz w:val="24"/>
          <w:highlight w:val="none"/>
        </w:rPr>
        <w:t>2.5主要生产设备</w:t>
      </w:r>
      <w:bookmarkEnd w:id="230"/>
      <w:bookmarkEnd w:id="231"/>
      <w:bookmarkEnd w:id="232"/>
      <w:bookmarkEnd w:id="233"/>
      <w:bookmarkEnd w:id="234"/>
      <w:bookmarkEnd w:id="235"/>
      <w:bookmarkEnd w:id="236"/>
      <w:bookmarkEnd w:id="237"/>
    </w:p>
    <w:p w14:paraId="1B627C12">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本项目主要生产设备见下表。</w:t>
      </w:r>
    </w:p>
    <w:p w14:paraId="75663D93">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bookmarkStart w:id="238" w:name="_Toc12142"/>
      <w:r>
        <w:rPr>
          <w:rFonts w:hint="default" w:ascii="Times New Roman" w:hAnsi="Times New Roman" w:eastAsia="黑体" w:cs="Times New Roman"/>
          <w:color w:val="auto"/>
          <w:kern w:val="0"/>
          <w:sz w:val="24"/>
          <w:szCs w:val="20"/>
          <w:highlight w:val="none"/>
        </w:rPr>
        <w:t>表2-4 主要生产设备一览表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2"/>
        <w:gridCol w:w="2650"/>
        <w:gridCol w:w="2280"/>
        <w:gridCol w:w="1239"/>
        <w:gridCol w:w="1448"/>
      </w:tblGrid>
      <w:tr w14:paraId="209F9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0" w:hRule="atLeast"/>
          <w:jc w:val="center"/>
        </w:trPr>
        <w:tc>
          <w:tcPr>
            <w:tcW w:w="529" w:type="pct"/>
            <w:vAlign w:val="center"/>
          </w:tcPr>
          <w:p w14:paraId="216333C8">
            <w:pPr>
              <w:pStyle w:val="90"/>
              <w:rPr>
                <w:rFonts w:hint="default" w:ascii="Times New Roman" w:hAnsi="Times New Roman" w:cs="Times New Roman"/>
                <w:color w:val="auto"/>
                <w:sz w:val="21"/>
                <w:szCs w:val="21"/>
                <w:highlight w:val="none"/>
              </w:rPr>
            </w:pPr>
            <w:bookmarkStart w:id="239" w:name="_Toc32348"/>
            <w:bookmarkStart w:id="240" w:name="_Toc193459989"/>
            <w:bookmarkStart w:id="241" w:name="_Toc10301"/>
            <w:bookmarkStart w:id="242" w:name="_Toc192758900"/>
            <w:bookmarkStart w:id="243" w:name="_Toc783"/>
            <w:bookmarkStart w:id="244" w:name="_Toc25927"/>
            <w:r>
              <w:rPr>
                <w:rFonts w:hint="default" w:ascii="Times New Roman" w:hAnsi="Times New Roman" w:cs="Times New Roman"/>
                <w:color w:val="auto"/>
                <w:sz w:val="21"/>
                <w:szCs w:val="21"/>
                <w:highlight w:val="none"/>
              </w:rPr>
              <w:t>序号</w:t>
            </w:r>
          </w:p>
        </w:tc>
        <w:tc>
          <w:tcPr>
            <w:tcW w:w="1555" w:type="pct"/>
            <w:vAlign w:val="center"/>
          </w:tcPr>
          <w:p w14:paraId="79F4CE10">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1338" w:type="pct"/>
            <w:vAlign w:val="center"/>
          </w:tcPr>
          <w:p w14:paraId="2879DF74">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规格</w:t>
            </w:r>
          </w:p>
        </w:tc>
        <w:tc>
          <w:tcPr>
            <w:tcW w:w="727" w:type="pct"/>
            <w:vAlign w:val="center"/>
          </w:tcPr>
          <w:p w14:paraId="63CA18E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单位</w:t>
            </w:r>
          </w:p>
        </w:tc>
        <w:tc>
          <w:tcPr>
            <w:tcW w:w="849" w:type="pct"/>
            <w:vAlign w:val="center"/>
          </w:tcPr>
          <w:p w14:paraId="4F6B3FF1">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数量</w:t>
            </w:r>
          </w:p>
        </w:tc>
      </w:tr>
      <w:tr w14:paraId="28942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51425D78">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555" w:type="pct"/>
            <w:shd w:val="clear" w:color="auto" w:fill="auto"/>
            <w:vAlign w:val="center"/>
          </w:tcPr>
          <w:p w14:paraId="74DD5577">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装载机</w:t>
            </w:r>
          </w:p>
        </w:tc>
        <w:tc>
          <w:tcPr>
            <w:tcW w:w="1338" w:type="pct"/>
            <w:shd w:val="clear" w:color="auto" w:fill="auto"/>
            <w:vAlign w:val="center"/>
          </w:tcPr>
          <w:p w14:paraId="42C767F3">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50型</w:t>
            </w:r>
          </w:p>
        </w:tc>
        <w:tc>
          <w:tcPr>
            <w:tcW w:w="727" w:type="pct"/>
            <w:shd w:val="clear" w:color="auto" w:fill="auto"/>
            <w:vAlign w:val="center"/>
          </w:tcPr>
          <w:p w14:paraId="7BA518B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777F9D8D">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w:t>
            </w:r>
          </w:p>
        </w:tc>
      </w:tr>
      <w:tr w14:paraId="26B81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26EDE1AD">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555" w:type="pct"/>
            <w:shd w:val="clear" w:color="auto" w:fill="auto"/>
            <w:vAlign w:val="center"/>
          </w:tcPr>
          <w:p w14:paraId="0006B4A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集料皮带输送机</w:t>
            </w:r>
          </w:p>
        </w:tc>
        <w:tc>
          <w:tcPr>
            <w:tcW w:w="1338" w:type="pct"/>
            <w:shd w:val="clear" w:color="auto" w:fill="auto"/>
            <w:vAlign w:val="center"/>
          </w:tcPr>
          <w:p w14:paraId="42B1D4B1">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5.5kW</w:t>
            </w:r>
          </w:p>
        </w:tc>
        <w:tc>
          <w:tcPr>
            <w:tcW w:w="727" w:type="pct"/>
            <w:shd w:val="clear" w:color="auto" w:fill="auto"/>
            <w:vAlign w:val="top"/>
          </w:tcPr>
          <w:p w14:paraId="05435FC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top"/>
          </w:tcPr>
          <w:p w14:paraId="33C288D2">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w:t>
            </w:r>
          </w:p>
        </w:tc>
      </w:tr>
      <w:tr w14:paraId="02596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59666F4F">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555" w:type="pct"/>
            <w:shd w:val="clear" w:color="auto" w:fill="auto"/>
            <w:vAlign w:val="center"/>
          </w:tcPr>
          <w:p w14:paraId="7AE427D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上料皮带输送机</w:t>
            </w:r>
          </w:p>
        </w:tc>
        <w:tc>
          <w:tcPr>
            <w:tcW w:w="1338" w:type="pct"/>
            <w:shd w:val="clear" w:color="auto" w:fill="auto"/>
            <w:vAlign w:val="center"/>
          </w:tcPr>
          <w:p w14:paraId="4AD220B8">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5.5kW</w:t>
            </w:r>
          </w:p>
        </w:tc>
        <w:tc>
          <w:tcPr>
            <w:tcW w:w="727" w:type="pct"/>
            <w:shd w:val="clear" w:color="auto" w:fill="auto"/>
            <w:vAlign w:val="top"/>
          </w:tcPr>
          <w:p w14:paraId="6FF9DBA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4F5C9ABE">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40823E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177C73BD">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1555" w:type="pct"/>
            <w:shd w:val="clear" w:color="auto" w:fill="auto"/>
            <w:vAlign w:val="center"/>
          </w:tcPr>
          <w:p w14:paraId="4EF4156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石料烘干滚筒</w:t>
            </w:r>
          </w:p>
        </w:tc>
        <w:tc>
          <w:tcPr>
            <w:tcW w:w="1338" w:type="pct"/>
            <w:shd w:val="clear" w:color="auto" w:fill="auto"/>
            <w:vAlign w:val="center"/>
          </w:tcPr>
          <w:p w14:paraId="5C6A26E9">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φ2.5m×10m</w:t>
            </w:r>
          </w:p>
        </w:tc>
        <w:tc>
          <w:tcPr>
            <w:tcW w:w="727" w:type="pct"/>
            <w:shd w:val="clear" w:color="auto" w:fill="auto"/>
            <w:vAlign w:val="center"/>
          </w:tcPr>
          <w:p w14:paraId="11DBCFE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15868E9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3F4E12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6AB7CB01">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1555" w:type="pct"/>
            <w:shd w:val="clear" w:color="auto" w:fill="auto"/>
            <w:vAlign w:val="center"/>
          </w:tcPr>
          <w:p w14:paraId="31A4E644">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烘干燃烧器</w:t>
            </w:r>
          </w:p>
        </w:tc>
        <w:tc>
          <w:tcPr>
            <w:tcW w:w="1338" w:type="pct"/>
            <w:shd w:val="clear" w:color="auto" w:fill="auto"/>
            <w:vAlign w:val="center"/>
          </w:tcPr>
          <w:p w14:paraId="175032D6">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21.7MW</w:t>
            </w:r>
          </w:p>
        </w:tc>
        <w:tc>
          <w:tcPr>
            <w:tcW w:w="727" w:type="pct"/>
            <w:shd w:val="clear" w:color="auto" w:fill="auto"/>
            <w:vAlign w:val="top"/>
          </w:tcPr>
          <w:p w14:paraId="430DBC84">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71FD6D2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2F54C4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15736E99">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1555" w:type="pct"/>
            <w:shd w:val="clear" w:color="auto" w:fill="auto"/>
            <w:vAlign w:val="center"/>
          </w:tcPr>
          <w:p w14:paraId="0F89D39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矿粉提升机</w:t>
            </w:r>
          </w:p>
        </w:tc>
        <w:tc>
          <w:tcPr>
            <w:tcW w:w="1338" w:type="pct"/>
            <w:shd w:val="clear" w:color="auto" w:fill="auto"/>
            <w:vAlign w:val="center"/>
          </w:tcPr>
          <w:p w14:paraId="03694DAE">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5.5kW</w:t>
            </w:r>
          </w:p>
        </w:tc>
        <w:tc>
          <w:tcPr>
            <w:tcW w:w="727" w:type="pct"/>
            <w:shd w:val="clear" w:color="auto" w:fill="auto"/>
            <w:vAlign w:val="center"/>
          </w:tcPr>
          <w:p w14:paraId="3EA95027">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4CFF7AB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54A163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4BB04F04">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1555" w:type="pct"/>
            <w:shd w:val="clear" w:color="auto" w:fill="auto"/>
            <w:vAlign w:val="center"/>
          </w:tcPr>
          <w:p w14:paraId="78B8ACA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热石料提升机</w:t>
            </w:r>
          </w:p>
        </w:tc>
        <w:tc>
          <w:tcPr>
            <w:tcW w:w="1338" w:type="pct"/>
            <w:shd w:val="clear" w:color="auto" w:fill="auto"/>
            <w:vAlign w:val="center"/>
          </w:tcPr>
          <w:p w14:paraId="36A67D01">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双排耐磨板链料斗型</w:t>
            </w:r>
          </w:p>
        </w:tc>
        <w:tc>
          <w:tcPr>
            <w:tcW w:w="727" w:type="pct"/>
            <w:shd w:val="clear" w:color="auto" w:fill="auto"/>
            <w:vAlign w:val="center"/>
          </w:tcPr>
          <w:p w14:paraId="7D9FD23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180DAD2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6C9881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3DB4D9AA">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1555" w:type="pct"/>
            <w:shd w:val="clear" w:color="auto" w:fill="auto"/>
            <w:vAlign w:val="center"/>
          </w:tcPr>
          <w:p w14:paraId="0296632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振动式封闭筛选机</w:t>
            </w:r>
          </w:p>
        </w:tc>
        <w:tc>
          <w:tcPr>
            <w:tcW w:w="1338" w:type="pct"/>
            <w:shd w:val="clear" w:color="auto" w:fill="auto"/>
            <w:vAlign w:val="center"/>
          </w:tcPr>
          <w:p w14:paraId="55610402">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双振动电机驱动式</w:t>
            </w:r>
          </w:p>
        </w:tc>
        <w:tc>
          <w:tcPr>
            <w:tcW w:w="727" w:type="pct"/>
            <w:shd w:val="clear" w:color="auto" w:fill="auto"/>
            <w:vAlign w:val="center"/>
          </w:tcPr>
          <w:p w14:paraId="3CB258E1">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434D3AB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53F75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0F0EA61C">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w:t>
            </w:r>
          </w:p>
        </w:tc>
        <w:tc>
          <w:tcPr>
            <w:tcW w:w="1555" w:type="pct"/>
            <w:shd w:val="clear" w:color="auto" w:fill="auto"/>
            <w:vAlign w:val="center"/>
          </w:tcPr>
          <w:p w14:paraId="7D384EA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石料计量系统</w:t>
            </w:r>
          </w:p>
        </w:tc>
        <w:tc>
          <w:tcPr>
            <w:tcW w:w="1338" w:type="pct"/>
            <w:shd w:val="clear" w:color="auto" w:fill="auto"/>
            <w:vAlign w:val="center"/>
          </w:tcPr>
          <w:p w14:paraId="38823033">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压式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4000kg</w:t>
            </w:r>
          </w:p>
        </w:tc>
        <w:tc>
          <w:tcPr>
            <w:tcW w:w="727" w:type="pct"/>
            <w:shd w:val="clear" w:color="auto" w:fill="auto"/>
            <w:vAlign w:val="center"/>
          </w:tcPr>
          <w:p w14:paraId="6AAC703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center"/>
          </w:tcPr>
          <w:p w14:paraId="7BB3A1F1">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2688D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601675F4">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1555" w:type="pct"/>
            <w:shd w:val="clear" w:color="auto" w:fill="auto"/>
            <w:vAlign w:val="center"/>
          </w:tcPr>
          <w:p w14:paraId="01E41A8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矿粉计量系统</w:t>
            </w:r>
          </w:p>
        </w:tc>
        <w:tc>
          <w:tcPr>
            <w:tcW w:w="1338" w:type="pct"/>
            <w:shd w:val="clear" w:color="auto" w:fill="auto"/>
            <w:vAlign w:val="center"/>
          </w:tcPr>
          <w:p w14:paraId="2191F6E5">
            <w:pPr>
              <w:pStyle w:val="9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压式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500kg</w:t>
            </w:r>
          </w:p>
        </w:tc>
        <w:tc>
          <w:tcPr>
            <w:tcW w:w="727" w:type="pct"/>
            <w:shd w:val="clear" w:color="auto" w:fill="auto"/>
            <w:vAlign w:val="center"/>
          </w:tcPr>
          <w:p w14:paraId="43EED94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top"/>
          </w:tcPr>
          <w:p w14:paraId="4040006E">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7D0A20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30B08CFA">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w:t>
            </w:r>
          </w:p>
        </w:tc>
        <w:tc>
          <w:tcPr>
            <w:tcW w:w="1555" w:type="pct"/>
            <w:shd w:val="clear" w:color="auto" w:fill="auto"/>
            <w:vAlign w:val="center"/>
          </w:tcPr>
          <w:p w14:paraId="504661D2">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沥青计量系统</w:t>
            </w:r>
          </w:p>
        </w:tc>
        <w:tc>
          <w:tcPr>
            <w:tcW w:w="1338" w:type="pct"/>
            <w:shd w:val="clear" w:color="auto" w:fill="auto"/>
            <w:vAlign w:val="center"/>
          </w:tcPr>
          <w:p w14:paraId="4DAD1D7A">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压式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500kg</w:t>
            </w:r>
          </w:p>
        </w:tc>
        <w:tc>
          <w:tcPr>
            <w:tcW w:w="727" w:type="pct"/>
            <w:shd w:val="clear" w:color="auto" w:fill="auto"/>
            <w:vAlign w:val="center"/>
          </w:tcPr>
          <w:p w14:paraId="1DE5DC7E">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台</w:t>
            </w:r>
          </w:p>
        </w:tc>
        <w:tc>
          <w:tcPr>
            <w:tcW w:w="849" w:type="pct"/>
            <w:shd w:val="clear" w:color="auto" w:fill="auto"/>
            <w:vAlign w:val="top"/>
          </w:tcPr>
          <w:p w14:paraId="28487AE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6DC5A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62C2546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w:t>
            </w:r>
          </w:p>
        </w:tc>
        <w:tc>
          <w:tcPr>
            <w:tcW w:w="1555" w:type="pct"/>
            <w:shd w:val="clear" w:color="auto" w:fill="auto"/>
            <w:vAlign w:val="center"/>
          </w:tcPr>
          <w:p w14:paraId="5B350432">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沥青输送系统</w:t>
            </w:r>
          </w:p>
        </w:tc>
        <w:tc>
          <w:tcPr>
            <w:tcW w:w="1338" w:type="pct"/>
            <w:shd w:val="clear" w:color="auto" w:fill="auto"/>
            <w:vAlign w:val="center"/>
          </w:tcPr>
          <w:p w14:paraId="38518795">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≥29.1m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p>
        </w:tc>
        <w:tc>
          <w:tcPr>
            <w:tcW w:w="727" w:type="pct"/>
            <w:shd w:val="clear" w:color="auto" w:fill="auto"/>
            <w:vAlign w:val="center"/>
          </w:tcPr>
          <w:p w14:paraId="2C961BB4">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top"/>
          </w:tcPr>
          <w:p w14:paraId="4732CF0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4D1959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0EBA6613">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w:t>
            </w:r>
          </w:p>
        </w:tc>
        <w:tc>
          <w:tcPr>
            <w:tcW w:w="1555" w:type="pct"/>
            <w:shd w:val="clear" w:color="auto" w:fill="auto"/>
            <w:vAlign w:val="center"/>
          </w:tcPr>
          <w:p w14:paraId="2A07528C">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搅拌主机</w:t>
            </w:r>
          </w:p>
        </w:tc>
        <w:tc>
          <w:tcPr>
            <w:tcW w:w="1338" w:type="pct"/>
            <w:shd w:val="clear" w:color="auto" w:fill="auto"/>
            <w:vAlign w:val="center"/>
          </w:tcPr>
          <w:p w14:paraId="22908915">
            <w:pPr>
              <w:pStyle w:val="9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双卧轴强制搅拌</w:t>
            </w:r>
            <w:r>
              <w:rPr>
                <w:rFonts w:hint="default" w:ascii="Times New Roman" w:hAnsi="Times New Roman" w:cs="Times New Roman"/>
                <w:color w:val="auto"/>
                <w:sz w:val="21"/>
                <w:szCs w:val="21"/>
                <w:highlight w:val="none"/>
                <w:lang w:eastAsia="zh-CN"/>
              </w:rPr>
              <w:t>，3300kg/批</w:t>
            </w:r>
          </w:p>
        </w:tc>
        <w:tc>
          <w:tcPr>
            <w:tcW w:w="727" w:type="pct"/>
            <w:shd w:val="clear" w:color="auto" w:fill="auto"/>
            <w:vAlign w:val="center"/>
          </w:tcPr>
          <w:p w14:paraId="675369CC">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center"/>
          </w:tcPr>
          <w:p w14:paraId="22B13377">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3363C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15AC3B00">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14</w:t>
            </w:r>
          </w:p>
        </w:tc>
        <w:tc>
          <w:tcPr>
            <w:tcW w:w="1555" w:type="pct"/>
            <w:shd w:val="clear" w:color="auto" w:fill="auto"/>
            <w:vAlign w:val="center"/>
          </w:tcPr>
          <w:p w14:paraId="2060030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微机控制系统</w:t>
            </w:r>
          </w:p>
        </w:tc>
        <w:tc>
          <w:tcPr>
            <w:tcW w:w="1338" w:type="pct"/>
            <w:shd w:val="clear" w:color="auto" w:fill="auto"/>
            <w:vAlign w:val="center"/>
          </w:tcPr>
          <w:p w14:paraId="6AD1082F">
            <w:pPr>
              <w:pStyle w:val="9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双机双控</w:t>
            </w:r>
          </w:p>
        </w:tc>
        <w:tc>
          <w:tcPr>
            <w:tcW w:w="727" w:type="pct"/>
            <w:shd w:val="clear" w:color="auto" w:fill="auto"/>
            <w:vAlign w:val="top"/>
          </w:tcPr>
          <w:p w14:paraId="6A2DAD2C">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center"/>
          </w:tcPr>
          <w:p w14:paraId="2FED844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1046EC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100650E6">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1555" w:type="pct"/>
            <w:shd w:val="clear" w:color="auto" w:fill="auto"/>
            <w:vAlign w:val="center"/>
          </w:tcPr>
          <w:p w14:paraId="6391D4B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柴油储罐</w:t>
            </w:r>
          </w:p>
        </w:tc>
        <w:tc>
          <w:tcPr>
            <w:tcW w:w="1338" w:type="pct"/>
            <w:shd w:val="clear" w:color="auto" w:fill="auto"/>
            <w:vAlign w:val="center"/>
          </w:tcPr>
          <w:p w14:paraId="4D2D7D99">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、10m</w:t>
            </w:r>
            <w:r>
              <w:rPr>
                <w:rFonts w:hint="default" w:ascii="Times New Roman" w:hAnsi="Times New Roman" w:cs="Times New Roman"/>
                <w:color w:val="auto"/>
                <w:sz w:val="21"/>
                <w:szCs w:val="21"/>
                <w:highlight w:val="none"/>
                <w:vertAlign w:val="superscript"/>
                <w:lang w:val="en-US" w:eastAsia="zh-CN"/>
              </w:rPr>
              <w:t>3</w:t>
            </w:r>
          </w:p>
        </w:tc>
        <w:tc>
          <w:tcPr>
            <w:tcW w:w="727" w:type="pct"/>
            <w:shd w:val="clear" w:color="auto" w:fill="auto"/>
            <w:vAlign w:val="top"/>
          </w:tcPr>
          <w:p w14:paraId="4DC450C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3D61DC6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w:t>
            </w:r>
          </w:p>
        </w:tc>
      </w:tr>
      <w:tr w14:paraId="1A8820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61529167">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w:t>
            </w:r>
          </w:p>
        </w:tc>
        <w:tc>
          <w:tcPr>
            <w:tcW w:w="1555" w:type="pct"/>
            <w:shd w:val="clear" w:color="auto" w:fill="auto"/>
            <w:vAlign w:val="center"/>
          </w:tcPr>
          <w:p w14:paraId="3783F04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沥青储罐</w:t>
            </w:r>
          </w:p>
        </w:tc>
        <w:tc>
          <w:tcPr>
            <w:tcW w:w="1338" w:type="pct"/>
            <w:shd w:val="clear" w:color="auto" w:fill="auto"/>
            <w:vAlign w:val="center"/>
          </w:tcPr>
          <w:p w14:paraId="75A4DF21">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50m</w:t>
            </w:r>
            <w:r>
              <w:rPr>
                <w:rFonts w:hint="default" w:ascii="Times New Roman" w:hAnsi="Times New Roman" w:cs="Times New Roman"/>
                <w:color w:val="auto"/>
                <w:sz w:val="21"/>
                <w:szCs w:val="21"/>
                <w:highlight w:val="none"/>
                <w:vertAlign w:val="superscript"/>
                <w:lang w:val="en-US" w:eastAsia="zh-CN"/>
              </w:rPr>
              <w:t>3</w:t>
            </w:r>
          </w:p>
        </w:tc>
        <w:tc>
          <w:tcPr>
            <w:tcW w:w="727" w:type="pct"/>
            <w:shd w:val="clear" w:color="auto" w:fill="auto"/>
            <w:vAlign w:val="top"/>
          </w:tcPr>
          <w:p w14:paraId="0DCE9D9C">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6AFFE965">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3</w:t>
            </w:r>
          </w:p>
        </w:tc>
      </w:tr>
      <w:tr w14:paraId="0D036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2E6451D5">
            <w:pPr>
              <w:pStyle w:val="9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17</w:t>
            </w:r>
          </w:p>
        </w:tc>
        <w:tc>
          <w:tcPr>
            <w:tcW w:w="1555" w:type="pct"/>
            <w:shd w:val="clear" w:color="auto" w:fill="auto"/>
            <w:vAlign w:val="center"/>
          </w:tcPr>
          <w:p w14:paraId="532821DD">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导热油炉</w:t>
            </w:r>
          </w:p>
        </w:tc>
        <w:tc>
          <w:tcPr>
            <w:tcW w:w="1338" w:type="pct"/>
            <w:shd w:val="clear" w:color="auto" w:fill="auto"/>
            <w:vAlign w:val="center"/>
          </w:tcPr>
          <w:p w14:paraId="686DE83E">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100万kcal/h</w:t>
            </w:r>
          </w:p>
        </w:tc>
        <w:tc>
          <w:tcPr>
            <w:tcW w:w="727" w:type="pct"/>
            <w:shd w:val="clear" w:color="auto" w:fill="auto"/>
            <w:vAlign w:val="center"/>
          </w:tcPr>
          <w:p w14:paraId="0705252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136A493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0753A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211B090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18</w:t>
            </w:r>
          </w:p>
        </w:tc>
        <w:tc>
          <w:tcPr>
            <w:tcW w:w="1555" w:type="pct"/>
            <w:shd w:val="clear" w:color="auto" w:fill="auto"/>
            <w:vAlign w:val="center"/>
          </w:tcPr>
          <w:p w14:paraId="39C0C24E">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乳化剂水搅拌罐</w:t>
            </w:r>
          </w:p>
        </w:tc>
        <w:tc>
          <w:tcPr>
            <w:tcW w:w="1338" w:type="pct"/>
            <w:shd w:val="clear" w:color="auto" w:fill="auto"/>
            <w:vAlign w:val="center"/>
          </w:tcPr>
          <w:p w14:paraId="771F57B7">
            <w:pPr>
              <w:pStyle w:val="9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φ2.</w:t>
            </w:r>
            <w:r>
              <w:rPr>
                <w:rFonts w:hint="default"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5.8</w:t>
            </w:r>
            <w:r>
              <w:rPr>
                <w:rFonts w:hint="default" w:ascii="Times New Roman" w:hAnsi="Times New Roman" w:cs="Times New Roman"/>
                <w:color w:val="auto"/>
                <w:sz w:val="21"/>
                <w:szCs w:val="21"/>
                <w:highlight w:val="none"/>
              </w:rPr>
              <w:t>m</w:t>
            </w:r>
          </w:p>
        </w:tc>
        <w:tc>
          <w:tcPr>
            <w:tcW w:w="727" w:type="pct"/>
            <w:shd w:val="clear" w:color="auto" w:fill="auto"/>
            <w:vAlign w:val="center"/>
          </w:tcPr>
          <w:p w14:paraId="3B7E5F8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7EFA3FF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1753F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620C12E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19</w:t>
            </w:r>
          </w:p>
        </w:tc>
        <w:tc>
          <w:tcPr>
            <w:tcW w:w="1555" w:type="pct"/>
            <w:shd w:val="clear" w:color="auto" w:fill="auto"/>
            <w:vAlign w:val="center"/>
          </w:tcPr>
          <w:p w14:paraId="79F7444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旋风除尘器</w:t>
            </w:r>
          </w:p>
        </w:tc>
        <w:tc>
          <w:tcPr>
            <w:tcW w:w="1338" w:type="pct"/>
            <w:shd w:val="clear" w:color="auto" w:fill="auto"/>
            <w:vAlign w:val="center"/>
          </w:tcPr>
          <w:p w14:paraId="49BE78B3">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徐工（XCMG）</w:t>
            </w:r>
          </w:p>
        </w:tc>
        <w:tc>
          <w:tcPr>
            <w:tcW w:w="727" w:type="pct"/>
            <w:shd w:val="clear" w:color="auto" w:fill="auto"/>
            <w:vAlign w:val="center"/>
          </w:tcPr>
          <w:p w14:paraId="4E9C3FFB">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个</w:t>
            </w:r>
          </w:p>
        </w:tc>
        <w:tc>
          <w:tcPr>
            <w:tcW w:w="849" w:type="pct"/>
            <w:shd w:val="clear" w:color="auto" w:fill="auto"/>
            <w:vAlign w:val="center"/>
          </w:tcPr>
          <w:p w14:paraId="6477448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1EBA40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26DB975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20</w:t>
            </w:r>
          </w:p>
        </w:tc>
        <w:tc>
          <w:tcPr>
            <w:tcW w:w="1555" w:type="pct"/>
            <w:shd w:val="clear" w:color="auto" w:fill="auto"/>
            <w:vAlign w:val="center"/>
          </w:tcPr>
          <w:p w14:paraId="3AD20DD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布袋除尘器</w:t>
            </w:r>
          </w:p>
        </w:tc>
        <w:tc>
          <w:tcPr>
            <w:tcW w:w="1338" w:type="pct"/>
            <w:shd w:val="clear" w:color="auto" w:fill="auto"/>
            <w:vAlign w:val="center"/>
          </w:tcPr>
          <w:p w14:paraId="3C35C8CA">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徐工（XCMG）</w:t>
            </w:r>
          </w:p>
        </w:tc>
        <w:tc>
          <w:tcPr>
            <w:tcW w:w="727" w:type="pct"/>
            <w:shd w:val="clear" w:color="auto" w:fill="auto"/>
            <w:vAlign w:val="center"/>
          </w:tcPr>
          <w:p w14:paraId="2E1F926F">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个</w:t>
            </w:r>
          </w:p>
        </w:tc>
        <w:tc>
          <w:tcPr>
            <w:tcW w:w="849" w:type="pct"/>
            <w:shd w:val="clear" w:color="auto" w:fill="auto"/>
            <w:vAlign w:val="center"/>
          </w:tcPr>
          <w:p w14:paraId="28989856">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6CA64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109E567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21</w:t>
            </w:r>
          </w:p>
        </w:tc>
        <w:tc>
          <w:tcPr>
            <w:tcW w:w="1555" w:type="pct"/>
            <w:shd w:val="clear" w:color="auto" w:fill="auto"/>
            <w:vAlign w:val="center"/>
          </w:tcPr>
          <w:p w14:paraId="591627D9">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活性炭吸附装置</w:t>
            </w:r>
          </w:p>
        </w:tc>
        <w:tc>
          <w:tcPr>
            <w:tcW w:w="1338" w:type="pct"/>
            <w:shd w:val="clear" w:color="auto" w:fill="auto"/>
            <w:vAlign w:val="center"/>
          </w:tcPr>
          <w:p w14:paraId="464B6EEB">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20000</w:t>
            </w:r>
            <w:r>
              <w:rPr>
                <w:rFonts w:hint="default" w:ascii="Times New Roman" w:hAnsi="Times New Roman" w:cs="Times New Roman"/>
                <w:color w:val="auto"/>
                <w:kern w:val="0"/>
                <w:sz w:val="21"/>
                <w:szCs w:val="21"/>
                <w:highlight w:val="none"/>
                <w:lang w:val="en-US" w:eastAsia="zh-CN" w:bidi="ar-SA"/>
              </w:rPr>
              <w:t>m</w:t>
            </w:r>
            <w:r>
              <w:rPr>
                <w:rFonts w:hint="default" w:ascii="Times New Roman" w:hAnsi="Times New Roman" w:cs="Times New Roman"/>
                <w:color w:val="auto"/>
                <w:kern w:val="0"/>
                <w:sz w:val="21"/>
                <w:szCs w:val="21"/>
                <w:highlight w:val="none"/>
                <w:vertAlign w:val="superscript"/>
                <w:lang w:val="en-US" w:eastAsia="zh-CN" w:bidi="ar-SA"/>
              </w:rPr>
              <w:t>3</w:t>
            </w:r>
            <w:r>
              <w:rPr>
                <w:rFonts w:hint="default" w:ascii="Times New Roman" w:hAnsi="Times New Roman" w:cs="Times New Roman"/>
                <w:color w:val="auto"/>
                <w:kern w:val="0"/>
                <w:sz w:val="21"/>
                <w:szCs w:val="21"/>
                <w:highlight w:val="none"/>
                <w:lang w:val="en-US" w:eastAsia="zh-CN" w:bidi="ar-SA"/>
              </w:rPr>
              <w:t>/h</w:t>
            </w:r>
          </w:p>
        </w:tc>
        <w:tc>
          <w:tcPr>
            <w:tcW w:w="727" w:type="pct"/>
            <w:shd w:val="clear" w:color="auto" w:fill="auto"/>
            <w:vAlign w:val="center"/>
          </w:tcPr>
          <w:p w14:paraId="7BF23CE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个</w:t>
            </w:r>
          </w:p>
        </w:tc>
        <w:tc>
          <w:tcPr>
            <w:tcW w:w="849" w:type="pct"/>
            <w:shd w:val="clear" w:color="auto" w:fill="auto"/>
            <w:vAlign w:val="center"/>
          </w:tcPr>
          <w:p w14:paraId="7167A710">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241A04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vAlign w:val="center"/>
          </w:tcPr>
          <w:p w14:paraId="18C1EBBD">
            <w:pPr>
              <w:pStyle w:val="9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22</w:t>
            </w:r>
          </w:p>
        </w:tc>
        <w:tc>
          <w:tcPr>
            <w:tcW w:w="1555" w:type="pct"/>
            <w:shd w:val="clear" w:color="auto" w:fill="auto"/>
            <w:vAlign w:val="center"/>
          </w:tcPr>
          <w:p w14:paraId="1B1233D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电捕焦油器</w:t>
            </w:r>
          </w:p>
        </w:tc>
        <w:tc>
          <w:tcPr>
            <w:tcW w:w="1338" w:type="pct"/>
            <w:shd w:val="clear" w:color="auto" w:fill="auto"/>
            <w:vAlign w:val="center"/>
          </w:tcPr>
          <w:p w14:paraId="5936BF83">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20000</w:t>
            </w:r>
            <w:r>
              <w:rPr>
                <w:rFonts w:hint="default" w:ascii="Times New Roman" w:hAnsi="Times New Roman" w:cs="Times New Roman"/>
                <w:color w:val="auto"/>
                <w:kern w:val="0"/>
                <w:sz w:val="21"/>
                <w:szCs w:val="21"/>
                <w:highlight w:val="none"/>
                <w:lang w:val="en-US" w:eastAsia="zh-CN" w:bidi="ar-SA"/>
              </w:rPr>
              <w:t>m</w:t>
            </w:r>
            <w:r>
              <w:rPr>
                <w:rFonts w:hint="default" w:ascii="Times New Roman" w:hAnsi="Times New Roman" w:cs="Times New Roman"/>
                <w:color w:val="auto"/>
                <w:kern w:val="0"/>
                <w:sz w:val="21"/>
                <w:szCs w:val="21"/>
                <w:highlight w:val="none"/>
                <w:vertAlign w:val="superscript"/>
                <w:lang w:val="en-US" w:eastAsia="zh-CN" w:bidi="ar-SA"/>
              </w:rPr>
              <w:t>3</w:t>
            </w:r>
            <w:r>
              <w:rPr>
                <w:rFonts w:hint="default" w:ascii="Times New Roman" w:hAnsi="Times New Roman" w:cs="Times New Roman"/>
                <w:color w:val="auto"/>
                <w:kern w:val="0"/>
                <w:sz w:val="21"/>
                <w:szCs w:val="21"/>
                <w:highlight w:val="none"/>
                <w:lang w:val="en-US" w:eastAsia="zh-CN" w:bidi="ar-SA"/>
              </w:rPr>
              <w:t>/h</w:t>
            </w:r>
          </w:p>
        </w:tc>
        <w:tc>
          <w:tcPr>
            <w:tcW w:w="727" w:type="pct"/>
            <w:shd w:val="clear" w:color="auto" w:fill="auto"/>
            <w:vAlign w:val="center"/>
          </w:tcPr>
          <w:p w14:paraId="0AB3971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个</w:t>
            </w:r>
          </w:p>
        </w:tc>
        <w:tc>
          <w:tcPr>
            <w:tcW w:w="849" w:type="pct"/>
            <w:shd w:val="clear" w:color="auto" w:fill="auto"/>
            <w:vAlign w:val="center"/>
          </w:tcPr>
          <w:p w14:paraId="47F06898">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05A9E2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4F34ACB3">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23</w:t>
            </w:r>
          </w:p>
        </w:tc>
        <w:tc>
          <w:tcPr>
            <w:tcW w:w="1555" w:type="pct"/>
            <w:shd w:val="clear" w:color="auto" w:fill="auto"/>
            <w:vAlign w:val="center"/>
          </w:tcPr>
          <w:p w14:paraId="3904080A">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喷淋系统</w:t>
            </w:r>
          </w:p>
        </w:tc>
        <w:tc>
          <w:tcPr>
            <w:tcW w:w="1338" w:type="pct"/>
            <w:shd w:val="clear" w:color="auto" w:fill="auto"/>
            <w:vAlign w:val="center"/>
          </w:tcPr>
          <w:p w14:paraId="431992EB">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5</w:t>
            </w:r>
            <w:r>
              <w:rPr>
                <w:rFonts w:hint="default" w:ascii="Times New Roman" w:hAnsi="Times New Roman" w:eastAsia="宋体" w:cs="Times New Roman"/>
                <w:color w:val="auto"/>
                <w:kern w:val="0"/>
                <w:sz w:val="21"/>
                <w:szCs w:val="21"/>
                <w:highlight w:val="none"/>
                <w:lang w:val="en-US" w:eastAsia="zh-CN" w:bidi="ar-SA"/>
              </w:rPr>
              <w:t>t/d</w:t>
            </w:r>
          </w:p>
        </w:tc>
        <w:tc>
          <w:tcPr>
            <w:tcW w:w="727" w:type="pct"/>
            <w:shd w:val="clear" w:color="auto" w:fill="auto"/>
            <w:vAlign w:val="center"/>
          </w:tcPr>
          <w:p w14:paraId="499E1C31">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center"/>
          </w:tcPr>
          <w:p w14:paraId="264072DE">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r w14:paraId="5CD7C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9" w:type="pct"/>
            <w:shd w:val="clear" w:color="auto" w:fill="auto"/>
            <w:vAlign w:val="center"/>
          </w:tcPr>
          <w:p w14:paraId="54184C5E">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24</w:t>
            </w:r>
          </w:p>
        </w:tc>
        <w:tc>
          <w:tcPr>
            <w:tcW w:w="1555" w:type="pct"/>
            <w:shd w:val="clear" w:color="auto" w:fill="auto"/>
            <w:vAlign w:val="center"/>
          </w:tcPr>
          <w:p w14:paraId="467E6F7C">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风机</w:t>
            </w:r>
          </w:p>
        </w:tc>
        <w:tc>
          <w:tcPr>
            <w:tcW w:w="1338" w:type="pct"/>
            <w:shd w:val="clear" w:color="auto" w:fill="auto"/>
            <w:vAlign w:val="center"/>
          </w:tcPr>
          <w:p w14:paraId="0CB60BC5">
            <w:pPr>
              <w:pStyle w:val="9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132kW</w:t>
            </w:r>
          </w:p>
        </w:tc>
        <w:tc>
          <w:tcPr>
            <w:tcW w:w="727" w:type="pct"/>
            <w:shd w:val="clear" w:color="auto" w:fill="auto"/>
            <w:vAlign w:val="center"/>
          </w:tcPr>
          <w:p w14:paraId="79CF634C">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套</w:t>
            </w:r>
          </w:p>
        </w:tc>
        <w:tc>
          <w:tcPr>
            <w:tcW w:w="849" w:type="pct"/>
            <w:shd w:val="clear" w:color="auto" w:fill="auto"/>
            <w:vAlign w:val="center"/>
          </w:tcPr>
          <w:p w14:paraId="6600F6C1">
            <w:pPr>
              <w:pStyle w:val="9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r>
    </w:tbl>
    <w:p w14:paraId="5147C26C">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245" w:name="_Toc18108"/>
      <w:r>
        <w:rPr>
          <w:rFonts w:hint="default" w:ascii="Times New Roman" w:hAnsi="Times New Roman" w:eastAsia="黑体" w:cs="Times New Roman"/>
          <w:bCs/>
          <w:color w:val="auto"/>
          <w:kern w:val="44"/>
          <w:sz w:val="24"/>
          <w:highlight w:val="none"/>
        </w:rPr>
        <w:t>2.6工艺流程及废气排污节点</w:t>
      </w:r>
      <w:bookmarkEnd w:id="238"/>
      <w:bookmarkEnd w:id="239"/>
      <w:bookmarkEnd w:id="240"/>
      <w:bookmarkEnd w:id="241"/>
      <w:bookmarkEnd w:id="242"/>
      <w:bookmarkEnd w:id="243"/>
      <w:bookmarkEnd w:id="244"/>
      <w:bookmarkEnd w:id="245"/>
    </w:p>
    <w:p w14:paraId="7BD298B4">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246" w:name="_Toc19988"/>
      <w:bookmarkStart w:id="247" w:name="_Toc192758901"/>
      <w:bookmarkStart w:id="248" w:name="_Toc9026"/>
      <w:bookmarkStart w:id="249" w:name="_Toc5674"/>
      <w:bookmarkStart w:id="250" w:name="_Toc11459"/>
      <w:bookmarkStart w:id="251" w:name="_Toc193459990"/>
      <w:bookmarkStart w:id="252" w:name="_Toc21728"/>
      <w:r>
        <w:rPr>
          <w:rFonts w:hint="default" w:ascii="Times New Roman" w:hAnsi="Times New Roman" w:eastAsia="黑体" w:cs="Times New Roman"/>
          <w:bCs/>
          <w:color w:val="auto"/>
          <w:kern w:val="44"/>
          <w:sz w:val="24"/>
          <w:highlight w:val="none"/>
        </w:rPr>
        <w:t>2.6.1工艺流程简述</w:t>
      </w:r>
      <w:bookmarkEnd w:id="246"/>
      <w:bookmarkEnd w:id="247"/>
      <w:bookmarkEnd w:id="248"/>
      <w:bookmarkEnd w:id="249"/>
      <w:bookmarkEnd w:id="250"/>
      <w:bookmarkEnd w:id="251"/>
      <w:bookmarkEnd w:id="252"/>
    </w:p>
    <w:p w14:paraId="2836025E">
      <w:pPr>
        <w:spacing w:line="500" w:lineRule="exact"/>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cs="Times New Roman"/>
          <w:color w:val="auto"/>
          <w:sz w:val="24"/>
          <w:szCs w:val="22"/>
          <w:highlight w:val="none"/>
          <w:lang w:val="en-US" w:eastAsia="zh-CN"/>
        </w:rPr>
        <w:t>（1）沥青混凝土</w:t>
      </w:r>
    </w:p>
    <w:p w14:paraId="1298D59E">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2"/>
          <w:highlight w:val="none"/>
        </w:rPr>
        <w:t>①</w:t>
      </w:r>
      <w:r>
        <w:rPr>
          <w:rFonts w:hint="default" w:ascii="Times New Roman" w:hAnsi="Times New Roman" w:eastAsia="宋体" w:cs="Times New Roman"/>
          <w:color w:val="auto"/>
          <w:sz w:val="24"/>
          <w:szCs w:val="24"/>
          <w:highlight w:val="none"/>
        </w:rPr>
        <w:t>冷料斗（计量配料）：通过铲车按比例将不同粒径破碎后的碎石送入冷料斗内，随后冷料斗内冷料通过皮带输送被送到烘干滚筒内，冷料在转运及输送过程中会产生一定量的扬尘，以无组织排放形式排放。</w:t>
      </w:r>
    </w:p>
    <w:p w14:paraId="2328709E">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烘干：配比好的碎石由输送装置送至密闭式烘干滚筒内进行烘干，输送带及落料点均采取全密闭，烘干滚筒出料口一端安装有燃烧器，燃烧器燃料为轻质柴油，燃烧产生的热气流进入干滚筒将物料烘干，即为沥青混凝土骨料，烘干滚筒采用逆料流加热方式，燃烧器火焰自烘干滚筒出料口一端喷入，热气流逆着料流方向穿过滚筒时被骨料吸走热量。逆流加热时的烟温度约350℃为了使骨料受热均匀，烘干滚筒不停的转动，滚筒内的提升叶片将入筒内的冷骨料不断的升起和抛下（骨料在烘干滚筒内的停留时间为30min左右，尾气温度在120℃左右）。在烘干过程中，燃烧器燃烧会产生含尘烟气（主要污染因子为颗粒物、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x</w:t>
      </w:r>
      <w:r>
        <w:rPr>
          <w:rFonts w:hint="default" w:ascii="Times New Roman" w:hAnsi="Times New Roman" w:eastAsia="宋体" w:cs="Times New Roman"/>
          <w:color w:val="auto"/>
          <w:sz w:val="24"/>
          <w:szCs w:val="24"/>
          <w:highlight w:val="none"/>
        </w:rPr>
        <w:t>）。</w:t>
      </w:r>
    </w:p>
    <w:p w14:paraId="79E85500">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③提升：将加热的骨料通过密闭式骨料提升机送到位于搅拌机顶部的密闭式振动筛。提升过程在全密闭系统内进行，无粉尘排放。</w:t>
      </w:r>
    </w:p>
    <w:p w14:paraId="0D81C261">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④振动筛分：烘干后的石料经密闭式骨料提升机输送至振动筛，筛分后合格骨料进入搅拌机内搅拌，不合格石料经专门出口排出。筛分过程中会产生含尘废气。</w:t>
      </w:r>
    </w:p>
    <w:p w14:paraId="1A16CAFA">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⑤沥青加热、保温：沥青是</w:t>
      </w:r>
      <w:r>
        <w:rPr>
          <w:rFonts w:hint="default" w:ascii="Times New Roman" w:hAnsi="Times New Roman" w:eastAsia="宋体" w:cs="Times New Roman"/>
          <w:color w:val="auto"/>
          <w:sz w:val="24"/>
          <w:szCs w:val="24"/>
          <w:highlight w:val="none"/>
          <w:lang w:eastAsia="zh-CN"/>
        </w:rPr>
        <w:t>石油化工厂</w:t>
      </w:r>
      <w:r>
        <w:rPr>
          <w:rFonts w:hint="default" w:ascii="Times New Roman" w:hAnsi="Times New Roman" w:eastAsia="宋体" w:cs="Times New Roman"/>
          <w:color w:val="auto"/>
          <w:sz w:val="24"/>
          <w:szCs w:val="24"/>
          <w:highlight w:val="none"/>
        </w:rPr>
        <w:t>热解石油气原料时得到的副产品，由专用沥青运输车将沥青通过密闭沥青管道送至沥青储罐，使用</w:t>
      </w:r>
      <w:r>
        <w:rPr>
          <w:rFonts w:hint="default" w:ascii="Times New Roman" w:hAnsi="Times New Roman" w:eastAsia="宋体" w:cs="Times New Roman"/>
          <w:color w:val="auto"/>
          <w:sz w:val="24"/>
          <w:szCs w:val="24"/>
          <w:highlight w:val="none"/>
          <w:lang w:val="en-US" w:eastAsia="zh-CN"/>
        </w:rPr>
        <w:t>100</w:t>
      </w:r>
      <w:r>
        <w:rPr>
          <w:rFonts w:hint="default" w:ascii="Times New Roman" w:hAnsi="Times New Roman" w:eastAsia="宋体" w:cs="Times New Roman"/>
          <w:color w:val="auto"/>
          <w:sz w:val="24"/>
          <w:szCs w:val="24"/>
          <w:highlight w:val="none"/>
        </w:rPr>
        <w:t>万Kcal导热油炉将其加热至150～180℃，由沥青泵输送到沥青计量器，按一定的配比重量后通过专门管道送入沥青混凝土搅拌主楼的搅拌机内与石料、矿粉混合。导热油炉采用轻质柴油作为燃料，导热油炉烟气主要污染因子为颗粒物、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x</w:t>
      </w:r>
      <w:r>
        <w:rPr>
          <w:rFonts w:hint="default" w:ascii="Times New Roman" w:hAnsi="Times New Roman" w:eastAsia="宋体" w:cs="Times New Roman"/>
          <w:color w:val="auto"/>
          <w:sz w:val="24"/>
          <w:szCs w:val="24"/>
          <w:highlight w:val="none"/>
        </w:rPr>
        <w:t>。沥青在间接加热过程中，会产生沥青烟气。</w:t>
      </w:r>
    </w:p>
    <w:p w14:paraId="006D2040">
      <w:pPr>
        <w:pStyle w:val="61"/>
        <w:spacing w:line="500" w:lineRule="exact"/>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⑥计量、拌合：沥青、矿粉、碎石骨料通过计量系统自动计量，按照比例进入搅拌机，混合拌料过程中搅拌机全程密闭，沥青在高速拌料、高温时会产生沥青烟气，在卸料阀开启卸料装车过程中会散发出废气。</w:t>
      </w:r>
    </w:p>
    <w:p w14:paraId="31633834">
      <w:pPr>
        <w:spacing w:line="500" w:lineRule="exact"/>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⑦出仓、运输：项目成品仓高度低于</w:t>
      </w:r>
      <w:r>
        <w:rPr>
          <w:rFonts w:hint="default" w:ascii="Times New Roman" w:hAnsi="Times New Roman" w:cs="Times New Roman"/>
          <w:color w:val="auto"/>
          <w:kern w:val="0"/>
          <w:sz w:val="24"/>
          <w:szCs w:val="24"/>
          <w:highlight w:val="none"/>
          <w:lang w:val="en-US" w:eastAsia="zh-CN" w:bidi="ar-SA"/>
        </w:rPr>
        <w:t>拌合</w:t>
      </w:r>
      <w:r>
        <w:rPr>
          <w:rFonts w:hint="default" w:ascii="Times New Roman" w:hAnsi="Times New Roman" w:eastAsia="宋体" w:cs="Times New Roman"/>
          <w:color w:val="auto"/>
          <w:kern w:val="0"/>
          <w:sz w:val="24"/>
          <w:szCs w:val="24"/>
          <w:highlight w:val="none"/>
          <w:lang w:val="en-US" w:eastAsia="zh-CN" w:bidi="ar-SA"/>
        </w:rPr>
        <w:t>系统，因此成品经过自身重力作用降落至成品仓，整个生产工艺在密闭系统中进行。同时成品仓出料口的高度高于运输车，因此成品经过出料口进入运输车。</w:t>
      </w:r>
    </w:p>
    <w:p w14:paraId="1A9001D3">
      <w:pPr>
        <w:spacing w:line="500" w:lineRule="exact"/>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（2）乳化沥青</w:t>
      </w:r>
    </w:p>
    <w:p w14:paraId="5284FE4C">
      <w:pPr>
        <w:pStyle w:val="29"/>
        <w:spacing w:after="0" w:line="360" w:lineRule="auto"/>
        <w:ind w:left="0" w:leftChars="0" w:firstLine="480"/>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lang w:val="en-US" w:eastAsia="zh-CN"/>
        </w:rPr>
        <w:t>水和沥青采用燃油导热油炉间接加热，水和乳化液按比例要求计量，与沥青一并搅拌均匀，然后外运至工地</w:t>
      </w:r>
      <w:r>
        <w:rPr>
          <w:rFonts w:hint="default" w:ascii="Times New Roman" w:hAnsi="Times New Roman" w:eastAsia="宋体" w:cs="Times New Roman"/>
          <w:color w:val="auto"/>
          <w:kern w:val="0"/>
          <w:sz w:val="24"/>
          <w:szCs w:val="24"/>
          <w:highlight w:val="none"/>
          <w:lang w:eastAsia="zh-CN"/>
        </w:rPr>
        <w:t>。</w:t>
      </w:r>
    </w:p>
    <w:p w14:paraId="79CE9C86">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eastAsia="宋体" w:cs="Times New Roman"/>
          <w:color w:val="auto"/>
          <w:kern w:val="0"/>
          <w:sz w:val="24"/>
          <w:szCs w:val="24"/>
          <w:highlight w:val="none"/>
          <w:lang w:eastAsia="zh-CN"/>
        </w:rPr>
        <w:t>产污环节：</w:t>
      </w:r>
      <w:r>
        <w:rPr>
          <w:rFonts w:hint="default" w:ascii="Times New Roman" w:hAnsi="Times New Roman" w:cs="Times New Roman"/>
          <w:color w:val="auto"/>
          <w:kern w:val="0"/>
          <w:sz w:val="24"/>
          <w:szCs w:val="24"/>
          <w:highlight w:val="none"/>
          <w:lang w:eastAsia="zh-CN"/>
        </w:rPr>
        <w:t>沥青产生的</w:t>
      </w:r>
      <w:r>
        <w:rPr>
          <w:rFonts w:hint="default" w:ascii="Times New Roman" w:hAnsi="Times New Roman" w:eastAsia="宋体" w:cs="Times New Roman"/>
          <w:color w:val="auto"/>
          <w:kern w:val="0"/>
          <w:sz w:val="24"/>
          <w:szCs w:val="24"/>
          <w:highlight w:val="none"/>
          <w:lang w:eastAsia="zh-CN"/>
        </w:rPr>
        <w:t>苯并[a]芘、沥青烟、VOCs，</w:t>
      </w:r>
      <w:r>
        <w:rPr>
          <w:rFonts w:hint="default" w:ascii="Times New Roman" w:hAnsi="Times New Roman" w:cs="Times New Roman"/>
          <w:color w:val="auto"/>
          <w:kern w:val="0"/>
          <w:sz w:val="24"/>
          <w:szCs w:val="24"/>
          <w:highlight w:val="none"/>
          <w:lang w:eastAsia="zh-CN"/>
        </w:rPr>
        <w:t>设备</w:t>
      </w:r>
      <w:r>
        <w:rPr>
          <w:rFonts w:hint="default" w:ascii="Times New Roman" w:hAnsi="Times New Roman" w:eastAsia="宋体" w:cs="Times New Roman"/>
          <w:color w:val="auto"/>
          <w:kern w:val="0"/>
          <w:sz w:val="24"/>
          <w:szCs w:val="24"/>
          <w:highlight w:val="none"/>
          <w:lang w:eastAsia="zh-CN"/>
        </w:rPr>
        <w:t>噪声，</w:t>
      </w:r>
      <w:r>
        <w:rPr>
          <w:rFonts w:hint="default" w:ascii="Times New Roman" w:hAnsi="Times New Roman" w:eastAsia="宋体" w:cs="Times New Roman"/>
          <w:color w:val="auto"/>
          <w:kern w:val="0"/>
          <w:sz w:val="24"/>
          <w:szCs w:val="24"/>
          <w:highlight w:val="none"/>
          <w:lang w:val="en-US" w:eastAsia="zh-CN"/>
        </w:rPr>
        <w:t>柴油</w:t>
      </w:r>
      <w:r>
        <w:rPr>
          <w:rFonts w:hint="default" w:ascii="Times New Roman" w:hAnsi="Times New Roman" w:eastAsia="宋体" w:cs="Times New Roman"/>
          <w:color w:val="auto"/>
          <w:kern w:val="0"/>
          <w:sz w:val="24"/>
          <w:szCs w:val="24"/>
          <w:highlight w:val="none"/>
          <w:lang w:eastAsia="zh-CN"/>
        </w:rPr>
        <w:t>燃烧废气</w:t>
      </w:r>
      <w:r>
        <w:rPr>
          <w:rFonts w:hint="default" w:ascii="Times New Roman" w:hAnsi="Times New Roman" w:cs="Times New Roman"/>
          <w:color w:val="auto"/>
          <w:sz w:val="24"/>
          <w:szCs w:val="22"/>
          <w:highlight w:val="none"/>
        </w:rPr>
        <w:t>。</w:t>
      </w:r>
    </w:p>
    <w:p w14:paraId="70F590A0">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253" w:name="_Toc3181"/>
      <w:bookmarkStart w:id="254" w:name="_Toc4046"/>
      <w:bookmarkStart w:id="255" w:name="_Toc192758902"/>
      <w:bookmarkStart w:id="256" w:name="_Toc6719"/>
      <w:bookmarkStart w:id="257" w:name="_Toc25238"/>
      <w:bookmarkStart w:id="258" w:name="_Toc24153"/>
      <w:bookmarkStart w:id="259" w:name="_Toc22018"/>
      <w:bookmarkStart w:id="260" w:name="_Toc193459991"/>
      <w:r>
        <w:rPr>
          <w:rFonts w:hint="default" w:ascii="Times New Roman" w:hAnsi="Times New Roman" w:eastAsia="黑体" w:cs="Times New Roman"/>
          <w:bCs/>
          <w:color w:val="auto"/>
          <w:kern w:val="44"/>
          <w:sz w:val="24"/>
          <w:highlight w:val="none"/>
        </w:rPr>
        <w:t>2.6.2工艺流程图</w:t>
      </w:r>
      <w:bookmarkEnd w:id="253"/>
      <w:bookmarkEnd w:id="254"/>
      <w:bookmarkEnd w:id="255"/>
      <w:bookmarkEnd w:id="256"/>
      <w:bookmarkEnd w:id="257"/>
      <w:bookmarkEnd w:id="258"/>
      <w:bookmarkEnd w:id="259"/>
      <w:bookmarkEnd w:id="260"/>
    </w:p>
    <w:p w14:paraId="7711BE67">
      <w:pPr>
        <w:widowControl/>
        <w:jc w:val="center"/>
        <w:rPr>
          <w:rFonts w:hint="default" w:ascii="Times New Roman" w:hAnsi="Times New Roman" w:eastAsia="黑体" w:cs="Times New Roman"/>
          <w:color w:val="auto"/>
          <w:sz w:val="24"/>
          <w:highlight w:val="none"/>
        </w:rPr>
      </w:pPr>
      <w:r>
        <w:rPr>
          <w:rFonts w:hint="default" w:ascii="Times New Roman" w:hAnsi="Times New Roman" w:cs="Times New Roman"/>
          <w:color w:val="auto"/>
          <w:highlight w:val="none"/>
        </w:rPr>
        <w:drawing>
          <wp:anchor distT="0" distB="0" distL="114300" distR="114300" simplePos="0" relativeHeight="251688960" behindDoc="0" locked="0" layoutInCell="1" allowOverlap="1">
            <wp:simplePos x="0" y="0"/>
            <wp:positionH relativeFrom="column">
              <wp:posOffset>4065905</wp:posOffset>
            </wp:positionH>
            <wp:positionV relativeFrom="paragraph">
              <wp:posOffset>2453640</wp:posOffset>
            </wp:positionV>
            <wp:extent cx="630555" cy="623570"/>
            <wp:effectExtent l="0" t="0" r="17145" b="5080"/>
            <wp:wrapNone/>
            <wp:docPr id="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pic:cNvPicPr>
                      <a:picLocks noChangeAspect="1"/>
                    </pic:cNvPicPr>
                  </pic:nvPicPr>
                  <pic:blipFill>
                    <a:blip r:embed="rId19"/>
                    <a:stretch>
                      <a:fillRect/>
                    </a:stretch>
                  </pic:blipFill>
                  <pic:spPr>
                    <a:xfrm>
                      <a:off x="0" y="0"/>
                      <a:ext cx="630555" cy="623570"/>
                    </a:xfrm>
                    <a:prstGeom prst="rect">
                      <a:avLst/>
                    </a:prstGeom>
                    <a:noFill/>
                    <a:ln>
                      <a:noFill/>
                    </a:ln>
                  </pic:spPr>
                </pic:pic>
              </a:graphicData>
            </a:graphic>
          </wp:anchor>
        </w:drawing>
      </w:r>
      <w:r>
        <w:rPr>
          <w:rFonts w:hint="default" w:ascii="Times New Roman" w:hAnsi="Times New Roman" w:eastAsia="宋体" w:cs="Times New Roman"/>
          <w:color w:val="auto"/>
          <w:highlight w:val="none"/>
          <w:lang w:eastAsia="zh-CN"/>
        </w:rPr>
        <w:drawing>
          <wp:inline distT="0" distB="0" distL="114300" distR="114300">
            <wp:extent cx="4277995" cy="3003550"/>
            <wp:effectExtent l="0" t="0" r="8255" b="6350"/>
            <wp:docPr id="65" name="图片 65" descr="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工艺流程"/>
                    <pic:cNvPicPr>
                      <a:picLocks noChangeAspect="1"/>
                    </pic:cNvPicPr>
                  </pic:nvPicPr>
                  <pic:blipFill>
                    <a:blip r:embed="rId20"/>
                    <a:stretch>
                      <a:fillRect/>
                    </a:stretch>
                  </pic:blipFill>
                  <pic:spPr>
                    <a:xfrm>
                      <a:off x="0" y="0"/>
                      <a:ext cx="4277995" cy="3003550"/>
                    </a:xfrm>
                    <a:prstGeom prst="rect">
                      <a:avLst/>
                    </a:prstGeom>
                  </pic:spPr>
                </pic:pic>
              </a:graphicData>
            </a:graphic>
          </wp:inline>
        </w:drawing>
      </w:r>
    </w:p>
    <w:p w14:paraId="7A8DC700">
      <w:pPr>
        <w:widowControl/>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图2-1</w:t>
      </w:r>
      <w:r>
        <w:rPr>
          <w:rFonts w:hint="default" w:ascii="Times New Roman" w:hAnsi="Times New Roman" w:eastAsia="黑体" w:cs="Times New Roman"/>
          <w:color w:val="auto"/>
          <w:sz w:val="24"/>
          <w:highlight w:val="none"/>
          <w:lang w:val="en-US" w:eastAsia="zh-CN"/>
        </w:rPr>
        <w:t>沥青混凝土</w:t>
      </w:r>
      <w:r>
        <w:rPr>
          <w:rFonts w:hint="default" w:ascii="Times New Roman" w:hAnsi="Times New Roman" w:eastAsia="黑体" w:cs="Times New Roman"/>
          <w:color w:val="auto"/>
          <w:sz w:val="24"/>
          <w:highlight w:val="none"/>
        </w:rPr>
        <w:t>生产工艺流程及产污环节图</w:t>
      </w:r>
    </w:p>
    <w:p w14:paraId="3807CED0">
      <w:pPr>
        <w:widowControl/>
        <w:jc w:val="center"/>
        <w:rPr>
          <w:rFonts w:hint="default" w:ascii="Times New Roman" w:hAnsi="Times New Roman" w:eastAsia="黑体" w:cs="Times New Roman"/>
          <w:color w:val="auto"/>
          <w:sz w:val="24"/>
          <w:highlight w:val="none"/>
        </w:rPr>
      </w:pPr>
      <w:r>
        <w:rPr>
          <w:rFonts w:hint="default" w:ascii="Times New Roman" w:hAnsi="Times New Roman" w:cs="Times New Roman"/>
          <w:color w:val="auto"/>
          <w:highlight w:val="none"/>
        </w:rPr>
        <w:drawing>
          <wp:anchor distT="0" distB="0" distL="114300" distR="114300" simplePos="0" relativeHeight="251689984" behindDoc="0" locked="0" layoutInCell="1" allowOverlap="1">
            <wp:simplePos x="0" y="0"/>
            <wp:positionH relativeFrom="column">
              <wp:posOffset>3986530</wp:posOffset>
            </wp:positionH>
            <wp:positionV relativeFrom="paragraph">
              <wp:posOffset>1617980</wp:posOffset>
            </wp:positionV>
            <wp:extent cx="630555" cy="623570"/>
            <wp:effectExtent l="0" t="0" r="17145" b="5080"/>
            <wp:wrapNone/>
            <wp:docPr id="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
                    <pic:cNvPicPr>
                      <a:picLocks noChangeAspect="1"/>
                    </pic:cNvPicPr>
                  </pic:nvPicPr>
                  <pic:blipFill>
                    <a:blip r:embed="rId19"/>
                    <a:stretch>
                      <a:fillRect/>
                    </a:stretch>
                  </pic:blipFill>
                  <pic:spPr>
                    <a:xfrm>
                      <a:off x="0" y="0"/>
                      <a:ext cx="630555" cy="623570"/>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4027170" cy="2248535"/>
            <wp:effectExtent l="0" t="0" r="11430" b="18415"/>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21"/>
                    <a:stretch>
                      <a:fillRect/>
                    </a:stretch>
                  </pic:blipFill>
                  <pic:spPr>
                    <a:xfrm>
                      <a:off x="0" y="0"/>
                      <a:ext cx="4027170" cy="2248535"/>
                    </a:xfrm>
                    <a:prstGeom prst="rect">
                      <a:avLst/>
                    </a:prstGeom>
                    <a:noFill/>
                    <a:ln>
                      <a:noFill/>
                    </a:ln>
                  </pic:spPr>
                </pic:pic>
              </a:graphicData>
            </a:graphic>
          </wp:inline>
        </w:drawing>
      </w:r>
    </w:p>
    <w:p w14:paraId="1BCB8C5A">
      <w:pPr>
        <w:widowControl/>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图2-</w:t>
      </w:r>
      <w:r>
        <w:rPr>
          <w:rFonts w:hint="default" w:ascii="Times New Roman" w:hAnsi="Times New Roman" w:eastAsia="黑体" w:cs="Times New Roman"/>
          <w:color w:val="auto"/>
          <w:sz w:val="24"/>
          <w:highlight w:val="none"/>
          <w:lang w:val="en-US" w:eastAsia="zh-CN"/>
        </w:rPr>
        <w:t>2乳化沥青</w:t>
      </w:r>
      <w:r>
        <w:rPr>
          <w:rFonts w:hint="default" w:ascii="Times New Roman" w:hAnsi="Times New Roman" w:eastAsia="黑体" w:cs="Times New Roman"/>
          <w:color w:val="auto"/>
          <w:sz w:val="24"/>
          <w:highlight w:val="none"/>
        </w:rPr>
        <w:t>生产工艺流程及产污环节图</w:t>
      </w:r>
    </w:p>
    <w:p w14:paraId="7FB3FE0A">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261" w:name="_Toc192758903"/>
      <w:bookmarkStart w:id="262" w:name="_Toc23196"/>
      <w:bookmarkStart w:id="263" w:name="_Toc28405"/>
      <w:bookmarkStart w:id="264" w:name="_Toc11814"/>
      <w:bookmarkStart w:id="265" w:name="_Toc2215"/>
      <w:bookmarkStart w:id="266" w:name="_Toc2040"/>
      <w:bookmarkStart w:id="267" w:name="_Toc29395"/>
      <w:bookmarkStart w:id="268" w:name="_Toc193459992"/>
      <w:r>
        <w:rPr>
          <w:rFonts w:hint="default" w:ascii="Times New Roman" w:hAnsi="Times New Roman" w:eastAsia="黑体" w:cs="Times New Roman"/>
          <w:bCs/>
          <w:color w:val="auto"/>
          <w:kern w:val="44"/>
          <w:sz w:val="24"/>
          <w:highlight w:val="none"/>
        </w:rPr>
        <w:t>2.7工程污染源强分析</w:t>
      </w:r>
      <w:bookmarkEnd w:id="261"/>
      <w:bookmarkEnd w:id="262"/>
      <w:bookmarkEnd w:id="263"/>
      <w:bookmarkEnd w:id="264"/>
      <w:bookmarkEnd w:id="265"/>
      <w:bookmarkEnd w:id="266"/>
      <w:bookmarkEnd w:id="267"/>
      <w:bookmarkEnd w:id="268"/>
    </w:p>
    <w:p w14:paraId="25414880">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本项目运营期排放废气主要为原料运输及原料堆场装卸粉尘、原料堆场粉尘、</w:t>
      </w:r>
      <w:r>
        <w:rPr>
          <w:rFonts w:hint="default" w:ascii="Times New Roman" w:hAnsi="Times New Roman" w:cs="Times New Roman"/>
          <w:color w:val="auto"/>
          <w:sz w:val="24"/>
          <w:highlight w:val="none"/>
          <w:lang w:val="en-US" w:eastAsia="zh-CN"/>
        </w:rPr>
        <w:t>矿粉装卸废气、</w:t>
      </w:r>
      <w:r>
        <w:rPr>
          <w:rFonts w:hint="default" w:ascii="Times New Roman" w:hAnsi="Times New Roman" w:cs="Times New Roman"/>
          <w:color w:val="auto"/>
          <w:sz w:val="24"/>
          <w:highlight w:val="none"/>
        </w:rPr>
        <w:t>冷料上料输送废气、骨料加热烘干废气、导热油炉烟气、加热沥青储罐、搅拌及出料产生的沥青烟气、导热油炉烟气、柴油储罐呼吸废气</w:t>
      </w:r>
      <w:r>
        <w:rPr>
          <w:rFonts w:hint="default" w:ascii="Times New Roman" w:hAnsi="Times New Roman" w:cs="Times New Roman"/>
          <w:color w:val="auto"/>
          <w:kern w:val="0"/>
          <w:sz w:val="24"/>
          <w:highlight w:val="none"/>
        </w:rPr>
        <w:t>。</w:t>
      </w:r>
    </w:p>
    <w:p w14:paraId="7E9A6674">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269" w:name="_Toc4344"/>
      <w:bookmarkStart w:id="270" w:name="_Toc192758904"/>
      <w:bookmarkStart w:id="271" w:name="_Toc32377"/>
      <w:bookmarkStart w:id="272" w:name="_Toc193459993"/>
      <w:bookmarkStart w:id="273" w:name="_Toc9394"/>
      <w:bookmarkStart w:id="274" w:name="_Toc16433"/>
      <w:r>
        <w:rPr>
          <w:rFonts w:hint="default" w:ascii="Times New Roman" w:hAnsi="Times New Roman" w:eastAsia="黑体" w:cs="Times New Roman"/>
          <w:bCs/>
          <w:color w:val="auto"/>
          <w:kern w:val="44"/>
          <w:sz w:val="24"/>
          <w:highlight w:val="none"/>
        </w:rPr>
        <w:t>2.7.1无组织废气</w:t>
      </w:r>
      <w:bookmarkEnd w:id="269"/>
      <w:bookmarkEnd w:id="270"/>
      <w:bookmarkEnd w:id="271"/>
      <w:bookmarkEnd w:id="272"/>
      <w:bookmarkEnd w:id="273"/>
      <w:bookmarkEnd w:id="274"/>
    </w:p>
    <w:p w14:paraId="60F7ABA5">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（1）原料运输产生的粉尘</w:t>
      </w:r>
    </w:p>
    <w:p w14:paraId="7B0006BA">
      <w:pPr>
        <w:widowControl/>
        <w:spacing w:line="360" w:lineRule="auto"/>
        <w:ind w:firstLine="480" w:firstLineChars="200"/>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kern w:val="0"/>
          <w:sz w:val="24"/>
          <w:highlight w:val="none"/>
        </w:rPr>
        <w:t>根据《扬尘源颗粒物排放清单编制技术指南（试行）》，计算本项目运输场地道路产生的粉尘公式</w:t>
      </w:r>
      <w:r>
        <w:rPr>
          <w:rFonts w:hint="default" w:ascii="Times New Roman" w:hAnsi="Times New Roman" w:cs="Times New Roman"/>
          <w:color w:val="auto"/>
          <w:kern w:val="0"/>
          <w:sz w:val="24"/>
          <w:highlight w:val="none"/>
          <w:lang w:eastAsia="zh-CN"/>
        </w:rPr>
        <w:t>：</w:t>
      </w:r>
    </w:p>
    <w:p w14:paraId="6E4B7A33">
      <w:pPr>
        <w:widowControl/>
        <w:spacing w:line="360" w:lineRule="auto"/>
        <w:jc w:val="center"/>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highlight w:val="none"/>
        </w:rPr>
        <w:drawing>
          <wp:inline distT="0" distB="0" distL="114300" distR="114300">
            <wp:extent cx="4467225" cy="466725"/>
            <wp:effectExtent l="0" t="0" r="9525" b="952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56"/>
                    <a:stretch>
                      <a:fillRect/>
                    </a:stretch>
                  </pic:blipFill>
                  <pic:spPr>
                    <a:xfrm>
                      <a:off x="0" y="0"/>
                      <a:ext cx="4467225" cy="466725"/>
                    </a:xfrm>
                    <a:prstGeom prst="rect">
                      <a:avLst/>
                    </a:prstGeom>
                    <a:noFill/>
                    <a:ln>
                      <a:noFill/>
                    </a:ln>
                  </pic:spPr>
                </pic:pic>
              </a:graphicData>
            </a:graphic>
          </wp:inline>
        </w:drawing>
      </w:r>
    </w:p>
    <w:p w14:paraId="7A4B5828">
      <w:pPr>
        <w:widowControl/>
        <w:spacing w:line="500" w:lineRule="exact"/>
        <w:ind w:firstLine="480" w:firstLineChars="200"/>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kern w:val="0"/>
          <w:sz w:val="24"/>
          <w:highlight w:val="none"/>
          <w:lang w:eastAsia="zh-CN"/>
        </w:rPr>
        <w:t>式中：E</w:t>
      </w:r>
      <w:r>
        <w:rPr>
          <w:rFonts w:hint="default" w:ascii="Times New Roman" w:hAnsi="Times New Roman" w:cs="Times New Roman"/>
          <w:color w:val="auto"/>
          <w:kern w:val="0"/>
          <w:sz w:val="24"/>
          <w:highlight w:val="none"/>
          <w:vertAlign w:val="subscript"/>
          <w:lang w:eastAsia="zh-CN"/>
        </w:rPr>
        <w:t>Pi</w:t>
      </w:r>
      <w:r>
        <w:rPr>
          <w:rFonts w:hint="default" w:ascii="Times New Roman" w:hAnsi="Times New Roman" w:cs="Times New Roman"/>
          <w:color w:val="auto"/>
          <w:kern w:val="0"/>
          <w:sz w:val="24"/>
          <w:highlight w:val="none"/>
          <w:lang w:eastAsia="zh-CN"/>
        </w:rPr>
        <w:t>—铺装道路扬尘中 P</w:t>
      </w:r>
      <w:r>
        <w:rPr>
          <w:rFonts w:hint="default" w:ascii="Times New Roman" w:hAnsi="Times New Roman" w:cs="Times New Roman"/>
          <w:color w:val="auto"/>
          <w:kern w:val="0"/>
          <w:sz w:val="24"/>
          <w:highlight w:val="none"/>
          <w:vertAlign w:val="subscript"/>
          <w:lang w:eastAsia="zh-CN"/>
        </w:rPr>
        <w:t>Mi</w:t>
      </w:r>
      <w:r>
        <w:rPr>
          <w:rFonts w:hint="default" w:ascii="Times New Roman" w:hAnsi="Times New Roman" w:cs="Times New Roman"/>
          <w:color w:val="auto"/>
          <w:kern w:val="0"/>
          <w:sz w:val="24"/>
          <w:highlight w:val="none"/>
          <w:lang w:eastAsia="zh-CN"/>
        </w:rPr>
        <w:t xml:space="preserve"> 排放系数，g/km；</w:t>
      </w:r>
    </w:p>
    <w:p w14:paraId="50C59297">
      <w:pPr>
        <w:widowControl/>
        <w:spacing w:line="500" w:lineRule="exact"/>
        <w:ind w:firstLine="1200" w:firstLineChars="500"/>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kern w:val="0"/>
          <w:sz w:val="24"/>
          <w:highlight w:val="none"/>
          <w:lang w:eastAsia="zh-CN"/>
        </w:rPr>
        <w:t>ki—产生的扬尘中 P</w:t>
      </w:r>
      <w:r>
        <w:rPr>
          <w:rFonts w:hint="default" w:ascii="Times New Roman" w:hAnsi="Times New Roman" w:cs="Times New Roman"/>
          <w:color w:val="auto"/>
          <w:kern w:val="0"/>
          <w:sz w:val="24"/>
          <w:highlight w:val="none"/>
          <w:vertAlign w:val="subscript"/>
          <w:lang w:eastAsia="zh-CN"/>
        </w:rPr>
        <w:t>Mi</w:t>
      </w:r>
      <w:r>
        <w:rPr>
          <w:rFonts w:hint="default" w:ascii="Times New Roman" w:hAnsi="Times New Roman" w:cs="Times New Roman"/>
          <w:color w:val="auto"/>
          <w:kern w:val="0"/>
          <w:sz w:val="24"/>
          <w:highlight w:val="none"/>
          <w:lang w:eastAsia="zh-CN"/>
        </w:rPr>
        <w:t xml:space="preserve"> 的粒度乘数，TSP 取 3.23g/km；</w:t>
      </w:r>
    </w:p>
    <w:p w14:paraId="7CBEA359">
      <w:pPr>
        <w:widowControl/>
        <w:spacing w:line="500" w:lineRule="exact"/>
        <w:ind w:firstLine="1200" w:firstLineChars="500"/>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kern w:val="0"/>
          <w:sz w:val="24"/>
          <w:highlight w:val="none"/>
          <w:lang w:eastAsia="zh-CN"/>
        </w:rPr>
        <w:t>sL—道路积尘负荷，g/m</w:t>
      </w:r>
      <w:r>
        <w:rPr>
          <w:rFonts w:hint="default" w:ascii="Times New Roman" w:hAnsi="Times New Roman" w:cs="Times New Roman"/>
          <w:color w:val="auto"/>
          <w:kern w:val="0"/>
          <w:sz w:val="24"/>
          <w:highlight w:val="none"/>
          <w:vertAlign w:val="superscript"/>
          <w:lang w:eastAsia="zh-CN"/>
        </w:rPr>
        <w:t>2</w:t>
      </w:r>
      <w:r>
        <w:rPr>
          <w:rFonts w:hint="default" w:ascii="Times New Roman" w:hAnsi="Times New Roman" w:cs="Times New Roman"/>
          <w:color w:val="auto"/>
          <w:kern w:val="0"/>
          <w:sz w:val="24"/>
          <w:highlight w:val="none"/>
          <w:lang w:eastAsia="zh-CN"/>
        </w:rPr>
        <w:t>，参照 HJ/T393-2007 限定标准，取 1.0g/m</w:t>
      </w:r>
      <w:r>
        <w:rPr>
          <w:rFonts w:hint="default" w:ascii="Times New Roman" w:hAnsi="Times New Roman" w:cs="Times New Roman"/>
          <w:color w:val="auto"/>
          <w:kern w:val="0"/>
          <w:sz w:val="24"/>
          <w:highlight w:val="none"/>
          <w:vertAlign w:val="superscript"/>
          <w:lang w:eastAsia="zh-CN"/>
        </w:rPr>
        <w:t>2</w:t>
      </w:r>
      <w:r>
        <w:rPr>
          <w:rFonts w:hint="default" w:ascii="Times New Roman" w:hAnsi="Times New Roman" w:cs="Times New Roman"/>
          <w:color w:val="auto"/>
          <w:kern w:val="0"/>
          <w:sz w:val="24"/>
          <w:highlight w:val="none"/>
          <w:lang w:eastAsia="zh-CN"/>
        </w:rPr>
        <w:t>；</w:t>
      </w:r>
    </w:p>
    <w:p w14:paraId="386B3A32">
      <w:pPr>
        <w:widowControl/>
        <w:spacing w:line="500" w:lineRule="exact"/>
        <w:ind w:firstLine="1200" w:firstLineChars="500"/>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kern w:val="0"/>
          <w:sz w:val="24"/>
          <w:highlight w:val="none"/>
          <w:lang w:eastAsia="zh-CN"/>
        </w:rPr>
        <w:t>W—平均车重，t，</w:t>
      </w:r>
      <w:r>
        <w:rPr>
          <w:rFonts w:hint="default" w:ascii="Times New Roman" w:hAnsi="Times New Roman" w:cs="Times New Roman"/>
          <w:color w:val="auto"/>
          <w:kern w:val="0"/>
          <w:sz w:val="24"/>
          <w:highlight w:val="none"/>
          <w:lang w:val="en-US" w:eastAsia="zh-CN"/>
        </w:rPr>
        <w:t>取50t</w:t>
      </w:r>
      <w:r>
        <w:rPr>
          <w:rFonts w:hint="default" w:ascii="Times New Roman" w:hAnsi="Times New Roman" w:cs="Times New Roman"/>
          <w:color w:val="auto"/>
          <w:kern w:val="0"/>
          <w:sz w:val="24"/>
          <w:highlight w:val="none"/>
          <w:lang w:eastAsia="zh-CN"/>
        </w:rPr>
        <w:t>；</w:t>
      </w:r>
    </w:p>
    <w:p w14:paraId="3E023EB6">
      <w:pPr>
        <w:widowControl/>
        <w:spacing w:line="500" w:lineRule="exact"/>
        <w:ind w:firstLine="1200" w:firstLineChars="500"/>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sz w:val="24"/>
          <w:highlight w:val="none"/>
        </w:rPr>
        <w:t>η</w:t>
      </w:r>
      <w:r>
        <w:rPr>
          <w:rFonts w:hint="default" w:ascii="Times New Roman" w:hAnsi="Times New Roman" w:cs="Times New Roman"/>
          <w:color w:val="auto"/>
          <w:sz w:val="24"/>
          <w:highlight w:val="none"/>
          <w:lang w:val="en-US" w:eastAsia="zh-CN"/>
        </w:rPr>
        <w:t xml:space="preserve"> </w:t>
      </w:r>
      <w:r>
        <w:rPr>
          <w:rFonts w:hint="default" w:ascii="Times New Roman" w:hAnsi="Times New Roman" w:cs="Times New Roman"/>
          <w:color w:val="auto"/>
          <w:kern w:val="0"/>
          <w:sz w:val="24"/>
          <w:highlight w:val="none"/>
          <w:lang w:eastAsia="zh-CN"/>
        </w:rPr>
        <w:t>—污染控制技术对扬尘的去除效率，洒水降尘取 66%</w:t>
      </w:r>
    </w:p>
    <w:p w14:paraId="68AE2F4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kern w:val="0"/>
          <w:sz w:val="24"/>
          <w:highlight w:val="none"/>
          <w:lang w:eastAsia="zh-CN"/>
        </w:rPr>
        <w:t>通过上式计算，E</w:t>
      </w:r>
      <w:r>
        <w:rPr>
          <w:rFonts w:hint="default" w:ascii="Times New Roman" w:hAnsi="Times New Roman" w:cs="Times New Roman"/>
          <w:color w:val="auto"/>
          <w:kern w:val="0"/>
          <w:sz w:val="24"/>
          <w:highlight w:val="none"/>
          <w:vertAlign w:val="subscript"/>
          <w:lang w:eastAsia="zh-CN"/>
        </w:rPr>
        <w:t>Pi</w:t>
      </w:r>
      <w:r>
        <w:rPr>
          <w:rFonts w:hint="default" w:ascii="Times New Roman" w:hAnsi="Times New Roman" w:cs="Times New Roman"/>
          <w:color w:val="auto"/>
          <w:kern w:val="0"/>
          <w:sz w:val="24"/>
          <w:highlight w:val="none"/>
          <w:lang w:eastAsia="zh-CN"/>
        </w:rPr>
        <w:t xml:space="preserve"> 为 59.379g/km，厂区内道路长度为 0.</w:t>
      </w:r>
      <w:r>
        <w:rPr>
          <w:rFonts w:hint="default"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lang w:eastAsia="zh-CN"/>
        </w:rPr>
        <w:t>km，</w:t>
      </w:r>
      <w:r>
        <w:rPr>
          <w:rFonts w:hint="default" w:ascii="Times New Roman" w:hAnsi="Times New Roman" w:cs="Times New Roman"/>
          <w:color w:val="auto"/>
          <w:kern w:val="0"/>
          <w:sz w:val="24"/>
          <w:highlight w:val="none"/>
        </w:rPr>
        <w:t>运输车辆</w:t>
      </w:r>
      <w:r>
        <w:rPr>
          <w:rFonts w:hint="default" w:ascii="Times New Roman" w:hAnsi="Times New Roman" w:cs="Times New Roman"/>
          <w:color w:val="auto"/>
          <w:kern w:val="0"/>
          <w:sz w:val="24"/>
          <w:highlight w:val="none"/>
          <w:lang w:val="en-US" w:eastAsia="zh-CN"/>
        </w:rPr>
        <w:t>总重50t/辆，货物</w:t>
      </w:r>
      <w:r>
        <w:rPr>
          <w:rFonts w:hint="default" w:ascii="Times New Roman" w:hAnsi="Times New Roman" w:cs="Times New Roman"/>
          <w:color w:val="auto"/>
          <w:kern w:val="0"/>
          <w:sz w:val="24"/>
          <w:highlight w:val="none"/>
        </w:rPr>
        <w:t>载重按30t/辆计，项目年运输料共计</w:t>
      </w:r>
      <w:r>
        <w:rPr>
          <w:rFonts w:hint="default" w:ascii="Times New Roman" w:hAnsi="Times New Roman" w:cs="Times New Roman"/>
          <w:color w:val="auto"/>
          <w:kern w:val="0"/>
          <w:sz w:val="24"/>
          <w:highlight w:val="none"/>
          <w:lang w:val="en-US" w:eastAsia="zh-CN"/>
        </w:rPr>
        <w:t>95600</w:t>
      </w:r>
      <w:r>
        <w:rPr>
          <w:rFonts w:hint="default" w:ascii="Times New Roman" w:hAnsi="Times New Roman" w:cs="Times New Roman"/>
          <w:color w:val="auto"/>
          <w:kern w:val="0"/>
          <w:sz w:val="24"/>
          <w:highlight w:val="none"/>
        </w:rPr>
        <w:t>t，因此运料次数为</w:t>
      </w:r>
      <w:r>
        <w:rPr>
          <w:rFonts w:hint="default" w:ascii="Times New Roman" w:hAnsi="Times New Roman" w:cs="Times New Roman"/>
          <w:color w:val="auto"/>
          <w:kern w:val="0"/>
          <w:sz w:val="24"/>
          <w:highlight w:val="none"/>
          <w:lang w:val="en-US" w:eastAsia="zh-CN"/>
        </w:rPr>
        <w:t>3187</w:t>
      </w:r>
      <w:r>
        <w:rPr>
          <w:rFonts w:hint="default" w:ascii="Times New Roman" w:hAnsi="Times New Roman" w:cs="Times New Roman"/>
          <w:color w:val="auto"/>
          <w:kern w:val="0"/>
          <w:sz w:val="24"/>
          <w:highlight w:val="none"/>
        </w:rPr>
        <w:t>次/a，空车、重车运输次数共</w:t>
      </w:r>
      <w:r>
        <w:rPr>
          <w:rFonts w:hint="default" w:ascii="Times New Roman" w:hAnsi="Times New Roman" w:cs="Times New Roman"/>
          <w:color w:val="auto"/>
          <w:kern w:val="0"/>
          <w:sz w:val="24"/>
          <w:highlight w:val="none"/>
          <w:lang w:val="en-US" w:eastAsia="zh-CN"/>
        </w:rPr>
        <w:t>6374</w:t>
      </w:r>
      <w:r>
        <w:rPr>
          <w:rFonts w:hint="default" w:ascii="Times New Roman" w:hAnsi="Times New Roman" w:cs="Times New Roman"/>
          <w:color w:val="auto"/>
          <w:kern w:val="0"/>
          <w:sz w:val="24"/>
          <w:highlight w:val="none"/>
        </w:rPr>
        <w:t>次/a。本项目物料运输颗粒物产生量为</w:t>
      </w:r>
      <w:r>
        <w:rPr>
          <w:rFonts w:hint="default" w:ascii="Times New Roman" w:hAnsi="Times New Roman" w:cs="Times New Roman"/>
          <w:color w:val="auto"/>
          <w:kern w:val="0"/>
          <w:sz w:val="24"/>
          <w:highlight w:val="none"/>
          <w:lang w:val="en-US" w:eastAsia="zh-CN"/>
        </w:rPr>
        <w:t>0.2353</w:t>
      </w:r>
      <w:r>
        <w:rPr>
          <w:rFonts w:hint="default" w:ascii="Times New Roman" w:hAnsi="Times New Roman" w:cs="Times New Roman"/>
          <w:color w:val="auto"/>
          <w:kern w:val="0"/>
          <w:sz w:val="24"/>
          <w:highlight w:val="none"/>
        </w:rPr>
        <w:t>t/a，</w:t>
      </w:r>
      <w:r>
        <w:rPr>
          <w:rFonts w:hint="default" w:ascii="Times New Roman" w:hAnsi="Times New Roman" w:cs="Times New Roman"/>
          <w:color w:val="auto"/>
          <w:kern w:val="0"/>
          <w:sz w:val="24"/>
          <w:highlight w:val="none"/>
          <w:lang w:val="en-US" w:eastAsia="zh-CN"/>
        </w:rPr>
        <w:t>0.196</w:t>
      </w:r>
      <w:r>
        <w:rPr>
          <w:rFonts w:hint="default" w:ascii="Times New Roman" w:hAnsi="Times New Roman" w:cs="Times New Roman"/>
          <w:color w:val="auto"/>
          <w:kern w:val="0"/>
          <w:sz w:val="24"/>
          <w:highlight w:val="none"/>
        </w:rPr>
        <w:t>kg/h。厂区内每天洒水</w:t>
      </w:r>
      <w:r>
        <w:rPr>
          <w:rFonts w:hint="default" w:ascii="Times New Roman" w:hAnsi="Times New Roman" w:cs="Times New Roman"/>
          <w:color w:val="auto"/>
          <w:kern w:val="0"/>
          <w:sz w:val="24"/>
          <w:highlight w:val="none"/>
          <w:lang w:val="en-US" w:eastAsia="zh-CN"/>
        </w:rPr>
        <w:t>降尘</w:t>
      </w:r>
      <w:r>
        <w:rPr>
          <w:rFonts w:hint="default" w:ascii="Times New Roman" w:hAnsi="Times New Roman" w:cs="Times New Roman"/>
          <w:color w:val="auto"/>
          <w:kern w:val="0"/>
          <w:sz w:val="24"/>
          <w:highlight w:val="none"/>
        </w:rPr>
        <w:t>，降尘效率66%，物料运输颗粒物排放量为</w:t>
      </w:r>
      <w:r>
        <w:rPr>
          <w:rFonts w:hint="default" w:ascii="Times New Roman" w:hAnsi="Times New Roman" w:cs="Times New Roman"/>
          <w:color w:val="auto"/>
          <w:kern w:val="0"/>
          <w:sz w:val="24"/>
          <w:highlight w:val="none"/>
          <w:lang w:val="en-US" w:eastAsia="zh-CN"/>
        </w:rPr>
        <w:t>0.08</w:t>
      </w:r>
      <w:r>
        <w:rPr>
          <w:rFonts w:hint="default" w:ascii="Times New Roman" w:hAnsi="Times New Roman" w:cs="Times New Roman"/>
          <w:color w:val="auto"/>
          <w:kern w:val="0"/>
          <w:sz w:val="24"/>
          <w:highlight w:val="none"/>
        </w:rPr>
        <w:t>t/a，0.</w:t>
      </w:r>
      <w:r>
        <w:rPr>
          <w:rFonts w:hint="default" w:ascii="Times New Roman" w:hAnsi="Times New Roman" w:cs="Times New Roman"/>
          <w:color w:val="auto"/>
          <w:kern w:val="0"/>
          <w:sz w:val="24"/>
          <w:highlight w:val="none"/>
          <w:lang w:val="en-US" w:eastAsia="zh-CN"/>
        </w:rPr>
        <w:t>067</w:t>
      </w:r>
      <w:r>
        <w:rPr>
          <w:rFonts w:hint="default" w:ascii="Times New Roman" w:hAnsi="Times New Roman" w:cs="Times New Roman"/>
          <w:color w:val="auto"/>
          <w:kern w:val="0"/>
          <w:sz w:val="24"/>
          <w:highlight w:val="none"/>
        </w:rPr>
        <w:t>kg/h。</w:t>
      </w:r>
      <w:r>
        <w:rPr>
          <w:rFonts w:hint="default" w:ascii="Times New Roman" w:hAnsi="Times New Roman" w:cs="Times New Roman"/>
          <w:color w:val="auto"/>
          <w:kern w:val="0"/>
          <w:sz w:val="24"/>
          <w:highlight w:val="none"/>
          <w:lang w:eastAsia="zh-CN"/>
        </w:rPr>
        <w:t>污染物排放满足《大气污染物综合排放标准》（GB16297-1996）表 2 中无组织排放标准限值要求。</w:t>
      </w:r>
    </w:p>
    <w:p w14:paraId="576833D7">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（2）原料、产品堆场粉尘</w:t>
      </w:r>
    </w:p>
    <w:p w14:paraId="771E1519">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本项目原料外购进场到指定堆场装卸和堆存时会产生无组织粉尘。根据《污染源源强核算技术指南 准则》（HJ884-2018）中，堆场的扬尘源排放量是装卸、运输引起的扬尘与堆积存放期间风蚀扬尘的加和，计算公式如下。</w:t>
      </w:r>
    </w:p>
    <w:p w14:paraId="1979B141">
      <w:pPr>
        <w:spacing w:line="360" w:lineRule="auto"/>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Cs w:val="22"/>
          <w:highlight w:val="none"/>
        </w:rPr>
        <w:drawing>
          <wp:inline distT="0" distB="0" distL="114300" distR="114300">
            <wp:extent cx="3779520" cy="716280"/>
            <wp:effectExtent l="0" t="0" r="0" b="7620"/>
            <wp:docPr id="10482728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72816" name="图片 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779520" cy="716280"/>
                    </a:xfrm>
                    <a:prstGeom prst="rect">
                      <a:avLst/>
                    </a:prstGeom>
                    <a:noFill/>
                    <a:ln>
                      <a:noFill/>
                    </a:ln>
                  </pic:spPr>
                </pic:pic>
              </a:graphicData>
            </a:graphic>
          </wp:inline>
        </w:drawing>
      </w:r>
    </w:p>
    <w:p w14:paraId="1F746461">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w:t>
      </w:r>
      <w:r>
        <w:rPr>
          <w:rFonts w:hint="default" w:ascii="Times New Roman" w:hAnsi="Times New Roman" w:cs="Times New Roman"/>
          <w:color w:val="auto"/>
          <w:kern w:val="0"/>
          <w:sz w:val="24"/>
          <w:highlight w:val="none"/>
          <w:vertAlign w:val="subscript"/>
        </w:rPr>
        <w:t>Y</w:t>
      </w:r>
      <w:r>
        <w:rPr>
          <w:rFonts w:hint="default" w:ascii="Times New Roman" w:hAnsi="Times New Roman" w:cs="Times New Roman"/>
          <w:color w:val="auto"/>
          <w:kern w:val="0"/>
          <w:sz w:val="24"/>
          <w:highlight w:val="none"/>
        </w:rPr>
        <w:t>——堆场扬尘源中颗粒物总排放量，t/a；</w:t>
      </w:r>
    </w:p>
    <w:p w14:paraId="49C34EE3">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Eh——堆场装卸运输过程的扬尘颗粒物排放系数，kg/t；</w:t>
      </w:r>
    </w:p>
    <w:p w14:paraId="3EFC03E4">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m——每年料堆物料装卸总次数</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6374次</w:t>
      </w:r>
      <w:r>
        <w:rPr>
          <w:rFonts w:hint="default" w:ascii="Times New Roman" w:hAnsi="Times New Roman" w:cs="Times New Roman"/>
          <w:color w:val="auto"/>
          <w:kern w:val="0"/>
          <w:sz w:val="24"/>
          <w:highlight w:val="none"/>
        </w:rPr>
        <w:t>；</w:t>
      </w:r>
    </w:p>
    <w:p w14:paraId="1B91FBBB">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G</w:t>
      </w:r>
      <w:r>
        <w:rPr>
          <w:rFonts w:hint="default" w:ascii="Times New Roman" w:hAnsi="Times New Roman" w:cs="Times New Roman"/>
          <w:color w:val="auto"/>
          <w:kern w:val="0"/>
          <w:sz w:val="24"/>
          <w:highlight w:val="none"/>
          <w:vertAlign w:val="subscript"/>
        </w:rPr>
        <w:t>Yi</w:t>
      </w:r>
      <w:r>
        <w:rPr>
          <w:rFonts w:hint="default" w:ascii="Times New Roman" w:hAnsi="Times New Roman" w:cs="Times New Roman"/>
          <w:color w:val="auto"/>
          <w:kern w:val="0"/>
          <w:sz w:val="24"/>
          <w:highlight w:val="none"/>
        </w:rPr>
        <w:t>——第i次装卸过程的物料装卸量t</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30t</w:t>
      </w:r>
      <w:r>
        <w:rPr>
          <w:rFonts w:hint="default" w:ascii="Times New Roman" w:hAnsi="Times New Roman" w:cs="Times New Roman"/>
          <w:color w:val="auto"/>
          <w:kern w:val="0"/>
          <w:sz w:val="24"/>
          <w:highlight w:val="none"/>
        </w:rPr>
        <w:t>；</w:t>
      </w:r>
    </w:p>
    <w:p w14:paraId="598D7834">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E</w:t>
      </w:r>
      <w:r>
        <w:rPr>
          <w:rFonts w:hint="default" w:ascii="Times New Roman" w:hAnsi="Times New Roman" w:cs="Times New Roman"/>
          <w:color w:val="auto"/>
          <w:kern w:val="0"/>
          <w:sz w:val="24"/>
          <w:highlight w:val="none"/>
          <w:vertAlign w:val="subscript"/>
        </w:rPr>
        <w:t>w</w:t>
      </w:r>
      <w:r>
        <w:rPr>
          <w:rFonts w:hint="default" w:ascii="Times New Roman" w:hAnsi="Times New Roman" w:cs="Times New Roman"/>
          <w:color w:val="auto"/>
          <w:kern w:val="0"/>
          <w:sz w:val="24"/>
          <w:highlight w:val="none"/>
        </w:rPr>
        <w:t>——料堆受到风蚀作用的颗粒物排放系数，kg/m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w:t>
      </w:r>
    </w:p>
    <w:p w14:paraId="35E06341">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A</w:t>
      </w:r>
      <w:r>
        <w:rPr>
          <w:rFonts w:hint="default" w:ascii="Times New Roman" w:hAnsi="Times New Roman" w:cs="Times New Roman"/>
          <w:color w:val="auto"/>
          <w:kern w:val="0"/>
          <w:sz w:val="24"/>
          <w:highlight w:val="none"/>
          <w:vertAlign w:val="subscript"/>
        </w:rPr>
        <w:t>Y</w:t>
      </w:r>
      <w:r>
        <w:rPr>
          <w:rFonts w:hint="default" w:ascii="Times New Roman" w:hAnsi="Times New Roman" w:cs="Times New Roman"/>
          <w:color w:val="auto"/>
          <w:kern w:val="0"/>
          <w:sz w:val="24"/>
          <w:highlight w:val="none"/>
        </w:rPr>
        <w:t>——料堆表面积；</w:t>
      </w:r>
    </w:p>
    <w:p w14:paraId="539EC1AA">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装卸、运输物料过程扬尘排放系数的估算：</w:t>
      </w:r>
    </w:p>
    <w:p w14:paraId="6416F2BB">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0" distR="0">
            <wp:extent cx="2800350" cy="809625"/>
            <wp:effectExtent l="0" t="0" r="0" b="9525"/>
            <wp:docPr id="551289924" name="图片 55128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89924" name="图片 5512899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800350" cy="809625"/>
                    </a:xfrm>
                    <a:prstGeom prst="rect">
                      <a:avLst/>
                    </a:prstGeom>
                    <a:noFill/>
                    <a:ln>
                      <a:noFill/>
                    </a:ln>
                  </pic:spPr>
                </pic:pic>
              </a:graphicData>
            </a:graphic>
          </wp:inline>
        </w:drawing>
      </w:r>
    </w:p>
    <w:p w14:paraId="6D6EEBB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式中：E</w:t>
      </w:r>
      <w:r>
        <w:rPr>
          <w:rFonts w:hint="default" w:ascii="Times New Roman" w:hAnsi="Times New Roman" w:cs="Times New Roman"/>
          <w:color w:val="auto"/>
          <w:sz w:val="24"/>
          <w:highlight w:val="none"/>
          <w:vertAlign w:val="subscript"/>
        </w:rPr>
        <w:t>h</w:t>
      </w:r>
      <w:r>
        <w:rPr>
          <w:rFonts w:hint="default" w:ascii="Times New Roman" w:hAnsi="Times New Roman" w:cs="Times New Roman"/>
          <w:color w:val="auto"/>
          <w:sz w:val="24"/>
          <w:highlight w:val="none"/>
        </w:rPr>
        <w:t>为堆场装卸扬尘的排放系数，kg/t。</w:t>
      </w:r>
    </w:p>
    <w:p w14:paraId="3AFA074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k</w:t>
      </w:r>
      <w:r>
        <w:rPr>
          <w:rFonts w:hint="default" w:ascii="Times New Roman" w:hAnsi="Times New Roman" w:cs="Times New Roman"/>
          <w:color w:val="auto"/>
          <w:sz w:val="24"/>
          <w:highlight w:val="none"/>
          <w:vertAlign w:val="subscript"/>
        </w:rPr>
        <w:t>i</w:t>
      </w:r>
      <w:r>
        <w:rPr>
          <w:rFonts w:hint="default" w:ascii="Times New Roman" w:hAnsi="Times New Roman" w:cs="Times New Roman"/>
          <w:color w:val="auto"/>
          <w:sz w:val="24"/>
          <w:highlight w:val="none"/>
        </w:rPr>
        <w:t>为物料的粒度乘数。</w:t>
      </w:r>
    </w:p>
    <w:p w14:paraId="6655EB5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u为地面平均风速，m/s。本项目</w:t>
      </w:r>
      <w:r>
        <w:rPr>
          <w:rFonts w:hint="default" w:ascii="Times New Roman" w:hAnsi="Times New Roman" w:cs="Times New Roman"/>
          <w:color w:val="auto"/>
          <w:sz w:val="24"/>
          <w:highlight w:val="none"/>
          <w:lang w:val="en-US" w:eastAsia="zh-CN"/>
        </w:rPr>
        <w:t>设置防风抑尘网</w:t>
      </w:r>
      <w:r>
        <w:rPr>
          <w:rFonts w:hint="default" w:ascii="Times New Roman" w:hAnsi="Times New Roman" w:cs="Times New Roman"/>
          <w:color w:val="auto"/>
          <w:sz w:val="24"/>
          <w:highlight w:val="none"/>
        </w:rPr>
        <w:t>，取0.5m/s。</w:t>
      </w:r>
    </w:p>
    <w:p w14:paraId="4A40E45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M为物料含水率，%，取</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w:t>
      </w:r>
    </w:p>
    <w:p w14:paraId="41A73B7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η为污染控制技术对扬尘的去除效率，%，多种措施同时开展的，取控制效率最大值。</w:t>
      </w:r>
    </w:p>
    <w:p w14:paraId="12E41C21">
      <w:pPr>
        <w:spacing w:line="500" w:lineRule="exact"/>
        <w:ind w:firstLine="480" w:firstLineChars="200"/>
        <w:rPr>
          <w:rFonts w:hint="default" w:ascii="Times New Roman" w:hAnsi="Times New Roman" w:cs="Times New Roman"/>
          <w:bCs/>
          <w:color w:val="auto"/>
          <w:kern w:val="0"/>
          <w:sz w:val="24"/>
          <w:highlight w:val="none"/>
        </w:rPr>
      </w:pPr>
      <w:r>
        <w:rPr>
          <w:rFonts w:hint="default" w:ascii="Times New Roman" w:hAnsi="Times New Roman" w:cs="Times New Roman"/>
          <w:bCs/>
          <w:color w:val="auto"/>
          <w:kern w:val="0"/>
          <w:sz w:val="24"/>
          <w:highlight w:val="none"/>
        </w:rPr>
        <w:t>堆场风蚀扬尘排放系数的</w:t>
      </w:r>
      <w:r>
        <w:rPr>
          <w:rFonts w:hint="default" w:ascii="Times New Roman" w:hAnsi="Times New Roman" w:cs="Times New Roman"/>
          <w:color w:val="auto"/>
          <w:kern w:val="0"/>
          <w:sz w:val="24"/>
          <w:highlight w:val="none"/>
        </w:rPr>
        <w:t>计算方法</w:t>
      </w:r>
      <w:r>
        <w:rPr>
          <w:rFonts w:hint="default" w:ascii="Times New Roman" w:hAnsi="Times New Roman" w:cs="Times New Roman"/>
          <w:bCs/>
          <w:color w:val="auto"/>
          <w:kern w:val="0"/>
          <w:sz w:val="24"/>
          <w:highlight w:val="none"/>
        </w:rPr>
        <w:t>：</w:t>
      </w:r>
    </w:p>
    <w:p w14:paraId="5596A0EB">
      <w:pPr>
        <w:ind w:firstLine="420"/>
        <w:rPr>
          <w:rFonts w:hint="default" w:ascii="Times New Roman" w:hAnsi="Times New Roman" w:cs="Times New Roman"/>
          <w:color w:val="auto"/>
          <w:szCs w:val="22"/>
          <w:highlight w:val="none"/>
        </w:rPr>
      </w:pPr>
      <w:r>
        <w:rPr>
          <w:rFonts w:hint="default" w:ascii="Times New Roman" w:hAnsi="Times New Roman" w:cs="Times New Roman"/>
          <w:color w:val="auto"/>
          <w:szCs w:val="22"/>
          <w:highlight w:val="none"/>
        </w:rPr>
        <w:t xml:space="preserve">  </w:t>
      </w:r>
      <w:r>
        <w:rPr>
          <w:rFonts w:hint="default" w:ascii="Times New Roman" w:hAnsi="Times New Roman" w:cs="Times New Roman"/>
          <w:color w:val="auto"/>
          <w:szCs w:val="22"/>
          <w:highlight w:val="none"/>
        </w:rPr>
        <w:drawing>
          <wp:inline distT="0" distB="0" distL="114300" distR="114300">
            <wp:extent cx="3882390" cy="1417320"/>
            <wp:effectExtent l="0" t="0" r="3810" b="0"/>
            <wp:docPr id="17365325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32517" name="图片 8"/>
                    <pic:cNvPicPr>
                      <a:picLocks noChangeAspect="1"/>
                    </pic:cNvPicPr>
                  </pic:nvPicPr>
                  <pic:blipFill>
                    <a:blip r:embed="rId59"/>
                    <a:stretch>
                      <a:fillRect/>
                    </a:stretch>
                  </pic:blipFill>
                  <pic:spPr>
                    <a:xfrm>
                      <a:off x="0" y="0"/>
                      <a:ext cx="3889924" cy="1420024"/>
                    </a:xfrm>
                    <a:prstGeom prst="rect">
                      <a:avLst/>
                    </a:prstGeom>
                    <a:noFill/>
                    <a:ln>
                      <a:noFill/>
                    </a:ln>
                  </pic:spPr>
                </pic:pic>
              </a:graphicData>
            </a:graphic>
          </wp:inline>
        </w:drawing>
      </w:r>
    </w:p>
    <w:p w14:paraId="302E836D">
      <w:pPr>
        <w:ind w:firstLine="420"/>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2"/>
          <w:highlight w:val="none"/>
        </w:rPr>
        <w:drawing>
          <wp:inline distT="0" distB="0" distL="114300" distR="114300">
            <wp:extent cx="2449195" cy="473075"/>
            <wp:effectExtent l="0" t="0" r="8255" b="3175"/>
            <wp:docPr id="5949433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43360" name="图片 9"/>
                    <pic:cNvPicPr>
                      <a:picLocks noChangeAspect="1"/>
                    </pic:cNvPicPr>
                  </pic:nvPicPr>
                  <pic:blipFill>
                    <a:blip r:embed="rId60"/>
                    <a:stretch>
                      <a:fillRect/>
                    </a:stretch>
                  </pic:blipFill>
                  <pic:spPr>
                    <a:xfrm>
                      <a:off x="0" y="0"/>
                      <a:ext cx="2465453" cy="476281"/>
                    </a:xfrm>
                    <a:prstGeom prst="rect">
                      <a:avLst/>
                    </a:prstGeom>
                    <a:noFill/>
                    <a:ln>
                      <a:noFill/>
                    </a:ln>
                  </pic:spPr>
                </pic:pic>
              </a:graphicData>
            </a:graphic>
          </wp:inline>
        </w:drawing>
      </w:r>
    </w:p>
    <w:p w14:paraId="493F94D5">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式中：E</w:t>
      </w:r>
      <w:r>
        <w:rPr>
          <w:rFonts w:hint="default" w:ascii="Times New Roman" w:hAnsi="Times New Roman" w:cs="Times New Roman"/>
          <w:color w:val="auto"/>
          <w:kern w:val="0"/>
          <w:sz w:val="24"/>
          <w:szCs w:val="32"/>
          <w:highlight w:val="none"/>
          <w:vertAlign w:val="subscript"/>
        </w:rPr>
        <w:t>w</w:t>
      </w:r>
      <w:r>
        <w:rPr>
          <w:rFonts w:hint="default" w:ascii="Times New Roman" w:hAnsi="Times New Roman" w:cs="Times New Roman"/>
          <w:color w:val="auto"/>
          <w:kern w:val="0"/>
          <w:sz w:val="24"/>
          <w:szCs w:val="32"/>
          <w:highlight w:val="none"/>
        </w:rPr>
        <w:t>——堆场</w:t>
      </w:r>
      <w:r>
        <w:rPr>
          <w:rFonts w:hint="default" w:ascii="Times New Roman" w:hAnsi="Times New Roman" w:cs="Times New Roman"/>
          <w:color w:val="auto"/>
          <w:kern w:val="0"/>
          <w:sz w:val="24"/>
          <w:highlight w:val="none"/>
        </w:rPr>
        <w:t>风蚀</w:t>
      </w:r>
      <w:r>
        <w:rPr>
          <w:rFonts w:hint="default" w:ascii="Times New Roman" w:hAnsi="Times New Roman" w:cs="Times New Roman"/>
          <w:color w:val="auto"/>
          <w:kern w:val="0"/>
          <w:sz w:val="24"/>
          <w:szCs w:val="32"/>
          <w:highlight w:val="none"/>
        </w:rPr>
        <w:t>扬尘的排放系数，kg/m</w:t>
      </w:r>
      <w:r>
        <w:rPr>
          <w:rFonts w:hint="default" w:ascii="Times New Roman" w:hAnsi="Times New Roman" w:cs="Times New Roman"/>
          <w:color w:val="auto"/>
          <w:kern w:val="0"/>
          <w:sz w:val="24"/>
          <w:szCs w:val="32"/>
          <w:highlight w:val="none"/>
          <w:vertAlign w:val="superscript"/>
        </w:rPr>
        <w:t>2</w:t>
      </w:r>
      <w:r>
        <w:rPr>
          <w:rFonts w:hint="default" w:ascii="Times New Roman" w:hAnsi="Times New Roman" w:cs="Times New Roman"/>
          <w:color w:val="auto"/>
          <w:kern w:val="0"/>
          <w:sz w:val="24"/>
          <w:szCs w:val="32"/>
          <w:highlight w:val="none"/>
        </w:rPr>
        <w:t>；</w:t>
      </w:r>
    </w:p>
    <w:p w14:paraId="1CA6F0AF">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k</w:t>
      </w:r>
      <w:r>
        <w:rPr>
          <w:rFonts w:hint="default" w:ascii="Times New Roman" w:hAnsi="Times New Roman" w:cs="Times New Roman"/>
          <w:color w:val="auto"/>
          <w:kern w:val="0"/>
          <w:sz w:val="24"/>
          <w:szCs w:val="32"/>
          <w:highlight w:val="none"/>
          <w:vertAlign w:val="subscript"/>
        </w:rPr>
        <w:t>i</w:t>
      </w:r>
      <w:r>
        <w:rPr>
          <w:rFonts w:hint="default" w:ascii="Times New Roman" w:hAnsi="Times New Roman" w:cs="Times New Roman"/>
          <w:color w:val="auto"/>
          <w:kern w:val="0"/>
          <w:sz w:val="24"/>
          <w:szCs w:val="32"/>
          <w:highlight w:val="none"/>
        </w:rPr>
        <w:t>——物料的粒度乘数，TSP取</w:t>
      </w:r>
      <w:r>
        <w:rPr>
          <w:rFonts w:hint="default" w:ascii="Times New Roman" w:hAnsi="Times New Roman" w:cs="Times New Roman"/>
          <w:color w:val="auto"/>
          <w:kern w:val="0"/>
          <w:sz w:val="24"/>
          <w:szCs w:val="32"/>
          <w:highlight w:val="none"/>
          <w:lang w:val="en-US" w:eastAsia="zh-CN"/>
        </w:rPr>
        <w:t>0.74</w:t>
      </w:r>
      <w:r>
        <w:rPr>
          <w:rFonts w:hint="default" w:ascii="Times New Roman" w:hAnsi="Times New Roman" w:cs="Times New Roman"/>
          <w:color w:val="auto"/>
          <w:kern w:val="0"/>
          <w:sz w:val="24"/>
          <w:szCs w:val="32"/>
          <w:highlight w:val="none"/>
        </w:rPr>
        <w:t>；</w:t>
      </w:r>
    </w:p>
    <w:p w14:paraId="19725EC7">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n——料堆每年受扰动的次数</w:t>
      </w:r>
      <w:r>
        <w:rPr>
          <w:rFonts w:hint="default" w:ascii="Times New Roman" w:hAnsi="Times New Roman" w:cs="Times New Roman"/>
          <w:color w:val="auto"/>
          <w:kern w:val="0"/>
          <w:sz w:val="24"/>
          <w:szCs w:val="32"/>
          <w:highlight w:val="none"/>
          <w:lang w:eastAsia="zh-CN"/>
        </w:rPr>
        <w:t>，</w:t>
      </w:r>
      <w:r>
        <w:rPr>
          <w:rFonts w:hint="default" w:ascii="Times New Roman" w:hAnsi="Times New Roman" w:cs="Times New Roman"/>
          <w:color w:val="auto"/>
          <w:kern w:val="0"/>
          <w:sz w:val="24"/>
          <w:szCs w:val="32"/>
          <w:highlight w:val="none"/>
          <w:lang w:val="en-US" w:eastAsia="zh-CN"/>
        </w:rPr>
        <w:t>6374</w:t>
      </w:r>
      <w:r>
        <w:rPr>
          <w:rFonts w:hint="default" w:ascii="Times New Roman" w:hAnsi="Times New Roman" w:cs="Times New Roman"/>
          <w:color w:val="auto"/>
          <w:kern w:val="0"/>
          <w:sz w:val="24"/>
          <w:szCs w:val="32"/>
          <w:highlight w:val="none"/>
        </w:rPr>
        <w:t>；</w:t>
      </w:r>
    </w:p>
    <w:p w14:paraId="11D3F0AD">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P</w:t>
      </w:r>
      <w:r>
        <w:rPr>
          <w:rFonts w:hint="default" w:ascii="Times New Roman" w:hAnsi="Times New Roman" w:cs="Times New Roman"/>
          <w:color w:val="auto"/>
          <w:kern w:val="0"/>
          <w:sz w:val="24"/>
          <w:szCs w:val="32"/>
          <w:highlight w:val="none"/>
          <w:vertAlign w:val="subscript"/>
        </w:rPr>
        <w:t>i</w:t>
      </w:r>
      <w:r>
        <w:rPr>
          <w:rFonts w:hint="default" w:ascii="Times New Roman" w:hAnsi="Times New Roman" w:cs="Times New Roman"/>
          <w:color w:val="auto"/>
          <w:kern w:val="0"/>
          <w:sz w:val="24"/>
          <w:szCs w:val="32"/>
          <w:highlight w:val="none"/>
        </w:rPr>
        <w:t>——第i次</w:t>
      </w:r>
      <w:r>
        <w:rPr>
          <w:rFonts w:hint="default" w:ascii="Times New Roman" w:hAnsi="Times New Roman" w:cs="Times New Roman"/>
          <w:color w:val="auto"/>
          <w:kern w:val="0"/>
          <w:sz w:val="24"/>
          <w:highlight w:val="none"/>
        </w:rPr>
        <w:t>扰动</w:t>
      </w:r>
      <w:r>
        <w:rPr>
          <w:rFonts w:hint="default" w:ascii="Times New Roman" w:hAnsi="Times New Roman" w:cs="Times New Roman"/>
          <w:color w:val="auto"/>
          <w:kern w:val="0"/>
          <w:sz w:val="24"/>
          <w:szCs w:val="32"/>
          <w:highlight w:val="none"/>
        </w:rPr>
        <w:t>中观测的最大风速的风蚀潜势，g/m</w:t>
      </w:r>
      <w:r>
        <w:rPr>
          <w:rFonts w:hint="default" w:ascii="Times New Roman" w:hAnsi="Times New Roman" w:cs="Times New Roman"/>
          <w:color w:val="auto"/>
          <w:kern w:val="0"/>
          <w:sz w:val="24"/>
          <w:szCs w:val="32"/>
          <w:highlight w:val="none"/>
          <w:vertAlign w:val="superscript"/>
        </w:rPr>
        <w:t>2</w:t>
      </w:r>
      <w:r>
        <w:rPr>
          <w:rFonts w:hint="default" w:ascii="Times New Roman" w:hAnsi="Times New Roman" w:cs="Times New Roman"/>
          <w:color w:val="auto"/>
          <w:kern w:val="0"/>
          <w:sz w:val="24"/>
          <w:szCs w:val="32"/>
          <w:highlight w:val="none"/>
        </w:rPr>
        <w:t>；</w:t>
      </w:r>
    </w:p>
    <w:p w14:paraId="54AFDBFC">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drawing>
          <wp:inline distT="0" distB="0" distL="114300" distR="114300">
            <wp:extent cx="121920" cy="213360"/>
            <wp:effectExtent l="0" t="0" r="11430" b="15240"/>
            <wp:docPr id="2492987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98792" name="图片 10"/>
                    <pic:cNvPicPr>
                      <a:picLocks noChangeAspect="1"/>
                    </pic:cNvPicPr>
                  </pic:nvPicPr>
                  <pic:blipFill>
                    <a:blip r:embed="rId61"/>
                    <a:stretch>
                      <a:fillRect/>
                    </a:stretch>
                  </pic:blipFill>
                  <pic:spPr>
                    <a:xfrm>
                      <a:off x="0" y="0"/>
                      <a:ext cx="121920" cy="213360"/>
                    </a:xfrm>
                    <a:prstGeom prst="rect">
                      <a:avLst/>
                    </a:prstGeom>
                    <a:noFill/>
                    <a:ln>
                      <a:noFill/>
                    </a:ln>
                  </pic:spPr>
                </pic:pic>
              </a:graphicData>
            </a:graphic>
          </wp:inline>
        </w:drawing>
      </w:r>
      <w:r>
        <w:rPr>
          <w:rFonts w:hint="default" w:ascii="Times New Roman" w:hAnsi="Times New Roman" w:cs="Times New Roman"/>
          <w:color w:val="auto"/>
          <w:kern w:val="0"/>
          <w:sz w:val="24"/>
          <w:szCs w:val="32"/>
          <w:highlight w:val="none"/>
        </w:rPr>
        <w:t>——污染</w:t>
      </w:r>
      <w:r>
        <w:rPr>
          <w:rFonts w:hint="default" w:ascii="Times New Roman" w:hAnsi="Times New Roman" w:cs="Times New Roman"/>
          <w:color w:val="auto"/>
          <w:kern w:val="0"/>
          <w:sz w:val="24"/>
          <w:highlight w:val="none"/>
        </w:rPr>
        <w:t>控制技术</w:t>
      </w:r>
      <w:r>
        <w:rPr>
          <w:rFonts w:hint="default" w:ascii="Times New Roman" w:hAnsi="Times New Roman" w:cs="Times New Roman"/>
          <w:color w:val="auto"/>
          <w:kern w:val="0"/>
          <w:sz w:val="24"/>
          <w:szCs w:val="32"/>
          <w:highlight w:val="none"/>
        </w:rPr>
        <w:t>对扬尘的去除效率；</w:t>
      </w:r>
    </w:p>
    <w:p w14:paraId="0FB4A177">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u*——摩擦</w:t>
      </w:r>
      <w:r>
        <w:rPr>
          <w:rFonts w:hint="default" w:ascii="Times New Roman" w:hAnsi="Times New Roman" w:cs="Times New Roman"/>
          <w:color w:val="auto"/>
          <w:kern w:val="0"/>
          <w:sz w:val="24"/>
          <w:highlight w:val="none"/>
        </w:rPr>
        <w:t>风速</w:t>
      </w:r>
      <w:r>
        <w:rPr>
          <w:rFonts w:hint="default" w:ascii="Times New Roman" w:hAnsi="Times New Roman" w:cs="Times New Roman"/>
          <w:color w:val="auto"/>
          <w:kern w:val="0"/>
          <w:sz w:val="24"/>
          <w:szCs w:val="32"/>
          <w:highlight w:val="none"/>
        </w:rPr>
        <w:t>，m/s；</w:t>
      </w:r>
    </w:p>
    <w:p w14:paraId="09F65920">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u</w:t>
      </w:r>
      <w:r>
        <w:rPr>
          <w:rFonts w:hint="default" w:ascii="Times New Roman" w:hAnsi="Times New Roman" w:cs="Times New Roman"/>
          <w:color w:val="auto"/>
          <w:kern w:val="0"/>
          <w:sz w:val="24"/>
          <w:szCs w:val="32"/>
          <w:highlight w:val="none"/>
          <w:vertAlign w:val="subscript"/>
        </w:rPr>
        <w:t>t</w:t>
      </w:r>
      <w:r>
        <w:rPr>
          <w:rFonts w:hint="default" w:ascii="Times New Roman" w:hAnsi="Times New Roman" w:cs="Times New Roman"/>
          <w:color w:val="auto"/>
          <w:kern w:val="0"/>
          <w:sz w:val="24"/>
          <w:szCs w:val="32"/>
          <w:highlight w:val="none"/>
        </w:rPr>
        <w:t>*——阈值摩擦风速，即起尘的临界摩擦风速，取1.02m/s；</w:t>
      </w:r>
    </w:p>
    <w:p w14:paraId="4761CAED">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u（z）——地面风速，</w:t>
      </w: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设置防风抑尘网</w:t>
      </w:r>
      <w:r>
        <w:rPr>
          <w:rFonts w:hint="default" w:ascii="Times New Roman" w:hAnsi="Times New Roman" w:cs="Times New Roman"/>
          <w:color w:val="auto"/>
          <w:sz w:val="24"/>
          <w:highlight w:val="none"/>
        </w:rPr>
        <w:t>，取0.5m/s</w:t>
      </w:r>
      <w:r>
        <w:rPr>
          <w:rFonts w:hint="default" w:ascii="Times New Roman" w:hAnsi="Times New Roman" w:cs="Times New Roman"/>
          <w:color w:val="auto"/>
          <w:kern w:val="0"/>
          <w:sz w:val="24"/>
          <w:szCs w:val="32"/>
          <w:highlight w:val="none"/>
        </w:rPr>
        <w:t>；</w:t>
      </w:r>
    </w:p>
    <w:p w14:paraId="253523B3">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z——地面风速检测高度，取</w:t>
      </w:r>
      <w:r>
        <w:rPr>
          <w:rFonts w:hint="default" w:ascii="Times New Roman" w:hAnsi="Times New Roman" w:cs="Times New Roman"/>
          <w:color w:val="auto"/>
          <w:kern w:val="0"/>
          <w:sz w:val="24"/>
          <w:szCs w:val="32"/>
          <w:highlight w:val="none"/>
          <w:lang w:val="en-US" w:eastAsia="zh-CN"/>
        </w:rPr>
        <w:t>1.2</w:t>
      </w:r>
      <w:r>
        <w:rPr>
          <w:rFonts w:hint="default" w:ascii="Times New Roman" w:hAnsi="Times New Roman" w:cs="Times New Roman"/>
          <w:color w:val="auto"/>
          <w:kern w:val="0"/>
          <w:sz w:val="24"/>
          <w:szCs w:val="32"/>
          <w:highlight w:val="none"/>
        </w:rPr>
        <w:t>m；</w:t>
      </w:r>
    </w:p>
    <w:p w14:paraId="1EB4789B">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z</w:t>
      </w:r>
      <w:r>
        <w:rPr>
          <w:rFonts w:hint="default" w:ascii="Times New Roman" w:hAnsi="Times New Roman" w:cs="Times New Roman"/>
          <w:color w:val="auto"/>
          <w:kern w:val="0"/>
          <w:sz w:val="24"/>
          <w:szCs w:val="32"/>
          <w:highlight w:val="none"/>
          <w:vertAlign w:val="subscript"/>
        </w:rPr>
        <w:t>0</w:t>
      </w:r>
      <w:r>
        <w:rPr>
          <w:rFonts w:hint="default" w:ascii="Times New Roman" w:hAnsi="Times New Roman" w:cs="Times New Roman"/>
          <w:color w:val="auto"/>
          <w:kern w:val="0"/>
          <w:sz w:val="24"/>
          <w:szCs w:val="32"/>
          <w:highlight w:val="none"/>
        </w:rPr>
        <w:t>——地面粗糙度，m，取值0.2；</w:t>
      </w:r>
    </w:p>
    <w:p w14:paraId="39F2C673">
      <w:pPr>
        <w:spacing w:line="500" w:lineRule="exact"/>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0.4——冯卡门常数，无量纲。</w:t>
      </w:r>
    </w:p>
    <w:p w14:paraId="786914E5">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经计算，项目所在区域u*=0.</w:t>
      </w:r>
      <w:r>
        <w:rPr>
          <w:rFonts w:hint="default" w:ascii="Times New Roman" w:hAnsi="Times New Roman" w:cs="Times New Roman"/>
          <w:color w:val="auto"/>
          <w:kern w:val="0"/>
          <w:sz w:val="24"/>
          <w:highlight w:val="none"/>
          <w:lang w:val="en-US" w:eastAsia="zh-CN"/>
        </w:rPr>
        <w:t>11</w:t>
      </w:r>
      <w:r>
        <w:rPr>
          <w:rFonts w:hint="default" w:ascii="Times New Roman" w:hAnsi="Times New Roman" w:cs="Times New Roman"/>
          <w:color w:val="auto"/>
          <w:kern w:val="0"/>
          <w:sz w:val="24"/>
          <w:highlight w:val="none"/>
        </w:rPr>
        <w:t>＜ut*=1.02，其Pi取0，因此不考虑堆场风蚀扬尘的排放。</w:t>
      </w:r>
    </w:p>
    <w:p w14:paraId="7D54D3A2">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表2-5 装卸过程中产生的颗粒物粒度乘数</w:t>
      </w:r>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2131"/>
        <w:gridCol w:w="2134"/>
        <w:gridCol w:w="2134"/>
      </w:tblGrid>
      <w:tr w14:paraId="26CC6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6" w:type="pct"/>
          </w:tcPr>
          <w:p w14:paraId="2B6E994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粒径</w:t>
            </w:r>
          </w:p>
        </w:tc>
        <w:tc>
          <w:tcPr>
            <w:tcW w:w="1250" w:type="pct"/>
          </w:tcPr>
          <w:p w14:paraId="352B139B">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1252" w:type="pct"/>
          </w:tcPr>
          <w:p w14:paraId="3F0477D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p>
        </w:tc>
        <w:tc>
          <w:tcPr>
            <w:tcW w:w="1252" w:type="pct"/>
          </w:tcPr>
          <w:p w14:paraId="7C172C1A">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p>
        </w:tc>
      </w:tr>
      <w:tr w14:paraId="6FA55A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6" w:type="pct"/>
          </w:tcPr>
          <w:p w14:paraId="6B059DD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粒度乘数/无量纲</w:t>
            </w:r>
          </w:p>
        </w:tc>
        <w:tc>
          <w:tcPr>
            <w:tcW w:w="1250" w:type="pct"/>
          </w:tcPr>
          <w:p w14:paraId="548DD70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0.74</w:t>
            </w:r>
          </w:p>
        </w:tc>
        <w:tc>
          <w:tcPr>
            <w:tcW w:w="1252" w:type="pct"/>
          </w:tcPr>
          <w:p w14:paraId="4CC7B26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0.35</w:t>
            </w:r>
          </w:p>
        </w:tc>
        <w:tc>
          <w:tcPr>
            <w:tcW w:w="1252" w:type="pct"/>
          </w:tcPr>
          <w:p w14:paraId="708D9B8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0.053</w:t>
            </w:r>
          </w:p>
        </w:tc>
      </w:tr>
    </w:tbl>
    <w:p w14:paraId="3FC48AA2">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表2-6 堆场操作扬尘控制措施的控制效率</w:t>
      </w:r>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00"/>
        <w:gridCol w:w="1970"/>
        <w:gridCol w:w="2075"/>
        <w:gridCol w:w="2078"/>
      </w:tblGrid>
      <w:tr w14:paraId="40B18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8" w:type="pct"/>
            <w:vAlign w:val="center"/>
          </w:tcPr>
          <w:p w14:paraId="32E9957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控制措施</w:t>
            </w:r>
          </w:p>
        </w:tc>
        <w:tc>
          <w:tcPr>
            <w:tcW w:w="1156" w:type="pct"/>
            <w:vAlign w:val="center"/>
          </w:tcPr>
          <w:p w14:paraId="0094015E">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TSP控制效率</w:t>
            </w:r>
          </w:p>
        </w:tc>
        <w:tc>
          <w:tcPr>
            <w:tcW w:w="1217" w:type="pct"/>
            <w:vAlign w:val="center"/>
          </w:tcPr>
          <w:p w14:paraId="72D70DF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控制效率</w:t>
            </w:r>
          </w:p>
        </w:tc>
        <w:tc>
          <w:tcPr>
            <w:tcW w:w="1219" w:type="pct"/>
            <w:vAlign w:val="center"/>
          </w:tcPr>
          <w:p w14:paraId="45F1F7F1">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控制效率</w:t>
            </w:r>
          </w:p>
        </w:tc>
      </w:tr>
      <w:tr w14:paraId="05F3E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8" w:type="pct"/>
            <w:vAlign w:val="center"/>
          </w:tcPr>
          <w:p w14:paraId="5FAEBFF1">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输送点位连续洒水操作</w:t>
            </w:r>
          </w:p>
        </w:tc>
        <w:tc>
          <w:tcPr>
            <w:tcW w:w="1156" w:type="pct"/>
            <w:vAlign w:val="center"/>
          </w:tcPr>
          <w:p w14:paraId="3DCE09A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74%</w:t>
            </w:r>
          </w:p>
        </w:tc>
        <w:tc>
          <w:tcPr>
            <w:tcW w:w="1217" w:type="pct"/>
            <w:vAlign w:val="center"/>
          </w:tcPr>
          <w:p w14:paraId="6B8E7471">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62%</w:t>
            </w:r>
          </w:p>
        </w:tc>
        <w:tc>
          <w:tcPr>
            <w:tcW w:w="1219" w:type="pct"/>
            <w:vAlign w:val="center"/>
          </w:tcPr>
          <w:p w14:paraId="7D7A6E64">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52%</w:t>
            </w:r>
          </w:p>
        </w:tc>
      </w:tr>
      <w:tr w14:paraId="19FADB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08" w:type="pct"/>
            <w:vAlign w:val="center"/>
          </w:tcPr>
          <w:p w14:paraId="0F7888B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建筑料堆的三边用孔隙率50%的围挡遮围</w:t>
            </w:r>
          </w:p>
        </w:tc>
        <w:tc>
          <w:tcPr>
            <w:tcW w:w="1156" w:type="pct"/>
            <w:vAlign w:val="center"/>
          </w:tcPr>
          <w:p w14:paraId="7532C5B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1217" w:type="pct"/>
            <w:vAlign w:val="center"/>
          </w:tcPr>
          <w:p w14:paraId="3E323E8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c>
          <w:tcPr>
            <w:tcW w:w="1219" w:type="pct"/>
            <w:vAlign w:val="center"/>
          </w:tcPr>
          <w:p w14:paraId="2F7DA60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63%</w:t>
            </w:r>
          </w:p>
        </w:tc>
      </w:tr>
    </w:tbl>
    <w:p w14:paraId="7AC16127">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本项目堆场四周设置防风抑尘网，安装喷淋装置进行定期</w:t>
      </w:r>
      <w:r>
        <w:rPr>
          <w:rFonts w:hint="default" w:ascii="Times New Roman" w:hAnsi="Times New Roman" w:cs="Times New Roman"/>
          <w:color w:val="auto"/>
          <w:kern w:val="0"/>
          <w:sz w:val="24"/>
          <w:highlight w:val="none"/>
          <w:lang w:eastAsia="zh-CN"/>
        </w:rPr>
        <w:t>喷淋降尘</w:t>
      </w:r>
      <w:r>
        <w:rPr>
          <w:rFonts w:hint="default" w:ascii="Times New Roman" w:hAnsi="Times New Roman" w:cs="Times New Roman"/>
          <w:color w:val="auto"/>
          <w:kern w:val="0"/>
          <w:sz w:val="24"/>
          <w:highlight w:val="none"/>
        </w:rPr>
        <w:t>。本项目根据《扬尘源颗粒物排放清单编制技术指南》（试行）堆场操作扬尘控制措施的控制效率，输送点位连续洒水操作TSP控制效率为74%，建筑料堆的三边用孔隙率50%的围挡遮围TSP控制效率为90%，本项目控制效率按</w:t>
      </w:r>
      <w:r>
        <w:rPr>
          <w:rFonts w:hint="default" w:ascii="Times New Roman" w:hAnsi="Times New Roman" w:cs="Times New Roman"/>
          <w:color w:val="auto"/>
          <w:kern w:val="0"/>
          <w:sz w:val="24"/>
          <w:highlight w:val="none"/>
          <w:lang w:val="en-US" w:eastAsia="zh-CN"/>
        </w:rPr>
        <w:t>90</w:t>
      </w:r>
      <w:r>
        <w:rPr>
          <w:rFonts w:hint="default" w:ascii="Times New Roman" w:hAnsi="Times New Roman" w:cs="Times New Roman"/>
          <w:color w:val="auto"/>
          <w:kern w:val="0"/>
          <w:sz w:val="24"/>
          <w:highlight w:val="none"/>
        </w:rPr>
        <w:t>%计。</w:t>
      </w:r>
    </w:p>
    <w:p w14:paraId="5714D164">
      <w:pPr>
        <w:spacing w:line="500" w:lineRule="exact"/>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本项目原料堆场年暂存量约为</w:t>
      </w:r>
      <w:r>
        <w:rPr>
          <w:rFonts w:hint="default" w:ascii="Times New Roman" w:hAnsi="Times New Roman" w:cs="Times New Roman"/>
          <w:color w:val="auto"/>
          <w:sz w:val="24"/>
          <w:highlight w:val="none"/>
          <w:lang w:val="en-US" w:eastAsia="zh-CN"/>
        </w:rPr>
        <w:t>9.56</w:t>
      </w:r>
      <w:r>
        <w:rPr>
          <w:rFonts w:hint="default" w:ascii="Times New Roman" w:hAnsi="Times New Roman" w:cs="Times New Roman"/>
          <w:color w:val="auto"/>
          <w:sz w:val="24"/>
          <w:highlight w:val="none"/>
        </w:rPr>
        <w:t>万t，</w:t>
      </w:r>
      <w:r>
        <w:rPr>
          <w:rFonts w:hint="default" w:ascii="Times New Roman" w:hAnsi="Times New Roman" w:cs="Times New Roman"/>
          <w:color w:val="auto"/>
          <w:sz w:val="24"/>
          <w:highlight w:val="none"/>
          <w:lang w:val="en-US" w:eastAsia="zh-CN"/>
        </w:rPr>
        <w:t>年运行150天，</w:t>
      </w:r>
      <w:r>
        <w:rPr>
          <w:rFonts w:hint="default" w:ascii="Times New Roman" w:hAnsi="Times New Roman" w:cs="Times New Roman"/>
          <w:color w:val="auto"/>
          <w:sz w:val="24"/>
          <w:highlight w:val="none"/>
        </w:rPr>
        <w:t>经计算，本项目原料堆场粉尘产生量为</w:t>
      </w:r>
      <w:r>
        <w:rPr>
          <w:rFonts w:hint="default" w:ascii="Times New Roman" w:hAnsi="Times New Roman" w:cs="Times New Roman"/>
          <w:color w:val="auto"/>
          <w:sz w:val="24"/>
          <w:highlight w:val="none"/>
          <w:lang w:val="en-US" w:eastAsia="zh-CN"/>
        </w:rPr>
        <w:t>0.01</w:t>
      </w:r>
      <w:r>
        <w:rPr>
          <w:rFonts w:hint="default" w:ascii="Times New Roman" w:hAnsi="Times New Roman" w:cs="Times New Roman"/>
          <w:color w:val="auto"/>
          <w:sz w:val="24"/>
          <w:highlight w:val="none"/>
        </w:rPr>
        <w:t>t/a，0.</w:t>
      </w:r>
      <w:r>
        <w:rPr>
          <w:rFonts w:hint="default" w:ascii="Times New Roman" w:hAnsi="Times New Roman" w:cs="Times New Roman"/>
          <w:color w:val="auto"/>
          <w:sz w:val="24"/>
          <w:highlight w:val="none"/>
          <w:lang w:val="en-US" w:eastAsia="zh-CN"/>
        </w:rPr>
        <w:t>003</w:t>
      </w:r>
      <w:r>
        <w:rPr>
          <w:rFonts w:hint="default" w:ascii="Times New Roman" w:hAnsi="Times New Roman" w:cs="Times New Roman"/>
          <w:color w:val="auto"/>
          <w:sz w:val="24"/>
          <w:highlight w:val="none"/>
        </w:rPr>
        <w:t>kg/h，排放量为0.</w:t>
      </w:r>
      <w:r>
        <w:rPr>
          <w:rFonts w:hint="default" w:ascii="Times New Roman" w:hAnsi="Times New Roman" w:cs="Times New Roman"/>
          <w:color w:val="auto"/>
          <w:sz w:val="24"/>
          <w:highlight w:val="none"/>
          <w:lang w:val="en-US" w:eastAsia="zh-CN"/>
        </w:rPr>
        <w:t>001</w:t>
      </w:r>
      <w:r>
        <w:rPr>
          <w:rFonts w:hint="default" w:ascii="Times New Roman" w:hAnsi="Times New Roman" w:cs="Times New Roman"/>
          <w:color w:val="auto"/>
          <w:sz w:val="24"/>
          <w:highlight w:val="none"/>
        </w:rPr>
        <w:t>t/a，0.0</w:t>
      </w:r>
      <w:r>
        <w:rPr>
          <w:rFonts w:hint="default" w:ascii="Times New Roman" w:hAnsi="Times New Roman" w:cs="Times New Roman"/>
          <w:color w:val="auto"/>
          <w:sz w:val="24"/>
          <w:highlight w:val="none"/>
          <w:lang w:val="en-US" w:eastAsia="zh-CN"/>
        </w:rPr>
        <w:t>003</w:t>
      </w:r>
      <w:r>
        <w:rPr>
          <w:rFonts w:hint="default" w:ascii="Times New Roman" w:hAnsi="Times New Roman" w:cs="Times New Roman"/>
          <w:color w:val="auto"/>
          <w:sz w:val="24"/>
          <w:highlight w:val="none"/>
        </w:rPr>
        <w:t>kg/h。</w:t>
      </w:r>
    </w:p>
    <w:p w14:paraId="388A1B2B">
      <w:pPr>
        <w:spacing w:line="500" w:lineRule="exact"/>
        <w:ind w:firstLine="600" w:firstLineChars="250"/>
        <w:contextualSpacing/>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（3）冷料上料和输送粉尘</w:t>
      </w:r>
    </w:p>
    <w:p w14:paraId="0BD125B7">
      <w:pPr>
        <w:spacing w:line="500" w:lineRule="exact"/>
        <w:ind w:firstLine="600" w:firstLineChars="25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冷料通过铲车、封闭皮带输送至烘干筒，过程中会产生一定量的粉尘。参照</w:t>
      </w:r>
      <w:r>
        <w:rPr>
          <w:rFonts w:hint="default" w:ascii="Times New Roman" w:hAnsi="Times New Roman" w:eastAsia="宋体" w:cs="Times New Roman"/>
          <w:b w:val="0"/>
          <w:bCs w:val="0"/>
          <w:color w:val="auto"/>
          <w:sz w:val="24"/>
          <w:szCs w:val="24"/>
          <w:highlight w:val="none"/>
          <w:lang w:val="en-US" w:eastAsia="zh-CN"/>
        </w:rPr>
        <w:t>《逸散性工业粉尘控制技术》粒料加工厂中送料上堆排放因子系数为 0.0007kg/t（进料）</w:t>
      </w:r>
      <w:r>
        <w:rPr>
          <w:rFonts w:hint="default" w:ascii="Times New Roman" w:hAnsi="Times New Roman" w:cs="Times New Roman"/>
          <w:bCs/>
          <w:color w:val="auto"/>
          <w:sz w:val="24"/>
          <w:highlight w:val="none"/>
        </w:rPr>
        <w:t>，根据建设单位提供资料，本项目原料石料共计约为</w:t>
      </w:r>
      <w:r>
        <w:rPr>
          <w:rFonts w:hint="default" w:ascii="Times New Roman" w:hAnsi="Times New Roman" w:cs="Times New Roman"/>
          <w:bCs/>
          <w:color w:val="auto"/>
          <w:sz w:val="24"/>
          <w:highlight w:val="none"/>
          <w:lang w:val="en-US" w:eastAsia="zh-CN"/>
        </w:rPr>
        <w:t>9.56</w:t>
      </w:r>
      <w:r>
        <w:rPr>
          <w:rFonts w:hint="default" w:ascii="Times New Roman" w:hAnsi="Times New Roman" w:cs="Times New Roman"/>
          <w:bCs/>
          <w:color w:val="auto"/>
          <w:sz w:val="24"/>
          <w:highlight w:val="none"/>
        </w:rPr>
        <w:t>万吨碎石用于沥青混凝土</w:t>
      </w:r>
      <w:r>
        <w:rPr>
          <w:rFonts w:hint="default" w:ascii="Times New Roman" w:hAnsi="Times New Roman" w:cs="Times New Roman"/>
          <w:bCs/>
          <w:color w:val="auto"/>
          <w:sz w:val="24"/>
          <w:highlight w:val="none"/>
          <w:lang w:eastAsia="zh-CN"/>
        </w:rPr>
        <w:t>拌合</w:t>
      </w:r>
      <w:r>
        <w:rPr>
          <w:rFonts w:hint="default" w:ascii="Times New Roman" w:hAnsi="Times New Roman" w:cs="Times New Roman"/>
          <w:bCs/>
          <w:color w:val="auto"/>
          <w:sz w:val="24"/>
          <w:highlight w:val="none"/>
        </w:rPr>
        <w:t>工序，本项目冷料通过铲车、封闭皮带输送至烘干筒的碎石量约</w:t>
      </w:r>
      <w:r>
        <w:rPr>
          <w:rFonts w:hint="default" w:ascii="Times New Roman" w:hAnsi="Times New Roman" w:cs="Times New Roman"/>
          <w:bCs/>
          <w:color w:val="auto"/>
          <w:sz w:val="24"/>
          <w:highlight w:val="none"/>
          <w:lang w:val="en-US" w:eastAsia="zh-CN"/>
        </w:rPr>
        <w:t>9.56</w:t>
      </w:r>
      <w:r>
        <w:rPr>
          <w:rFonts w:hint="default" w:ascii="Times New Roman" w:hAnsi="Times New Roman" w:cs="Times New Roman"/>
          <w:bCs/>
          <w:color w:val="auto"/>
          <w:sz w:val="24"/>
          <w:highlight w:val="none"/>
        </w:rPr>
        <w:t>万t，</w:t>
      </w:r>
      <w:r>
        <w:rPr>
          <w:rFonts w:hint="default" w:ascii="Times New Roman" w:hAnsi="Times New Roman" w:cs="Times New Roman"/>
          <w:bCs/>
          <w:color w:val="auto"/>
          <w:sz w:val="24"/>
          <w:highlight w:val="none"/>
          <w:lang w:val="en-US" w:eastAsia="zh-CN"/>
        </w:rPr>
        <w:t>本项目年运行150天，</w:t>
      </w:r>
      <w:r>
        <w:rPr>
          <w:rFonts w:hint="default" w:ascii="Times New Roman" w:hAnsi="Times New Roman" w:cs="Times New Roman"/>
          <w:bCs/>
          <w:color w:val="auto"/>
          <w:sz w:val="24"/>
          <w:highlight w:val="none"/>
        </w:rPr>
        <w:t>则冷料上料、输送粉尘产生量约为</w:t>
      </w:r>
      <w:r>
        <w:rPr>
          <w:rFonts w:hint="default" w:ascii="Times New Roman" w:hAnsi="Times New Roman" w:cs="Times New Roman"/>
          <w:bCs/>
          <w:color w:val="auto"/>
          <w:sz w:val="24"/>
          <w:highlight w:val="none"/>
          <w:lang w:val="en-US" w:eastAsia="zh-CN"/>
        </w:rPr>
        <w:t>0.0669</w:t>
      </w:r>
      <w:r>
        <w:rPr>
          <w:rFonts w:hint="default" w:ascii="Times New Roman" w:hAnsi="Times New Roman" w:cs="Times New Roman"/>
          <w:bCs/>
          <w:color w:val="auto"/>
          <w:sz w:val="24"/>
          <w:highlight w:val="none"/>
        </w:rPr>
        <w:t>t/a</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0.02kg/h</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w:t>
      </w:r>
    </w:p>
    <w:p w14:paraId="28EFC59A">
      <w:pPr>
        <w:spacing w:line="500" w:lineRule="exact"/>
        <w:ind w:firstLine="600" w:firstLineChars="250"/>
        <w:rPr>
          <w:rFonts w:hint="default" w:ascii="Times New Roman" w:hAnsi="Times New Roman" w:cs="Times New Roman"/>
          <w:bCs/>
          <w:color w:val="auto"/>
          <w:kern w:val="0"/>
          <w:sz w:val="24"/>
          <w:highlight w:val="none"/>
        </w:rPr>
      </w:pPr>
      <w:r>
        <w:rPr>
          <w:rFonts w:hint="default" w:ascii="Times New Roman" w:hAnsi="Times New Roman" w:cs="Times New Roman"/>
          <w:bCs/>
          <w:color w:val="auto"/>
          <w:sz w:val="24"/>
          <w:highlight w:val="none"/>
        </w:rPr>
        <w:t>冷料上料于封闭式</w:t>
      </w:r>
      <w:r>
        <w:rPr>
          <w:rFonts w:hint="default" w:ascii="Times New Roman" w:hAnsi="Times New Roman" w:cs="Times New Roman"/>
          <w:bCs/>
          <w:color w:val="auto"/>
          <w:sz w:val="24"/>
          <w:highlight w:val="none"/>
          <w:lang w:val="en-US" w:eastAsia="zh-CN"/>
        </w:rPr>
        <w:t>骨料仓</w:t>
      </w:r>
      <w:r>
        <w:rPr>
          <w:rFonts w:hint="default" w:ascii="Times New Roman" w:hAnsi="Times New Roman" w:cs="Times New Roman"/>
          <w:bCs/>
          <w:color w:val="auto"/>
          <w:sz w:val="24"/>
          <w:highlight w:val="none"/>
        </w:rPr>
        <w:t>中进行，根据《逸散性工业粉尘控制技术》，封闭式上料点对上料粉尘的控制效率可达70%~90%，</w:t>
      </w:r>
      <w:r>
        <w:rPr>
          <w:rFonts w:hint="default" w:ascii="Times New Roman" w:hAnsi="Times New Roman" w:cs="Times New Roman"/>
          <w:bCs/>
          <w:color w:val="auto"/>
          <w:sz w:val="24"/>
          <w:highlight w:val="none"/>
          <w:lang w:val="en-US" w:eastAsia="zh-CN"/>
        </w:rPr>
        <w:t>本项目取70</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rPr>
        <w:t>则冷料上料粉尘无组织排放量为</w:t>
      </w:r>
      <w:r>
        <w:rPr>
          <w:rFonts w:hint="default" w:ascii="Times New Roman" w:hAnsi="Times New Roman" w:cs="Times New Roman"/>
          <w:bCs/>
          <w:color w:val="auto"/>
          <w:sz w:val="24"/>
          <w:highlight w:val="none"/>
          <w:lang w:val="en-US" w:eastAsia="zh-CN"/>
        </w:rPr>
        <w:t>0.02</w:t>
      </w:r>
      <w:r>
        <w:rPr>
          <w:rFonts w:hint="default" w:ascii="Times New Roman" w:hAnsi="Times New Roman" w:cs="Times New Roman"/>
          <w:bCs/>
          <w:color w:val="auto"/>
          <w:sz w:val="24"/>
          <w:highlight w:val="none"/>
        </w:rPr>
        <w:t>t/a</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0.006kg/h</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kern w:val="0"/>
          <w:sz w:val="24"/>
          <w:highlight w:val="none"/>
        </w:rPr>
        <w:t>。</w:t>
      </w:r>
    </w:p>
    <w:p w14:paraId="223B05DF">
      <w:pPr>
        <w:pStyle w:val="63"/>
        <w:widowControl/>
        <w:spacing w:line="500" w:lineRule="exact"/>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（4）</w:t>
      </w:r>
      <w:r>
        <w:rPr>
          <w:rFonts w:hint="default" w:ascii="Times New Roman" w:hAnsi="Times New Roman" w:cs="Times New Roman"/>
          <w:bCs/>
          <w:color w:val="auto"/>
          <w:highlight w:val="none"/>
          <w:lang w:val="en-US" w:eastAsia="zh-CN"/>
        </w:rPr>
        <w:t>矿粉</w:t>
      </w:r>
      <w:r>
        <w:rPr>
          <w:rFonts w:hint="default" w:ascii="Times New Roman" w:hAnsi="Times New Roman" w:cs="Times New Roman"/>
          <w:color w:val="auto"/>
          <w:highlight w:val="none"/>
          <w:vertAlign w:val="baseline"/>
          <w:lang w:val="en-US" w:eastAsia="zh-CN"/>
        </w:rPr>
        <w:t>筒仓粉尘</w:t>
      </w:r>
    </w:p>
    <w:p w14:paraId="7CD62DFA">
      <w:pPr>
        <w:pStyle w:val="63"/>
        <w:widowControl/>
        <w:spacing w:line="500" w:lineRule="exact"/>
        <w:ind w:firstLine="480"/>
        <w:rPr>
          <w:rFonts w:hint="default" w:ascii="Times New Roman" w:hAnsi="Times New Roman" w:cs="Times New Roman"/>
          <w:bCs/>
          <w:color w:val="auto"/>
          <w:highlight w:val="none"/>
        </w:rPr>
      </w:pPr>
      <w:r>
        <w:rPr>
          <w:rFonts w:hint="default" w:ascii="Times New Roman" w:hAnsi="Times New Roman" w:cs="Times New Roman"/>
          <w:color w:val="auto"/>
          <w:highlight w:val="none"/>
          <w:vertAlign w:val="baseline"/>
          <w:lang w:val="en-US" w:eastAsia="zh-CN"/>
        </w:rPr>
        <w:t>本项目外购矿粉由专用罐车运输进厂，通过罐车自带的管道以负压吸入料斗，再以压缩空气（正压）通过管道吹入粉料筒仓内，该过程会有粉尘产生。本项目设置1个75m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的粉料筒仓，参照《散逸性工业粉尘控制技术》中混凝土分批加班厂的卸料粉至高架贮仓的排放因子计算，排放因子为0.12kg/t。本项目设置1个75m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的矿粉筒仓，年用量为500t/a，年充装时间约16h。产生的粉量为0.06t/a（3.75kg/h）。筒仓自带布袋除尘（除尘效率99%）处理后经筒仓顶端呼吸口排放，收集粉尘回用于生产不外排。粉料筒仓颗粒物无组织排放量为0.0006t/a，排放速率为0.0375kg/h，污染</w:t>
      </w:r>
      <w:r>
        <w:rPr>
          <w:rFonts w:hint="default" w:ascii="Times New Roman" w:hAnsi="Times New Roman" w:eastAsia="宋体" w:cs="Times New Roman"/>
          <w:color w:val="auto"/>
          <w:highlight w:val="none"/>
          <w:vertAlign w:val="baseline"/>
          <w:lang w:val="en-US" w:eastAsia="zh-CN"/>
        </w:rPr>
        <w:t>物满足《大气污染物综合排放标准》（GB16297-1996）表 2 中无组织排放标准要求。</w:t>
      </w:r>
    </w:p>
    <w:p w14:paraId="6621035E">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5</w:t>
      </w:r>
      <w:r>
        <w:rPr>
          <w:rFonts w:hint="default" w:ascii="Times New Roman" w:hAnsi="Times New Roman" w:cs="Times New Roman"/>
          <w:bCs/>
          <w:color w:val="auto"/>
          <w:highlight w:val="none"/>
          <w:lang w:eastAsia="zh-CN"/>
        </w:rPr>
        <w:t>）</w:t>
      </w:r>
      <w:r>
        <w:rPr>
          <w:rFonts w:hint="default" w:ascii="Times New Roman" w:hAnsi="Times New Roman" w:cs="Times New Roman"/>
          <w:color w:val="auto"/>
          <w:highlight w:val="none"/>
        </w:rPr>
        <w:t>柴油储罐废气</w:t>
      </w:r>
    </w:p>
    <w:p w14:paraId="325575F2">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本项目有柴油燃料储存，本报告采用中国石油化工（CPCC）推荐的经验公式计算0#柴油储罐（卧式固定（拱）顶罐）大小呼吸产生的损耗，即非甲烷总烃排放量：</w:t>
      </w:r>
    </w:p>
    <w:p w14:paraId="0423D21B">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a.大呼吸损耗计算公式</w:t>
      </w:r>
    </w:p>
    <w:p w14:paraId="7FCCE0C0">
      <w:pPr>
        <w:spacing w:line="360" w:lineRule="auto"/>
        <w:ind w:firstLine="420" w:firstLineChars="20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highlight w:val="none"/>
        </w:rPr>
        <w:drawing>
          <wp:inline distT="0" distB="0" distL="0" distR="0">
            <wp:extent cx="2683510" cy="268605"/>
            <wp:effectExtent l="0" t="0" r="2540" b="0"/>
            <wp:docPr id="1404534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34052" name="图片 1"/>
                    <pic:cNvPicPr>
                      <a:picLocks noChangeAspect="1"/>
                    </pic:cNvPicPr>
                  </pic:nvPicPr>
                  <pic:blipFill>
                    <a:blip r:embed="rId62"/>
                    <a:stretch>
                      <a:fillRect/>
                    </a:stretch>
                  </pic:blipFill>
                  <pic:spPr>
                    <a:xfrm>
                      <a:off x="0" y="0"/>
                      <a:ext cx="2749366" cy="275523"/>
                    </a:xfrm>
                    <a:prstGeom prst="rect">
                      <a:avLst/>
                    </a:prstGeom>
                  </pic:spPr>
                </pic:pic>
              </a:graphicData>
            </a:graphic>
          </wp:inline>
        </w:drawing>
      </w:r>
    </w:p>
    <w:p w14:paraId="598EEBF9">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L</w:t>
      </w:r>
      <w:r>
        <w:rPr>
          <w:rFonts w:hint="default" w:ascii="Times New Roman" w:hAnsi="Times New Roman" w:cs="Times New Roman"/>
          <w:color w:val="auto"/>
          <w:kern w:val="0"/>
          <w:sz w:val="24"/>
          <w:highlight w:val="none"/>
          <w:vertAlign w:val="subscript"/>
        </w:rPr>
        <w:t>DW</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拱顶罐大呼吸损失量（kg/a）；</w:t>
      </w:r>
    </w:p>
    <w:p w14:paraId="0D591C22">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P</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储罐内平均温度下液体真实蒸汽压（Pa），取667；</w:t>
      </w:r>
    </w:p>
    <w:p w14:paraId="20BAC14E">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V</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年入罐贮存量（m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/a），取</w:t>
      </w:r>
      <w:r>
        <w:rPr>
          <w:rFonts w:hint="default" w:ascii="Times New Roman" w:hAnsi="Times New Roman" w:cs="Times New Roman"/>
          <w:color w:val="auto"/>
          <w:kern w:val="0"/>
          <w:sz w:val="24"/>
          <w:highlight w:val="none"/>
          <w:lang w:val="en-US" w:eastAsia="zh-CN"/>
        </w:rPr>
        <w:t>384.4、57.2</w:t>
      </w:r>
      <w:r>
        <w:rPr>
          <w:rFonts w:hint="default" w:ascii="Times New Roman" w:hAnsi="Times New Roman" w:cs="Times New Roman"/>
          <w:color w:val="auto"/>
          <w:kern w:val="0"/>
          <w:sz w:val="24"/>
          <w:highlight w:val="none"/>
        </w:rPr>
        <w:t>；</w:t>
      </w:r>
    </w:p>
    <w:p w14:paraId="5FD3D7C0">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V</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储存油品的平均密度（t/m），取0.84；</w:t>
      </w:r>
    </w:p>
    <w:p w14:paraId="2062FA4E">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K</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周转因子（无量纲），取值按年周转次数（K）确定</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（K≤36，K</w:t>
      </w:r>
      <w:r>
        <w:rPr>
          <w:rFonts w:hint="default" w:ascii="Times New Roman" w:hAnsi="Times New Roman" w:cs="Times New Roman"/>
          <w:color w:val="auto"/>
          <w:kern w:val="0"/>
          <w:sz w:val="24"/>
          <w:highlight w:val="none"/>
          <w:vertAlign w:val="subscript"/>
        </w:rPr>
        <w:t>T</w:t>
      </w:r>
      <w:r>
        <w:rPr>
          <w:rFonts w:hint="default" w:ascii="Times New Roman" w:hAnsi="Times New Roman" w:cs="Times New Roman"/>
          <w:color w:val="auto"/>
          <w:kern w:val="0"/>
          <w:sz w:val="24"/>
          <w:highlight w:val="none"/>
        </w:rPr>
        <w:t>=1，36&lt;K≤220，K</w:t>
      </w:r>
      <w:r>
        <w:rPr>
          <w:rFonts w:hint="default" w:ascii="Times New Roman" w:hAnsi="Times New Roman" w:cs="Times New Roman"/>
          <w:color w:val="auto"/>
          <w:kern w:val="0"/>
          <w:sz w:val="24"/>
          <w:highlight w:val="none"/>
          <w:vertAlign w:val="subscript"/>
        </w:rPr>
        <w:t>T</w:t>
      </w:r>
      <w:r>
        <w:rPr>
          <w:rFonts w:hint="default" w:ascii="Times New Roman" w:hAnsi="Times New Roman" w:cs="Times New Roman"/>
          <w:color w:val="auto"/>
          <w:kern w:val="0"/>
          <w:sz w:val="24"/>
          <w:highlight w:val="none"/>
        </w:rPr>
        <w:t>=11.467×K</w:t>
      </w:r>
      <w:r>
        <w:rPr>
          <w:rFonts w:hint="default" w:ascii="Times New Roman" w:hAnsi="Times New Roman" w:cs="Times New Roman"/>
          <w:color w:val="auto"/>
          <w:kern w:val="0"/>
          <w:sz w:val="24"/>
          <w:highlight w:val="none"/>
          <w:vertAlign w:val="superscript"/>
        </w:rPr>
        <w:t>-0.7026</w:t>
      </w:r>
      <w:r>
        <w:rPr>
          <w:rFonts w:hint="default" w:ascii="Times New Roman" w:hAnsi="Times New Roman" w:cs="Times New Roman"/>
          <w:color w:val="auto"/>
          <w:kern w:val="0"/>
          <w:sz w:val="24"/>
          <w:highlight w:val="none"/>
        </w:rPr>
        <w:t>，K&gt;220，K</w:t>
      </w:r>
      <w:r>
        <w:rPr>
          <w:rFonts w:hint="default" w:ascii="Times New Roman" w:hAnsi="Times New Roman" w:cs="Times New Roman"/>
          <w:color w:val="auto"/>
          <w:kern w:val="0"/>
          <w:sz w:val="24"/>
          <w:highlight w:val="none"/>
          <w:vertAlign w:val="subscript"/>
        </w:rPr>
        <w:t>T</w:t>
      </w:r>
      <w:r>
        <w:rPr>
          <w:rFonts w:hint="default" w:ascii="Times New Roman" w:hAnsi="Times New Roman" w:cs="Times New Roman"/>
          <w:color w:val="auto"/>
          <w:kern w:val="0"/>
          <w:sz w:val="24"/>
          <w:highlight w:val="none"/>
        </w:rPr>
        <w:t>=0.26），本项目取 K</w:t>
      </w:r>
      <w:r>
        <w:rPr>
          <w:rFonts w:hint="default" w:ascii="Times New Roman" w:hAnsi="Times New Roman" w:cs="Times New Roman"/>
          <w:color w:val="auto"/>
          <w:kern w:val="0"/>
          <w:sz w:val="24"/>
          <w:highlight w:val="none"/>
          <w:vertAlign w:val="subscript"/>
        </w:rPr>
        <w:t>T</w:t>
      </w:r>
      <w:r>
        <w:rPr>
          <w:rFonts w:hint="default" w:ascii="Times New Roman" w:hAnsi="Times New Roman" w:cs="Times New Roman"/>
          <w:color w:val="auto"/>
          <w:kern w:val="0"/>
          <w:sz w:val="24"/>
          <w:highlight w:val="none"/>
        </w:rPr>
        <w:t>=1；</w:t>
      </w:r>
    </w:p>
    <w:p w14:paraId="513CCB8E">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Ke</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产品因子系数,汽油或其他油品 K</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=1.0,原油 K</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0.75,本项目取 K=1.0。</w:t>
      </w:r>
    </w:p>
    <w:p w14:paraId="291CBF49">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b.小呼吸损耗计算公式</w:t>
      </w:r>
    </w:p>
    <w:p w14:paraId="782F9FD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4626610" cy="243205"/>
            <wp:effectExtent l="0" t="0" r="0" b="4445"/>
            <wp:docPr id="1628492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92768" name="图片 1"/>
                    <pic:cNvPicPr>
                      <a:picLocks noChangeAspect="1"/>
                    </pic:cNvPicPr>
                  </pic:nvPicPr>
                  <pic:blipFill>
                    <a:blip r:embed="rId63"/>
                    <a:stretch>
                      <a:fillRect/>
                    </a:stretch>
                  </pic:blipFill>
                  <pic:spPr>
                    <a:xfrm>
                      <a:off x="0" y="0"/>
                      <a:ext cx="4737208" cy="249579"/>
                    </a:xfrm>
                    <a:prstGeom prst="rect">
                      <a:avLst/>
                    </a:prstGeom>
                  </pic:spPr>
                </pic:pic>
              </a:graphicData>
            </a:graphic>
          </wp:inline>
        </w:drawing>
      </w:r>
    </w:p>
    <w:p w14:paraId="7C2E5A02">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L</w:t>
      </w:r>
      <w:r>
        <w:rPr>
          <w:rFonts w:hint="default" w:ascii="Times New Roman" w:hAnsi="Times New Roman" w:cs="Times New Roman"/>
          <w:color w:val="auto"/>
          <w:kern w:val="0"/>
          <w:sz w:val="24"/>
          <w:highlight w:val="none"/>
          <w:vertAlign w:val="subscript"/>
        </w:rPr>
        <w:t>DS</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拱顶罐小呼吸损失量（kg/a）；</w:t>
      </w:r>
    </w:p>
    <w:p w14:paraId="07FECC47">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K</w:t>
      </w:r>
      <w:r>
        <w:rPr>
          <w:rFonts w:hint="default" w:ascii="Times New Roman" w:hAnsi="Times New Roman" w:cs="Times New Roman"/>
          <w:color w:val="auto"/>
          <w:kern w:val="0"/>
          <w:sz w:val="24"/>
          <w:highlight w:val="none"/>
          <w:vertAlign w:val="subscript"/>
        </w:rPr>
        <w:t>E</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产品因子系数，汽油或其他油品Kp=24，原油 Kp=14，取24；</w:t>
      </w:r>
    </w:p>
    <w:p w14:paraId="010CB668">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P</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储罐内平均温度下液体真实蒸汽压（Pa），取667；</w:t>
      </w:r>
    </w:p>
    <w:p w14:paraId="7527A84D">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V</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储存油品的平均密度（t/m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），取0.84；</w:t>
      </w:r>
    </w:p>
    <w:p w14:paraId="34B4A48C">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D</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储罐的直径（m），取</w:t>
      </w:r>
      <w:r>
        <w:rPr>
          <w:rFonts w:hint="default" w:ascii="Times New Roman" w:hAnsi="Times New Roman" w:cs="Times New Roman"/>
          <w:color w:val="auto"/>
          <w:kern w:val="0"/>
          <w:sz w:val="24"/>
          <w:highlight w:val="none"/>
          <w:lang w:val="en-US" w:eastAsia="zh-CN"/>
        </w:rPr>
        <w:t>2.8、1.6</w:t>
      </w:r>
      <w:r>
        <w:rPr>
          <w:rFonts w:hint="default" w:ascii="Times New Roman" w:hAnsi="Times New Roman" w:cs="Times New Roman"/>
          <w:color w:val="auto"/>
          <w:kern w:val="0"/>
          <w:sz w:val="24"/>
          <w:highlight w:val="none"/>
        </w:rPr>
        <w:t>；</w:t>
      </w:r>
    </w:p>
    <w:p w14:paraId="0AA28422">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H</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储罐平均留空高度（m），取</w:t>
      </w:r>
      <w:r>
        <w:rPr>
          <w:rFonts w:hint="default" w:ascii="Times New Roman" w:hAnsi="Times New Roman" w:cs="Times New Roman"/>
          <w:color w:val="auto"/>
          <w:kern w:val="0"/>
          <w:sz w:val="24"/>
          <w:highlight w:val="none"/>
          <w:lang w:val="en-US" w:eastAsia="zh-CN"/>
        </w:rPr>
        <w:t>0.3、0.2</w:t>
      </w:r>
      <w:r>
        <w:rPr>
          <w:rFonts w:hint="default" w:ascii="Times New Roman" w:hAnsi="Times New Roman" w:cs="Times New Roman"/>
          <w:color w:val="auto"/>
          <w:kern w:val="0"/>
          <w:sz w:val="24"/>
          <w:highlight w:val="none"/>
        </w:rPr>
        <w:t>；</w:t>
      </w:r>
    </w:p>
    <w:p w14:paraId="5A9D6564">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△T</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日环境温度变化（即温度差）的平均值（℃），取10；</w:t>
      </w:r>
    </w:p>
    <w:p w14:paraId="17A68CE1">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Fp</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涂料系数（铅漆 Fp=1.39，白漆 Fp=1.02），取1.39；</w:t>
      </w:r>
    </w:p>
    <w:p w14:paraId="221C4907">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C</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小直径储罐的修正系数（罐径 0~9m，C=1-0.0123（D-9）</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，罐径≥9m，C=1），取C=0.</w:t>
      </w:r>
      <w:r>
        <w:rPr>
          <w:rFonts w:hint="default" w:ascii="Times New Roman" w:hAnsi="Times New Roman" w:cs="Times New Roman"/>
          <w:color w:val="auto"/>
          <w:kern w:val="0"/>
          <w:sz w:val="24"/>
          <w:highlight w:val="none"/>
          <w:lang w:val="en-US" w:eastAsia="zh-CN"/>
        </w:rPr>
        <w:t>5272、0.3265</w:t>
      </w:r>
      <w:r>
        <w:rPr>
          <w:rFonts w:hint="default" w:ascii="Times New Roman" w:hAnsi="Times New Roman" w:cs="Times New Roman"/>
          <w:color w:val="auto"/>
          <w:kern w:val="0"/>
          <w:sz w:val="24"/>
          <w:highlight w:val="none"/>
        </w:rPr>
        <w:t>。</w:t>
      </w:r>
    </w:p>
    <w:p w14:paraId="0FF0231F">
      <w:pPr>
        <w:spacing w:line="500" w:lineRule="exact"/>
        <w:ind w:firstLine="600" w:firstLineChars="250"/>
        <w:rPr>
          <w:rFonts w:hint="default" w:ascii="Times New Roman" w:hAnsi="Times New Roman" w:cs="Times New Roman"/>
          <w:bCs/>
          <w:color w:val="auto"/>
          <w:kern w:val="0"/>
          <w:sz w:val="32"/>
          <w:szCs w:val="32"/>
          <w:highlight w:val="none"/>
        </w:rPr>
      </w:pPr>
      <w:r>
        <w:rPr>
          <w:rFonts w:hint="default" w:ascii="Times New Roman" w:hAnsi="Times New Roman" w:cs="Times New Roman"/>
          <w:color w:val="auto"/>
          <w:sz w:val="24"/>
          <w:szCs w:val="32"/>
          <w:highlight w:val="none"/>
        </w:rPr>
        <w:t>本项目年使用轻质柴油共</w:t>
      </w:r>
      <w:r>
        <w:rPr>
          <w:rFonts w:hint="default" w:ascii="Times New Roman" w:hAnsi="Times New Roman" w:cs="Times New Roman"/>
          <w:color w:val="auto"/>
          <w:sz w:val="24"/>
          <w:szCs w:val="32"/>
          <w:highlight w:val="none"/>
          <w:lang w:val="en-US" w:eastAsia="zh-CN"/>
        </w:rPr>
        <w:t>370.87</w:t>
      </w:r>
      <w:r>
        <w:rPr>
          <w:rFonts w:hint="default" w:ascii="Times New Roman" w:hAnsi="Times New Roman" w:cs="Times New Roman"/>
          <w:color w:val="auto"/>
          <w:sz w:val="24"/>
          <w:szCs w:val="32"/>
          <w:highlight w:val="none"/>
        </w:rPr>
        <w:t>t/a，</w:t>
      </w:r>
      <w:r>
        <w:rPr>
          <w:rFonts w:hint="default" w:ascii="Times New Roman" w:hAnsi="Times New Roman" w:cs="Times New Roman"/>
          <w:color w:val="auto"/>
          <w:sz w:val="24"/>
          <w:szCs w:val="32"/>
          <w:highlight w:val="none"/>
          <w:lang w:val="en-US" w:eastAsia="zh-CN"/>
        </w:rPr>
        <w:t>其中50m</w:t>
      </w:r>
      <w:r>
        <w:rPr>
          <w:rFonts w:hint="default" w:ascii="Times New Roman" w:hAnsi="Times New Roman" w:cs="Times New Roman"/>
          <w:color w:val="auto"/>
          <w:sz w:val="24"/>
          <w:szCs w:val="32"/>
          <w:highlight w:val="none"/>
          <w:vertAlign w:val="superscript"/>
          <w:lang w:val="en-US" w:eastAsia="zh-CN"/>
        </w:rPr>
        <w:t>3</w:t>
      </w:r>
      <w:r>
        <w:rPr>
          <w:rFonts w:hint="default" w:ascii="Times New Roman" w:hAnsi="Times New Roman" w:cs="Times New Roman"/>
          <w:color w:val="auto"/>
          <w:sz w:val="24"/>
          <w:szCs w:val="32"/>
          <w:highlight w:val="none"/>
          <w:lang w:val="en-US" w:eastAsia="zh-CN"/>
        </w:rPr>
        <w:t>储罐年贮存柴油322.86t/a，10m</w:t>
      </w:r>
      <w:r>
        <w:rPr>
          <w:rFonts w:hint="default" w:ascii="Times New Roman" w:hAnsi="Times New Roman" w:cs="Times New Roman"/>
          <w:color w:val="auto"/>
          <w:sz w:val="24"/>
          <w:szCs w:val="32"/>
          <w:highlight w:val="none"/>
          <w:vertAlign w:val="superscript"/>
          <w:lang w:val="en-US" w:eastAsia="zh-CN"/>
        </w:rPr>
        <w:t>3</w:t>
      </w:r>
      <w:r>
        <w:rPr>
          <w:rFonts w:hint="default" w:ascii="Times New Roman" w:hAnsi="Times New Roman" w:cs="Times New Roman"/>
          <w:color w:val="auto"/>
          <w:sz w:val="24"/>
          <w:szCs w:val="32"/>
          <w:highlight w:val="none"/>
          <w:lang w:val="en-US" w:eastAsia="zh-CN"/>
        </w:rPr>
        <w:t>储罐年贮存柴油48.01t/a，</w:t>
      </w:r>
      <w:r>
        <w:rPr>
          <w:rFonts w:hint="default" w:ascii="Times New Roman" w:hAnsi="Times New Roman" w:cs="Times New Roman"/>
          <w:color w:val="auto"/>
          <w:sz w:val="24"/>
          <w:szCs w:val="32"/>
          <w:highlight w:val="none"/>
        </w:rPr>
        <w:t>本项目使用燃料油挥发性较差，采用碳钢材质封闭柴油储罐储存。经核算，本项目运营期</w:t>
      </w:r>
      <w:r>
        <w:rPr>
          <w:rFonts w:hint="default" w:ascii="Times New Roman" w:hAnsi="Times New Roman" w:cs="Times New Roman"/>
          <w:color w:val="auto"/>
          <w:sz w:val="24"/>
          <w:szCs w:val="32"/>
          <w:highlight w:val="none"/>
          <w:lang w:val="en-US" w:eastAsia="zh-CN"/>
        </w:rPr>
        <w:t>50m</w:t>
      </w:r>
      <w:r>
        <w:rPr>
          <w:rFonts w:hint="default" w:ascii="Times New Roman" w:hAnsi="Times New Roman" w:cs="Times New Roman"/>
          <w:color w:val="auto"/>
          <w:sz w:val="24"/>
          <w:szCs w:val="32"/>
          <w:highlight w:val="none"/>
          <w:vertAlign w:val="superscript"/>
          <w:lang w:val="en-US" w:eastAsia="zh-CN"/>
        </w:rPr>
        <w:t>3</w:t>
      </w:r>
      <w:r>
        <w:rPr>
          <w:rFonts w:hint="default" w:ascii="Times New Roman" w:hAnsi="Times New Roman" w:cs="Times New Roman"/>
          <w:color w:val="auto"/>
          <w:sz w:val="24"/>
          <w:szCs w:val="32"/>
          <w:highlight w:val="none"/>
          <w:lang w:val="en-US" w:eastAsia="zh-CN"/>
        </w:rPr>
        <w:t>柴油储罐</w:t>
      </w:r>
      <w:r>
        <w:rPr>
          <w:rFonts w:hint="default" w:ascii="Times New Roman" w:hAnsi="Times New Roman" w:cs="Times New Roman"/>
          <w:color w:val="auto"/>
          <w:sz w:val="24"/>
          <w:szCs w:val="32"/>
          <w:highlight w:val="none"/>
        </w:rPr>
        <w:t>非甲烷总烃</w:t>
      </w:r>
      <w:r>
        <w:rPr>
          <w:rFonts w:hint="default" w:ascii="Times New Roman" w:hAnsi="Times New Roman" w:cs="Times New Roman"/>
          <w:color w:val="auto"/>
          <w:sz w:val="24"/>
          <w:szCs w:val="32"/>
          <w:highlight w:val="none"/>
          <w:lang w:val="en-US" w:eastAsia="zh-CN"/>
        </w:rPr>
        <w:t>大小呼吸</w:t>
      </w:r>
      <w:r>
        <w:rPr>
          <w:rFonts w:hint="default" w:ascii="Times New Roman" w:hAnsi="Times New Roman" w:cs="Times New Roman"/>
          <w:color w:val="auto"/>
          <w:sz w:val="24"/>
          <w:szCs w:val="32"/>
          <w:highlight w:val="none"/>
        </w:rPr>
        <w:t>排放量为</w:t>
      </w:r>
      <w:r>
        <w:rPr>
          <w:rFonts w:hint="default" w:ascii="Times New Roman" w:hAnsi="Times New Roman" w:cs="Times New Roman"/>
          <w:color w:val="auto"/>
          <w:sz w:val="24"/>
          <w:szCs w:val="32"/>
          <w:highlight w:val="none"/>
          <w:lang w:val="en-US" w:eastAsia="zh-CN"/>
        </w:rPr>
        <w:t>0.0005</w:t>
      </w:r>
      <w:r>
        <w:rPr>
          <w:rFonts w:hint="default" w:ascii="Times New Roman" w:hAnsi="Times New Roman" w:cs="Times New Roman"/>
          <w:color w:val="auto"/>
          <w:sz w:val="24"/>
          <w:szCs w:val="32"/>
          <w:highlight w:val="none"/>
        </w:rPr>
        <w:t>t/a，无组织排放速率为0.00</w:t>
      </w:r>
      <w:r>
        <w:rPr>
          <w:rFonts w:hint="default" w:ascii="Times New Roman" w:hAnsi="Times New Roman" w:cs="Times New Roman"/>
          <w:color w:val="auto"/>
          <w:sz w:val="24"/>
          <w:szCs w:val="32"/>
          <w:highlight w:val="none"/>
          <w:lang w:val="en-US" w:eastAsia="zh-CN"/>
        </w:rPr>
        <w:t>014</w:t>
      </w:r>
      <w:r>
        <w:rPr>
          <w:rFonts w:hint="default" w:ascii="Times New Roman" w:hAnsi="Times New Roman" w:cs="Times New Roman"/>
          <w:color w:val="auto"/>
          <w:sz w:val="24"/>
          <w:szCs w:val="32"/>
          <w:highlight w:val="none"/>
        </w:rPr>
        <w:t>kg/h，</w:t>
      </w:r>
      <w:r>
        <w:rPr>
          <w:rFonts w:hint="default" w:ascii="Times New Roman" w:hAnsi="Times New Roman" w:cs="Times New Roman"/>
          <w:color w:val="auto"/>
          <w:sz w:val="24"/>
          <w:szCs w:val="32"/>
          <w:highlight w:val="none"/>
          <w:lang w:val="en-US" w:eastAsia="zh-CN"/>
        </w:rPr>
        <w:t>10m</w:t>
      </w:r>
      <w:r>
        <w:rPr>
          <w:rFonts w:hint="default" w:ascii="Times New Roman" w:hAnsi="Times New Roman" w:cs="Times New Roman"/>
          <w:color w:val="auto"/>
          <w:sz w:val="24"/>
          <w:szCs w:val="32"/>
          <w:highlight w:val="none"/>
          <w:vertAlign w:val="superscript"/>
          <w:lang w:val="en-US" w:eastAsia="zh-CN"/>
        </w:rPr>
        <w:t>3</w:t>
      </w:r>
      <w:r>
        <w:rPr>
          <w:rFonts w:hint="default" w:ascii="Times New Roman" w:hAnsi="Times New Roman" w:cs="Times New Roman"/>
          <w:color w:val="auto"/>
          <w:sz w:val="24"/>
          <w:szCs w:val="32"/>
          <w:highlight w:val="none"/>
          <w:lang w:val="en-US" w:eastAsia="zh-CN"/>
        </w:rPr>
        <w:t>储罐</w:t>
      </w:r>
      <w:r>
        <w:rPr>
          <w:rFonts w:hint="default" w:ascii="Times New Roman" w:hAnsi="Times New Roman" w:cs="Times New Roman"/>
          <w:color w:val="auto"/>
          <w:sz w:val="24"/>
          <w:szCs w:val="32"/>
          <w:highlight w:val="none"/>
        </w:rPr>
        <w:t>非甲烷总烃</w:t>
      </w:r>
      <w:r>
        <w:rPr>
          <w:rFonts w:hint="default" w:ascii="Times New Roman" w:hAnsi="Times New Roman" w:cs="Times New Roman"/>
          <w:color w:val="auto"/>
          <w:sz w:val="24"/>
          <w:szCs w:val="32"/>
          <w:highlight w:val="none"/>
          <w:lang w:val="en-US" w:eastAsia="zh-CN"/>
        </w:rPr>
        <w:t>大小呼吸</w:t>
      </w:r>
      <w:r>
        <w:rPr>
          <w:rFonts w:hint="default" w:ascii="Times New Roman" w:hAnsi="Times New Roman" w:cs="Times New Roman"/>
          <w:color w:val="auto"/>
          <w:sz w:val="24"/>
          <w:szCs w:val="32"/>
          <w:highlight w:val="none"/>
        </w:rPr>
        <w:t>排放量为</w:t>
      </w:r>
      <w:r>
        <w:rPr>
          <w:rFonts w:hint="default" w:ascii="Times New Roman" w:hAnsi="Times New Roman" w:cs="Times New Roman"/>
          <w:color w:val="auto"/>
          <w:sz w:val="24"/>
          <w:szCs w:val="32"/>
          <w:highlight w:val="none"/>
          <w:lang w:val="en-US" w:eastAsia="zh-CN"/>
        </w:rPr>
        <w:t>0.0001</w:t>
      </w:r>
      <w:r>
        <w:rPr>
          <w:rFonts w:hint="default" w:ascii="Times New Roman" w:hAnsi="Times New Roman" w:cs="Times New Roman"/>
          <w:color w:val="auto"/>
          <w:sz w:val="24"/>
          <w:szCs w:val="32"/>
          <w:highlight w:val="none"/>
        </w:rPr>
        <w:t>t/a，无组织排放速率为0.00</w:t>
      </w:r>
      <w:r>
        <w:rPr>
          <w:rFonts w:hint="default" w:ascii="Times New Roman" w:hAnsi="Times New Roman" w:cs="Times New Roman"/>
          <w:color w:val="auto"/>
          <w:sz w:val="24"/>
          <w:szCs w:val="32"/>
          <w:highlight w:val="none"/>
          <w:lang w:val="en-US" w:eastAsia="zh-CN"/>
        </w:rPr>
        <w:t>003</w:t>
      </w:r>
      <w:r>
        <w:rPr>
          <w:rFonts w:hint="default" w:ascii="Times New Roman" w:hAnsi="Times New Roman" w:cs="Times New Roman"/>
          <w:color w:val="auto"/>
          <w:sz w:val="24"/>
          <w:szCs w:val="32"/>
          <w:highlight w:val="none"/>
        </w:rPr>
        <w:t>kg/h，经大气扩散后对环境影响较小，厂界和厂内非甲烷总烃可满足《大气污染物综合排放标准》（GB16297-1996）表2中规定的标准浓度限值和《挥发性有机物无组织排放控制标准》（GB37822-2019）中附录A限值要求，对外环境影响较小。</w:t>
      </w:r>
    </w:p>
    <w:p w14:paraId="4D098A15">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275" w:name="_Toc21876"/>
      <w:bookmarkStart w:id="276" w:name="_Toc21626"/>
      <w:bookmarkStart w:id="277" w:name="_Toc192758905"/>
      <w:bookmarkStart w:id="278" w:name="_Toc26518"/>
      <w:bookmarkStart w:id="279" w:name="_Toc193459994"/>
      <w:bookmarkStart w:id="280" w:name="_Toc31539"/>
      <w:r>
        <w:rPr>
          <w:rFonts w:hint="default" w:ascii="Times New Roman" w:hAnsi="Times New Roman" w:eastAsia="黑体" w:cs="Times New Roman"/>
          <w:bCs/>
          <w:color w:val="auto"/>
          <w:kern w:val="44"/>
          <w:sz w:val="24"/>
          <w:highlight w:val="none"/>
        </w:rPr>
        <w:t>2.7.2有组织废气</w:t>
      </w:r>
      <w:bookmarkEnd w:id="275"/>
      <w:bookmarkEnd w:id="276"/>
      <w:bookmarkEnd w:id="277"/>
      <w:bookmarkEnd w:id="278"/>
      <w:bookmarkEnd w:id="279"/>
      <w:bookmarkEnd w:id="280"/>
    </w:p>
    <w:p w14:paraId="73CBC2E9">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（1）骨料烘干工序废气</w:t>
      </w:r>
    </w:p>
    <w:p w14:paraId="10787247">
      <w:pPr>
        <w:widowControl/>
        <w:spacing w:line="500" w:lineRule="exact"/>
        <w:ind w:firstLine="482" w:firstLineChars="200"/>
        <w:rPr>
          <w:rFonts w:hint="default" w:ascii="Times New Roman" w:hAnsi="Times New Roman" w:eastAsia="宋体" w:cs="Times New Roman"/>
          <w:b/>
          <w:bCs/>
          <w:color w:val="auto"/>
          <w:kern w:val="0"/>
          <w:sz w:val="24"/>
          <w:highlight w:val="none"/>
          <w:lang w:eastAsia="zh-CN"/>
        </w:rPr>
      </w:pPr>
      <w:r>
        <w:rPr>
          <w:rFonts w:hint="default" w:ascii="Times New Roman" w:hAnsi="Times New Roman" w:cs="Times New Roman"/>
          <w:b/>
          <w:bCs/>
          <w:color w:val="auto"/>
          <w:kern w:val="0"/>
          <w:sz w:val="24"/>
          <w:highlight w:val="none"/>
          <w:lang w:val="en-US" w:eastAsia="zh-CN"/>
        </w:rPr>
        <w:t>A.骨料烘干</w:t>
      </w:r>
      <w:r>
        <w:rPr>
          <w:rFonts w:hint="default" w:ascii="Times New Roman" w:hAnsi="Times New Roman" w:cs="Times New Roman"/>
          <w:b/>
          <w:bCs/>
          <w:color w:val="auto"/>
          <w:kern w:val="0"/>
          <w:sz w:val="24"/>
          <w:highlight w:val="none"/>
        </w:rPr>
        <w:t>粉尘</w:t>
      </w:r>
    </w:p>
    <w:p w14:paraId="168CB22D">
      <w:pPr>
        <w:widowControl/>
        <w:spacing w:line="500" w:lineRule="exact"/>
        <w:ind w:firstLine="480" w:firstLineChars="200"/>
        <w:rPr>
          <w:rFonts w:hint="default" w:ascii="Times New Roman" w:hAnsi="Times New Roman" w:cs="Times New Roman"/>
          <w:color w:val="auto"/>
          <w:kern w:val="0"/>
          <w:sz w:val="24"/>
          <w:highlight w:val="none"/>
          <w:lang w:val="en-US"/>
        </w:rPr>
      </w:pPr>
      <w:r>
        <w:rPr>
          <w:rFonts w:hint="default" w:ascii="Times New Roman" w:hAnsi="Times New Roman" w:cs="Times New Roman"/>
          <w:color w:val="auto"/>
          <w:kern w:val="0"/>
          <w:sz w:val="24"/>
          <w:highlight w:val="none"/>
        </w:rPr>
        <w:t>骨料加热阶段（干燥滚筒+骨料提升+骨料仓）颗粒物产生量参照《逸散性工业粉尘控制技术》中“沥青混凝土制造厂逸散尘排放因子”，骨料烘干和振动筛分产生的粉尘为0.25kg/t物料，本项目碎石用料为</w:t>
      </w:r>
      <w:r>
        <w:rPr>
          <w:rFonts w:hint="default" w:ascii="Times New Roman" w:hAnsi="Times New Roman" w:cs="Times New Roman"/>
          <w:color w:val="auto"/>
          <w:kern w:val="0"/>
          <w:sz w:val="24"/>
          <w:highlight w:val="none"/>
          <w:lang w:val="en-US" w:eastAsia="zh-CN"/>
        </w:rPr>
        <w:t>9.56</w:t>
      </w:r>
      <w:r>
        <w:rPr>
          <w:rFonts w:hint="default" w:ascii="Times New Roman" w:hAnsi="Times New Roman" w:cs="Times New Roman"/>
          <w:color w:val="auto"/>
          <w:kern w:val="0"/>
          <w:sz w:val="24"/>
          <w:highlight w:val="none"/>
        </w:rPr>
        <w:t>万t，则本项目粉尘产生量为</w:t>
      </w:r>
      <w:r>
        <w:rPr>
          <w:rFonts w:hint="default" w:ascii="Times New Roman" w:hAnsi="Times New Roman" w:cs="Times New Roman"/>
          <w:color w:val="auto"/>
          <w:kern w:val="0"/>
          <w:sz w:val="24"/>
          <w:highlight w:val="none"/>
          <w:lang w:val="en-US" w:eastAsia="zh-CN"/>
        </w:rPr>
        <w:t>23.9</w:t>
      </w:r>
      <w:r>
        <w:rPr>
          <w:rFonts w:hint="default" w:ascii="Times New Roman" w:hAnsi="Times New Roman" w:cs="Times New Roman"/>
          <w:color w:val="auto"/>
          <w:kern w:val="0"/>
          <w:sz w:val="24"/>
          <w:highlight w:val="none"/>
        </w:rPr>
        <w:t>t/a。</w:t>
      </w:r>
      <w:r>
        <w:rPr>
          <w:rFonts w:hint="default" w:ascii="Times New Roman" w:hAnsi="Times New Roman" w:cs="Times New Roman"/>
          <w:color w:val="auto"/>
          <w:kern w:val="0"/>
          <w:sz w:val="24"/>
          <w:highlight w:val="none"/>
          <w:lang w:val="en-US" w:eastAsia="zh-CN"/>
        </w:rPr>
        <w:t>废气</w:t>
      </w:r>
      <w:r>
        <w:rPr>
          <w:rFonts w:hint="default" w:ascii="Times New Roman" w:hAnsi="Times New Roman" w:cs="Times New Roman"/>
          <w:color w:val="auto"/>
          <w:kern w:val="0"/>
          <w:sz w:val="24"/>
          <w:highlight w:val="none"/>
        </w:rPr>
        <w:t>通过旋风除尘器（除尘效率40%）+布袋除尘器（除尘效率99%）</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综合处理效率为99.4%，处理后排放量为0.1434t/a。</w:t>
      </w:r>
    </w:p>
    <w:p w14:paraId="760A8D7E">
      <w:pPr>
        <w:numPr>
          <w:ilvl w:val="0"/>
          <w:numId w:val="0"/>
        </w:numPr>
        <w:spacing w:line="500" w:lineRule="exact"/>
        <w:ind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val="en-US" w:eastAsia="zh-CN"/>
        </w:rPr>
        <w:t>B.</w:t>
      </w:r>
      <w:r>
        <w:rPr>
          <w:rFonts w:hint="default" w:ascii="Times New Roman" w:hAnsi="Times New Roman" w:cs="Times New Roman"/>
          <w:b/>
          <w:bCs/>
          <w:color w:val="auto"/>
          <w:kern w:val="0"/>
          <w:sz w:val="24"/>
          <w:highlight w:val="none"/>
        </w:rPr>
        <w:t>烘干燃烧器燃油烟气</w:t>
      </w:r>
    </w:p>
    <w:p w14:paraId="0BB806AA">
      <w:pPr>
        <w:numPr>
          <w:ilvl w:val="0"/>
          <w:numId w:val="0"/>
        </w:numPr>
        <w:spacing w:line="500" w:lineRule="exact"/>
        <w:ind w:firstLine="480" w:firstLineChars="200"/>
        <w:rPr>
          <w:rFonts w:hint="default" w:ascii="Times New Roman" w:hAnsi="Times New Roman" w:eastAsia="宋体" w:cs="Times New Roman"/>
          <w:color w:val="auto"/>
          <w:kern w:val="0"/>
          <w:sz w:val="24"/>
          <w:highlight w:val="none"/>
          <w:lang w:eastAsia="zh-CN"/>
        </w:rPr>
      </w:pPr>
      <w:r>
        <w:rPr>
          <w:rFonts w:hint="default" w:ascii="Times New Roman" w:hAnsi="Times New Roman" w:cs="Times New Roman"/>
          <w:color w:val="auto"/>
          <w:kern w:val="0"/>
          <w:sz w:val="24"/>
          <w:highlight w:val="none"/>
        </w:rPr>
        <w:t>本项目燃烧器采用滚筒烘干方式对骨料进行加热，燃烧器以柴油为燃料，水的比热容为4.2×10</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J/（kg•℃），本项目骨料含水率约为</w:t>
      </w:r>
      <w:r>
        <w:rPr>
          <w:rFonts w:hint="default" w:ascii="Times New Roman" w:hAnsi="Times New Roman" w:cs="Times New Roman"/>
          <w:color w:val="auto"/>
          <w:kern w:val="0"/>
          <w:sz w:val="24"/>
          <w:highlight w:val="none"/>
          <w:lang w:val="en-US" w:eastAsia="zh-CN"/>
        </w:rPr>
        <w:t>5</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根据企业提供资料，搅拌系统设计规格为240t/h，满负荷生产时每小时需</w:t>
      </w:r>
      <w:r>
        <w:rPr>
          <w:rFonts w:hint="default" w:ascii="Times New Roman" w:hAnsi="Times New Roman" w:cs="Times New Roman"/>
          <w:color w:val="auto"/>
          <w:kern w:val="0"/>
          <w:sz w:val="24"/>
          <w:highlight w:val="none"/>
        </w:rPr>
        <w:t>烘干</w:t>
      </w:r>
      <w:r>
        <w:rPr>
          <w:rFonts w:hint="default" w:ascii="Times New Roman" w:hAnsi="Times New Roman" w:cs="Times New Roman"/>
          <w:color w:val="auto"/>
          <w:kern w:val="0"/>
          <w:sz w:val="24"/>
          <w:highlight w:val="none"/>
          <w:lang w:val="en-US" w:eastAsia="zh-CN"/>
        </w:rPr>
        <w:t>220</w:t>
      </w:r>
      <w:r>
        <w:rPr>
          <w:rFonts w:hint="default" w:ascii="Times New Roman" w:hAnsi="Times New Roman" w:cs="Times New Roman"/>
          <w:color w:val="auto"/>
          <w:kern w:val="0"/>
          <w:sz w:val="24"/>
          <w:highlight w:val="none"/>
        </w:rPr>
        <w:t>吨骨料（水从室温20℃加热至</w:t>
      </w:r>
      <w:r>
        <w:rPr>
          <w:rFonts w:hint="default" w:ascii="Times New Roman" w:hAnsi="Times New Roman" w:cs="Times New Roman"/>
          <w:color w:val="auto"/>
          <w:kern w:val="0"/>
          <w:sz w:val="24"/>
          <w:highlight w:val="none"/>
          <w:lang w:val="en-US" w:eastAsia="zh-CN"/>
        </w:rPr>
        <w:t>蒸发</w:t>
      </w:r>
      <w:r>
        <w:rPr>
          <w:rFonts w:hint="default" w:ascii="Times New Roman" w:hAnsi="Times New Roman" w:cs="Times New Roman"/>
          <w:color w:val="auto"/>
          <w:kern w:val="0"/>
          <w:sz w:val="24"/>
          <w:highlight w:val="none"/>
        </w:rPr>
        <w:t>）所用的热量为</w:t>
      </w:r>
      <w:r>
        <w:rPr>
          <w:rFonts w:hint="default" w:ascii="Times New Roman" w:hAnsi="Times New Roman" w:cs="Times New Roman"/>
          <w:color w:val="auto"/>
          <w:kern w:val="0"/>
          <w:sz w:val="24"/>
          <w:highlight w:val="none"/>
          <w:lang w:val="en-US" w:eastAsia="zh-CN"/>
        </w:rPr>
        <w:t>31152MJ，本项目所需石料为95600吨，</w:t>
      </w:r>
      <w:r>
        <w:rPr>
          <w:rFonts w:hint="default" w:ascii="Times New Roman" w:hAnsi="Times New Roman" w:cs="Times New Roman"/>
          <w:color w:val="auto"/>
          <w:kern w:val="0"/>
          <w:sz w:val="24"/>
          <w:highlight w:val="none"/>
        </w:rPr>
        <w:t>所用的热量为</w:t>
      </w:r>
      <w:r>
        <w:rPr>
          <w:rFonts w:hint="default" w:ascii="Times New Roman" w:hAnsi="Times New Roman" w:cs="Times New Roman"/>
          <w:color w:val="auto"/>
          <w:kern w:val="0"/>
          <w:sz w:val="24"/>
          <w:highlight w:val="none"/>
          <w:lang w:val="en-US" w:eastAsia="zh-CN"/>
        </w:rPr>
        <w:t>12408880</w:t>
      </w:r>
      <w:r>
        <w:rPr>
          <w:rFonts w:hint="default" w:ascii="Times New Roman" w:hAnsi="Times New Roman" w:cs="Times New Roman"/>
          <w:color w:val="auto"/>
          <w:kern w:val="0"/>
          <w:sz w:val="24"/>
          <w:highlight w:val="none"/>
        </w:rPr>
        <w:t>MJ，根据《综合能耗计算通则》（GB</w:t>
      </w:r>
      <w:r>
        <w:rPr>
          <w:rFonts w:hint="default" w:ascii="Times New Roman" w:hAnsi="Times New Roman" w:cs="Times New Roman"/>
          <w:color w:val="auto"/>
          <w:kern w:val="0"/>
          <w:sz w:val="24"/>
          <w:highlight w:val="none"/>
          <w:lang w:val="en-US" w:eastAsia="zh-CN"/>
        </w:rPr>
        <w:t>/</w:t>
      </w:r>
      <w:r>
        <w:rPr>
          <w:rFonts w:hint="default" w:ascii="Times New Roman" w:hAnsi="Times New Roman" w:cs="Times New Roman"/>
          <w:color w:val="auto"/>
          <w:kern w:val="0"/>
          <w:sz w:val="24"/>
          <w:highlight w:val="none"/>
        </w:rPr>
        <w:t>T2589-2020），柴油低位发热量为42705KJ/kg（10200kcal/kg），本项目烘干骨料</w:t>
      </w:r>
      <w:r>
        <w:rPr>
          <w:rFonts w:hint="default" w:ascii="Times New Roman" w:hAnsi="Times New Roman" w:cs="Times New Roman"/>
          <w:color w:val="auto"/>
          <w:kern w:val="0"/>
          <w:sz w:val="24"/>
          <w:highlight w:val="none"/>
          <w:lang w:val="en-US" w:eastAsia="zh-CN"/>
        </w:rPr>
        <w:t>956</w:t>
      </w:r>
      <w:r>
        <w:rPr>
          <w:rFonts w:hint="default" w:ascii="Times New Roman" w:hAnsi="Times New Roman" w:cs="Times New Roman"/>
          <w:color w:val="auto"/>
          <w:kern w:val="0"/>
          <w:sz w:val="24"/>
          <w:highlight w:val="none"/>
        </w:rPr>
        <w:t>00t/a，则本项目燃烧器所用柴油的量为</w:t>
      </w:r>
      <w:r>
        <w:rPr>
          <w:rFonts w:hint="default" w:ascii="Times New Roman" w:hAnsi="Times New Roman" w:cs="Times New Roman"/>
          <w:color w:val="auto"/>
          <w:kern w:val="0"/>
          <w:sz w:val="24"/>
          <w:highlight w:val="none"/>
          <w:lang w:val="en-US" w:eastAsia="zh-CN"/>
        </w:rPr>
        <w:t>322.86</w:t>
      </w:r>
      <w:r>
        <w:rPr>
          <w:rFonts w:hint="default" w:ascii="Times New Roman" w:hAnsi="Times New Roman" w:cs="Times New Roman"/>
          <w:color w:val="auto"/>
          <w:kern w:val="0"/>
          <w:sz w:val="24"/>
          <w:highlight w:val="none"/>
        </w:rPr>
        <w:t>t/a</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0.74t/h</w:t>
      </w:r>
      <w:r>
        <w:rPr>
          <w:rFonts w:hint="default" w:ascii="Times New Roman" w:hAnsi="Times New Roman" w:cs="Times New Roman"/>
          <w:color w:val="auto"/>
          <w:kern w:val="0"/>
          <w:sz w:val="24"/>
          <w:highlight w:val="none"/>
          <w:lang w:eastAsia="zh-CN"/>
        </w:rPr>
        <w:t>。</w:t>
      </w:r>
    </w:p>
    <w:p w14:paraId="0236E187">
      <w:pPr>
        <w:spacing w:line="500" w:lineRule="exact"/>
        <w:ind w:firstLine="480" w:firstLineChars="200"/>
        <w:rPr>
          <w:rFonts w:hint="default" w:ascii="Times New Roman" w:hAnsi="Times New Roman" w:cs="Times New Roman"/>
          <w:snapToGrid w:val="0"/>
          <w:color w:val="auto"/>
          <w:kern w:val="0"/>
          <w:highlight w:val="none"/>
        </w:rPr>
      </w:pPr>
      <w:r>
        <w:rPr>
          <w:rFonts w:hint="default" w:ascii="Times New Roman" w:hAnsi="Times New Roman" w:cs="Times New Roman"/>
          <w:bCs/>
          <w:color w:val="auto"/>
          <w:kern w:val="0"/>
          <w:sz w:val="24"/>
          <w:highlight w:val="none"/>
        </w:rPr>
        <w:t>根据《污染源源强核算技术指南 准则》（HJ884—2018）中，3.11产污系数法计算本项目</w:t>
      </w:r>
      <w:r>
        <w:rPr>
          <w:rFonts w:hint="default" w:ascii="Times New Roman" w:hAnsi="Times New Roman" w:cs="Times New Roman"/>
          <w:color w:val="auto"/>
          <w:kern w:val="0"/>
          <w:sz w:val="24"/>
          <w:highlight w:val="none"/>
        </w:rPr>
        <w:t>燃油废气中污染物</w:t>
      </w:r>
      <w:r>
        <w:rPr>
          <w:rFonts w:hint="default" w:ascii="Times New Roman" w:hAnsi="Times New Roman" w:cs="Times New Roman"/>
          <w:bCs/>
          <w:color w:val="auto"/>
          <w:kern w:val="0"/>
          <w:sz w:val="24"/>
          <w:highlight w:val="none"/>
        </w:rPr>
        <w:t>排放源强。</w:t>
      </w:r>
      <w:r>
        <w:rPr>
          <w:rFonts w:hint="default" w:ascii="Times New Roman" w:hAnsi="Times New Roman" w:cs="Times New Roman"/>
          <w:color w:val="auto"/>
          <w:kern w:val="0"/>
          <w:sz w:val="24"/>
          <w:highlight w:val="none"/>
        </w:rPr>
        <w:t>颗粒物、SO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、NO</w:t>
      </w:r>
      <w:r>
        <w:rPr>
          <w:rFonts w:hint="default" w:ascii="Times New Roman" w:hAnsi="Times New Roman" w:cs="Times New Roman"/>
          <w:color w:val="auto"/>
          <w:kern w:val="0"/>
          <w:sz w:val="24"/>
          <w:highlight w:val="none"/>
          <w:vertAlign w:val="subscript"/>
        </w:rPr>
        <w:t>X</w:t>
      </w:r>
      <w:r>
        <w:rPr>
          <w:rFonts w:hint="default" w:ascii="Times New Roman" w:hAnsi="Times New Roman" w:cs="Times New Roman"/>
          <w:snapToGrid w:val="0"/>
          <w:color w:val="auto"/>
          <w:kern w:val="0"/>
          <w:sz w:val="24"/>
          <w:highlight w:val="none"/>
        </w:rPr>
        <w:t>和工业废气量参照</w:t>
      </w:r>
      <w:r>
        <w:rPr>
          <w:rFonts w:hint="default" w:ascii="Times New Roman" w:hAnsi="Times New Roman" w:cs="Times New Roman"/>
          <w:bCs/>
          <w:color w:val="auto"/>
          <w:kern w:val="0"/>
          <w:sz w:val="24"/>
          <w:highlight w:val="none"/>
        </w:rPr>
        <w:t>《排放源统计调查产排污核算方法和系数手册》</w:t>
      </w:r>
      <w:r>
        <w:rPr>
          <w:rFonts w:hint="default" w:ascii="Times New Roman" w:hAnsi="Times New Roman" w:cs="Times New Roman"/>
          <w:snapToGrid w:val="0"/>
          <w:color w:val="auto"/>
          <w:kern w:val="0"/>
          <w:sz w:val="24"/>
          <w:highlight w:val="none"/>
        </w:rPr>
        <w:t>中“工业行业产排污系数手册”中4430工业锅炉（热力供应）行业系数手册计算；</w:t>
      </w:r>
      <w:r>
        <w:rPr>
          <w:rFonts w:hint="default" w:ascii="Times New Roman" w:hAnsi="Times New Roman" w:cs="Times New Roman"/>
          <w:snapToGrid w:val="0"/>
          <w:color w:val="auto"/>
          <w:kern w:val="0"/>
          <w:sz w:val="24"/>
          <w:highlight w:val="none"/>
          <w:lang w:val="en-US" w:eastAsia="zh-CN"/>
        </w:rPr>
        <w:t>设备用柴油无明确行业标准，</w:t>
      </w:r>
      <w:r>
        <w:rPr>
          <w:rFonts w:hint="default" w:ascii="Times New Roman" w:hAnsi="Times New Roman" w:cs="Times New Roman"/>
          <w:snapToGrid w:val="0"/>
          <w:color w:val="auto"/>
          <w:kern w:val="0"/>
          <w:sz w:val="24"/>
          <w:highlight w:val="none"/>
        </w:rPr>
        <w:t>企业用轻质柴油</w:t>
      </w:r>
      <w:r>
        <w:rPr>
          <w:rFonts w:hint="default" w:ascii="Times New Roman" w:hAnsi="Times New Roman" w:cs="Times New Roman"/>
          <w:snapToGrid w:val="0"/>
          <w:color w:val="auto"/>
          <w:kern w:val="0"/>
          <w:sz w:val="24"/>
          <w:highlight w:val="none"/>
          <w:lang w:val="en-US" w:eastAsia="zh-CN"/>
        </w:rPr>
        <w:t>需满足</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车用</w:t>
      </w:r>
      <w:r>
        <w:rPr>
          <w:rFonts w:hint="default" w:ascii="Times New Roman" w:hAnsi="Times New Roman" w:cs="Times New Roman"/>
          <w:color w:val="auto"/>
          <w:kern w:val="0"/>
          <w:sz w:val="24"/>
          <w:highlight w:val="none"/>
        </w:rPr>
        <w:t>柴油》（GB</w:t>
      </w:r>
      <w:r>
        <w:rPr>
          <w:rFonts w:hint="default" w:ascii="Times New Roman" w:hAnsi="Times New Roman" w:cs="Times New Roman"/>
          <w:color w:val="auto"/>
          <w:kern w:val="0"/>
          <w:sz w:val="24"/>
          <w:highlight w:val="none"/>
          <w:lang w:val="en-US" w:eastAsia="zh-CN"/>
        </w:rPr>
        <w:t>19147</w:t>
      </w:r>
      <w:r>
        <w:rPr>
          <w:rFonts w:hint="default" w:ascii="Times New Roman" w:hAnsi="Times New Roman" w:cs="Times New Roman"/>
          <w:color w:val="auto"/>
          <w:kern w:val="0"/>
          <w:sz w:val="24"/>
          <w:highlight w:val="none"/>
        </w:rPr>
        <w:t>-201</w:t>
      </w:r>
      <w:r>
        <w:rPr>
          <w:rFonts w:hint="default" w:ascii="Times New Roman" w:hAnsi="Times New Roman" w:cs="Times New Roman"/>
          <w:color w:val="auto"/>
          <w:kern w:val="0"/>
          <w:sz w:val="24"/>
          <w:highlight w:val="none"/>
          <w:lang w:val="en-US" w:eastAsia="zh-CN"/>
        </w:rPr>
        <w:t>6</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中国VI、国V</w:t>
      </w:r>
      <w:r>
        <w:rPr>
          <w:rFonts w:hint="default" w:ascii="Times New Roman" w:hAnsi="Times New Roman" w:cs="Times New Roman"/>
          <w:color w:val="auto"/>
          <w:sz w:val="24"/>
          <w:highlight w:val="none"/>
          <w:lang w:val="en-US" w:eastAsia="zh-CN"/>
        </w:rPr>
        <w:t>中硫含量，</w:t>
      </w:r>
      <w:r>
        <w:rPr>
          <w:rFonts w:hint="default" w:ascii="Times New Roman" w:hAnsi="Times New Roman" w:cs="Times New Roman"/>
          <w:snapToGrid w:val="0"/>
          <w:color w:val="auto"/>
          <w:kern w:val="0"/>
          <w:sz w:val="24"/>
          <w:highlight w:val="none"/>
        </w:rPr>
        <w:t>柴油硫含量≤10mg/kg（即含硫量为0.001%）</w:t>
      </w:r>
      <w:r>
        <w:rPr>
          <w:rFonts w:hint="default" w:ascii="Times New Roman" w:hAnsi="Times New Roman" w:cs="Times New Roman"/>
          <w:snapToGrid w:val="0"/>
          <w:color w:val="auto"/>
          <w:kern w:val="0"/>
          <w:sz w:val="24"/>
          <w:highlight w:val="none"/>
          <w:lang w:val="en-US" w:eastAsia="zh-CN"/>
        </w:rPr>
        <w:t>,</w:t>
      </w:r>
      <w:r>
        <w:rPr>
          <w:rFonts w:hint="default" w:ascii="Times New Roman" w:hAnsi="Times New Roman" w:cs="Times New Roman"/>
          <w:snapToGrid w:val="0"/>
          <w:color w:val="auto"/>
          <w:kern w:val="0"/>
          <w:sz w:val="24"/>
          <w:highlight w:val="none"/>
        </w:rPr>
        <w:t>本评价轻柴油中含硫量(S%)按 0.0</w:t>
      </w:r>
      <w:r>
        <w:rPr>
          <w:rFonts w:hint="default" w:ascii="Times New Roman" w:hAnsi="Times New Roman" w:cs="Times New Roman"/>
          <w:snapToGrid w:val="0"/>
          <w:color w:val="auto"/>
          <w:kern w:val="0"/>
          <w:sz w:val="24"/>
          <w:highlight w:val="none"/>
          <w:lang w:val="en-US" w:eastAsia="zh-CN"/>
        </w:rPr>
        <w:t>01</w:t>
      </w:r>
      <w:r>
        <w:rPr>
          <w:rFonts w:hint="default" w:ascii="Times New Roman" w:hAnsi="Times New Roman" w:cs="Times New Roman"/>
          <w:snapToGrid w:val="0"/>
          <w:color w:val="auto"/>
          <w:kern w:val="0"/>
          <w:sz w:val="24"/>
          <w:highlight w:val="none"/>
        </w:rPr>
        <w:t>%计算，则S=0.0</w:t>
      </w:r>
      <w:r>
        <w:rPr>
          <w:rFonts w:hint="default" w:ascii="Times New Roman" w:hAnsi="Times New Roman" w:cs="Times New Roman"/>
          <w:snapToGrid w:val="0"/>
          <w:color w:val="auto"/>
          <w:kern w:val="0"/>
          <w:sz w:val="24"/>
          <w:highlight w:val="none"/>
          <w:lang w:val="en-US" w:eastAsia="zh-CN"/>
        </w:rPr>
        <w:t>01</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本项目采用低氮燃烧技术</w:t>
      </w:r>
      <w:r>
        <w:rPr>
          <w:rFonts w:hint="default" w:ascii="Times New Roman" w:hAnsi="Times New Roman" w:cs="Times New Roman"/>
          <w:color w:val="auto"/>
          <w:sz w:val="24"/>
          <w:highlight w:val="none"/>
          <w:lang w:val="en-US" w:eastAsia="zh-CN"/>
        </w:rPr>
        <w:t>减少30%NOx生成</w:t>
      </w:r>
      <w:r>
        <w:rPr>
          <w:rFonts w:hint="default" w:ascii="Times New Roman" w:hAnsi="Times New Roman" w:cs="Times New Roman"/>
          <w:color w:val="auto"/>
          <w:kern w:val="0"/>
          <w:sz w:val="24"/>
          <w:highlight w:val="none"/>
          <w:lang w:val="en-US" w:eastAsia="zh-CN"/>
        </w:rPr>
        <w:t>，</w:t>
      </w:r>
      <w:r>
        <w:rPr>
          <w:rFonts w:hint="default" w:ascii="Times New Roman" w:hAnsi="Times New Roman" w:cs="Times New Roman"/>
          <w:color w:val="auto"/>
          <w:kern w:val="0"/>
          <w:sz w:val="24"/>
          <w:highlight w:val="none"/>
        </w:rPr>
        <w:t>本项目燃烧器年运行</w:t>
      </w:r>
      <w:r>
        <w:rPr>
          <w:rFonts w:hint="default" w:ascii="Times New Roman" w:hAnsi="Times New Roman" w:cs="Times New Roman"/>
          <w:color w:val="auto"/>
          <w:kern w:val="0"/>
          <w:sz w:val="24"/>
          <w:highlight w:val="none"/>
          <w:lang w:val="en-US" w:eastAsia="zh-CN"/>
        </w:rPr>
        <w:t>1200</w:t>
      </w:r>
      <w:r>
        <w:rPr>
          <w:rFonts w:hint="default" w:ascii="Times New Roman" w:hAnsi="Times New Roman" w:cs="Times New Roman"/>
          <w:color w:val="auto"/>
          <w:kern w:val="0"/>
          <w:sz w:val="24"/>
          <w:highlight w:val="none"/>
        </w:rPr>
        <w:t>h</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折合满负荷运行437h</w:t>
      </w:r>
      <w:r>
        <w:rPr>
          <w:rFonts w:hint="default" w:ascii="Times New Roman" w:hAnsi="Times New Roman" w:cs="Times New Roman"/>
          <w:color w:val="auto"/>
          <w:kern w:val="0"/>
          <w:sz w:val="24"/>
          <w:highlight w:val="none"/>
        </w:rPr>
        <w:t>。本项目燃烧器燃油废气中</w:t>
      </w:r>
      <w:r>
        <w:rPr>
          <w:rFonts w:hint="default" w:ascii="Times New Roman" w:hAnsi="Times New Roman" w:cs="Times New Roman"/>
          <w:snapToGrid w:val="0"/>
          <w:color w:val="auto"/>
          <w:kern w:val="0"/>
          <w:sz w:val="24"/>
          <w:highlight w:val="none"/>
        </w:rPr>
        <w:t>污染物产排污情况见下表。</w:t>
      </w:r>
    </w:p>
    <w:p w14:paraId="054CE6A2">
      <w:pPr>
        <w:widowControl/>
        <w:adjustRightInd w:val="0"/>
        <w:snapToGrid w:val="0"/>
        <w:spacing w:line="400" w:lineRule="exact"/>
        <w:jc w:val="center"/>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表2-7 污染物产排污系数表</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5"/>
        <w:gridCol w:w="2983"/>
        <w:gridCol w:w="1181"/>
        <w:gridCol w:w="2160"/>
      </w:tblGrid>
      <w:tr w14:paraId="6C960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vAlign w:val="center"/>
          </w:tcPr>
          <w:p w14:paraId="01A02CC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污染物指标</w:t>
            </w:r>
          </w:p>
        </w:tc>
        <w:tc>
          <w:tcPr>
            <w:tcW w:w="1750" w:type="pct"/>
            <w:vAlign w:val="center"/>
          </w:tcPr>
          <w:p w14:paraId="275E2B1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单位</w:t>
            </w:r>
          </w:p>
        </w:tc>
        <w:tc>
          <w:tcPr>
            <w:tcW w:w="693" w:type="pct"/>
            <w:vAlign w:val="center"/>
          </w:tcPr>
          <w:p w14:paraId="6D2B3CD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产污系数</w:t>
            </w:r>
          </w:p>
        </w:tc>
        <w:tc>
          <w:tcPr>
            <w:tcW w:w="1267" w:type="pct"/>
            <w:vAlign w:val="center"/>
          </w:tcPr>
          <w:p w14:paraId="14B948F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产生量（t/a）</w:t>
            </w:r>
          </w:p>
        </w:tc>
      </w:tr>
      <w:tr w14:paraId="04814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vAlign w:val="center"/>
          </w:tcPr>
          <w:p w14:paraId="15C2272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工业废气量</w:t>
            </w:r>
          </w:p>
        </w:tc>
        <w:tc>
          <w:tcPr>
            <w:tcW w:w="1750" w:type="pct"/>
            <w:vAlign w:val="center"/>
          </w:tcPr>
          <w:p w14:paraId="39AF69B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标立方米/吨-原料</w:t>
            </w:r>
          </w:p>
        </w:tc>
        <w:tc>
          <w:tcPr>
            <w:tcW w:w="693" w:type="pct"/>
            <w:vAlign w:val="center"/>
          </w:tcPr>
          <w:p w14:paraId="12E5395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17804</w:t>
            </w:r>
          </w:p>
        </w:tc>
        <w:tc>
          <w:tcPr>
            <w:tcW w:w="1267" w:type="pct"/>
            <w:vAlign w:val="center"/>
          </w:tcPr>
          <w:p w14:paraId="471A827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5748199.4</w:t>
            </w:r>
            <w:r>
              <w:rPr>
                <w:rFonts w:hint="default" w:ascii="Times New Roman" w:hAnsi="Times New Roman" w:cs="Times New Roman"/>
                <w:color w:val="auto"/>
                <w:kern w:val="0"/>
                <w:szCs w:val="21"/>
                <w:highlight w:val="none"/>
              </w:rPr>
              <w:t>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/a</w:t>
            </w:r>
          </w:p>
        </w:tc>
      </w:tr>
      <w:tr w14:paraId="2B6698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shd w:val="clear" w:color="auto" w:fill="auto"/>
            <w:vAlign w:val="center"/>
          </w:tcPr>
          <w:p w14:paraId="22F2B93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颗粒物</w:t>
            </w:r>
          </w:p>
        </w:tc>
        <w:tc>
          <w:tcPr>
            <w:tcW w:w="1750" w:type="pct"/>
            <w:shd w:val="clear" w:color="auto" w:fill="auto"/>
            <w:vAlign w:val="center"/>
          </w:tcPr>
          <w:p w14:paraId="7EA3E90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克/千克-原料</w:t>
            </w:r>
          </w:p>
        </w:tc>
        <w:tc>
          <w:tcPr>
            <w:tcW w:w="693" w:type="pct"/>
            <w:vAlign w:val="center"/>
          </w:tcPr>
          <w:p w14:paraId="5E3F049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0.26</w:t>
            </w:r>
          </w:p>
        </w:tc>
        <w:tc>
          <w:tcPr>
            <w:tcW w:w="1267" w:type="pct"/>
            <w:vAlign w:val="center"/>
          </w:tcPr>
          <w:p w14:paraId="25A2A9F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0.084</w:t>
            </w:r>
          </w:p>
        </w:tc>
      </w:tr>
      <w:tr w14:paraId="027CF1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shd w:val="clear" w:color="auto" w:fill="auto"/>
            <w:vAlign w:val="center"/>
          </w:tcPr>
          <w:p w14:paraId="2D4BE2A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二氧化硫</w:t>
            </w:r>
          </w:p>
        </w:tc>
        <w:tc>
          <w:tcPr>
            <w:tcW w:w="1750" w:type="pct"/>
            <w:shd w:val="clear" w:color="auto" w:fill="auto"/>
            <w:vAlign w:val="center"/>
          </w:tcPr>
          <w:p w14:paraId="2A548FE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千克/吨-原料</w:t>
            </w:r>
          </w:p>
        </w:tc>
        <w:tc>
          <w:tcPr>
            <w:tcW w:w="693" w:type="pct"/>
            <w:shd w:val="clear" w:color="auto" w:fill="auto"/>
            <w:vAlign w:val="center"/>
          </w:tcPr>
          <w:p w14:paraId="0E0F1F6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19S</w:t>
            </w:r>
          </w:p>
        </w:tc>
        <w:tc>
          <w:tcPr>
            <w:tcW w:w="1267" w:type="pct"/>
            <w:vAlign w:val="center"/>
          </w:tcPr>
          <w:p w14:paraId="0146B72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0.006</w:t>
            </w:r>
          </w:p>
        </w:tc>
      </w:tr>
      <w:tr w14:paraId="1234B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shd w:val="clear" w:color="auto" w:fill="auto"/>
            <w:vAlign w:val="center"/>
          </w:tcPr>
          <w:p w14:paraId="5A1F144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氮氧化物</w:t>
            </w:r>
          </w:p>
        </w:tc>
        <w:tc>
          <w:tcPr>
            <w:tcW w:w="1750" w:type="pct"/>
            <w:shd w:val="clear" w:color="auto" w:fill="auto"/>
            <w:vAlign w:val="center"/>
          </w:tcPr>
          <w:p w14:paraId="1C9F42E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千克/吨-原料</w:t>
            </w:r>
          </w:p>
        </w:tc>
        <w:tc>
          <w:tcPr>
            <w:tcW w:w="693" w:type="pct"/>
            <w:vAlign w:val="center"/>
          </w:tcPr>
          <w:p w14:paraId="5B2A60A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3.03</w:t>
            </w:r>
          </w:p>
        </w:tc>
        <w:tc>
          <w:tcPr>
            <w:tcW w:w="1267" w:type="pct"/>
            <w:vAlign w:val="center"/>
          </w:tcPr>
          <w:p w14:paraId="31A667B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0.685</w:t>
            </w:r>
          </w:p>
        </w:tc>
      </w:tr>
    </w:tbl>
    <w:p w14:paraId="79DFF065">
      <w:pPr>
        <w:spacing w:line="500" w:lineRule="exact"/>
        <w:ind w:firstLine="480" w:firstLineChars="200"/>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kern w:val="0"/>
          <w:sz w:val="24"/>
          <w:highlight w:val="none"/>
        </w:rPr>
        <w:t>本项目</w:t>
      </w:r>
      <w:r>
        <w:rPr>
          <w:rFonts w:hint="default" w:ascii="Times New Roman" w:hAnsi="Times New Roman" w:cs="Times New Roman"/>
          <w:color w:val="auto"/>
          <w:kern w:val="0"/>
          <w:sz w:val="24"/>
          <w:highlight w:val="none"/>
          <w:lang w:val="en-US" w:eastAsia="zh-CN"/>
        </w:rPr>
        <w:t>燃烧器采用低氮燃烧技术，</w:t>
      </w:r>
      <w:r>
        <w:rPr>
          <w:rFonts w:hint="default" w:ascii="Times New Roman" w:hAnsi="Times New Roman" w:cs="Times New Roman"/>
          <w:color w:val="auto"/>
          <w:kern w:val="0"/>
          <w:sz w:val="24"/>
          <w:highlight w:val="none"/>
        </w:rPr>
        <w:t>燃油废气与烘干、筛分粉尘形成混合气体，烘干滚筒配套燃烧器产生的燃油废气与烘干滚筒、振动筛共用一套废气处理装置，混合气体通过旋风除尘器（除尘效率40%）+布袋除尘器（除尘效率99%）</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综合处理效率为99.4%，</w:t>
      </w:r>
      <w:r>
        <w:rPr>
          <w:rFonts w:hint="default" w:ascii="Times New Roman" w:hAnsi="Times New Roman" w:cs="Times New Roman"/>
          <w:color w:val="auto"/>
          <w:kern w:val="0"/>
          <w:sz w:val="24"/>
          <w:highlight w:val="none"/>
        </w:rPr>
        <w:t>处理后</w:t>
      </w:r>
      <w:r>
        <w:rPr>
          <w:rFonts w:hint="default" w:ascii="Times New Roman" w:hAnsi="Times New Roman" w:cs="Times New Roman"/>
          <w:color w:val="auto"/>
          <w:kern w:val="0"/>
          <w:sz w:val="24"/>
          <w:highlight w:val="none"/>
          <w:lang w:val="en-US" w:eastAsia="zh-CN"/>
        </w:rPr>
        <w:t>废气</w:t>
      </w:r>
      <w:r>
        <w:rPr>
          <w:rFonts w:hint="default" w:ascii="Times New Roman" w:hAnsi="Times New Roman" w:cs="Times New Roman"/>
          <w:color w:val="auto"/>
          <w:kern w:val="0"/>
          <w:sz w:val="24"/>
          <w:highlight w:val="none"/>
        </w:rPr>
        <w:t>通过</w:t>
      </w:r>
      <w:r>
        <w:rPr>
          <w:rFonts w:hint="default" w:ascii="Times New Roman" w:hAnsi="Times New Roman" w:cs="Times New Roman"/>
          <w:color w:val="auto"/>
          <w:kern w:val="0"/>
          <w:sz w:val="24"/>
          <w:highlight w:val="none"/>
          <w:lang w:val="en-US" w:eastAsia="zh-CN"/>
        </w:rPr>
        <w:t>15</w:t>
      </w:r>
      <w:r>
        <w:rPr>
          <w:rFonts w:hint="default" w:ascii="Times New Roman" w:hAnsi="Times New Roman" w:cs="Times New Roman"/>
          <w:color w:val="auto"/>
          <w:kern w:val="0"/>
          <w:sz w:val="24"/>
          <w:highlight w:val="none"/>
        </w:rPr>
        <w:t>m排气筒DA00</w:t>
      </w:r>
      <w:r>
        <w:rPr>
          <w:rFonts w:hint="default" w:ascii="Times New Roman" w:hAnsi="Times New Roman" w:cs="Times New Roman"/>
          <w:color w:val="auto"/>
          <w:kern w:val="0"/>
          <w:sz w:val="24"/>
          <w:highlight w:val="none"/>
          <w:lang w:val="en-US" w:eastAsia="zh-CN"/>
        </w:rPr>
        <w:t>1</w:t>
      </w:r>
      <w:r>
        <w:rPr>
          <w:rFonts w:hint="default" w:ascii="Times New Roman" w:hAnsi="Times New Roman" w:cs="Times New Roman"/>
          <w:color w:val="auto"/>
          <w:kern w:val="0"/>
          <w:sz w:val="24"/>
          <w:highlight w:val="none"/>
        </w:rPr>
        <w:t>排放</w:t>
      </w:r>
      <w:r>
        <w:rPr>
          <w:rFonts w:hint="default" w:ascii="Times New Roman" w:hAnsi="Times New Roman" w:cs="Times New Roman"/>
          <w:color w:val="auto"/>
          <w:kern w:val="0"/>
          <w:sz w:val="24"/>
          <w:highlight w:val="none"/>
          <w:lang w:eastAsia="zh-CN"/>
        </w:rPr>
        <w:t>。</w:t>
      </w:r>
    </w:p>
    <w:p w14:paraId="3B8ABDD6">
      <w:pPr>
        <w:spacing w:line="500" w:lineRule="exact"/>
        <w:ind w:firstLine="480" w:firstLineChars="200"/>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rPr>
        <w:t xml:space="preserve">经计算，颗粒物产生总量为 </w:t>
      </w:r>
      <w:r>
        <w:rPr>
          <w:rFonts w:hint="default" w:ascii="Times New Roman" w:hAnsi="Times New Roman" w:cs="Times New Roman"/>
          <w:color w:val="auto"/>
          <w:kern w:val="0"/>
          <w:sz w:val="24"/>
          <w:highlight w:val="none"/>
          <w:lang w:val="en-US" w:eastAsia="zh-CN"/>
        </w:rPr>
        <w:t>23.984</w:t>
      </w:r>
      <w:r>
        <w:rPr>
          <w:rFonts w:hint="default" w:ascii="Times New Roman" w:hAnsi="Times New Roman" w:cs="Times New Roman"/>
          <w:color w:val="auto"/>
          <w:kern w:val="0"/>
          <w:sz w:val="24"/>
          <w:highlight w:val="none"/>
        </w:rPr>
        <w:t>t/a，</w:t>
      </w:r>
      <w:r>
        <w:rPr>
          <w:rFonts w:hint="default" w:ascii="Times New Roman" w:hAnsi="Times New Roman" w:cs="Times New Roman"/>
          <w:color w:val="auto"/>
          <w:kern w:val="0"/>
          <w:sz w:val="24"/>
          <w:highlight w:val="none"/>
          <w:lang w:val="en-US" w:eastAsia="zh-CN"/>
        </w:rPr>
        <w:t>本项目</w:t>
      </w:r>
      <w:r>
        <w:rPr>
          <w:rFonts w:hint="default" w:ascii="Times New Roman" w:hAnsi="Times New Roman" w:cs="Times New Roman"/>
          <w:color w:val="auto"/>
          <w:kern w:val="0"/>
          <w:sz w:val="24"/>
          <w:highlight w:val="none"/>
        </w:rPr>
        <w:t>风量为 5748199.4m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/a</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13154</w:t>
      </w:r>
      <w:r>
        <w:rPr>
          <w:rFonts w:hint="default" w:ascii="Times New Roman" w:hAnsi="Times New Roman" w:cs="Times New Roman"/>
          <w:color w:val="auto"/>
          <w:kern w:val="0"/>
          <w:sz w:val="24"/>
          <w:highlight w:val="none"/>
        </w:rPr>
        <w:t>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/h</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 xml:space="preserve">则污染物排放量为颗粒物 </w:t>
      </w:r>
      <w:r>
        <w:rPr>
          <w:rFonts w:hint="default" w:ascii="Times New Roman" w:hAnsi="Times New Roman" w:cs="Times New Roman"/>
          <w:color w:val="auto"/>
          <w:kern w:val="0"/>
          <w:sz w:val="24"/>
          <w:highlight w:val="none"/>
          <w:lang w:val="en-US" w:eastAsia="zh-CN"/>
        </w:rPr>
        <w:t>0.144</w:t>
      </w:r>
      <w:r>
        <w:rPr>
          <w:rFonts w:hint="default" w:ascii="Times New Roman" w:hAnsi="Times New Roman" w:cs="Times New Roman"/>
          <w:color w:val="auto"/>
          <w:kern w:val="0"/>
          <w:sz w:val="24"/>
          <w:highlight w:val="none"/>
        </w:rPr>
        <w:t xml:space="preserve">t/a、二氧化硫 </w:t>
      </w:r>
      <w:r>
        <w:rPr>
          <w:rFonts w:hint="default" w:ascii="Times New Roman" w:hAnsi="Times New Roman" w:cs="Times New Roman"/>
          <w:color w:val="auto"/>
          <w:kern w:val="0"/>
          <w:sz w:val="24"/>
          <w:highlight w:val="none"/>
          <w:lang w:val="en-US" w:eastAsia="zh-CN"/>
        </w:rPr>
        <w:t>0.006</w:t>
      </w:r>
      <w:r>
        <w:rPr>
          <w:rFonts w:hint="default" w:ascii="Times New Roman" w:hAnsi="Times New Roman" w:cs="Times New Roman"/>
          <w:color w:val="auto"/>
          <w:kern w:val="0"/>
          <w:sz w:val="24"/>
          <w:highlight w:val="none"/>
        </w:rPr>
        <w:t xml:space="preserve">t/a、氮氧化物 </w:t>
      </w:r>
      <w:r>
        <w:rPr>
          <w:rFonts w:hint="default" w:ascii="Times New Roman" w:hAnsi="Times New Roman" w:cs="Times New Roman"/>
          <w:color w:val="auto"/>
          <w:kern w:val="0"/>
          <w:sz w:val="24"/>
          <w:highlight w:val="none"/>
          <w:lang w:val="en-US" w:eastAsia="zh-CN"/>
        </w:rPr>
        <w:t>0.685</w:t>
      </w:r>
      <w:r>
        <w:rPr>
          <w:rFonts w:hint="default" w:ascii="Times New Roman" w:hAnsi="Times New Roman" w:cs="Times New Roman"/>
          <w:color w:val="auto"/>
          <w:kern w:val="0"/>
          <w:sz w:val="24"/>
          <w:highlight w:val="none"/>
        </w:rPr>
        <w:t>t/a，排放速率为颗粒物</w:t>
      </w:r>
      <w:r>
        <w:rPr>
          <w:rFonts w:hint="default" w:ascii="Times New Roman" w:hAnsi="Times New Roman" w:cs="Times New Roman"/>
          <w:color w:val="auto"/>
          <w:kern w:val="0"/>
          <w:sz w:val="24"/>
          <w:highlight w:val="none"/>
          <w:lang w:val="en-US" w:eastAsia="zh-CN"/>
        </w:rPr>
        <w:t>0.33</w:t>
      </w:r>
      <w:r>
        <w:rPr>
          <w:rFonts w:hint="default" w:ascii="Times New Roman" w:hAnsi="Times New Roman" w:cs="Times New Roman"/>
          <w:color w:val="auto"/>
          <w:kern w:val="0"/>
          <w:sz w:val="24"/>
          <w:highlight w:val="none"/>
        </w:rPr>
        <w:t xml:space="preserve">kg/h、二氧化硫 </w:t>
      </w:r>
      <w:r>
        <w:rPr>
          <w:rFonts w:hint="default" w:ascii="Times New Roman" w:hAnsi="Times New Roman" w:cs="Times New Roman"/>
          <w:color w:val="auto"/>
          <w:kern w:val="0"/>
          <w:sz w:val="24"/>
          <w:highlight w:val="none"/>
          <w:lang w:val="en-US" w:eastAsia="zh-CN"/>
        </w:rPr>
        <w:t>0.014</w:t>
      </w:r>
      <w:r>
        <w:rPr>
          <w:rFonts w:hint="default" w:ascii="Times New Roman" w:hAnsi="Times New Roman" w:cs="Times New Roman"/>
          <w:color w:val="auto"/>
          <w:kern w:val="0"/>
          <w:sz w:val="24"/>
          <w:highlight w:val="none"/>
        </w:rPr>
        <w:t xml:space="preserve">kg/h、氮氧化物 </w:t>
      </w:r>
      <w:r>
        <w:rPr>
          <w:rFonts w:hint="default" w:ascii="Times New Roman" w:hAnsi="Times New Roman" w:cs="Times New Roman"/>
          <w:color w:val="auto"/>
          <w:kern w:val="0"/>
          <w:sz w:val="24"/>
          <w:highlight w:val="none"/>
          <w:lang w:val="en-US" w:eastAsia="zh-CN"/>
        </w:rPr>
        <w:t>1.568</w:t>
      </w:r>
      <w:r>
        <w:rPr>
          <w:rFonts w:hint="default" w:ascii="Times New Roman" w:hAnsi="Times New Roman" w:cs="Times New Roman"/>
          <w:color w:val="auto"/>
          <w:kern w:val="0"/>
          <w:sz w:val="24"/>
          <w:highlight w:val="none"/>
        </w:rPr>
        <w:t xml:space="preserve">kg/h，颗粒物排放浓度 </w:t>
      </w:r>
      <w:r>
        <w:rPr>
          <w:rFonts w:hint="default" w:ascii="Times New Roman" w:hAnsi="Times New Roman" w:cs="Times New Roman"/>
          <w:color w:val="auto"/>
          <w:kern w:val="0"/>
          <w:sz w:val="24"/>
          <w:highlight w:val="none"/>
          <w:lang w:val="en-US" w:eastAsia="zh-CN"/>
        </w:rPr>
        <w:t>25.05</w:t>
      </w:r>
      <w:r>
        <w:rPr>
          <w:rFonts w:hint="default" w:ascii="Times New Roman" w:hAnsi="Times New Roman" w:cs="Times New Roman"/>
          <w:color w:val="auto"/>
          <w:kern w:val="0"/>
          <w:sz w:val="24"/>
          <w:highlight w:val="none"/>
        </w:rPr>
        <w:t>mg/m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、二氧化硫</w:t>
      </w:r>
      <w:r>
        <w:rPr>
          <w:rFonts w:hint="default" w:ascii="Times New Roman" w:hAnsi="Times New Roman" w:cs="Times New Roman"/>
          <w:color w:val="auto"/>
          <w:kern w:val="0"/>
          <w:sz w:val="24"/>
          <w:highlight w:val="none"/>
          <w:lang w:val="en-US" w:eastAsia="zh-CN"/>
        </w:rPr>
        <w:t>1.04</w:t>
      </w:r>
      <w:r>
        <w:rPr>
          <w:rFonts w:hint="default" w:ascii="Times New Roman" w:hAnsi="Times New Roman" w:cs="Times New Roman"/>
          <w:color w:val="auto"/>
          <w:kern w:val="0"/>
          <w:sz w:val="24"/>
          <w:highlight w:val="none"/>
        </w:rPr>
        <w:t>mg/m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 xml:space="preserve">、氮氧化物 </w:t>
      </w:r>
      <w:r>
        <w:rPr>
          <w:rFonts w:hint="default" w:ascii="Times New Roman" w:hAnsi="Times New Roman" w:cs="Times New Roman"/>
          <w:color w:val="auto"/>
          <w:kern w:val="0"/>
          <w:sz w:val="24"/>
          <w:highlight w:val="none"/>
          <w:lang w:val="en-US" w:eastAsia="zh-CN"/>
        </w:rPr>
        <w:t>119.17</w:t>
      </w:r>
      <w:r>
        <w:rPr>
          <w:rFonts w:hint="default" w:ascii="Times New Roman" w:hAnsi="Times New Roman" w:cs="Times New Roman"/>
          <w:color w:val="auto"/>
          <w:kern w:val="0"/>
          <w:sz w:val="24"/>
          <w:highlight w:val="none"/>
        </w:rPr>
        <w:t>mg/m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，污染物排放满足《大气污染物综合排放标准》（GB16297-1996）表 2 中二级标准要求</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sz w:val="24"/>
          <w:highlight w:val="none"/>
        </w:rPr>
        <w:t>对外环境影响较小</w:t>
      </w:r>
      <w:r>
        <w:rPr>
          <w:rFonts w:hint="default" w:ascii="Times New Roman" w:hAnsi="Times New Roman" w:cs="Times New Roman"/>
          <w:color w:val="auto"/>
          <w:kern w:val="0"/>
          <w:sz w:val="24"/>
          <w:highlight w:val="none"/>
          <w:lang w:bidi="ar"/>
        </w:rPr>
        <w:t>。</w:t>
      </w:r>
    </w:p>
    <w:p w14:paraId="6C6B6C3B">
      <w:pPr>
        <w:spacing w:line="500" w:lineRule="exact"/>
        <w:ind w:left="420" w:left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rPr>
        <w:t>）导热油炉烟气</w:t>
      </w:r>
    </w:p>
    <w:p w14:paraId="62AD6757">
      <w:pPr>
        <w:spacing w:line="500" w:lineRule="exact"/>
        <w:ind w:firstLine="480" w:firstLineChars="200"/>
        <w:rPr>
          <w:rFonts w:hint="default" w:ascii="Times New Roman" w:hAnsi="Times New Roman" w:cs="Times New Roman"/>
          <w:bCs/>
          <w:color w:val="auto"/>
          <w:kern w:val="0"/>
          <w:sz w:val="24"/>
          <w:highlight w:val="none"/>
        </w:rPr>
      </w:pPr>
      <w:r>
        <w:rPr>
          <w:rFonts w:hint="default" w:ascii="Times New Roman" w:hAnsi="Times New Roman" w:cs="Times New Roman"/>
          <w:color w:val="auto"/>
          <w:kern w:val="0"/>
          <w:sz w:val="24"/>
          <w:highlight w:val="none"/>
        </w:rPr>
        <w:t>本项目用于加热沥青储罐的导热油炉以轻质柴油为燃料，烟气中的主要污染物为颗粒物、SO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、NO</w:t>
      </w:r>
      <w:r>
        <w:rPr>
          <w:rFonts w:hint="default" w:ascii="Times New Roman" w:hAnsi="Times New Roman" w:cs="Times New Roman"/>
          <w:color w:val="auto"/>
          <w:kern w:val="0"/>
          <w:sz w:val="24"/>
          <w:highlight w:val="none"/>
          <w:vertAlign w:val="subscript"/>
        </w:rPr>
        <w:t>X</w:t>
      </w:r>
      <w:r>
        <w:rPr>
          <w:rFonts w:hint="default" w:ascii="Times New Roman" w:hAnsi="Times New Roman" w:cs="Times New Roman"/>
          <w:color w:val="auto"/>
          <w:kern w:val="0"/>
          <w:sz w:val="24"/>
          <w:highlight w:val="none"/>
        </w:rPr>
        <w:t>。</w:t>
      </w:r>
      <w:r>
        <w:rPr>
          <w:rFonts w:hint="default" w:ascii="Times New Roman" w:hAnsi="Times New Roman" w:cs="Times New Roman"/>
          <w:bCs/>
          <w:color w:val="auto"/>
          <w:kern w:val="0"/>
          <w:sz w:val="24"/>
          <w:highlight w:val="none"/>
        </w:rPr>
        <w:t>根据《污染源源强核算技术指南 锅炉》（HJ991—2018），燃油锅炉颗粒物排放量按照类比法、产污系数法计算，因此本项目采用产污系数法计算本项目</w:t>
      </w:r>
      <w:r>
        <w:rPr>
          <w:rFonts w:hint="default" w:ascii="Times New Roman" w:hAnsi="Times New Roman" w:cs="Times New Roman"/>
          <w:color w:val="auto"/>
          <w:kern w:val="0"/>
          <w:sz w:val="24"/>
          <w:highlight w:val="none"/>
        </w:rPr>
        <w:t>导热油炉烟气中污染物</w:t>
      </w:r>
      <w:r>
        <w:rPr>
          <w:rFonts w:hint="default" w:ascii="Times New Roman" w:hAnsi="Times New Roman" w:cs="Times New Roman"/>
          <w:bCs/>
          <w:color w:val="auto"/>
          <w:kern w:val="0"/>
          <w:sz w:val="24"/>
          <w:highlight w:val="none"/>
        </w:rPr>
        <w:t>排放源强。</w:t>
      </w:r>
    </w:p>
    <w:p w14:paraId="2208DC75">
      <w:pPr>
        <w:spacing w:line="500" w:lineRule="exact"/>
        <w:ind w:firstLine="480" w:firstLineChars="200"/>
        <w:rPr>
          <w:rFonts w:hint="default" w:ascii="Times New Roman" w:hAnsi="Times New Roman" w:cs="Times New Roman"/>
          <w:bCs/>
          <w:color w:val="auto"/>
          <w:kern w:val="0"/>
          <w:sz w:val="24"/>
          <w:highlight w:val="none"/>
        </w:rPr>
      </w:pPr>
      <w:r>
        <w:rPr>
          <w:rFonts w:hint="default" w:ascii="Times New Roman" w:hAnsi="Times New Roman" w:cs="Times New Roman"/>
          <w:bCs/>
          <w:color w:val="auto"/>
          <w:kern w:val="0"/>
          <w:sz w:val="24"/>
          <w:highlight w:val="none"/>
        </w:rPr>
        <w:t>本项目导热油炉供热主要为沥青储罐加热将沥青加热至150～180℃</w:t>
      </w:r>
      <w:r>
        <w:rPr>
          <w:rFonts w:hint="default" w:ascii="Times New Roman" w:hAnsi="Times New Roman" w:cs="Times New Roman"/>
          <w:bCs/>
          <w:color w:val="auto"/>
          <w:kern w:val="0"/>
          <w:sz w:val="24"/>
          <w:highlight w:val="none"/>
          <w:lang w:val="en-US" w:eastAsia="zh-CN"/>
        </w:rPr>
        <w:t>使用</w:t>
      </w:r>
      <w:r>
        <w:rPr>
          <w:rFonts w:hint="default" w:ascii="Times New Roman" w:hAnsi="Times New Roman" w:cs="Times New Roman"/>
          <w:bCs/>
          <w:color w:val="auto"/>
          <w:kern w:val="0"/>
          <w:sz w:val="24"/>
          <w:highlight w:val="none"/>
        </w:rPr>
        <w:t>，</w:t>
      </w:r>
      <w:r>
        <w:rPr>
          <w:rFonts w:hint="default" w:ascii="Times New Roman" w:hAnsi="Times New Roman" w:cs="Times New Roman"/>
          <w:bCs/>
          <w:color w:val="auto"/>
          <w:kern w:val="0"/>
          <w:sz w:val="24"/>
          <w:highlight w:val="none"/>
          <w:lang w:val="en-US" w:eastAsia="zh-CN"/>
        </w:rPr>
        <w:t>本项目运至厂内沥青温度为110℃，需加热至</w:t>
      </w:r>
      <w:r>
        <w:rPr>
          <w:rFonts w:hint="default" w:ascii="Times New Roman" w:hAnsi="Times New Roman" w:cs="Times New Roman"/>
          <w:bCs/>
          <w:color w:val="auto"/>
          <w:kern w:val="0"/>
          <w:sz w:val="24"/>
          <w:highlight w:val="none"/>
        </w:rPr>
        <w:t>150～180℃</w:t>
      </w:r>
      <w:r>
        <w:rPr>
          <w:rFonts w:hint="default" w:ascii="Times New Roman" w:hAnsi="Times New Roman" w:cs="Times New Roman"/>
          <w:bCs/>
          <w:color w:val="auto"/>
          <w:kern w:val="0"/>
          <w:sz w:val="24"/>
          <w:highlight w:val="none"/>
          <w:lang w:val="en-US" w:eastAsia="zh-CN"/>
        </w:rPr>
        <w:t>使用，剩余沥青在保温罐内贮存温度逐渐降低，最低可降至约为25℃，降温后沥青再次使用前则需重新加热。本项目沥青用量为4020t，沥青比热容为2.04kJ/(㎏·℃)，则本项目沥青加热、保温所需热量为1845180MJ，</w:t>
      </w:r>
      <w:r>
        <w:rPr>
          <w:rFonts w:hint="default" w:ascii="Times New Roman" w:hAnsi="Times New Roman" w:cs="Times New Roman"/>
          <w:bCs/>
          <w:color w:val="auto"/>
          <w:kern w:val="0"/>
          <w:sz w:val="24"/>
          <w:highlight w:val="none"/>
        </w:rPr>
        <w:t>本项目导热油炉满负荷运行发热量为</w:t>
      </w:r>
      <w:r>
        <w:rPr>
          <w:rFonts w:hint="default" w:ascii="Times New Roman" w:hAnsi="Times New Roman" w:cs="Times New Roman"/>
          <w:bCs/>
          <w:color w:val="auto"/>
          <w:kern w:val="0"/>
          <w:sz w:val="24"/>
          <w:highlight w:val="none"/>
          <w:lang w:val="en-US" w:eastAsia="zh-CN"/>
        </w:rPr>
        <w:t>10</w:t>
      </w:r>
      <w:r>
        <w:rPr>
          <w:rFonts w:hint="default" w:ascii="Times New Roman" w:hAnsi="Times New Roman" w:cs="Times New Roman"/>
          <w:bCs/>
          <w:color w:val="auto"/>
          <w:kern w:val="0"/>
          <w:sz w:val="24"/>
          <w:highlight w:val="none"/>
        </w:rPr>
        <w:t>0万kcal/h，根据《综合能耗计算通则》（GB</w:t>
      </w:r>
      <w:r>
        <w:rPr>
          <w:rFonts w:hint="default" w:ascii="Times New Roman" w:hAnsi="Times New Roman" w:cs="Times New Roman"/>
          <w:bCs/>
          <w:color w:val="auto"/>
          <w:kern w:val="0"/>
          <w:sz w:val="24"/>
          <w:highlight w:val="none"/>
          <w:lang w:val="en-US" w:eastAsia="zh-CN"/>
        </w:rPr>
        <w:t>/</w:t>
      </w:r>
      <w:r>
        <w:rPr>
          <w:rFonts w:hint="default" w:ascii="Times New Roman" w:hAnsi="Times New Roman" w:cs="Times New Roman"/>
          <w:bCs/>
          <w:color w:val="auto"/>
          <w:kern w:val="0"/>
          <w:sz w:val="24"/>
          <w:highlight w:val="none"/>
        </w:rPr>
        <w:t>T2589-2020），柴油低位发热量为42705KJ/kg（10200kcal/kg），1千卡（kcal）=4.186千焦（kJ），导热油炉热效率按90%计，则本项目导热油炉的燃料消耗量为</w:t>
      </w:r>
      <w:r>
        <w:rPr>
          <w:rFonts w:hint="default" w:ascii="Times New Roman" w:hAnsi="Times New Roman" w:cs="Times New Roman"/>
          <w:bCs/>
          <w:color w:val="auto"/>
          <w:kern w:val="0"/>
          <w:sz w:val="24"/>
          <w:highlight w:val="none"/>
          <w:lang w:val="en-US" w:eastAsia="zh-CN"/>
        </w:rPr>
        <w:t>48.01t</w:t>
      </w:r>
      <w:r>
        <w:rPr>
          <w:rFonts w:hint="default" w:ascii="Times New Roman" w:hAnsi="Times New Roman" w:cs="Times New Roman"/>
          <w:bCs/>
          <w:color w:val="auto"/>
          <w:kern w:val="0"/>
          <w:sz w:val="24"/>
          <w:highlight w:val="none"/>
        </w:rPr>
        <w:t>/a。</w:t>
      </w:r>
    </w:p>
    <w:p w14:paraId="3C88F265">
      <w:pPr>
        <w:spacing w:line="500" w:lineRule="exact"/>
        <w:ind w:firstLine="480" w:firstLineChars="200"/>
        <w:rPr>
          <w:rFonts w:hint="default" w:ascii="Times New Roman" w:hAnsi="Times New Roman" w:cs="Times New Roman"/>
          <w:snapToGrid w:val="0"/>
          <w:color w:val="auto"/>
          <w:kern w:val="0"/>
          <w:highlight w:val="none"/>
        </w:rPr>
      </w:pPr>
      <w:r>
        <w:rPr>
          <w:rFonts w:hint="default" w:ascii="Times New Roman" w:hAnsi="Times New Roman" w:cs="Times New Roman"/>
          <w:bCs/>
          <w:color w:val="auto"/>
          <w:kern w:val="0"/>
          <w:sz w:val="24"/>
          <w:highlight w:val="none"/>
        </w:rPr>
        <w:t>根据《污染源源强核算技术指南 准则》（HJ884—2018）中，3.11产污系数法计算本项目</w:t>
      </w:r>
      <w:r>
        <w:rPr>
          <w:rFonts w:hint="default" w:ascii="Times New Roman" w:hAnsi="Times New Roman" w:cs="Times New Roman"/>
          <w:color w:val="auto"/>
          <w:kern w:val="0"/>
          <w:sz w:val="24"/>
          <w:highlight w:val="none"/>
        </w:rPr>
        <w:t>燃油废气中污染物</w:t>
      </w:r>
      <w:r>
        <w:rPr>
          <w:rFonts w:hint="default" w:ascii="Times New Roman" w:hAnsi="Times New Roman" w:cs="Times New Roman"/>
          <w:bCs/>
          <w:color w:val="auto"/>
          <w:kern w:val="0"/>
          <w:sz w:val="24"/>
          <w:highlight w:val="none"/>
        </w:rPr>
        <w:t>排放源强。</w:t>
      </w:r>
      <w:r>
        <w:rPr>
          <w:rFonts w:hint="default" w:ascii="Times New Roman" w:hAnsi="Times New Roman" w:cs="Times New Roman"/>
          <w:color w:val="auto"/>
          <w:kern w:val="0"/>
          <w:sz w:val="24"/>
          <w:highlight w:val="none"/>
        </w:rPr>
        <w:t>颗粒物、SO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、NO</w:t>
      </w:r>
      <w:r>
        <w:rPr>
          <w:rFonts w:hint="default" w:ascii="Times New Roman" w:hAnsi="Times New Roman" w:cs="Times New Roman"/>
          <w:color w:val="auto"/>
          <w:kern w:val="0"/>
          <w:sz w:val="24"/>
          <w:highlight w:val="none"/>
          <w:vertAlign w:val="subscript"/>
        </w:rPr>
        <w:t>X</w:t>
      </w:r>
      <w:r>
        <w:rPr>
          <w:rFonts w:hint="default" w:ascii="Times New Roman" w:hAnsi="Times New Roman" w:cs="Times New Roman"/>
          <w:snapToGrid w:val="0"/>
          <w:color w:val="auto"/>
          <w:kern w:val="0"/>
          <w:sz w:val="24"/>
          <w:highlight w:val="none"/>
        </w:rPr>
        <w:t>和工业废气量参照</w:t>
      </w:r>
      <w:r>
        <w:rPr>
          <w:rFonts w:hint="default" w:ascii="Times New Roman" w:hAnsi="Times New Roman" w:cs="Times New Roman"/>
          <w:bCs/>
          <w:color w:val="auto"/>
          <w:kern w:val="0"/>
          <w:sz w:val="24"/>
          <w:highlight w:val="none"/>
        </w:rPr>
        <w:t>《排放源统计调查产排污核算方法和系数手册》</w:t>
      </w:r>
      <w:r>
        <w:rPr>
          <w:rFonts w:hint="default" w:ascii="Times New Roman" w:hAnsi="Times New Roman" w:cs="Times New Roman"/>
          <w:snapToGrid w:val="0"/>
          <w:color w:val="auto"/>
          <w:kern w:val="0"/>
          <w:sz w:val="24"/>
          <w:highlight w:val="none"/>
        </w:rPr>
        <w:t>中“工业行业产排污系数手册”中4430工业锅炉（热力供应）行业系数手册计算；</w:t>
      </w:r>
      <w:r>
        <w:rPr>
          <w:rFonts w:hint="default" w:ascii="Times New Roman" w:hAnsi="Times New Roman" w:cs="Times New Roman"/>
          <w:snapToGrid w:val="0"/>
          <w:color w:val="auto"/>
          <w:kern w:val="0"/>
          <w:sz w:val="24"/>
          <w:highlight w:val="none"/>
          <w:lang w:val="en-US" w:eastAsia="zh-CN"/>
        </w:rPr>
        <w:t>设备用柴油无明确行业标准，</w:t>
      </w:r>
      <w:r>
        <w:rPr>
          <w:rFonts w:hint="default" w:ascii="Times New Roman" w:hAnsi="Times New Roman" w:cs="Times New Roman"/>
          <w:snapToGrid w:val="0"/>
          <w:color w:val="auto"/>
          <w:kern w:val="0"/>
          <w:sz w:val="24"/>
          <w:highlight w:val="none"/>
        </w:rPr>
        <w:t>企业用轻质柴油</w:t>
      </w:r>
      <w:r>
        <w:rPr>
          <w:rFonts w:hint="default" w:ascii="Times New Roman" w:hAnsi="Times New Roman" w:cs="Times New Roman"/>
          <w:snapToGrid w:val="0"/>
          <w:color w:val="auto"/>
          <w:kern w:val="0"/>
          <w:sz w:val="24"/>
          <w:highlight w:val="none"/>
          <w:lang w:val="en-US" w:eastAsia="zh-CN"/>
        </w:rPr>
        <w:t>需满足</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车用</w:t>
      </w:r>
      <w:r>
        <w:rPr>
          <w:rFonts w:hint="default" w:ascii="Times New Roman" w:hAnsi="Times New Roman" w:cs="Times New Roman"/>
          <w:color w:val="auto"/>
          <w:kern w:val="0"/>
          <w:sz w:val="24"/>
          <w:highlight w:val="none"/>
        </w:rPr>
        <w:t>柴油》（GB</w:t>
      </w:r>
      <w:r>
        <w:rPr>
          <w:rFonts w:hint="default" w:ascii="Times New Roman" w:hAnsi="Times New Roman" w:cs="Times New Roman"/>
          <w:color w:val="auto"/>
          <w:kern w:val="0"/>
          <w:sz w:val="24"/>
          <w:highlight w:val="none"/>
          <w:lang w:val="en-US" w:eastAsia="zh-CN"/>
        </w:rPr>
        <w:t>19147</w:t>
      </w:r>
      <w:r>
        <w:rPr>
          <w:rFonts w:hint="default" w:ascii="Times New Roman" w:hAnsi="Times New Roman" w:cs="Times New Roman"/>
          <w:color w:val="auto"/>
          <w:kern w:val="0"/>
          <w:sz w:val="24"/>
          <w:highlight w:val="none"/>
        </w:rPr>
        <w:t>-201</w:t>
      </w:r>
      <w:r>
        <w:rPr>
          <w:rFonts w:hint="default" w:ascii="Times New Roman" w:hAnsi="Times New Roman" w:cs="Times New Roman"/>
          <w:color w:val="auto"/>
          <w:kern w:val="0"/>
          <w:sz w:val="24"/>
          <w:highlight w:val="none"/>
          <w:lang w:val="en-US" w:eastAsia="zh-CN"/>
        </w:rPr>
        <w:t>6</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中国VI、国V</w:t>
      </w:r>
      <w:r>
        <w:rPr>
          <w:rFonts w:hint="default" w:ascii="Times New Roman" w:hAnsi="Times New Roman" w:cs="Times New Roman"/>
          <w:color w:val="auto"/>
          <w:sz w:val="24"/>
          <w:highlight w:val="none"/>
          <w:lang w:val="en-US" w:eastAsia="zh-CN"/>
        </w:rPr>
        <w:t>中硫含量，</w:t>
      </w:r>
      <w:r>
        <w:rPr>
          <w:rFonts w:hint="default" w:ascii="Times New Roman" w:hAnsi="Times New Roman" w:cs="Times New Roman"/>
          <w:snapToGrid w:val="0"/>
          <w:color w:val="auto"/>
          <w:kern w:val="0"/>
          <w:sz w:val="24"/>
          <w:highlight w:val="none"/>
        </w:rPr>
        <w:t>柴油硫含量≤10mg/kg（即含硫量为0.001%）</w:t>
      </w:r>
      <w:r>
        <w:rPr>
          <w:rFonts w:hint="default" w:ascii="Times New Roman" w:hAnsi="Times New Roman" w:cs="Times New Roman"/>
          <w:snapToGrid w:val="0"/>
          <w:color w:val="auto"/>
          <w:kern w:val="0"/>
          <w:sz w:val="24"/>
          <w:highlight w:val="none"/>
          <w:lang w:val="en-US" w:eastAsia="zh-CN"/>
        </w:rPr>
        <w:t>,</w:t>
      </w:r>
      <w:r>
        <w:rPr>
          <w:rFonts w:hint="default" w:ascii="Times New Roman" w:hAnsi="Times New Roman" w:cs="Times New Roman"/>
          <w:snapToGrid w:val="0"/>
          <w:color w:val="auto"/>
          <w:kern w:val="0"/>
          <w:sz w:val="24"/>
          <w:highlight w:val="none"/>
        </w:rPr>
        <w:t>本评价轻柴油中含硫量(S%)按 0.0</w:t>
      </w:r>
      <w:r>
        <w:rPr>
          <w:rFonts w:hint="default" w:ascii="Times New Roman" w:hAnsi="Times New Roman" w:cs="Times New Roman"/>
          <w:snapToGrid w:val="0"/>
          <w:color w:val="auto"/>
          <w:kern w:val="0"/>
          <w:sz w:val="24"/>
          <w:highlight w:val="none"/>
          <w:lang w:val="en-US" w:eastAsia="zh-CN"/>
        </w:rPr>
        <w:t>01</w:t>
      </w:r>
      <w:r>
        <w:rPr>
          <w:rFonts w:hint="default" w:ascii="Times New Roman" w:hAnsi="Times New Roman" w:cs="Times New Roman"/>
          <w:snapToGrid w:val="0"/>
          <w:color w:val="auto"/>
          <w:kern w:val="0"/>
          <w:sz w:val="24"/>
          <w:highlight w:val="none"/>
        </w:rPr>
        <w:t>%计算，则S=0.0</w:t>
      </w:r>
      <w:r>
        <w:rPr>
          <w:rFonts w:hint="default" w:ascii="Times New Roman" w:hAnsi="Times New Roman" w:cs="Times New Roman"/>
          <w:snapToGrid w:val="0"/>
          <w:color w:val="auto"/>
          <w:kern w:val="0"/>
          <w:sz w:val="24"/>
          <w:highlight w:val="none"/>
          <w:lang w:val="en-US" w:eastAsia="zh-CN"/>
        </w:rPr>
        <w:t>01</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本项目采用低氮燃烧技术</w:t>
      </w:r>
      <w:r>
        <w:rPr>
          <w:rFonts w:hint="default" w:ascii="Times New Roman" w:hAnsi="Times New Roman" w:cs="Times New Roman"/>
          <w:color w:val="auto"/>
          <w:sz w:val="24"/>
          <w:highlight w:val="none"/>
          <w:lang w:val="en-US" w:eastAsia="zh-CN"/>
        </w:rPr>
        <w:t>减少30%NOx生成</w:t>
      </w:r>
      <w:r>
        <w:rPr>
          <w:rFonts w:hint="default" w:ascii="Times New Roman" w:hAnsi="Times New Roman" w:cs="Times New Roman"/>
          <w:color w:val="auto"/>
          <w:kern w:val="0"/>
          <w:sz w:val="24"/>
          <w:highlight w:val="none"/>
          <w:lang w:val="en-US" w:eastAsia="zh-CN"/>
        </w:rPr>
        <w:t>，</w:t>
      </w:r>
      <w:r>
        <w:rPr>
          <w:rFonts w:hint="default" w:ascii="Times New Roman" w:hAnsi="Times New Roman" w:cs="Times New Roman"/>
          <w:color w:val="auto"/>
          <w:kern w:val="0"/>
          <w:sz w:val="24"/>
          <w:highlight w:val="none"/>
        </w:rPr>
        <w:t>本项目</w:t>
      </w:r>
      <w:r>
        <w:rPr>
          <w:rFonts w:hint="default" w:ascii="Times New Roman" w:hAnsi="Times New Roman" w:cs="Times New Roman"/>
          <w:color w:val="auto"/>
          <w:kern w:val="0"/>
          <w:sz w:val="24"/>
          <w:highlight w:val="none"/>
          <w:lang w:val="en-US" w:eastAsia="zh-CN"/>
        </w:rPr>
        <w:t>导热油炉</w:t>
      </w:r>
      <w:r>
        <w:rPr>
          <w:rFonts w:hint="default" w:ascii="Times New Roman" w:hAnsi="Times New Roman" w:cs="Times New Roman"/>
          <w:color w:val="auto"/>
          <w:kern w:val="0"/>
          <w:sz w:val="24"/>
          <w:highlight w:val="none"/>
        </w:rPr>
        <w:t>年运行</w:t>
      </w:r>
      <w:r>
        <w:rPr>
          <w:rFonts w:hint="default" w:ascii="Times New Roman" w:hAnsi="Times New Roman" w:cs="Times New Roman"/>
          <w:color w:val="auto"/>
          <w:kern w:val="0"/>
          <w:sz w:val="24"/>
          <w:highlight w:val="none"/>
          <w:lang w:val="en-US" w:eastAsia="zh-CN"/>
        </w:rPr>
        <w:t>800</w:t>
      </w:r>
      <w:r>
        <w:rPr>
          <w:rFonts w:hint="default" w:ascii="Times New Roman" w:hAnsi="Times New Roman" w:cs="Times New Roman"/>
          <w:color w:val="auto"/>
          <w:kern w:val="0"/>
          <w:sz w:val="24"/>
          <w:highlight w:val="none"/>
        </w:rPr>
        <w:t>h</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折合满负荷运行441h，</w:t>
      </w:r>
      <w:r>
        <w:rPr>
          <w:rFonts w:hint="default" w:ascii="Times New Roman" w:hAnsi="Times New Roman" w:cs="Times New Roman"/>
          <w:color w:val="auto"/>
          <w:kern w:val="0"/>
          <w:sz w:val="24"/>
          <w:highlight w:val="none"/>
        </w:rPr>
        <w:t>本项目</w:t>
      </w:r>
      <w:r>
        <w:rPr>
          <w:rFonts w:hint="default" w:ascii="Times New Roman" w:hAnsi="Times New Roman" w:cs="Times New Roman"/>
          <w:color w:val="auto"/>
          <w:kern w:val="0"/>
          <w:sz w:val="24"/>
          <w:highlight w:val="none"/>
          <w:lang w:val="en-US" w:eastAsia="zh-CN"/>
        </w:rPr>
        <w:t>导热油炉</w:t>
      </w:r>
      <w:r>
        <w:rPr>
          <w:rFonts w:hint="default" w:ascii="Times New Roman" w:hAnsi="Times New Roman" w:cs="Times New Roman"/>
          <w:color w:val="auto"/>
          <w:kern w:val="0"/>
          <w:sz w:val="24"/>
          <w:highlight w:val="none"/>
        </w:rPr>
        <w:t>废气中</w:t>
      </w:r>
      <w:r>
        <w:rPr>
          <w:rFonts w:hint="default" w:ascii="Times New Roman" w:hAnsi="Times New Roman" w:cs="Times New Roman"/>
          <w:snapToGrid w:val="0"/>
          <w:color w:val="auto"/>
          <w:kern w:val="0"/>
          <w:sz w:val="24"/>
          <w:highlight w:val="none"/>
        </w:rPr>
        <w:t>污染物产排污情况见下表。</w:t>
      </w:r>
    </w:p>
    <w:p w14:paraId="3F15EEF7">
      <w:pPr>
        <w:widowControl/>
        <w:adjustRightInd w:val="0"/>
        <w:snapToGrid w:val="0"/>
        <w:spacing w:line="400" w:lineRule="exact"/>
        <w:jc w:val="center"/>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表2-7 污染物产排污系数表</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5"/>
        <w:gridCol w:w="2983"/>
        <w:gridCol w:w="1181"/>
        <w:gridCol w:w="2160"/>
      </w:tblGrid>
      <w:tr w14:paraId="7C1AA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vAlign w:val="center"/>
          </w:tcPr>
          <w:p w14:paraId="195882A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污染物指标</w:t>
            </w:r>
          </w:p>
        </w:tc>
        <w:tc>
          <w:tcPr>
            <w:tcW w:w="1750" w:type="pct"/>
            <w:vAlign w:val="center"/>
          </w:tcPr>
          <w:p w14:paraId="3D8F75A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单位</w:t>
            </w:r>
          </w:p>
        </w:tc>
        <w:tc>
          <w:tcPr>
            <w:tcW w:w="693" w:type="pct"/>
            <w:vAlign w:val="center"/>
          </w:tcPr>
          <w:p w14:paraId="58B2EA7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产污系数</w:t>
            </w:r>
          </w:p>
        </w:tc>
        <w:tc>
          <w:tcPr>
            <w:tcW w:w="1267" w:type="pct"/>
            <w:vAlign w:val="center"/>
          </w:tcPr>
          <w:p w14:paraId="60E071B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产生量</w:t>
            </w:r>
          </w:p>
          <w:p w14:paraId="3348293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（t/a）</w:t>
            </w:r>
          </w:p>
        </w:tc>
      </w:tr>
      <w:tr w14:paraId="75017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vAlign w:val="center"/>
          </w:tcPr>
          <w:p w14:paraId="1837F7D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工业废气量</w:t>
            </w:r>
          </w:p>
        </w:tc>
        <w:tc>
          <w:tcPr>
            <w:tcW w:w="1750" w:type="pct"/>
            <w:vAlign w:val="center"/>
          </w:tcPr>
          <w:p w14:paraId="6D97F59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标立方米/吨-原料</w:t>
            </w:r>
          </w:p>
        </w:tc>
        <w:tc>
          <w:tcPr>
            <w:tcW w:w="693" w:type="pct"/>
            <w:vAlign w:val="center"/>
          </w:tcPr>
          <w:p w14:paraId="73AD702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17804</w:t>
            </w:r>
          </w:p>
        </w:tc>
        <w:tc>
          <w:tcPr>
            <w:tcW w:w="1267" w:type="pct"/>
            <w:vAlign w:val="center"/>
          </w:tcPr>
          <w:p w14:paraId="685FD88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854770</w:t>
            </w:r>
            <w:r>
              <w:rPr>
                <w:rFonts w:hint="default" w:ascii="Times New Roman" w:hAnsi="Times New Roman" w:cs="Times New Roman"/>
                <w:color w:val="auto"/>
                <w:kern w:val="0"/>
                <w:szCs w:val="21"/>
                <w:highlight w:val="none"/>
              </w:rPr>
              <w:t>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/a</w:t>
            </w:r>
          </w:p>
        </w:tc>
      </w:tr>
      <w:tr w14:paraId="1344D6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shd w:val="clear" w:color="auto" w:fill="auto"/>
            <w:vAlign w:val="center"/>
          </w:tcPr>
          <w:p w14:paraId="4B3CFA7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颗粒物</w:t>
            </w:r>
          </w:p>
        </w:tc>
        <w:tc>
          <w:tcPr>
            <w:tcW w:w="1750" w:type="pct"/>
            <w:shd w:val="clear" w:color="auto" w:fill="auto"/>
            <w:vAlign w:val="center"/>
          </w:tcPr>
          <w:p w14:paraId="09D548A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克/千克-原料</w:t>
            </w:r>
          </w:p>
        </w:tc>
        <w:tc>
          <w:tcPr>
            <w:tcW w:w="693" w:type="pct"/>
            <w:vAlign w:val="center"/>
          </w:tcPr>
          <w:p w14:paraId="0B76A16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0.26</w:t>
            </w:r>
          </w:p>
        </w:tc>
        <w:tc>
          <w:tcPr>
            <w:tcW w:w="1267" w:type="pct"/>
            <w:vAlign w:val="center"/>
          </w:tcPr>
          <w:p w14:paraId="20455199">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0.012</w:t>
            </w:r>
          </w:p>
        </w:tc>
      </w:tr>
      <w:tr w14:paraId="42891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shd w:val="clear" w:color="auto" w:fill="auto"/>
            <w:vAlign w:val="center"/>
          </w:tcPr>
          <w:p w14:paraId="4C3253E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二氧化硫</w:t>
            </w:r>
          </w:p>
        </w:tc>
        <w:tc>
          <w:tcPr>
            <w:tcW w:w="1750" w:type="pct"/>
            <w:shd w:val="clear" w:color="auto" w:fill="auto"/>
            <w:vAlign w:val="center"/>
          </w:tcPr>
          <w:p w14:paraId="66DBDF4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千克/吨-原料</w:t>
            </w:r>
          </w:p>
        </w:tc>
        <w:tc>
          <w:tcPr>
            <w:tcW w:w="693" w:type="pct"/>
            <w:shd w:val="clear" w:color="auto" w:fill="auto"/>
            <w:vAlign w:val="center"/>
          </w:tcPr>
          <w:p w14:paraId="68DAD5D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19S</w:t>
            </w:r>
          </w:p>
        </w:tc>
        <w:tc>
          <w:tcPr>
            <w:tcW w:w="1267" w:type="pct"/>
            <w:vAlign w:val="center"/>
          </w:tcPr>
          <w:p w14:paraId="173AE248">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0.001</w:t>
            </w:r>
          </w:p>
        </w:tc>
      </w:tr>
      <w:tr w14:paraId="39BCCC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8" w:type="pct"/>
            <w:shd w:val="clear" w:color="auto" w:fill="auto"/>
            <w:vAlign w:val="center"/>
          </w:tcPr>
          <w:p w14:paraId="2D6CC90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氮氧化物</w:t>
            </w:r>
          </w:p>
        </w:tc>
        <w:tc>
          <w:tcPr>
            <w:tcW w:w="1750" w:type="pct"/>
            <w:shd w:val="clear" w:color="auto" w:fill="auto"/>
            <w:vAlign w:val="center"/>
          </w:tcPr>
          <w:p w14:paraId="65C94BA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千克/吨-原料</w:t>
            </w:r>
          </w:p>
        </w:tc>
        <w:tc>
          <w:tcPr>
            <w:tcW w:w="693" w:type="pct"/>
            <w:vAlign w:val="center"/>
          </w:tcPr>
          <w:p w14:paraId="6F51ECD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3.03</w:t>
            </w:r>
          </w:p>
        </w:tc>
        <w:tc>
          <w:tcPr>
            <w:tcW w:w="1267" w:type="pct"/>
            <w:vAlign w:val="center"/>
          </w:tcPr>
          <w:p w14:paraId="5A49701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0.102</w:t>
            </w:r>
          </w:p>
        </w:tc>
      </w:tr>
    </w:tbl>
    <w:p w14:paraId="47A49BCE">
      <w:pPr>
        <w:pStyle w:val="63"/>
        <w:widowControl/>
        <w:spacing w:line="500" w:lineRule="exact"/>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本项目燃气导热油炉废气经</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m高排气筒排放，</w:t>
      </w:r>
      <w:r>
        <w:rPr>
          <w:rFonts w:hint="default" w:ascii="Times New Roman" w:hAnsi="Times New Roman" w:cs="Times New Roman"/>
          <w:color w:val="auto"/>
          <w:highlight w:val="none"/>
          <w:lang w:val="en-US" w:eastAsia="zh-CN"/>
        </w:rPr>
        <w:t>柴油</w:t>
      </w:r>
      <w:r>
        <w:rPr>
          <w:rFonts w:hint="default" w:ascii="Times New Roman" w:hAnsi="Times New Roman" w:cs="Times New Roman"/>
          <w:color w:val="auto"/>
          <w:highlight w:val="none"/>
        </w:rPr>
        <w:t>消耗量为</w:t>
      </w:r>
      <w:r>
        <w:rPr>
          <w:rFonts w:hint="default" w:ascii="Times New Roman" w:hAnsi="Times New Roman" w:cs="Times New Roman"/>
          <w:color w:val="auto"/>
          <w:highlight w:val="none"/>
          <w:lang w:val="en-US" w:eastAsia="zh-CN"/>
        </w:rPr>
        <w:t>48.01 t</w:t>
      </w:r>
      <w:r>
        <w:rPr>
          <w:rFonts w:hint="default" w:ascii="Times New Roman" w:hAnsi="Times New Roman" w:cs="Times New Roman"/>
          <w:color w:val="auto"/>
          <w:highlight w:val="none"/>
        </w:rPr>
        <w:t>/a，则烟气量为</w:t>
      </w:r>
      <w:r>
        <w:rPr>
          <w:rFonts w:hint="default" w:ascii="Times New Roman" w:hAnsi="Times New Roman" w:cs="Times New Roman"/>
          <w:color w:val="auto"/>
          <w:kern w:val="0"/>
          <w:szCs w:val="21"/>
          <w:highlight w:val="none"/>
          <w:lang w:val="en-US" w:eastAsia="zh-CN"/>
        </w:rPr>
        <w:t>854770</w:t>
      </w:r>
      <w:r>
        <w:rPr>
          <w:rFonts w:hint="default" w:ascii="Times New Roman" w:hAnsi="Times New Roman" w:cs="Times New Roman"/>
          <w:color w:val="auto"/>
          <w:highlight w:val="none"/>
        </w:rPr>
        <w:t>Nm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 xml:space="preserve">/a，则污染物排放量为颗粒物 </w:t>
      </w:r>
      <w:r>
        <w:rPr>
          <w:rFonts w:hint="default" w:ascii="Times New Roman" w:hAnsi="Times New Roman" w:cs="Times New Roman"/>
          <w:color w:val="auto"/>
          <w:highlight w:val="none"/>
          <w:lang w:val="en-US" w:eastAsia="zh-CN"/>
        </w:rPr>
        <w:t>0.012</w:t>
      </w:r>
      <w:r>
        <w:rPr>
          <w:rFonts w:hint="default" w:ascii="Times New Roman" w:hAnsi="Times New Roman" w:cs="Times New Roman"/>
          <w:color w:val="auto"/>
          <w:highlight w:val="none"/>
        </w:rPr>
        <w:t>t/a、二氧化硫</w:t>
      </w:r>
      <w:r>
        <w:rPr>
          <w:rFonts w:hint="default" w:ascii="Times New Roman" w:hAnsi="Times New Roman" w:cs="Times New Roman"/>
          <w:color w:val="auto"/>
          <w:highlight w:val="none"/>
          <w:lang w:val="en-US" w:eastAsia="zh-CN"/>
        </w:rPr>
        <w:t>0.001</w:t>
      </w:r>
      <w:r>
        <w:rPr>
          <w:rFonts w:hint="default" w:ascii="Times New Roman" w:hAnsi="Times New Roman" w:cs="Times New Roman"/>
          <w:color w:val="auto"/>
          <w:highlight w:val="none"/>
        </w:rPr>
        <w:t xml:space="preserve">t/a、氮氧化物 </w:t>
      </w:r>
      <w:r>
        <w:rPr>
          <w:rFonts w:hint="default" w:ascii="Times New Roman" w:hAnsi="Times New Roman" w:cs="Times New Roman"/>
          <w:color w:val="auto"/>
          <w:highlight w:val="none"/>
          <w:lang w:val="en-US" w:eastAsia="zh-CN"/>
        </w:rPr>
        <w:t>0.102</w:t>
      </w:r>
      <w:r>
        <w:rPr>
          <w:rFonts w:hint="default" w:ascii="Times New Roman" w:hAnsi="Times New Roman" w:cs="Times New Roman"/>
          <w:color w:val="auto"/>
          <w:highlight w:val="none"/>
        </w:rPr>
        <w:t xml:space="preserve">t/a，排放速率为颗粒物 </w:t>
      </w:r>
      <w:r>
        <w:rPr>
          <w:rFonts w:hint="default" w:ascii="Times New Roman" w:hAnsi="Times New Roman" w:cs="Times New Roman"/>
          <w:color w:val="auto"/>
          <w:highlight w:val="none"/>
          <w:lang w:val="en-US" w:eastAsia="zh-CN"/>
        </w:rPr>
        <w:t>0.027</w:t>
      </w:r>
      <w:r>
        <w:rPr>
          <w:rFonts w:hint="default" w:ascii="Times New Roman" w:hAnsi="Times New Roman" w:cs="Times New Roman"/>
          <w:color w:val="auto"/>
          <w:highlight w:val="none"/>
        </w:rPr>
        <w:t xml:space="preserve">kg/h、二氧化硫 </w:t>
      </w:r>
      <w:r>
        <w:rPr>
          <w:rFonts w:hint="default" w:ascii="Times New Roman" w:hAnsi="Times New Roman" w:cs="Times New Roman"/>
          <w:color w:val="auto"/>
          <w:highlight w:val="none"/>
          <w:lang w:val="en-US" w:eastAsia="zh-CN"/>
        </w:rPr>
        <w:t>0.002</w:t>
      </w:r>
      <w:r>
        <w:rPr>
          <w:rFonts w:hint="default" w:ascii="Times New Roman" w:hAnsi="Times New Roman" w:cs="Times New Roman"/>
          <w:color w:val="auto"/>
          <w:highlight w:val="none"/>
        </w:rPr>
        <w:t>kg/h、氮氧化物 0.</w:t>
      </w:r>
      <w:r>
        <w:rPr>
          <w:rFonts w:hint="default" w:ascii="Times New Roman" w:hAnsi="Times New Roman" w:cs="Times New Roman"/>
          <w:color w:val="auto"/>
          <w:highlight w:val="none"/>
          <w:lang w:val="en-US" w:eastAsia="zh-CN"/>
        </w:rPr>
        <w:t>231</w:t>
      </w:r>
      <w:r>
        <w:rPr>
          <w:rFonts w:hint="default" w:ascii="Times New Roman" w:hAnsi="Times New Roman" w:cs="Times New Roman"/>
          <w:color w:val="auto"/>
          <w:highlight w:val="none"/>
        </w:rPr>
        <w:t>kg/h，颗粒物排放浓度 1</w:t>
      </w:r>
      <w:r>
        <w:rPr>
          <w:rFonts w:hint="default" w:ascii="Times New Roman" w:hAnsi="Times New Roman" w:cs="Times New Roman"/>
          <w:color w:val="auto"/>
          <w:highlight w:val="none"/>
          <w:lang w:val="en-US" w:eastAsia="zh-CN"/>
        </w:rPr>
        <w:t>4.04</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 xml:space="preserve">、二氧化硫 </w:t>
      </w:r>
      <w:r>
        <w:rPr>
          <w:rFonts w:hint="default" w:ascii="Times New Roman" w:hAnsi="Times New Roman" w:cs="Times New Roman"/>
          <w:color w:val="auto"/>
          <w:highlight w:val="none"/>
          <w:lang w:val="en-US" w:eastAsia="zh-CN"/>
        </w:rPr>
        <w:t>1.17</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 xml:space="preserve">、氮氧化物 </w:t>
      </w:r>
      <w:r>
        <w:rPr>
          <w:rFonts w:hint="default" w:ascii="Times New Roman" w:hAnsi="Times New Roman" w:cs="Times New Roman"/>
          <w:color w:val="auto"/>
          <w:highlight w:val="none"/>
          <w:lang w:val="en-US" w:eastAsia="zh-CN"/>
        </w:rPr>
        <w:t>119.33</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，林格曼黑度小于 1</w:t>
      </w:r>
      <w:r>
        <w:rPr>
          <w:rFonts w:hint="default" w:ascii="Times New Roman" w:hAnsi="Times New Roman" w:cs="Times New Roman"/>
          <w:color w:val="auto"/>
          <w:highlight w:val="none"/>
          <w:lang w:val="en-US" w:eastAsia="zh-CN"/>
        </w:rPr>
        <w:t>级</w:t>
      </w:r>
      <w:r>
        <w:rPr>
          <w:rFonts w:hint="default" w:ascii="Times New Roman" w:hAnsi="Times New Roman" w:cs="Times New Roman"/>
          <w:color w:val="auto"/>
          <w:highlight w:val="none"/>
        </w:rPr>
        <w:t>，污染物排放满足《锅炉大气污染物排放标准》（GB13271-2014）表 2 新建锅炉大气污染物排放浓度限值要求</w:t>
      </w:r>
      <w:r>
        <w:rPr>
          <w:rFonts w:hint="default" w:ascii="Times New Roman" w:hAnsi="Times New Roman" w:cs="Times New Roman"/>
          <w:color w:val="auto"/>
          <w:highlight w:val="none"/>
          <w:lang w:eastAsia="zh-CN"/>
        </w:rPr>
        <w:t>。</w:t>
      </w:r>
    </w:p>
    <w:p w14:paraId="49922602">
      <w:pPr>
        <w:pStyle w:val="63"/>
        <w:widowControl/>
        <w:spacing w:line="50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）加热沥青储罐、搅拌及出料产生的沥青烟气</w:t>
      </w:r>
    </w:p>
    <w:p w14:paraId="3A0178E8">
      <w:pPr>
        <w:pStyle w:val="161"/>
        <w:numPr>
          <w:ilvl w:val="0"/>
          <w:numId w:val="0"/>
        </w:numPr>
        <w:spacing w:line="360" w:lineRule="auto"/>
        <w:ind w:firstLine="480" w:firstLineChars="200"/>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①产污环节</w:t>
      </w:r>
    </w:p>
    <w:p w14:paraId="7A23633E">
      <w:pPr>
        <w:pStyle w:val="161"/>
        <w:numPr>
          <w:ilvl w:val="0"/>
          <w:numId w:val="0"/>
        </w:numPr>
        <w:spacing w:line="360" w:lineRule="auto"/>
        <w:ind w:firstLine="480" w:firstLineChars="200"/>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本项目配置的沥青混合料搅拌生产线为全自动密闭装置，生产过程基本无沥青烟产生。项目营运期沥青烟产生点为：一处为沥青储罐加热过程沥青储罐呼吸口；二处为搅拌器成品出料过程产生，成品沥青混合料利用高位差，自动落入外运汽车的接料槽内时会产生沥青烟；三</w:t>
      </w:r>
      <w:r>
        <w:rPr>
          <w:rFonts w:hint="default" w:ascii="Times New Roman" w:hAnsi="Times New Roman" w:cs="Times New Roman"/>
          <w:color w:val="auto"/>
          <w:sz w:val="24"/>
          <w:szCs w:val="24"/>
          <w:highlight w:val="none"/>
          <w:vertAlign w:val="baseline"/>
          <w:lang w:val="en-US" w:eastAsia="zh-CN"/>
        </w:rPr>
        <w:t>处</w:t>
      </w:r>
      <w:r>
        <w:rPr>
          <w:rFonts w:hint="default" w:ascii="Times New Roman" w:hAnsi="Times New Roman" w:eastAsia="宋体" w:cs="Times New Roman"/>
          <w:color w:val="auto"/>
          <w:sz w:val="24"/>
          <w:szCs w:val="24"/>
          <w:highlight w:val="none"/>
          <w:vertAlign w:val="baseline"/>
          <w:lang w:val="en-US" w:eastAsia="zh-CN"/>
        </w:rPr>
        <w:t>为乳化沥青搅拌产生的搅拌废气。项目成品外运装卸区设置有成品外运装卸房， 汽车进入装卸工位装卸成品时，装卸房完全密闭。具体产生环节及产生量：</w:t>
      </w:r>
    </w:p>
    <w:p w14:paraId="16B3CB00">
      <w:pPr>
        <w:pStyle w:val="161"/>
        <w:numPr>
          <w:ilvl w:val="0"/>
          <w:numId w:val="0"/>
        </w:numPr>
        <w:spacing w:line="360" w:lineRule="auto"/>
        <w:ind w:firstLine="480" w:firstLineChars="200"/>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A.沥青罐呼吸废气及乳化沥青搅拌</w:t>
      </w:r>
    </w:p>
    <w:p w14:paraId="68276F80">
      <w:pPr>
        <w:pStyle w:val="161"/>
        <w:numPr>
          <w:ilvl w:val="0"/>
          <w:numId w:val="0"/>
        </w:numPr>
        <w:spacing w:line="360" w:lineRule="auto"/>
        <w:ind w:firstLine="480" w:firstLineChars="200"/>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 xml:space="preserve">项目沥青罐呼吸产生的沥青烟气主要是因为加热挥发产生，其产生量参考研究论文《沥青烟产生机理研究》（期刊《石油沥青》第 29 卷第 5 期，2015 年 10 月）中数据，沥青烟在沥青加热、搅拌过程中的产生量约为 250mg/kg。本项目乳化沥青及沥青混凝土生产线沥青使用总量为 </w:t>
      </w:r>
      <w:r>
        <w:rPr>
          <w:rFonts w:hint="default" w:ascii="Times New Roman" w:hAnsi="Times New Roman" w:cs="Times New Roman"/>
          <w:color w:val="auto"/>
          <w:sz w:val="24"/>
          <w:szCs w:val="24"/>
          <w:highlight w:val="none"/>
          <w:vertAlign w:val="baseline"/>
          <w:lang w:val="en-US" w:eastAsia="zh-CN"/>
        </w:rPr>
        <w:t>4020</w:t>
      </w:r>
      <w:r>
        <w:rPr>
          <w:rFonts w:hint="default" w:ascii="Times New Roman" w:hAnsi="Times New Roman" w:eastAsia="宋体" w:cs="Times New Roman"/>
          <w:color w:val="auto"/>
          <w:sz w:val="24"/>
          <w:szCs w:val="24"/>
          <w:highlight w:val="none"/>
          <w:vertAlign w:val="baseline"/>
          <w:lang w:val="en-US" w:eastAsia="zh-CN"/>
        </w:rPr>
        <w:t>t/a，则沥青烟产生量为 1.</w:t>
      </w:r>
      <w:r>
        <w:rPr>
          <w:rFonts w:hint="default" w:ascii="Times New Roman" w:hAnsi="Times New Roman" w:cs="Times New Roman"/>
          <w:color w:val="auto"/>
          <w:sz w:val="24"/>
          <w:szCs w:val="24"/>
          <w:highlight w:val="none"/>
          <w:vertAlign w:val="baseline"/>
          <w:lang w:val="en-US" w:eastAsia="zh-CN"/>
        </w:rPr>
        <w:t>005</w:t>
      </w:r>
      <w:r>
        <w:rPr>
          <w:rFonts w:hint="default" w:ascii="Times New Roman" w:hAnsi="Times New Roman" w:eastAsia="宋体" w:cs="Times New Roman"/>
          <w:color w:val="auto"/>
          <w:sz w:val="24"/>
          <w:szCs w:val="24"/>
          <w:highlight w:val="none"/>
          <w:vertAlign w:val="baseline"/>
          <w:lang w:val="en-US" w:eastAsia="zh-CN"/>
        </w:rPr>
        <w:t>t/a。根据金相灿主编的《有机化合物污染化学》(清华大学出版社，1990年8月出版）中提供数据，沥青烟中苯并[a]芘含量约 0.01~0.02‰，本次评价取最大值 0.02‰，每吨石油沥青在加热(150℃~170℃)过程中可产生非甲烷总烃气体0.1g~0.15g，取其</w:t>
      </w:r>
      <w:r>
        <w:rPr>
          <w:rFonts w:hint="default" w:ascii="Times New Roman" w:hAnsi="Times New Roman" w:cs="Times New Roman"/>
          <w:color w:val="auto"/>
          <w:sz w:val="24"/>
          <w:szCs w:val="24"/>
          <w:highlight w:val="none"/>
          <w:vertAlign w:val="baseline"/>
          <w:lang w:val="en-US" w:eastAsia="zh-CN"/>
        </w:rPr>
        <w:t>最大值</w:t>
      </w:r>
      <w:r>
        <w:rPr>
          <w:rFonts w:hint="default" w:ascii="Times New Roman" w:hAnsi="Times New Roman" w:eastAsia="宋体" w:cs="Times New Roman"/>
          <w:color w:val="auto"/>
          <w:sz w:val="24"/>
          <w:szCs w:val="24"/>
          <w:highlight w:val="none"/>
          <w:vertAlign w:val="baseline"/>
          <w:lang w:val="en-US" w:eastAsia="zh-CN"/>
        </w:rPr>
        <w:t>0.15g</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eastAsia="宋体" w:cs="Times New Roman"/>
          <w:color w:val="auto"/>
          <w:sz w:val="24"/>
          <w:szCs w:val="24"/>
          <w:highlight w:val="none"/>
          <w:vertAlign w:val="baseline"/>
          <w:lang w:val="en-US" w:eastAsia="zh-CN"/>
        </w:rPr>
        <w:t>则苯并[a]芘产生量为 0.00002</w:t>
      </w:r>
      <w:r>
        <w:rPr>
          <w:rFonts w:hint="default" w:ascii="Times New Roman" w:hAnsi="Times New Roman" w:cs="Times New Roman"/>
          <w:color w:val="auto"/>
          <w:sz w:val="24"/>
          <w:szCs w:val="24"/>
          <w:highlight w:val="none"/>
          <w:vertAlign w:val="baseline"/>
          <w:lang w:val="en-US" w:eastAsia="zh-CN"/>
        </w:rPr>
        <w:t>01</w:t>
      </w:r>
      <w:r>
        <w:rPr>
          <w:rFonts w:hint="default" w:ascii="Times New Roman" w:hAnsi="Times New Roman" w:eastAsia="宋体" w:cs="Times New Roman"/>
          <w:color w:val="auto"/>
          <w:sz w:val="24"/>
          <w:szCs w:val="24"/>
          <w:highlight w:val="none"/>
          <w:vertAlign w:val="baseline"/>
          <w:lang w:val="en-US" w:eastAsia="zh-CN"/>
        </w:rPr>
        <w:t>t/a</w:t>
      </w:r>
      <w:r>
        <w:rPr>
          <w:rFonts w:hint="default" w:ascii="Times New Roman" w:hAnsi="Times New Roman" w:cs="Times New Roman"/>
          <w:color w:val="auto"/>
          <w:sz w:val="24"/>
          <w:szCs w:val="24"/>
          <w:highlight w:val="none"/>
          <w:vertAlign w:val="baseline"/>
          <w:lang w:val="en-US" w:eastAsia="zh-CN"/>
        </w:rPr>
        <w:t>；非甲烷总烃产生量为0.00603t。</w:t>
      </w:r>
    </w:p>
    <w:p w14:paraId="48FD8CA6">
      <w:pPr>
        <w:pStyle w:val="161"/>
        <w:numPr>
          <w:ilvl w:val="0"/>
          <w:numId w:val="0"/>
        </w:numPr>
        <w:spacing w:line="360" w:lineRule="auto"/>
        <w:ind w:firstLine="480" w:firstLineChars="200"/>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B.成品出料废气</w:t>
      </w:r>
    </w:p>
    <w:p w14:paraId="763E0B96">
      <w:pPr>
        <w:pStyle w:val="161"/>
        <w:numPr>
          <w:ilvl w:val="0"/>
          <w:numId w:val="0"/>
        </w:numPr>
        <w:spacing w:line="360" w:lineRule="auto"/>
        <w:ind w:firstLine="480" w:firstLineChars="200"/>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项目搅拌器为密闭设备，不排放沥青烟。乳化沥青及沥青混凝土搅拌均为密闭搅拌，其中沥青混凝土石料及沥青为分批进入，完成计量配料完成后，开始搅拌，整个过程为密闭操作，</w:t>
      </w:r>
      <w:r>
        <w:rPr>
          <w:rFonts w:hint="default" w:ascii="Times New Roman" w:hAnsi="Times New Roman" w:cs="Times New Roman"/>
          <w:color w:val="auto"/>
          <w:sz w:val="24"/>
          <w:szCs w:val="24"/>
          <w:highlight w:val="none"/>
          <w:vertAlign w:val="baseline"/>
          <w:lang w:val="en-US" w:eastAsia="zh-CN"/>
        </w:rPr>
        <w:t>拌合</w:t>
      </w:r>
      <w:r>
        <w:rPr>
          <w:rFonts w:hint="default" w:ascii="Times New Roman" w:hAnsi="Times New Roman" w:eastAsia="宋体" w:cs="Times New Roman"/>
          <w:color w:val="auto"/>
          <w:sz w:val="24"/>
          <w:szCs w:val="24"/>
          <w:highlight w:val="none"/>
          <w:vertAlign w:val="baseline"/>
          <w:lang w:val="en-US" w:eastAsia="zh-CN"/>
        </w:rPr>
        <w:t>后，打开搅拌器的卸料口卸料。</w:t>
      </w:r>
    </w:p>
    <w:p w14:paraId="02CF1AB5">
      <w:pPr>
        <w:pStyle w:val="161"/>
        <w:numPr>
          <w:ilvl w:val="0"/>
          <w:numId w:val="0"/>
        </w:numPr>
        <w:spacing w:line="360" w:lineRule="auto"/>
        <w:ind w:firstLine="480" w:firstLineChars="200"/>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成品沥青混凝土在卸料时会产生一定量的沥青烟，卸料口设置在拌合楼底部，卸料区全封闭，经负压抽风由管道进行处理设施进行处理。</w:t>
      </w:r>
    </w:p>
    <w:p w14:paraId="37FF8A9F">
      <w:pPr>
        <w:pStyle w:val="161"/>
        <w:numPr>
          <w:ilvl w:val="0"/>
          <w:numId w:val="0"/>
        </w:numPr>
        <w:spacing w:line="360" w:lineRule="auto"/>
        <w:ind w:firstLine="480" w:firstLineChars="200"/>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参考上述研究数据，成品出料过程沥青烟产生量为 1.</w:t>
      </w:r>
      <w:r>
        <w:rPr>
          <w:rFonts w:hint="default" w:ascii="Times New Roman" w:hAnsi="Times New Roman" w:cs="Times New Roman"/>
          <w:color w:val="auto"/>
          <w:sz w:val="24"/>
          <w:szCs w:val="24"/>
          <w:highlight w:val="none"/>
          <w:vertAlign w:val="baseline"/>
          <w:lang w:val="en-US" w:eastAsia="zh-CN"/>
        </w:rPr>
        <w:t>005</w:t>
      </w:r>
      <w:r>
        <w:rPr>
          <w:rFonts w:hint="default" w:ascii="Times New Roman" w:hAnsi="Times New Roman" w:eastAsia="宋体" w:cs="Times New Roman"/>
          <w:color w:val="auto"/>
          <w:sz w:val="24"/>
          <w:szCs w:val="24"/>
          <w:highlight w:val="none"/>
          <w:vertAlign w:val="baseline"/>
          <w:lang w:val="en-US" w:eastAsia="zh-CN"/>
        </w:rPr>
        <w:t>t/a，苯并[a]芘产生量为0.00002</w:t>
      </w:r>
      <w:r>
        <w:rPr>
          <w:rFonts w:hint="default" w:ascii="Times New Roman" w:hAnsi="Times New Roman" w:cs="Times New Roman"/>
          <w:color w:val="auto"/>
          <w:sz w:val="24"/>
          <w:szCs w:val="24"/>
          <w:highlight w:val="none"/>
          <w:vertAlign w:val="baseline"/>
          <w:lang w:val="en-US" w:eastAsia="zh-CN"/>
        </w:rPr>
        <w:t>01</w:t>
      </w:r>
      <w:r>
        <w:rPr>
          <w:rFonts w:hint="default" w:ascii="Times New Roman" w:hAnsi="Times New Roman" w:eastAsia="宋体" w:cs="Times New Roman"/>
          <w:color w:val="auto"/>
          <w:sz w:val="24"/>
          <w:szCs w:val="24"/>
          <w:highlight w:val="none"/>
          <w:vertAlign w:val="baseline"/>
          <w:lang w:val="en-US" w:eastAsia="zh-CN"/>
        </w:rPr>
        <w:t>t/a</w:t>
      </w:r>
      <w:r>
        <w:rPr>
          <w:rFonts w:hint="default" w:ascii="Times New Roman" w:hAnsi="Times New Roman" w:cs="Times New Roman"/>
          <w:color w:val="auto"/>
          <w:sz w:val="24"/>
          <w:szCs w:val="24"/>
          <w:highlight w:val="none"/>
          <w:vertAlign w:val="baseline"/>
          <w:lang w:val="en-US" w:eastAsia="zh-CN"/>
        </w:rPr>
        <w:t>，非甲烷总烃产生量为0.00603t</w:t>
      </w:r>
      <w:r>
        <w:rPr>
          <w:rFonts w:hint="default" w:ascii="Times New Roman" w:hAnsi="Times New Roman" w:eastAsia="宋体" w:cs="Times New Roman"/>
          <w:color w:val="auto"/>
          <w:sz w:val="24"/>
          <w:szCs w:val="24"/>
          <w:highlight w:val="none"/>
          <w:vertAlign w:val="baseline"/>
          <w:lang w:val="en-US" w:eastAsia="zh-CN"/>
        </w:rPr>
        <w:t>。</w:t>
      </w:r>
    </w:p>
    <w:p w14:paraId="6DC4EBB7">
      <w:pPr>
        <w:pStyle w:val="161"/>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以上沥青烟产生量合计为2.</w:t>
      </w:r>
      <w:r>
        <w:rPr>
          <w:rFonts w:hint="default" w:ascii="Times New Roman" w:hAnsi="Times New Roman" w:cs="Times New Roman"/>
          <w:color w:val="auto"/>
          <w:sz w:val="24"/>
          <w:szCs w:val="24"/>
          <w:highlight w:val="none"/>
          <w:vertAlign w:val="baseline"/>
          <w:lang w:val="en-US" w:eastAsia="zh-CN"/>
        </w:rPr>
        <w:t>01</w:t>
      </w:r>
      <w:r>
        <w:rPr>
          <w:rFonts w:hint="default" w:ascii="Times New Roman" w:hAnsi="Times New Roman" w:eastAsia="宋体" w:cs="Times New Roman"/>
          <w:color w:val="auto"/>
          <w:sz w:val="24"/>
          <w:szCs w:val="24"/>
          <w:highlight w:val="none"/>
          <w:vertAlign w:val="baseline"/>
          <w:lang w:val="en-US" w:eastAsia="zh-CN"/>
        </w:rPr>
        <w:t>t/a，苯并[a]芘产生量合计为 0.0000</w:t>
      </w:r>
      <w:r>
        <w:rPr>
          <w:rFonts w:hint="default" w:ascii="Times New Roman" w:hAnsi="Times New Roman" w:cs="Times New Roman"/>
          <w:color w:val="auto"/>
          <w:sz w:val="24"/>
          <w:szCs w:val="24"/>
          <w:highlight w:val="none"/>
          <w:vertAlign w:val="baseline"/>
          <w:lang w:val="en-US" w:eastAsia="zh-CN"/>
        </w:rPr>
        <w:t>402</w:t>
      </w:r>
      <w:r>
        <w:rPr>
          <w:rFonts w:hint="default" w:ascii="Times New Roman" w:hAnsi="Times New Roman" w:eastAsia="宋体" w:cs="Times New Roman"/>
          <w:color w:val="auto"/>
          <w:sz w:val="24"/>
          <w:szCs w:val="24"/>
          <w:highlight w:val="none"/>
          <w:vertAlign w:val="baseline"/>
          <w:lang w:val="en-US" w:eastAsia="zh-CN"/>
        </w:rPr>
        <w:t>t/a</w:t>
      </w:r>
      <w:r>
        <w:rPr>
          <w:rFonts w:hint="default" w:ascii="Times New Roman" w:hAnsi="Times New Roman" w:cs="Times New Roman"/>
          <w:color w:val="auto"/>
          <w:sz w:val="24"/>
          <w:szCs w:val="24"/>
          <w:highlight w:val="none"/>
          <w:vertAlign w:val="baseline"/>
          <w:lang w:val="en-US" w:eastAsia="zh-CN"/>
        </w:rPr>
        <w:t>，非甲烷总烃0.01206t/a</w:t>
      </w:r>
      <w:r>
        <w:rPr>
          <w:rFonts w:hint="default" w:ascii="Times New Roman" w:hAnsi="Times New Roman" w:eastAsia="宋体" w:cs="Times New Roman"/>
          <w:color w:val="auto"/>
          <w:sz w:val="24"/>
          <w:szCs w:val="24"/>
          <w:highlight w:val="none"/>
          <w:vertAlign w:val="baseline"/>
          <w:lang w:val="en-US" w:eastAsia="zh-CN"/>
        </w:rPr>
        <w:t>。</w:t>
      </w:r>
    </w:p>
    <w:p w14:paraId="4AFE01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②收集措施</w:t>
      </w:r>
    </w:p>
    <w:p w14:paraId="604E63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沥青烟产生源点分布在拌合楼内外，拌合楼外的沥青烟源点为沥青罐，拌合楼内的沥青源点为搅拌器和成品卸料间，收集措施分为局部+整体的收集措施。</w:t>
      </w:r>
    </w:p>
    <w:p w14:paraId="10674F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A.局部措施：</w:t>
      </w:r>
    </w:p>
    <w:p w14:paraId="636321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沥青罐：呼吸孔末端设置管道，储罐呼吸产生的沥青烟经密闭管道负压抽送进行收集，经管道接入沥青烟气净化设备。</w:t>
      </w:r>
    </w:p>
    <w:p w14:paraId="5618C0B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搅拌器：为密闭搅拌，骨料及沥青分批进入，完成计量配料完成后，开始搅拌，整个过程为密闭操作，拌合 1 分钟后，打开搅拌器的卸料口卸料。拌合过程仅在轴密封处产生极少量的沥青烟，在卸料时会产生一定量的沥青烟。</w:t>
      </w:r>
    </w:p>
    <w:p w14:paraId="3E7D4C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在卸料口设置围合型集气罩进行收集，收集后的烟气接入沥青烟气净化设备进行处理。</w:t>
      </w:r>
    </w:p>
    <w:p w14:paraId="12F487B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B.整体收集措施：</w:t>
      </w:r>
    </w:p>
    <w:p w14:paraId="3FADBF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a.拌合区域，拌合区域由沥青配料系统控制，骨料和沥青分批进入搅拌锅，完成配料后，开始搅拌，拌合系统设备均为密闭设备，仅有搅拌器下部设置有卸料口。为了提高整体收集率，对此区域的设备进行密封，顶部设置吸气口，通过管道抽送到沥青烟气净化设备进行处理。</w:t>
      </w:r>
    </w:p>
    <w:p w14:paraId="521F73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②卸料间：成品沥青混凝土卸料区域设计为密闭空间，采用推拉门结构，卸料间上方四周设置 4 个吸气口收集后的烟气接入沥青烟气净化设备进行处理。 注：搅拌器、卸料间均在拌合楼内。项目共设有 2 台搅拌器，故卸料间设置 2 处。</w:t>
      </w:r>
    </w:p>
    <w:p w14:paraId="324776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注：运输车辆进行装料时，前门打开，后门关闭；车辆进入卸料口后，前门关闭，运输车辆进行装料；当卸料结束后，关闭卸料口，车辆静置 5~10 分钟，确保卸料间的沥青烟气全部收集，方可打开后门，运输车辆驶出卸料区域，然后关闭后门，下一辆车装车如此循环。</w:t>
      </w:r>
    </w:p>
    <w:p w14:paraId="75C8A0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封闭形式为全封闭，加顶盖，全围合结构采用密实的板材围合。连接缝及紧固件连接处用密封胶粘结，保证足够的密闭性。</w:t>
      </w:r>
    </w:p>
    <w:p w14:paraId="6B5A10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lang w:eastAsia="zh-CN"/>
        </w:rPr>
        <w:t>综上，采取的局部措施，在集气罩负压收集下，能达到 90%以上的收集；未收集完成的沥青烟气，通过密闭方式负压收集，收集率 90%以上。综合收集效率为 1-（1-90%）×（1-90%）=99%。采取以上收集措施后，收集效率可达到 99%以上。</w:t>
      </w:r>
    </w:p>
    <w:p w14:paraId="479E4EE2">
      <w:pPr>
        <w:widowControl/>
        <w:spacing w:line="500" w:lineRule="exact"/>
        <w:ind w:firstLine="480" w:firstLineChars="200"/>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eastAsia="zh-CN"/>
        </w:rPr>
        <w:t>本项目采取分散收集统一处理的方式，生产期间沥青烟、苯并[a]芘、</w:t>
      </w:r>
      <w:r>
        <w:rPr>
          <w:rFonts w:hint="default" w:ascii="Times New Roman" w:hAnsi="Times New Roman" w:cs="Times New Roman"/>
          <w:color w:val="auto"/>
          <w:kern w:val="0"/>
          <w:sz w:val="24"/>
          <w:szCs w:val="24"/>
          <w:highlight w:val="none"/>
          <w:lang w:val="en-US" w:eastAsia="zh-CN"/>
        </w:rPr>
        <w:t>非甲烷总烃</w:t>
      </w:r>
      <w:r>
        <w:rPr>
          <w:rFonts w:hint="default" w:ascii="Times New Roman" w:hAnsi="Times New Roman" w:cs="Times New Roman"/>
          <w:color w:val="auto"/>
          <w:kern w:val="0"/>
          <w:sz w:val="24"/>
          <w:szCs w:val="24"/>
          <w:highlight w:val="none"/>
          <w:lang w:eastAsia="zh-CN"/>
        </w:rPr>
        <w:t>经</w:t>
      </w:r>
      <w:r>
        <w:rPr>
          <w:rFonts w:hint="default" w:ascii="Times New Roman" w:hAnsi="Times New Roman" w:cs="Times New Roman"/>
          <w:color w:val="auto"/>
          <w:kern w:val="0"/>
          <w:sz w:val="24"/>
          <w:szCs w:val="24"/>
          <w:highlight w:val="none"/>
          <w:lang w:val="en-US" w:eastAsia="zh-CN"/>
        </w:rPr>
        <w:t>电捕焦油器+</w:t>
      </w:r>
      <w:r>
        <w:rPr>
          <w:rFonts w:hint="default" w:ascii="Times New Roman" w:hAnsi="Times New Roman" w:cs="Times New Roman"/>
          <w:color w:val="auto"/>
          <w:kern w:val="0"/>
          <w:sz w:val="24"/>
          <w:szCs w:val="24"/>
          <w:highlight w:val="none"/>
          <w:lang w:eastAsia="zh-CN"/>
        </w:rPr>
        <w:t xml:space="preserve">活性炭吸附装置处理，处理效率为 </w:t>
      </w:r>
      <w:r>
        <w:rPr>
          <w:rFonts w:hint="default" w:ascii="Times New Roman" w:hAnsi="Times New Roman" w:cs="Times New Roman"/>
          <w:color w:val="auto"/>
          <w:kern w:val="0"/>
          <w:sz w:val="24"/>
          <w:szCs w:val="24"/>
          <w:highlight w:val="none"/>
          <w:lang w:val="en-US" w:eastAsia="zh-CN"/>
        </w:rPr>
        <w:t>95</w:t>
      </w:r>
      <w:r>
        <w:rPr>
          <w:rFonts w:hint="default" w:ascii="Times New Roman" w:hAnsi="Times New Roman" w:cs="Times New Roman"/>
          <w:color w:val="auto"/>
          <w:kern w:val="0"/>
          <w:sz w:val="24"/>
          <w:szCs w:val="24"/>
          <w:highlight w:val="none"/>
          <w:lang w:eastAsia="zh-CN"/>
        </w:rPr>
        <w:t xml:space="preserve">%，风量为 </w:t>
      </w:r>
      <w:r>
        <w:rPr>
          <w:rFonts w:hint="default" w:ascii="Times New Roman" w:hAnsi="Times New Roman" w:cs="Times New Roman"/>
          <w:color w:val="auto"/>
          <w:kern w:val="0"/>
          <w:sz w:val="24"/>
          <w:szCs w:val="24"/>
          <w:highlight w:val="none"/>
          <w:lang w:val="en-US" w:eastAsia="zh-CN"/>
        </w:rPr>
        <w:t>20</w:t>
      </w:r>
      <w:r>
        <w:rPr>
          <w:rFonts w:hint="default" w:ascii="Times New Roman" w:hAnsi="Times New Roman" w:cs="Times New Roman"/>
          <w:color w:val="auto"/>
          <w:kern w:val="0"/>
          <w:sz w:val="24"/>
          <w:szCs w:val="24"/>
          <w:highlight w:val="none"/>
          <w:lang w:eastAsia="zh-CN"/>
        </w:rPr>
        <w:t>000m</w:t>
      </w:r>
      <w:r>
        <w:rPr>
          <w:rFonts w:hint="default" w:ascii="Times New Roman" w:hAnsi="Times New Roman" w:cs="Times New Roman"/>
          <w:color w:val="auto"/>
          <w:kern w:val="0"/>
          <w:sz w:val="24"/>
          <w:szCs w:val="24"/>
          <w:highlight w:val="none"/>
          <w:vertAlign w:val="superscript"/>
          <w:lang w:eastAsia="zh-CN"/>
        </w:rPr>
        <w:t>3</w:t>
      </w:r>
      <w:r>
        <w:rPr>
          <w:rFonts w:hint="default" w:ascii="Times New Roman" w:hAnsi="Times New Roman" w:cs="Times New Roman"/>
          <w:color w:val="auto"/>
          <w:kern w:val="0"/>
          <w:sz w:val="24"/>
          <w:szCs w:val="24"/>
          <w:highlight w:val="none"/>
          <w:lang w:eastAsia="zh-CN"/>
        </w:rPr>
        <w:t xml:space="preserve">/h，处理后经 </w:t>
      </w:r>
      <w:r>
        <w:rPr>
          <w:rFonts w:hint="default" w:ascii="Times New Roman" w:hAnsi="Times New Roman" w:cs="Times New Roman"/>
          <w:color w:val="auto"/>
          <w:kern w:val="0"/>
          <w:sz w:val="24"/>
          <w:szCs w:val="24"/>
          <w:highlight w:val="none"/>
          <w:lang w:val="en-US" w:eastAsia="zh-CN"/>
        </w:rPr>
        <w:t>15m</w:t>
      </w:r>
      <w:r>
        <w:rPr>
          <w:rFonts w:hint="default" w:ascii="Times New Roman" w:hAnsi="Times New Roman" w:cs="Times New Roman"/>
          <w:color w:val="auto"/>
          <w:kern w:val="0"/>
          <w:sz w:val="24"/>
          <w:szCs w:val="24"/>
          <w:highlight w:val="none"/>
          <w:lang w:eastAsia="zh-CN"/>
        </w:rPr>
        <w:t xml:space="preserve"> 高排气筒排放，则有组织沥青烟、苯并[a]芘、</w:t>
      </w:r>
      <w:r>
        <w:rPr>
          <w:rFonts w:hint="default" w:ascii="Times New Roman" w:hAnsi="Times New Roman" w:cs="Times New Roman"/>
          <w:color w:val="auto"/>
          <w:kern w:val="0"/>
          <w:sz w:val="24"/>
          <w:szCs w:val="24"/>
          <w:highlight w:val="none"/>
          <w:lang w:val="en-US" w:eastAsia="zh-CN"/>
        </w:rPr>
        <w:t>非甲烷总烃</w:t>
      </w:r>
      <w:r>
        <w:rPr>
          <w:rFonts w:hint="default" w:ascii="Times New Roman" w:hAnsi="Times New Roman" w:cs="Times New Roman"/>
          <w:color w:val="auto"/>
          <w:kern w:val="0"/>
          <w:sz w:val="24"/>
          <w:szCs w:val="24"/>
          <w:highlight w:val="none"/>
          <w:lang w:eastAsia="zh-CN"/>
        </w:rPr>
        <w:t>排放量分别为 0.</w:t>
      </w:r>
      <w:r>
        <w:rPr>
          <w:rFonts w:hint="default" w:ascii="Times New Roman" w:hAnsi="Times New Roman" w:cs="Times New Roman"/>
          <w:color w:val="auto"/>
          <w:kern w:val="0"/>
          <w:sz w:val="24"/>
          <w:szCs w:val="24"/>
          <w:highlight w:val="none"/>
          <w:lang w:val="en-US" w:eastAsia="zh-CN"/>
        </w:rPr>
        <w:t>099</w:t>
      </w:r>
      <w:r>
        <w:rPr>
          <w:rFonts w:hint="default" w:ascii="Times New Roman" w:hAnsi="Times New Roman" w:cs="Times New Roman"/>
          <w:color w:val="auto"/>
          <w:kern w:val="0"/>
          <w:sz w:val="24"/>
          <w:szCs w:val="24"/>
          <w:highlight w:val="none"/>
          <w:lang w:eastAsia="zh-CN"/>
        </w:rPr>
        <w:t>t/a、</w:t>
      </w:r>
      <w:r>
        <w:rPr>
          <w:rFonts w:hint="default" w:ascii="Times New Roman" w:hAnsi="Times New Roman"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eastAsia="zh-CN"/>
        </w:rPr>
        <w:t>×10</w:t>
      </w:r>
      <w:r>
        <w:rPr>
          <w:rFonts w:hint="default" w:ascii="Times New Roman" w:hAnsi="Times New Roman" w:cs="Times New Roman"/>
          <w:color w:val="auto"/>
          <w:kern w:val="0"/>
          <w:sz w:val="24"/>
          <w:szCs w:val="24"/>
          <w:highlight w:val="none"/>
          <w:vertAlign w:val="superscript"/>
          <w:lang w:eastAsia="zh-CN"/>
        </w:rPr>
        <w:t>-</w:t>
      </w:r>
      <w:r>
        <w:rPr>
          <w:rFonts w:hint="default" w:ascii="Times New Roman" w:hAnsi="Times New Roman" w:cs="Times New Roman"/>
          <w:color w:val="auto"/>
          <w:kern w:val="0"/>
          <w:sz w:val="24"/>
          <w:szCs w:val="24"/>
          <w:highlight w:val="none"/>
          <w:vertAlign w:val="superscript"/>
          <w:lang w:val="en-US" w:eastAsia="zh-CN"/>
        </w:rPr>
        <w:t>6</w:t>
      </w:r>
      <w:r>
        <w:rPr>
          <w:rFonts w:hint="default" w:ascii="Times New Roman" w:hAnsi="Times New Roman" w:cs="Times New Roman"/>
          <w:color w:val="auto"/>
          <w:kern w:val="0"/>
          <w:sz w:val="24"/>
          <w:szCs w:val="24"/>
          <w:highlight w:val="none"/>
          <w:lang w:eastAsia="zh-CN"/>
        </w:rPr>
        <w:t>t/a、</w:t>
      </w:r>
      <w:r>
        <w:rPr>
          <w:rFonts w:hint="default" w:ascii="Times New Roman" w:hAnsi="Times New Roman" w:cs="Times New Roman"/>
          <w:color w:val="auto"/>
          <w:kern w:val="0"/>
          <w:sz w:val="24"/>
          <w:szCs w:val="24"/>
          <w:highlight w:val="none"/>
          <w:lang w:val="en-US" w:eastAsia="zh-CN"/>
        </w:rPr>
        <w:t>0.000597t/a</w:t>
      </w:r>
      <w:r>
        <w:rPr>
          <w:rFonts w:hint="default" w:ascii="Times New Roman" w:hAnsi="Times New Roman" w:cs="Times New Roman"/>
          <w:color w:val="auto"/>
          <w:kern w:val="0"/>
          <w:sz w:val="24"/>
          <w:szCs w:val="24"/>
          <w:highlight w:val="none"/>
          <w:lang w:eastAsia="zh-CN"/>
        </w:rPr>
        <w:t xml:space="preserve">，排放速率分别为 </w:t>
      </w:r>
      <w:r>
        <w:rPr>
          <w:rFonts w:hint="default" w:ascii="Times New Roman" w:hAnsi="Times New Roman" w:cs="Times New Roman"/>
          <w:color w:val="auto"/>
          <w:kern w:val="0"/>
          <w:sz w:val="24"/>
          <w:szCs w:val="24"/>
          <w:highlight w:val="none"/>
          <w:lang w:val="en-US" w:eastAsia="zh-CN"/>
        </w:rPr>
        <w:t>0.083</w:t>
      </w:r>
      <w:r>
        <w:rPr>
          <w:rFonts w:hint="default" w:ascii="Times New Roman" w:hAnsi="Times New Roman" w:cs="Times New Roman"/>
          <w:color w:val="auto"/>
          <w:kern w:val="0"/>
          <w:sz w:val="24"/>
          <w:szCs w:val="24"/>
          <w:highlight w:val="none"/>
          <w:lang w:eastAsia="zh-CN"/>
        </w:rPr>
        <w:t>kg/h、</w:t>
      </w:r>
      <w:r>
        <w:rPr>
          <w:rFonts w:hint="default" w:ascii="Times New Roman" w:hAnsi="Times New Roman"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eastAsia="zh-CN"/>
        </w:rPr>
        <w:t>×10</w:t>
      </w:r>
      <w:r>
        <w:rPr>
          <w:rFonts w:hint="default" w:ascii="Times New Roman" w:hAnsi="Times New Roman" w:cs="Times New Roman"/>
          <w:color w:val="auto"/>
          <w:kern w:val="0"/>
          <w:sz w:val="24"/>
          <w:szCs w:val="24"/>
          <w:highlight w:val="none"/>
          <w:vertAlign w:val="superscript"/>
          <w:lang w:eastAsia="zh-CN"/>
        </w:rPr>
        <w:t>-</w:t>
      </w:r>
      <w:r>
        <w:rPr>
          <w:rFonts w:hint="default" w:ascii="Times New Roman" w:hAnsi="Times New Roman" w:cs="Times New Roman"/>
          <w:color w:val="auto"/>
          <w:kern w:val="0"/>
          <w:sz w:val="24"/>
          <w:szCs w:val="24"/>
          <w:highlight w:val="none"/>
          <w:vertAlign w:val="superscript"/>
          <w:lang w:val="en-US" w:eastAsia="zh-CN"/>
        </w:rPr>
        <w:t>6</w:t>
      </w:r>
      <w:r>
        <w:rPr>
          <w:rFonts w:hint="default" w:ascii="Times New Roman" w:hAnsi="Times New Roman" w:cs="Times New Roman"/>
          <w:color w:val="auto"/>
          <w:kern w:val="0"/>
          <w:sz w:val="24"/>
          <w:szCs w:val="24"/>
          <w:highlight w:val="none"/>
          <w:lang w:eastAsia="zh-CN"/>
        </w:rPr>
        <w:t>kg/h、</w:t>
      </w:r>
      <w:r>
        <w:rPr>
          <w:rFonts w:hint="default" w:ascii="Times New Roman" w:hAnsi="Times New Roman" w:cs="Times New Roman"/>
          <w:color w:val="auto"/>
          <w:kern w:val="0"/>
          <w:sz w:val="24"/>
          <w:szCs w:val="24"/>
          <w:highlight w:val="none"/>
          <w:lang w:val="en-US" w:eastAsia="zh-CN"/>
        </w:rPr>
        <w:t>0.000498kg/h</w:t>
      </w:r>
      <w:r>
        <w:rPr>
          <w:rFonts w:hint="default" w:ascii="Times New Roman" w:hAnsi="Times New Roman" w:cs="Times New Roman"/>
          <w:color w:val="auto"/>
          <w:kern w:val="0"/>
          <w:sz w:val="24"/>
          <w:szCs w:val="24"/>
          <w:highlight w:val="none"/>
          <w:lang w:eastAsia="zh-CN"/>
        </w:rPr>
        <w:t xml:space="preserve">，排放浓度分别为 </w:t>
      </w:r>
      <w:r>
        <w:rPr>
          <w:rFonts w:hint="default" w:ascii="Times New Roman" w:hAnsi="Times New Roman" w:cs="Times New Roman"/>
          <w:color w:val="auto"/>
          <w:kern w:val="0"/>
          <w:sz w:val="24"/>
          <w:szCs w:val="24"/>
          <w:highlight w:val="none"/>
          <w:lang w:val="en-US" w:eastAsia="zh-CN"/>
        </w:rPr>
        <w:t>4.15</w:t>
      </w:r>
      <w:r>
        <w:rPr>
          <w:rFonts w:hint="default" w:ascii="Times New Roman" w:hAnsi="Times New Roman" w:cs="Times New Roman"/>
          <w:color w:val="auto"/>
          <w:kern w:val="0"/>
          <w:sz w:val="24"/>
          <w:szCs w:val="24"/>
          <w:highlight w:val="none"/>
          <w:lang w:eastAsia="zh-CN"/>
        </w:rPr>
        <w:t>mg/m</w:t>
      </w:r>
      <w:r>
        <w:rPr>
          <w:rFonts w:hint="default" w:ascii="Times New Roman" w:hAnsi="Times New Roman" w:cs="Times New Roman"/>
          <w:color w:val="auto"/>
          <w:kern w:val="0"/>
          <w:sz w:val="24"/>
          <w:szCs w:val="24"/>
          <w:highlight w:val="none"/>
          <w:vertAlign w:val="superscript"/>
          <w:lang w:eastAsia="zh-CN"/>
        </w:rPr>
        <w:t>3</w:t>
      </w:r>
      <w:r>
        <w:rPr>
          <w:rFonts w:hint="default" w:ascii="Times New Roman" w:hAnsi="Times New Roman" w:cs="Times New Roman"/>
          <w:color w:val="auto"/>
          <w:kern w:val="0"/>
          <w:sz w:val="24"/>
          <w:szCs w:val="24"/>
          <w:highlight w:val="none"/>
          <w:lang w:eastAsia="zh-CN"/>
        </w:rPr>
        <w:t>、0.00</w:t>
      </w:r>
      <w:r>
        <w:rPr>
          <w:rFonts w:hint="default" w:ascii="Times New Roman" w:hAnsi="Times New Roman" w:cs="Times New Roman"/>
          <w:color w:val="auto"/>
          <w:kern w:val="0"/>
          <w:sz w:val="24"/>
          <w:szCs w:val="24"/>
          <w:highlight w:val="none"/>
          <w:lang w:val="en-US" w:eastAsia="zh-CN"/>
        </w:rPr>
        <w:t>01</w:t>
      </w:r>
      <w:r>
        <w:rPr>
          <w:rFonts w:hint="default" w:ascii="Times New Roman" w:hAnsi="Times New Roman" w:cs="Times New Roman"/>
          <w:color w:val="auto"/>
          <w:kern w:val="0"/>
          <w:sz w:val="24"/>
          <w:szCs w:val="24"/>
          <w:highlight w:val="none"/>
          <w:lang w:eastAsia="zh-CN"/>
        </w:rPr>
        <w:t>mg/m</w:t>
      </w:r>
      <w:r>
        <w:rPr>
          <w:rFonts w:hint="default" w:ascii="Times New Roman" w:hAnsi="Times New Roman" w:cs="Times New Roman"/>
          <w:color w:val="auto"/>
          <w:kern w:val="0"/>
          <w:sz w:val="24"/>
          <w:szCs w:val="24"/>
          <w:highlight w:val="none"/>
          <w:vertAlign w:val="superscript"/>
          <w:lang w:eastAsia="zh-CN"/>
        </w:rPr>
        <w:t>3</w:t>
      </w:r>
      <w:r>
        <w:rPr>
          <w:rFonts w:hint="default" w:ascii="Times New Roman" w:hAnsi="Times New Roman" w:cs="Times New Roman"/>
          <w:color w:val="auto"/>
          <w:kern w:val="0"/>
          <w:sz w:val="24"/>
          <w:szCs w:val="24"/>
          <w:highlight w:val="none"/>
          <w:lang w:eastAsia="zh-CN"/>
        </w:rPr>
        <w:t>、0.0</w:t>
      </w:r>
      <w:r>
        <w:rPr>
          <w:rFonts w:hint="default" w:ascii="Times New Roman" w:hAnsi="Times New Roman" w:cs="Times New Roman"/>
          <w:color w:val="auto"/>
          <w:kern w:val="0"/>
          <w:sz w:val="24"/>
          <w:szCs w:val="24"/>
          <w:highlight w:val="none"/>
          <w:lang w:val="en-US" w:eastAsia="zh-CN"/>
        </w:rPr>
        <w:t>249</w:t>
      </w:r>
      <w:r>
        <w:rPr>
          <w:rFonts w:hint="default" w:ascii="Times New Roman" w:hAnsi="Times New Roman" w:cs="Times New Roman"/>
          <w:color w:val="auto"/>
          <w:kern w:val="0"/>
          <w:sz w:val="24"/>
          <w:szCs w:val="24"/>
          <w:highlight w:val="none"/>
          <w:lang w:eastAsia="zh-CN"/>
        </w:rPr>
        <w:t>mg/m</w:t>
      </w:r>
      <w:r>
        <w:rPr>
          <w:rFonts w:hint="default" w:ascii="Times New Roman" w:hAnsi="Times New Roman" w:cs="Times New Roman"/>
          <w:color w:val="auto"/>
          <w:kern w:val="0"/>
          <w:sz w:val="24"/>
          <w:szCs w:val="24"/>
          <w:highlight w:val="none"/>
          <w:vertAlign w:val="superscript"/>
          <w:lang w:eastAsia="zh-CN"/>
        </w:rPr>
        <w:t>3</w:t>
      </w:r>
      <w:r>
        <w:rPr>
          <w:rFonts w:hint="default" w:ascii="Times New Roman" w:hAnsi="Times New Roman" w:cs="Times New Roman"/>
          <w:color w:val="auto"/>
          <w:kern w:val="0"/>
          <w:sz w:val="24"/>
          <w:szCs w:val="24"/>
          <w:highlight w:val="none"/>
          <w:lang w:val="en-US" w:eastAsia="zh-CN"/>
        </w:rPr>
        <w:t>。</w:t>
      </w:r>
    </w:p>
    <w:p w14:paraId="58A75FAF">
      <w:pPr>
        <w:widowControl/>
        <w:spacing w:line="500" w:lineRule="exact"/>
        <w:ind w:firstLine="480" w:firstLineChars="200"/>
        <w:rPr>
          <w:rFonts w:hint="default" w:ascii="Times New Roman" w:hAnsi="Times New Roman" w:cs="Times New Roman"/>
          <w:color w:val="auto"/>
          <w:kern w:val="0"/>
          <w:sz w:val="32"/>
          <w:szCs w:val="32"/>
          <w:highlight w:val="none"/>
        </w:rPr>
      </w:pPr>
      <w:r>
        <w:rPr>
          <w:rFonts w:hint="default" w:ascii="Times New Roman" w:hAnsi="Times New Roman" w:cs="Times New Roman"/>
          <w:color w:val="auto"/>
          <w:kern w:val="0"/>
          <w:sz w:val="24"/>
          <w:szCs w:val="24"/>
          <w:highlight w:val="none"/>
          <w:lang w:eastAsia="zh-CN"/>
        </w:rPr>
        <w:t>无组织沥青烟、苯并[a]芘、</w:t>
      </w:r>
      <w:r>
        <w:rPr>
          <w:rFonts w:hint="default" w:ascii="Times New Roman" w:hAnsi="Times New Roman" w:cs="Times New Roman"/>
          <w:color w:val="auto"/>
          <w:kern w:val="0"/>
          <w:sz w:val="24"/>
          <w:szCs w:val="24"/>
          <w:highlight w:val="none"/>
          <w:lang w:val="en-US" w:eastAsia="zh-CN"/>
        </w:rPr>
        <w:t>非甲烷总烃</w:t>
      </w:r>
      <w:r>
        <w:rPr>
          <w:rFonts w:hint="default" w:ascii="Times New Roman" w:hAnsi="Times New Roman" w:cs="Times New Roman"/>
          <w:color w:val="auto"/>
          <w:kern w:val="0"/>
          <w:sz w:val="24"/>
          <w:szCs w:val="24"/>
          <w:highlight w:val="none"/>
          <w:lang w:eastAsia="zh-CN"/>
        </w:rPr>
        <w:t>排放量分别为 0.0</w:t>
      </w:r>
      <w:r>
        <w:rPr>
          <w:rFonts w:hint="default" w:ascii="Times New Roman" w:hAnsi="Times New Roman" w:cs="Times New Roman"/>
          <w:color w:val="auto"/>
          <w:kern w:val="0"/>
          <w:sz w:val="24"/>
          <w:szCs w:val="24"/>
          <w:highlight w:val="none"/>
          <w:lang w:val="en-US" w:eastAsia="zh-CN"/>
        </w:rPr>
        <w:t>201</w:t>
      </w:r>
      <w:r>
        <w:rPr>
          <w:rFonts w:hint="default" w:ascii="Times New Roman" w:hAnsi="Times New Roman" w:cs="Times New Roman"/>
          <w:color w:val="auto"/>
          <w:kern w:val="0"/>
          <w:sz w:val="24"/>
          <w:szCs w:val="24"/>
          <w:highlight w:val="none"/>
          <w:lang w:eastAsia="zh-CN"/>
        </w:rPr>
        <w:t>t/a、</w:t>
      </w:r>
      <w:r>
        <w:rPr>
          <w:rFonts w:hint="default" w:ascii="Times New Roman" w:hAnsi="Times New Roman" w:cs="Times New Roman"/>
          <w:color w:val="auto"/>
          <w:kern w:val="0"/>
          <w:sz w:val="24"/>
          <w:szCs w:val="24"/>
          <w:highlight w:val="none"/>
          <w:lang w:val="en-US" w:eastAsia="zh-CN"/>
        </w:rPr>
        <w:t>4.02</w:t>
      </w:r>
      <w:r>
        <w:rPr>
          <w:rFonts w:hint="default" w:ascii="Times New Roman" w:hAnsi="Times New Roman" w:cs="Times New Roman"/>
          <w:color w:val="auto"/>
          <w:kern w:val="0"/>
          <w:sz w:val="24"/>
          <w:szCs w:val="24"/>
          <w:highlight w:val="none"/>
          <w:lang w:eastAsia="zh-CN"/>
        </w:rPr>
        <w:t>×10</w:t>
      </w:r>
      <w:r>
        <w:rPr>
          <w:rFonts w:hint="default" w:ascii="Times New Roman" w:hAnsi="Times New Roman" w:cs="Times New Roman"/>
          <w:color w:val="auto"/>
          <w:kern w:val="0"/>
          <w:sz w:val="24"/>
          <w:szCs w:val="24"/>
          <w:highlight w:val="none"/>
          <w:vertAlign w:val="superscript"/>
          <w:lang w:eastAsia="zh-CN"/>
        </w:rPr>
        <w:t>-7</w:t>
      </w:r>
      <w:r>
        <w:rPr>
          <w:rFonts w:hint="default" w:ascii="Times New Roman" w:hAnsi="Times New Roman" w:cs="Times New Roman"/>
          <w:color w:val="auto"/>
          <w:kern w:val="0"/>
          <w:sz w:val="24"/>
          <w:szCs w:val="24"/>
          <w:highlight w:val="none"/>
          <w:lang w:eastAsia="zh-CN"/>
        </w:rPr>
        <w:t>t/a、</w:t>
      </w:r>
      <w:r>
        <w:rPr>
          <w:rFonts w:hint="default" w:ascii="Times New Roman" w:hAnsi="Times New Roman" w:cs="Times New Roman"/>
          <w:color w:val="auto"/>
          <w:kern w:val="0"/>
          <w:sz w:val="24"/>
          <w:szCs w:val="24"/>
          <w:highlight w:val="none"/>
          <w:lang w:val="en-US" w:eastAsia="zh-CN"/>
        </w:rPr>
        <w:t>0.0001206t/a</w:t>
      </w:r>
      <w:r>
        <w:rPr>
          <w:rFonts w:hint="default" w:ascii="Times New Roman" w:hAnsi="Times New Roman" w:cs="Times New Roman"/>
          <w:color w:val="auto"/>
          <w:kern w:val="0"/>
          <w:sz w:val="24"/>
          <w:szCs w:val="24"/>
          <w:highlight w:val="none"/>
          <w:lang w:eastAsia="zh-CN"/>
        </w:rPr>
        <w:t>，排放速率分别为 0.0</w:t>
      </w:r>
      <w:r>
        <w:rPr>
          <w:rFonts w:hint="default" w:ascii="Times New Roman" w:hAnsi="Times New Roman" w:cs="Times New Roman"/>
          <w:color w:val="auto"/>
          <w:kern w:val="0"/>
          <w:sz w:val="24"/>
          <w:szCs w:val="24"/>
          <w:highlight w:val="none"/>
          <w:lang w:val="en-US" w:eastAsia="zh-CN"/>
        </w:rPr>
        <w:t>0558</w:t>
      </w:r>
      <w:r>
        <w:rPr>
          <w:rFonts w:hint="default" w:ascii="Times New Roman" w:hAnsi="Times New Roman" w:cs="Times New Roman"/>
          <w:color w:val="auto"/>
          <w:kern w:val="0"/>
          <w:sz w:val="24"/>
          <w:szCs w:val="24"/>
          <w:highlight w:val="none"/>
          <w:lang w:eastAsia="zh-CN"/>
        </w:rPr>
        <w:t>kg/h、</w:t>
      </w:r>
      <w:r>
        <w:rPr>
          <w:rFonts w:hint="default" w:ascii="Times New Roman" w:hAnsi="Times New Roman"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eastAsia="zh-CN"/>
        </w:rPr>
        <w:t>×10</w:t>
      </w:r>
      <w:r>
        <w:rPr>
          <w:rFonts w:hint="default" w:ascii="Times New Roman" w:hAnsi="Times New Roman" w:cs="Times New Roman"/>
          <w:color w:val="auto"/>
          <w:kern w:val="0"/>
          <w:sz w:val="24"/>
          <w:szCs w:val="24"/>
          <w:highlight w:val="none"/>
          <w:vertAlign w:val="superscript"/>
          <w:lang w:eastAsia="zh-CN"/>
        </w:rPr>
        <w:t>-</w:t>
      </w:r>
      <w:r>
        <w:rPr>
          <w:rFonts w:hint="default" w:ascii="Times New Roman" w:hAnsi="Times New Roman" w:cs="Times New Roman"/>
          <w:color w:val="auto"/>
          <w:kern w:val="0"/>
          <w:sz w:val="24"/>
          <w:szCs w:val="24"/>
          <w:highlight w:val="none"/>
          <w:vertAlign w:val="superscript"/>
          <w:lang w:val="en-US" w:eastAsia="zh-CN"/>
        </w:rPr>
        <w:t>7</w:t>
      </w:r>
      <w:r>
        <w:rPr>
          <w:rFonts w:hint="default" w:ascii="Times New Roman" w:hAnsi="Times New Roman" w:cs="Times New Roman"/>
          <w:color w:val="auto"/>
          <w:kern w:val="0"/>
          <w:sz w:val="24"/>
          <w:szCs w:val="24"/>
          <w:highlight w:val="none"/>
          <w:lang w:eastAsia="zh-CN"/>
        </w:rPr>
        <w:t>kg/h、</w:t>
      </w:r>
      <w:r>
        <w:rPr>
          <w:rFonts w:hint="default" w:ascii="Times New Roman" w:hAnsi="Times New Roman" w:cs="Times New Roman"/>
          <w:color w:val="auto"/>
          <w:kern w:val="0"/>
          <w:sz w:val="24"/>
          <w:szCs w:val="24"/>
          <w:highlight w:val="none"/>
          <w:lang w:val="en-US" w:eastAsia="zh-CN"/>
        </w:rPr>
        <w:t>0.00003kg/h</w:t>
      </w:r>
      <w:r>
        <w:rPr>
          <w:rFonts w:hint="default" w:ascii="Times New Roman" w:hAnsi="Times New Roman" w:cs="Times New Roman"/>
          <w:color w:val="auto"/>
          <w:kern w:val="0"/>
          <w:sz w:val="24"/>
          <w:szCs w:val="24"/>
          <w:highlight w:val="none"/>
          <w:lang w:eastAsia="zh-CN"/>
        </w:rPr>
        <w:t>，污染物排放满足《大气污染物综合排放标准》（GB16297-1996）表 2 中二级标准及无组织排放标准要求</w:t>
      </w:r>
      <w:r>
        <w:rPr>
          <w:rFonts w:hint="default" w:ascii="Times New Roman" w:hAnsi="Times New Roman" w:cs="Times New Roman"/>
          <w:color w:val="auto"/>
          <w:sz w:val="24"/>
          <w:szCs w:val="32"/>
          <w:highlight w:val="none"/>
        </w:rPr>
        <w:t>。</w:t>
      </w:r>
    </w:p>
    <w:p w14:paraId="043B37E8">
      <w:pPr>
        <w:overflowPunct w:val="0"/>
        <w:adjustRightInd w:val="0"/>
        <w:snapToGrid w:val="0"/>
        <w:spacing w:line="500" w:lineRule="exact"/>
        <w:ind w:left="420" w:leftChars="200" w:firstLine="60" w:firstLineChars="25"/>
        <w:outlineLvl w:val="0"/>
        <w:rPr>
          <w:rFonts w:hint="default" w:ascii="Times New Roman" w:hAnsi="Times New Roman" w:eastAsia="黑体" w:cs="Times New Roman"/>
          <w:bCs/>
          <w:color w:val="auto"/>
          <w:kern w:val="44"/>
          <w:sz w:val="24"/>
          <w:highlight w:val="none"/>
        </w:rPr>
      </w:pPr>
      <w:bookmarkStart w:id="281" w:name="_Toc23198"/>
      <w:bookmarkStart w:id="282" w:name="_Toc193459995"/>
      <w:bookmarkStart w:id="283" w:name="_Toc192758906"/>
      <w:bookmarkStart w:id="284" w:name="_Toc26029"/>
      <w:bookmarkStart w:id="285" w:name="_Toc5764"/>
      <w:bookmarkStart w:id="286" w:name="_Toc14916"/>
      <w:r>
        <w:rPr>
          <w:rFonts w:hint="default" w:ascii="Times New Roman" w:hAnsi="Times New Roman" w:eastAsia="黑体" w:cs="Times New Roman"/>
          <w:bCs/>
          <w:color w:val="auto"/>
          <w:kern w:val="44"/>
          <w:sz w:val="24"/>
          <w:highlight w:val="none"/>
        </w:rPr>
        <w:t>2.7.3非正常工况废气排放</w:t>
      </w:r>
      <w:bookmarkEnd w:id="281"/>
      <w:bookmarkEnd w:id="282"/>
      <w:bookmarkEnd w:id="283"/>
      <w:bookmarkEnd w:id="284"/>
      <w:bookmarkEnd w:id="285"/>
      <w:bookmarkEnd w:id="286"/>
    </w:p>
    <w:p w14:paraId="5DA42F01">
      <w:pPr>
        <w:autoSpaceDE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本项目非正常工况主要体现为除尘器除尘装置设备故障，</w:t>
      </w:r>
      <w:r>
        <w:rPr>
          <w:rFonts w:hint="default" w:ascii="Times New Roman" w:hAnsi="Times New Roman" w:cs="Times New Roman"/>
          <w:color w:val="auto"/>
          <w:kern w:val="0"/>
          <w:sz w:val="24"/>
          <w:highlight w:val="none"/>
          <w:lang w:val="en-US" w:eastAsia="zh-CN"/>
        </w:rPr>
        <w:t>电捕焦油器+</w:t>
      </w:r>
      <w:r>
        <w:rPr>
          <w:rFonts w:hint="default" w:ascii="Times New Roman" w:hAnsi="Times New Roman" w:cs="Times New Roman"/>
          <w:color w:val="auto"/>
          <w:kern w:val="0"/>
          <w:sz w:val="24"/>
          <w:highlight w:val="none"/>
        </w:rPr>
        <w:t>活性炭吸附装置故障，如突然发现排放浓度异常，应立即组织工作人员对设备进行检查与维修并在检修过后总结设备非正常工作原因，防止此类事件再次发生。非正常工况下废气污染物排放情况见下表。</w:t>
      </w:r>
    </w:p>
    <w:p w14:paraId="04F08025">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表2-8 污染源非正常排放量核算表</w:t>
      </w:r>
    </w:p>
    <w:tbl>
      <w:tblPr>
        <w:tblStyle w:val="30"/>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5"/>
        <w:gridCol w:w="650"/>
        <w:gridCol w:w="854"/>
        <w:gridCol w:w="741"/>
        <w:gridCol w:w="1125"/>
        <w:gridCol w:w="788"/>
        <w:gridCol w:w="473"/>
        <w:gridCol w:w="473"/>
        <w:gridCol w:w="1260"/>
        <w:gridCol w:w="947"/>
        <w:gridCol w:w="438"/>
      </w:tblGrid>
      <w:tr w14:paraId="184A3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vMerge w:val="restart"/>
            <w:vAlign w:val="center"/>
          </w:tcPr>
          <w:p w14:paraId="0F6D75DA">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工序/生产线</w:t>
            </w:r>
          </w:p>
        </w:tc>
        <w:tc>
          <w:tcPr>
            <w:tcW w:w="381" w:type="pct"/>
            <w:vMerge w:val="restart"/>
            <w:vAlign w:val="center"/>
          </w:tcPr>
          <w:p w14:paraId="6BEBE1C2">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污染源</w:t>
            </w:r>
          </w:p>
        </w:tc>
        <w:tc>
          <w:tcPr>
            <w:tcW w:w="501" w:type="pct"/>
            <w:vMerge w:val="restart"/>
            <w:vAlign w:val="center"/>
          </w:tcPr>
          <w:p w14:paraId="208F5231">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w:t>
            </w:r>
          </w:p>
        </w:tc>
        <w:tc>
          <w:tcPr>
            <w:tcW w:w="1095" w:type="pct"/>
            <w:gridSpan w:val="2"/>
            <w:vAlign w:val="center"/>
          </w:tcPr>
          <w:p w14:paraId="54927A8D">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污染物产生</w:t>
            </w:r>
          </w:p>
        </w:tc>
        <w:tc>
          <w:tcPr>
            <w:tcW w:w="740" w:type="pct"/>
            <w:gridSpan w:val="2"/>
            <w:vAlign w:val="center"/>
          </w:tcPr>
          <w:p w14:paraId="6023C939">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治理措施</w:t>
            </w:r>
          </w:p>
        </w:tc>
        <w:tc>
          <w:tcPr>
            <w:tcW w:w="1573" w:type="pct"/>
            <w:gridSpan w:val="3"/>
            <w:vAlign w:val="center"/>
          </w:tcPr>
          <w:p w14:paraId="63982ECC">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w:t>
            </w:r>
          </w:p>
        </w:tc>
        <w:tc>
          <w:tcPr>
            <w:tcW w:w="257" w:type="pct"/>
            <w:vMerge w:val="restart"/>
            <w:vAlign w:val="center"/>
          </w:tcPr>
          <w:p w14:paraId="376C4AB6">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w:t>
            </w:r>
          </w:p>
          <w:p w14:paraId="7021205B">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时间</w:t>
            </w:r>
          </w:p>
        </w:tc>
      </w:tr>
      <w:tr w14:paraId="024EA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vMerge w:val="continue"/>
            <w:vAlign w:val="center"/>
          </w:tcPr>
          <w:p w14:paraId="0FF5D68D">
            <w:pPr>
              <w:jc w:val="center"/>
              <w:rPr>
                <w:rFonts w:hint="default" w:ascii="Times New Roman" w:hAnsi="Times New Roman" w:cs="Times New Roman"/>
                <w:color w:val="auto"/>
                <w:kern w:val="0"/>
                <w:szCs w:val="21"/>
                <w:highlight w:val="none"/>
              </w:rPr>
            </w:pPr>
          </w:p>
        </w:tc>
        <w:tc>
          <w:tcPr>
            <w:tcW w:w="381" w:type="pct"/>
            <w:vMerge w:val="continue"/>
            <w:vAlign w:val="center"/>
          </w:tcPr>
          <w:p w14:paraId="1CC57038">
            <w:pPr>
              <w:jc w:val="center"/>
              <w:rPr>
                <w:rFonts w:hint="default" w:ascii="Times New Roman" w:hAnsi="Times New Roman" w:cs="Times New Roman"/>
                <w:color w:val="auto"/>
                <w:kern w:val="0"/>
                <w:szCs w:val="21"/>
                <w:highlight w:val="none"/>
              </w:rPr>
            </w:pPr>
          </w:p>
        </w:tc>
        <w:tc>
          <w:tcPr>
            <w:tcW w:w="501" w:type="pct"/>
            <w:vMerge w:val="continue"/>
            <w:vAlign w:val="center"/>
          </w:tcPr>
          <w:p w14:paraId="2D95B5A1">
            <w:pPr>
              <w:jc w:val="center"/>
              <w:rPr>
                <w:rFonts w:hint="default" w:ascii="Times New Roman" w:hAnsi="Times New Roman" w:cs="Times New Roman"/>
                <w:color w:val="auto"/>
                <w:kern w:val="0"/>
                <w:szCs w:val="21"/>
                <w:highlight w:val="none"/>
              </w:rPr>
            </w:pPr>
          </w:p>
        </w:tc>
        <w:tc>
          <w:tcPr>
            <w:tcW w:w="435" w:type="pct"/>
            <w:vAlign w:val="center"/>
          </w:tcPr>
          <w:p w14:paraId="0116C90B">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核算</w:t>
            </w:r>
          </w:p>
          <w:p w14:paraId="27302A4E">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方法</w:t>
            </w:r>
          </w:p>
        </w:tc>
        <w:tc>
          <w:tcPr>
            <w:tcW w:w="660" w:type="pct"/>
            <w:vAlign w:val="center"/>
          </w:tcPr>
          <w:p w14:paraId="6643D54E">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废气产生量kg/h</w:t>
            </w:r>
          </w:p>
        </w:tc>
        <w:tc>
          <w:tcPr>
            <w:tcW w:w="462" w:type="pct"/>
            <w:vAlign w:val="center"/>
          </w:tcPr>
          <w:p w14:paraId="2A4F4D2E">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工艺</w:t>
            </w:r>
          </w:p>
        </w:tc>
        <w:tc>
          <w:tcPr>
            <w:tcW w:w="277" w:type="pct"/>
            <w:vAlign w:val="center"/>
          </w:tcPr>
          <w:p w14:paraId="740C4E87">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效率</w:t>
            </w:r>
          </w:p>
        </w:tc>
        <w:tc>
          <w:tcPr>
            <w:tcW w:w="277" w:type="pct"/>
            <w:vAlign w:val="center"/>
          </w:tcPr>
          <w:p w14:paraId="7DE712DA">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核算方法</w:t>
            </w:r>
          </w:p>
        </w:tc>
        <w:tc>
          <w:tcPr>
            <w:tcW w:w="739" w:type="pct"/>
            <w:vAlign w:val="center"/>
          </w:tcPr>
          <w:p w14:paraId="752DED7B">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排放量</w:t>
            </w:r>
          </w:p>
          <w:p w14:paraId="1AE459E3">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kg/h</w:t>
            </w:r>
          </w:p>
        </w:tc>
        <w:tc>
          <w:tcPr>
            <w:tcW w:w="556" w:type="pct"/>
            <w:tcBorders>
              <w:bottom w:val="single" w:color="000000" w:sz="2" w:space="0"/>
            </w:tcBorders>
            <w:vAlign w:val="center"/>
          </w:tcPr>
          <w:p w14:paraId="1F3D4CF8">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排放浓度</w:t>
            </w:r>
          </w:p>
          <w:p w14:paraId="0D2D3AC7">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c>
          <w:tcPr>
            <w:tcW w:w="257" w:type="pct"/>
            <w:vMerge w:val="continue"/>
            <w:tcBorders>
              <w:bottom w:val="single" w:color="000000" w:sz="2" w:space="0"/>
            </w:tcBorders>
            <w:vAlign w:val="center"/>
          </w:tcPr>
          <w:p w14:paraId="4DC8965C">
            <w:pPr>
              <w:jc w:val="center"/>
              <w:rPr>
                <w:rFonts w:hint="default" w:ascii="Times New Roman" w:hAnsi="Times New Roman" w:cs="Times New Roman"/>
                <w:color w:val="auto"/>
                <w:kern w:val="0"/>
                <w:szCs w:val="21"/>
                <w:highlight w:val="none"/>
              </w:rPr>
            </w:pPr>
          </w:p>
        </w:tc>
      </w:tr>
      <w:tr w14:paraId="3E7207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449" w:type="pct"/>
            <w:vAlign w:val="center"/>
          </w:tcPr>
          <w:p w14:paraId="1476241D">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烘干</w:t>
            </w:r>
          </w:p>
        </w:tc>
        <w:tc>
          <w:tcPr>
            <w:tcW w:w="381" w:type="pct"/>
            <w:vAlign w:val="center"/>
          </w:tcPr>
          <w:p w14:paraId="0505AB0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szCs w:val="21"/>
                <w:highlight w:val="none"/>
                <w:lang w:bidi="ar"/>
              </w:rPr>
              <w:t>烘干</w:t>
            </w:r>
            <w:r>
              <w:rPr>
                <w:rFonts w:hint="default" w:ascii="Times New Roman" w:hAnsi="Times New Roman" w:cs="Times New Roman"/>
                <w:color w:val="auto"/>
                <w:szCs w:val="21"/>
                <w:highlight w:val="none"/>
                <w:lang w:eastAsia="zh-CN" w:bidi="ar"/>
              </w:rPr>
              <w:t>、</w:t>
            </w:r>
            <w:r>
              <w:rPr>
                <w:rFonts w:hint="default" w:ascii="Times New Roman" w:hAnsi="Times New Roman" w:cs="Times New Roman"/>
                <w:color w:val="auto"/>
                <w:szCs w:val="21"/>
                <w:highlight w:val="none"/>
                <w:lang w:val="en-US" w:eastAsia="zh-CN" w:bidi="ar"/>
              </w:rPr>
              <w:t>主燃烧器</w:t>
            </w:r>
          </w:p>
        </w:tc>
        <w:tc>
          <w:tcPr>
            <w:tcW w:w="501" w:type="pct"/>
            <w:vAlign w:val="center"/>
          </w:tcPr>
          <w:p w14:paraId="7F3A1840">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粉尘</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混合废气</w:t>
            </w:r>
            <w:r>
              <w:rPr>
                <w:rFonts w:hint="default" w:ascii="Times New Roman" w:hAnsi="Times New Roman" w:cs="Times New Roman"/>
                <w:color w:val="auto"/>
                <w:kern w:val="0"/>
                <w:szCs w:val="21"/>
                <w:highlight w:val="none"/>
                <w:lang w:eastAsia="zh-CN"/>
              </w:rPr>
              <w:t>）</w:t>
            </w:r>
          </w:p>
        </w:tc>
        <w:tc>
          <w:tcPr>
            <w:tcW w:w="435" w:type="pct"/>
            <w:vMerge w:val="restart"/>
            <w:vAlign w:val="center"/>
          </w:tcPr>
          <w:p w14:paraId="6C66B17B">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类比法</w:t>
            </w:r>
          </w:p>
        </w:tc>
        <w:tc>
          <w:tcPr>
            <w:tcW w:w="660" w:type="pct"/>
            <w:vAlign w:val="center"/>
          </w:tcPr>
          <w:p w14:paraId="2F1962EB">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54.88</w:t>
            </w:r>
          </w:p>
        </w:tc>
        <w:tc>
          <w:tcPr>
            <w:tcW w:w="462" w:type="pct"/>
            <w:vAlign w:val="center"/>
          </w:tcPr>
          <w:p w14:paraId="5197B43B">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除尘器故障</w:t>
            </w:r>
          </w:p>
        </w:tc>
        <w:tc>
          <w:tcPr>
            <w:tcW w:w="277" w:type="pct"/>
            <w:vAlign w:val="center"/>
          </w:tcPr>
          <w:p w14:paraId="6D523D69">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70%</w:t>
            </w:r>
          </w:p>
        </w:tc>
        <w:tc>
          <w:tcPr>
            <w:tcW w:w="277" w:type="pct"/>
            <w:vMerge w:val="restart"/>
            <w:vAlign w:val="center"/>
          </w:tcPr>
          <w:p w14:paraId="3F0C9370">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类比法</w:t>
            </w:r>
          </w:p>
        </w:tc>
        <w:tc>
          <w:tcPr>
            <w:tcW w:w="739" w:type="pct"/>
            <w:vAlign w:val="center"/>
          </w:tcPr>
          <w:p w14:paraId="238EE646">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16.465</w:t>
            </w:r>
          </w:p>
        </w:tc>
        <w:tc>
          <w:tcPr>
            <w:tcW w:w="556" w:type="pct"/>
            <w:tcBorders>
              <w:top w:val="single" w:color="000000" w:sz="2" w:space="0"/>
            </w:tcBorders>
            <w:vAlign w:val="center"/>
          </w:tcPr>
          <w:p w14:paraId="25E6C3C4">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1251.7</w:t>
            </w:r>
          </w:p>
        </w:tc>
        <w:tc>
          <w:tcPr>
            <w:tcW w:w="257" w:type="pct"/>
            <w:vMerge w:val="restart"/>
            <w:tcBorders>
              <w:top w:val="single" w:color="000000" w:sz="2" w:space="0"/>
            </w:tcBorders>
            <w:vAlign w:val="center"/>
          </w:tcPr>
          <w:p w14:paraId="2F024F25">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1h</w:t>
            </w:r>
          </w:p>
        </w:tc>
      </w:tr>
      <w:tr w14:paraId="556A0F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449" w:type="pct"/>
            <w:vMerge w:val="restart"/>
            <w:vAlign w:val="center"/>
          </w:tcPr>
          <w:p w14:paraId="39EEDFE3">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加热沥青储罐、出料</w:t>
            </w:r>
          </w:p>
        </w:tc>
        <w:tc>
          <w:tcPr>
            <w:tcW w:w="381" w:type="pct"/>
            <w:vMerge w:val="restart"/>
            <w:vAlign w:val="center"/>
          </w:tcPr>
          <w:p w14:paraId="5B4762C6">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沥青罐</w:t>
            </w:r>
          </w:p>
        </w:tc>
        <w:tc>
          <w:tcPr>
            <w:tcW w:w="501" w:type="pct"/>
            <w:vAlign w:val="center"/>
          </w:tcPr>
          <w:p w14:paraId="130E066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沥青烟</w:t>
            </w:r>
          </w:p>
        </w:tc>
        <w:tc>
          <w:tcPr>
            <w:tcW w:w="435" w:type="pct"/>
            <w:vMerge w:val="continue"/>
            <w:vAlign w:val="center"/>
          </w:tcPr>
          <w:p w14:paraId="545FE2FB">
            <w:pPr>
              <w:jc w:val="center"/>
              <w:rPr>
                <w:rFonts w:hint="default" w:ascii="Times New Roman" w:hAnsi="Times New Roman" w:cs="Times New Roman"/>
                <w:color w:val="auto"/>
                <w:kern w:val="0"/>
                <w:szCs w:val="21"/>
                <w:highlight w:val="none"/>
              </w:rPr>
            </w:pPr>
          </w:p>
        </w:tc>
        <w:tc>
          <w:tcPr>
            <w:tcW w:w="660" w:type="pct"/>
            <w:vAlign w:val="center"/>
          </w:tcPr>
          <w:p w14:paraId="5A428350">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1.658</w:t>
            </w:r>
          </w:p>
        </w:tc>
        <w:tc>
          <w:tcPr>
            <w:tcW w:w="462" w:type="pct"/>
            <w:vMerge w:val="restart"/>
            <w:vAlign w:val="center"/>
          </w:tcPr>
          <w:p w14:paraId="07199AD1">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lang w:val="en-US" w:eastAsia="zh-CN"/>
              </w:rPr>
              <w:t>电捕焦油器+</w:t>
            </w:r>
            <w:r>
              <w:rPr>
                <w:rFonts w:hint="default" w:ascii="Times New Roman" w:hAnsi="Times New Roman" w:cs="Times New Roman"/>
                <w:color w:val="auto"/>
                <w:highlight w:val="none"/>
              </w:rPr>
              <w:t>活性炭吸附装置</w:t>
            </w:r>
            <w:r>
              <w:rPr>
                <w:rFonts w:hint="default" w:ascii="Times New Roman" w:hAnsi="Times New Roman" w:cs="Times New Roman"/>
                <w:color w:val="auto"/>
                <w:kern w:val="0"/>
                <w:szCs w:val="21"/>
                <w:highlight w:val="none"/>
              </w:rPr>
              <w:t>故障</w:t>
            </w:r>
          </w:p>
        </w:tc>
        <w:tc>
          <w:tcPr>
            <w:tcW w:w="277" w:type="pct"/>
            <w:vMerge w:val="restart"/>
            <w:vAlign w:val="center"/>
          </w:tcPr>
          <w:p w14:paraId="6AA4A170">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277" w:type="pct"/>
            <w:vMerge w:val="continue"/>
            <w:vAlign w:val="center"/>
          </w:tcPr>
          <w:p w14:paraId="43D74B0A">
            <w:pPr>
              <w:jc w:val="center"/>
              <w:rPr>
                <w:rFonts w:hint="default" w:ascii="Times New Roman" w:hAnsi="Times New Roman" w:cs="Times New Roman"/>
                <w:color w:val="auto"/>
                <w:kern w:val="0"/>
                <w:szCs w:val="21"/>
                <w:highlight w:val="none"/>
              </w:rPr>
            </w:pPr>
          </w:p>
        </w:tc>
        <w:tc>
          <w:tcPr>
            <w:tcW w:w="739" w:type="pct"/>
            <w:vAlign w:val="center"/>
          </w:tcPr>
          <w:p w14:paraId="568251A7">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0.829</w:t>
            </w:r>
          </w:p>
        </w:tc>
        <w:tc>
          <w:tcPr>
            <w:tcW w:w="556" w:type="pct"/>
            <w:vAlign w:val="center"/>
          </w:tcPr>
          <w:p w14:paraId="585E658D">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41.45</w:t>
            </w:r>
          </w:p>
        </w:tc>
        <w:tc>
          <w:tcPr>
            <w:tcW w:w="257" w:type="pct"/>
            <w:vMerge w:val="continue"/>
            <w:vAlign w:val="center"/>
          </w:tcPr>
          <w:p w14:paraId="20AE164E">
            <w:pPr>
              <w:jc w:val="center"/>
              <w:rPr>
                <w:rFonts w:hint="default" w:ascii="Times New Roman" w:hAnsi="Times New Roman" w:cs="Times New Roman"/>
                <w:color w:val="auto"/>
                <w:kern w:val="0"/>
                <w:szCs w:val="21"/>
                <w:highlight w:val="none"/>
              </w:rPr>
            </w:pPr>
          </w:p>
        </w:tc>
      </w:tr>
      <w:tr w14:paraId="441E34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449" w:type="pct"/>
            <w:vMerge w:val="continue"/>
            <w:vAlign w:val="center"/>
          </w:tcPr>
          <w:p w14:paraId="6B4AE219">
            <w:pPr>
              <w:adjustRightInd w:val="0"/>
              <w:snapToGrid w:val="0"/>
              <w:jc w:val="center"/>
              <w:rPr>
                <w:rFonts w:hint="default" w:ascii="Times New Roman" w:hAnsi="Times New Roman" w:cs="Times New Roman"/>
                <w:color w:val="auto"/>
                <w:szCs w:val="21"/>
                <w:highlight w:val="none"/>
              </w:rPr>
            </w:pPr>
          </w:p>
        </w:tc>
        <w:tc>
          <w:tcPr>
            <w:tcW w:w="381" w:type="pct"/>
            <w:vMerge w:val="continue"/>
            <w:vAlign w:val="center"/>
          </w:tcPr>
          <w:p w14:paraId="7DE5D606">
            <w:pPr>
              <w:adjustRightInd w:val="0"/>
              <w:snapToGrid w:val="0"/>
              <w:jc w:val="center"/>
              <w:rPr>
                <w:rFonts w:hint="default" w:ascii="Times New Roman" w:hAnsi="Times New Roman" w:cs="Times New Roman"/>
                <w:color w:val="auto"/>
                <w:szCs w:val="21"/>
                <w:highlight w:val="none"/>
              </w:rPr>
            </w:pPr>
          </w:p>
        </w:tc>
        <w:tc>
          <w:tcPr>
            <w:tcW w:w="501" w:type="pct"/>
            <w:vAlign w:val="center"/>
          </w:tcPr>
          <w:p w14:paraId="0E316E6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苯并[a]芘</w:t>
            </w:r>
          </w:p>
        </w:tc>
        <w:tc>
          <w:tcPr>
            <w:tcW w:w="435" w:type="pct"/>
            <w:vMerge w:val="continue"/>
            <w:vAlign w:val="center"/>
          </w:tcPr>
          <w:p w14:paraId="6912E87A">
            <w:pPr>
              <w:jc w:val="center"/>
              <w:rPr>
                <w:rFonts w:hint="default" w:ascii="Times New Roman" w:hAnsi="Times New Roman" w:cs="Times New Roman"/>
                <w:color w:val="auto"/>
                <w:kern w:val="0"/>
                <w:szCs w:val="21"/>
                <w:highlight w:val="none"/>
              </w:rPr>
            </w:pPr>
          </w:p>
        </w:tc>
        <w:tc>
          <w:tcPr>
            <w:tcW w:w="660" w:type="pct"/>
            <w:vAlign w:val="center"/>
          </w:tcPr>
          <w:p w14:paraId="25ABCF97">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0.000033</w:t>
            </w:r>
          </w:p>
        </w:tc>
        <w:tc>
          <w:tcPr>
            <w:tcW w:w="462" w:type="pct"/>
            <w:vMerge w:val="continue"/>
            <w:vAlign w:val="center"/>
          </w:tcPr>
          <w:p w14:paraId="02D162DD">
            <w:pPr>
              <w:jc w:val="center"/>
              <w:rPr>
                <w:rFonts w:hint="default" w:ascii="Times New Roman" w:hAnsi="Times New Roman" w:cs="Times New Roman"/>
                <w:color w:val="auto"/>
                <w:kern w:val="0"/>
                <w:szCs w:val="21"/>
                <w:highlight w:val="none"/>
              </w:rPr>
            </w:pPr>
          </w:p>
        </w:tc>
        <w:tc>
          <w:tcPr>
            <w:tcW w:w="277" w:type="pct"/>
            <w:vMerge w:val="continue"/>
            <w:vAlign w:val="center"/>
          </w:tcPr>
          <w:p w14:paraId="31C85352">
            <w:pPr>
              <w:jc w:val="center"/>
              <w:rPr>
                <w:rFonts w:hint="default" w:ascii="Times New Roman" w:hAnsi="Times New Roman" w:cs="Times New Roman"/>
                <w:color w:val="auto"/>
                <w:kern w:val="0"/>
                <w:szCs w:val="21"/>
                <w:highlight w:val="none"/>
              </w:rPr>
            </w:pPr>
          </w:p>
        </w:tc>
        <w:tc>
          <w:tcPr>
            <w:tcW w:w="277" w:type="pct"/>
            <w:vMerge w:val="continue"/>
            <w:vAlign w:val="center"/>
          </w:tcPr>
          <w:p w14:paraId="1D5C5744">
            <w:pPr>
              <w:jc w:val="center"/>
              <w:rPr>
                <w:rFonts w:hint="default" w:ascii="Times New Roman" w:hAnsi="Times New Roman" w:cs="Times New Roman"/>
                <w:color w:val="auto"/>
                <w:kern w:val="0"/>
                <w:szCs w:val="21"/>
                <w:highlight w:val="none"/>
              </w:rPr>
            </w:pPr>
          </w:p>
        </w:tc>
        <w:tc>
          <w:tcPr>
            <w:tcW w:w="739" w:type="pct"/>
            <w:vAlign w:val="center"/>
          </w:tcPr>
          <w:p w14:paraId="4D8D1768">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0.000017</w:t>
            </w:r>
          </w:p>
        </w:tc>
        <w:tc>
          <w:tcPr>
            <w:tcW w:w="556" w:type="pct"/>
            <w:vAlign w:val="center"/>
          </w:tcPr>
          <w:p w14:paraId="20B07774">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0.00085</w:t>
            </w:r>
          </w:p>
        </w:tc>
        <w:tc>
          <w:tcPr>
            <w:tcW w:w="257" w:type="pct"/>
            <w:vMerge w:val="continue"/>
            <w:vAlign w:val="center"/>
          </w:tcPr>
          <w:p w14:paraId="22D553B2">
            <w:pPr>
              <w:jc w:val="center"/>
              <w:rPr>
                <w:rFonts w:hint="default" w:ascii="Times New Roman" w:hAnsi="Times New Roman" w:cs="Times New Roman"/>
                <w:color w:val="auto"/>
                <w:kern w:val="0"/>
                <w:szCs w:val="21"/>
                <w:highlight w:val="none"/>
              </w:rPr>
            </w:pPr>
          </w:p>
        </w:tc>
      </w:tr>
      <w:tr w14:paraId="665A74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449" w:type="pct"/>
            <w:vMerge w:val="continue"/>
            <w:vAlign w:val="center"/>
          </w:tcPr>
          <w:p w14:paraId="5F73B76B">
            <w:pPr>
              <w:adjustRightInd w:val="0"/>
              <w:snapToGrid w:val="0"/>
              <w:jc w:val="center"/>
              <w:rPr>
                <w:rFonts w:hint="default" w:ascii="Times New Roman" w:hAnsi="Times New Roman" w:cs="Times New Roman"/>
                <w:color w:val="auto"/>
                <w:szCs w:val="21"/>
                <w:highlight w:val="none"/>
              </w:rPr>
            </w:pPr>
          </w:p>
        </w:tc>
        <w:tc>
          <w:tcPr>
            <w:tcW w:w="381" w:type="pct"/>
            <w:vMerge w:val="continue"/>
            <w:vAlign w:val="center"/>
          </w:tcPr>
          <w:p w14:paraId="496EBAC7">
            <w:pPr>
              <w:adjustRightInd w:val="0"/>
              <w:snapToGrid w:val="0"/>
              <w:jc w:val="center"/>
              <w:rPr>
                <w:rFonts w:hint="default" w:ascii="Times New Roman" w:hAnsi="Times New Roman" w:cs="Times New Roman"/>
                <w:color w:val="auto"/>
                <w:szCs w:val="21"/>
                <w:highlight w:val="none"/>
              </w:rPr>
            </w:pPr>
          </w:p>
        </w:tc>
        <w:tc>
          <w:tcPr>
            <w:tcW w:w="501" w:type="pct"/>
            <w:vAlign w:val="center"/>
          </w:tcPr>
          <w:p w14:paraId="7BEE9CE2">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非甲烷总烃</w:t>
            </w:r>
          </w:p>
        </w:tc>
        <w:tc>
          <w:tcPr>
            <w:tcW w:w="435" w:type="pct"/>
            <w:vMerge w:val="continue"/>
            <w:vAlign w:val="center"/>
          </w:tcPr>
          <w:p w14:paraId="6F951244">
            <w:pPr>
              <w:jc w:val="center"/>
              <w:rPr>
                <w:rFonts w:hint="default" w:ascii="Times New Roman" w:hAnsi="Times New Roman" w:cs="Times New Roman"/>
                <w:color w:val="auto"/>
                <w:kern w:val="0"/>
                <w:szCs w:val="21"/>
                <w:highlight w:val="none"/>
              </w:rPr>
            </w:pPr>
          </w:p>
        </w:tc>
        <w:tc>
          <w:tcPr>
            <w:tcW w:w="660" w:type="pct"/>
            <w:vAlign w:val="center"/>
          </w:tcPr>
          <w:p w14:paraId="737ABCF8">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0.00995</w:t>
            </w:r>
          </w:p>
        </w:tc>
        <w:tc>
          <w:tcPr>
            <w:tcW w:w="462" w:type="pct"/>
            <w:vMerge w:val="continue"/>
            <w:vAlign w:val="center"/>
          </w:tcPr>
          <w:p w14:paraId="0269FB6D">
            <w:pPr>
              <w:jc w:val="center"/>
              <w:rPr>
                <w:rFonts w:hint="default" w:ascii="Times New Roman" w:hAnsi="Times New Roman" w:cs="Times New Roman"/>
                <w:color w:val="auto"/>
                <w:kern w:val="0"/>
                <w:szCs w:val="21"/>
                <w:highlight w:val="none"/>
              </w:rPr>
            </w:pPr>
          </w:p>
        </w:tc>
        <w:tc>
          <w:tcPr>
            <w:tcW w:w="277" w:type="pct"/>
            <w:vMerge w:val="continue"/>
            <w:vAlign w:val="center"/>
          </w:tcPr>
          <w:p w14:paraId="2EBAC679">
            <w:pPr>
              <w:jc w:val="center"/>
              <w:rPr>
                <w:rFonts w:hint="default" w:ascii="Times New Roman" w:hAnsi="Times New Roman" w:cs="Times New Roman"/>
                <w:color w:val="auto"/>
                <w:kern w:val="0"/>
                <w:szCs w:val="21"/>
                <w:highlight w:val="none"/>
              </w:rPr>
            </w:pPr>
          </w:p>
        </w:tc>
        <w:tc>
          <w:tcPr>
            <w:tcW w:w="277" w:type="pct"/>
            <w:vMerge w:val="continue"/>
            <w:vAlign w:val="center"/>
          </w:tcPr>
          <w:p w14:paraId="73E1EC89">
            <w:pPr>
              <w:jc w:val="center"/>
              <w:rPr>
                <w:rFonts w:hint="default" w:ascii="Times New Roman" w:hAnsi="Times New Roman" w:cs="Times New Roman"/>
                <w:color w:val="auto"/>
                <w:kern w:val="0"/>
                <w:szCs w:val="21"/>
                <w:highlight w:val="none"/>
              </w:rPr>
            </w:pPr>
          </w:p>
        </w:tc>
        <w:tc>
          <w:tcPr>
            <w:tcW w:w="739" w:type="pct"/>
            <w:vAlign w:val="center"/>
          </w:tcPr>
          <w:p w14:paraId="3BEBD0D8">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0.004975</w:t>
            </w:r>
          </w:p>
        </w:tc>
        <w:tc>
          <w:tcPr>
            <w:tcW w:w="556" w:type="pct"/>
            <w:vAlign w:val="center"/>
          </w:tcPr>
          <w:p w14:paraId="67A5A6B9">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0.2488</w:t>
            </w:r>
          </w:p>
        </w:tc>
        <w:tc>
          <w:tcPr>
            <w:tcW w:w="257" w:type="pct"/>
            <w:vMerge w:val="continue"/>
            <w:vAlign w:val="center"/>
          </w:tcPr>
          <w:p w14:paraId="47E31B6F">
            <w:pPr>
              <w:jc w:val="center"/>
              <w:rPr>
                <w:rFonts w:hint="default" w:ascii="Times New Roman" w:hAnsi="Times New Roman" w:cs="Times New Roman"/>
                <w:color w:val="auto"/>
                <w:kern w:val="0"/>
                <w:szCs w:val="21"/>
                <w:highlight w:val="none"/>
              </w:rPr>
            </w:pPr>
          </w:p>
        </w:tc>
      </w:tr>
    </w:tbl>
    <w:p w14:paraId="6D99655D">
      <w:pPr>
        <w:spacing w:line="500" w:lineRule="exact"/>
        <w:ind w:firstLine="480" w:firstLineChars="200"/>
        <w:rPr>
          <w:rFonts w:hint="default" w:ascii="Times New Roman" w:hAnsi="Times New Roman" w:eastAsia="黑体" w:cs="Times New Roman"/>
          <w:color w:val="auto"/>
          <w:sz w:val="24"/>
          <w:highlight w:val="none"/>
          <w:lang w:bidi="ar"/>
        </w:rPr>
      </w:pPr>
      <w:r>
        <w:rPr>
          <w:rFonts w:hint="default" w:ascii="Times New Roman" w:hAnsi="Times New Roman" w:cs="Times New Roman"/>
          <w:color w:val="auto"/>
          <w:sz w:val="24"/>
          <w:highlight w:val="none"/>
        </w:rPr>
        <w:t>因此，应加强对本项目的废气收集处理设施的检修、维护和保养，及时更换布袋、更换活性炭，当废气收集处理设施出现处理效率降低或运行故障时，应马上停止产生该废气的生产工序，及时检修至正常运行后，才恢复该生产工序。由此，可避免本项目的废气污染物非正常排放。</w:t>
      </w:r>
    </w:p>
    <w:p w14:paraId="0EEED913">
      <w:pPr>
        <w:widowControl/>
        <w:adjustRightInd w:val="0"/>
        <w:snapToGrid w:val="0"/>
        <w:spacing w:line="400" w:lineRule="exact"/>
        <w:jc w:val="center"/>
        <w:rPr>
          <w:rFonts w:hint="default" w:ascii="Times New Roman" w:hAnsi="Times New Roman" w:eastAsia="黑体" w:cs="Times New Roman"/>
          <w:color w:val="auto"/>
          <w:kern w:val="0"/>
          <w:sz w:val="24"/>
          <w:highlight w:val="none"/>
          <w:lang w:bidi="ar"/>
        </w:rPr>
      </w:pPr>
    </w:p>
    <w:p w14:paraId="5B692852">
      <w:pPr>
        <w:widowControl/>
        <w:adjustRightInd w:val="0"/>
        <w:snapToGrid w:val="0"/>
        <w:spacing w:line="400" w:lineRule="exact"/>
        <w:jc w:val="center"/>
        <w:rPr>
          <w:rFonts w:hint="default" w:ascii="Times New Roman" w:hAnsi="Times New Roman" w:eastAsia="黑体" w:cs="Times New Roman"/>
          <w:color w:val="auto"/>
          <w:kern w:val="0"/>
          <w:sz w:val="24"/>
          <w:highlight w:val="none"/>
          <w:lang w:bidi="ar"/>
        </w:rPr>
      </w:pPr>
    </w:p>
    <w:p w14:paraId="0CB8463E">
      <w:pPr>
        <w:widowControl/>
        <w:adjustRightInd w:val="0"/>
        <w:snapToGrid w:val="0"/>
        <w:spacing w:line="400" w:lineRule="exact"/>
        <w:jc w:val="center"/>
        <w:rPr>
          <w:rFonts w:hint="default" w:ascii="Times New Roman" w:hAnsi="Times New Roman" w:eastAsia="黑体" w:cs="Times New Roman"/>
          <w:color w:val="auto"/>
          <w:kern w:val="0"/>
          <w:sz w:val="24"/>
          <w:highlight w:val="none"/>
          <w:lang w:bidi="ar"/>
        </w:rPr>
      </w:pPr>
    </w:p>
    <w:p w14:paraId="4A954367">
      <w:pPr>
        <w:widowControl/>
        <w:adjustRightInd w:val="0"/>
        <w:snapToGrid w:val="0"/>
        <w:spacing w:line="400" w:lineRule="exact"/>
        <w:jc w:val="both"/>
        <w:rPr>
          <w:rFonts w:hint="default" w:ascii="Times New Roman" w:hAnsi="Times New Roman" w:eastAsia="黑体" w:cs="Times New Roman"/>
          <w:color w:val="auto"/>
          <w:kern w:val="0"/>
          <w:sz w:val="24"/>
          <w:highlight w:val="none"/>
          <w:lang w:bidi="ar"/>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0505DB3">
      <w:pPr>
        <w:widowControl/>
        <w:adjustRightInd w:val="0"/>
        <w:snapToGrid w:val="0"/>
        <w:spacing w:line="400" w:lineRule="exact"/>
        <w:ind w:firstLine="420" w:firstLineChars="200"/>
        <w:jc w:val="center"/>
        <w:rPr>
          <w:rFonts w:hint="default" w:ascii="Times New Roman" w:hAnsi="Times New Roman" w:eastAsia="黑体" w:cs="Times New Roman"/>
          <w:color w:val="auto"/>
          <w:kern w:val="0"/>
          <w:highlight w:val="none"/>
        </w:rPr>
      </w:pPr>
      <w:r>
        <w:rPr>
          <w:rFonts w:hint="default" w:ascii="Times New Roman" w:hAnsi="Times New Roman" w:eastAsia="黑体" w:cs="Times New Roman"/>
          <w:color w:val="auto"/>
          <w:kern w:val="0"/>
          <w:highlight w:val="none"/>
        </w:rPr>
        <w:t>表2-9 正常工况下废气污染物产生及排放情况</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6"/>
        <w:gridCol w:w="454"/>
        <w:gridCol w:w="891"/>
        <w:gridCol w:w="1003"/>
        <w:gridCol w:w="465"/>
        <w:gridCol w:w="766"/>
        <w:gridCol w:w="924"/>
        <w:gridCol w:w="1027"/>
        <w:gridCol w:w="1021"/>
        <w:gridCol w:w="981"/>
        <w:gridCol w:w="635"/>
        <w:gridCol w:w="454"/>
        <w:gridCol w:w="1006"/>
        <w:gridCol w:w="1157"/>
        <w:gridCol w:w="1021"/>
        <w:gridCol w:w="1021"/>
        <w:gridCol w:w="674"/>
      </w:tblGrid>
      <w:tr w14:paraId="16758F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restart"/>
            <w:vAlign w:val="center"/>
          </w:tcPr>
          <w:p w14:paraId="4D3E8BAA">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工序/生产线</w:t>
            </w:r>
          </w:p>
        </w:tc>
        <w:tc>
          <w:tcPr>
            <w:tcW w:w="160" w:type="pct"/>
            <w:vMerge w:val="restart"/>
            <w:vAlign w:val="center"/>
          </w:tcPr>
          <w:p w14:paraId="0D429707">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装置</w:t>
            </w:r>
          </w:p>
        </w:tc>
        <w:tc>
          <w:tcPr>
            <w:tcW w:w="314" w:type="pct"/>
            <w:vMerge w:val="restart"/>
            <w:vAlign w:val="center"/>
          </w:tcPr>
          <w:p w14:paraId="69F6EEFB">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污染源</w:t>
            </w:r>
          </w:p>
        </w:tc>
        <w:tc>
          <w:tcPr>
            <w:tcW w:w="353" w:type="pct"/>
            <w:vMerge w:val="restart"/>
            <w:vAlign w:val="center"/>
          </w:tcPr>
          <w:p w14:paraId="30E39AF8">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w:t>
            </w:r>
          </w:p>
        </w:tc>
        <w:tc>
          <w:tcPr>
            <w:tcW w:w="1482" w:type="pct"/>
            <w:gridSpan w:val="5"/>
            <w:vAlign w:val="center"/>
          </w:tcPr>
          <w:p w14:paraId="1C1D1C9C">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污染物产生</w:t>
            </w:r>
          </w:p>
        </w:tc>
        <w:tc>
          <w:tcPr>
            <w:tcW w:w="569" w:type="pct"/>
            <w:gridSpan w:val="2"/>
            <w:vAlign w:val="center"/>
          </w:tcPr>
          <w:p w14:paraId="62B50956">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治理措施</w:t>
            </w:r>
          </w:p>
        </w:tc>
        <w:tc>
          <w:tcPr>
            <w:tcW w:w="1643" w:type="pct"/>
            <w:gridSpan w:val="5"/>
            <w:vAlign w:val="center"/>
          </w:tcPr>
          <w:p w14:paraId="616AB409">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w:t>
            </w:r>
          </w:p>
        </w:tc>
        <w:tc>
          <w:tcPr>
            <w:tcW w:w="237" w:type="pct"/>
            <w:vMerge w:val="restart"/>
            <w:vAlign w:val="center"/>
          </w:tcPr>
          <w:p w14:paraId="4400F7FC">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排放时间h</w:t>
            </w:r>
          </w:p>
        </w:tc>
      </w:tr>
      <w:tr w14:paraId="45CEDC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continue"/>
            <w:vAlign w:val="center"/>
          </w:tcPr>
          <w:p w14:paraId="5360F94C">
            <w:pPr>
              <w:widowControl/>
              <w:adjustRightInd w:val="0"/>
              <w:snapToGrid w:val="0"/>
              <w:jc w:val="center"/>
              <w:rPr>
                <w:rFonts w:hint="default" w:ascii="Times New Roman" w:hAnsi="Times New Roman" w:cs="Times New Roman"/>
                <w:color w:val="auto"/>
                <w:szCs w:val="21"/>
                <w:highlight w:val="none"/>
              </w:rPr>
            </w:pPr>
          </w:p>
        </w:tc>
        <w:tc>
          <w:tcPr>
            <w:tcW w:w="160" w:type="pct"/>
            <w:vMerge w:val="continue"/>
            <w:vAlign w:val="center"/>
          </w:tcPr>
          <w:p w14:paraId="43BE7D6E">
            <w:pPr>
              <w:widowControl/>
              <w:adjustRightInd w:val="0"/>
              <w:snapToGrid w:val="0"/>
              <w:jc w:val="center"/>
              <w:rPr>
                <w:rFonts w:hint="default" w:ascii="Times New Roman" w:hAnsi="Times New Roman" w:cs="Times New Roman"/>
                <w:color w:val="auto"/>
                <w:szCs w:val="21"/>
                <w:highlight w:val="none"/>
              </w:rPr>
            </w:pPr>
          </w:p>
        </w:tc>
        <w:tc>
          <w:tcPr>
            <w:tcW w:w="314" w:type="pct"/>
            <w:vMerge w:val="continue"/>
            <w:vAlign w:val="center"/>
          </w:tcPr>
          <w:p w14:paraId="3F2BCCF1">
            <w:pPr>
              <w:widowControl/>
              <w:adjustRightInd w:val="0"/>
              <w:snapToGrid w:val="0"/>
              <w:jc w:val="center"/>
              <w:rPr>
                <w:rFonts w:hint="default" w:ascii="Times New Roman" w:hAnsi="Times New Roman" w:cs="Times New Roman"/>
                <w:color w:val="auto"/>
                <w:szCs w:val="21"/>
                <w:highlight w:val="none"/>
              </w:rPr>
            </w:pPr>
          </w:p>
        </w:tc>
        <w:tc>
          <w:tcPr>
            <w:tcW w:w="353" w:type="pct"/>
            <w:vMerge w:val="continue"/>
            <w:vAlign w:val="center"/>
          </w:tcPr>
          <w:p w14:paraId="24DDFA71">
            <w:pPr>
              <w:widowControl/>
              <w:adjustRightInd w:val="0"/>
              <w:snapToGrid w:val="0"/>
              <w:jc w:val="center"/>
              <w:rPr>
                <w:rFonts w:hint="default" w:ascii="Times New Roman" w:hAnsi="Times New Roman" w:cs="Times New Roman"/>
                <w:color w:val="auto"/>
                <w:szCs w:val="21"/>
                <w:highlight w:val="none"/>
              </w:rPr>
            </w:pPr>
          </w:p>
        </w:tc>
        <w:tc>
          <w:tcPr>
            <w:tcW w:w="164" w:type="pct"/>
            <w:vAlign w:val="center"/>
          </w:tcPr>
          <w:p w14:paraId="1E1175EF">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核算方法</w:t>
            </w:r>
          </w:p>
        </w:tc>
        <w:tc>
          <w:tcPr>
            <w:tcW w:w="270" w:type="pct"/>
            <w:vAlign w:val="center"/>
          </w:tcPr>
          <w:p w14:paraId="7E27F832">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烟气量m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/h</w:t>
            </w:r>
          </w:p>
        </w:tc>
        <w:tc>
          <w:tcPr>
            <w:tcW w:w="325" w:type="pct"/>
            <w:vAlign w:val="center"/>
          </w:tcPr>
          <w:p w14:paraId="40B74D07">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质量浓度mg/m</w:t>
            </w:r>
            <w:r>
              <w:rPr>
                <w:rFonts w:hint="default" w:ascii="Times New Roman" w:hAnsi="Times New Roman" w:cs="Times New Roman"/>
                <w:color w:val="auto"/>
                <w:kern w:val="0"/>
                <w:szCs w:val="21"/>
                <w:highlight w:val="none"/>
                <w:vertAlign w:val="superscript"/>
              </w:rPr>
              <w:t>3</w:t>
            </w:r>
          </w:p>
        </w:tc>
        <w:tc>
          <w:tcPr>
            <w:tcW w:w="362" w:type="pct"/>
            <w:vAlign w:val="center"/>
          </w:tcPr>
          <w:p w14:paraId="0422B8F0">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产生速率kg/h</w:t>
            </w:r>
          </w:p>
        </w:tc>
        <w:tc>
          <w:tcPr>
            <w:tcW w:w="360" w:type="pct"/>
            <w:vAlign w:val="center"/>
          </w:tcPr>
          <w:p w14:paraId="06DC1B59">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产生量</w:t>
            </w:r>
          </w:p>
          <w:p w14:paraId="6E911B19">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t/a</w:t>
            </w:r>
          </w:p>
        </w:tc>
        <w:tc>
          <w:tcPr>
            <w:tcW w:w="346" w:type="pct"/>
            <w:vAlign w:val="center"/>
          </w:tcPr>
          <w:p w14:paraId="70EB8EED">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工艺</w:t>
            </w:r>
          </w:p>
        </w:tc>
        <w:tc>
          <w:tcPr>
            <w:tcW w:w="223" w:type="pct"/>
            <w:vAlign w:val="center"/>
          </w:tcPr>
          <w:p w14:paraId="2CAC6C16">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效率%</w:t>
            </w:r>
          </w:p>
        </w:tc>
        <w:tc>
          <w:tcPr>
            <w:tcW w:w="160" w:type="pct"/>
            <w:vAlign w:val="center"/>
          </w:tcPr>
          <w:p w14:paraId="135AFB2F">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核算方法</w:t>
            </w:r>
          </w:p>
        </w:tc>
        <w:tc>
          <w:tcPr>
            <w:tcW w:w="354" w:type="pct"/>
            <w:vAlign w:val="center"/>
          </w:tcPr>
          <w:p w14:paraId="22086FBA">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烟气量m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/h</w:t>
            </w:r>
          </w:p>
        </w:tc>
        <w:tc>
          <w:tcPr>
            <w:tcW w:w="408" w:type="pct"/>
            <w:vAlign w:val="center"/>
          </w:tcPr>
          <w:p w14:paraId="073C3851">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质量浓度mg/m</w:t>
            </w:r>
            <w:r>
              <w:rPr>
                <w:rFonts w:hint="default" w:ascii="Times New Roman" w:hAnsi="Times New Roman" w:cs="Times New Roman"/>
                <w:color w:val="auto"/>
                <w:kern w:val="0"/>
                <w:szCs w:val="21"/>
                <w:highlight w:val="none"/>
                <w:vertAlign w:val="superscript"/>
              </w:rPr>
              <w:t>3</w:t>
            </w:r>
          </w:p>
        </w:tc>
        <w:tc>
          <w:tcPr>
            <w:tcW w:w="360" w:type="pct"/>
            <w:vAlign w:val="center"/>
          </w:tcPr>
          <w:p w14:paraId="310235BC">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排放速率kg/h</w:t>
            </w:r>
          </w:p>
        </w:tc>
        <w:tc>
          <w:tcPr>
            <w:tcW w:w="360" w:type="pct"/>
            <w:tcBorders>
              <w:bottom w:val="single" w:color="000000" w:sz="2" w:space="0"/>
            </w:tcBorders>
            <w:vAlign w:val="center"/>
          </w:tcPr>
          <w:p w14:paraId="21C22A8D">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排放量</w:t>
            </w:r>
          </w:p>
          <w:p w14:paraId="049E6A52">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t/a</w:t>
            </w:r>
          </w:p>
        </w:tc>
        <w:tc>
          <w:tcPr>
            <w:tcW w:w="237" w:type="pct"/>
            <w:vMerge w:val="continue"/>
            <w:tcBorders>
              <w:bottom w:val="single" w:color="000000" w:sz="2" w:space="0"/>
            </w:tcBorders>
            <w:vAlign w:val="center"/>
          </w:tcPr>
          <w:p w14:paraId="52B42244">
            <w:pPr>
              <w:widowControl/>
              <w:adjustRightInd w:val="0"/>
              <w:snapToGrid w:val="0"/>
              <w:jc w:val="center"/>
              <w:rPr>
                <w:rFonts w:hint="default" w:ascii="Times New Roman" w:hAnsi="Times New Roman" w:cs="Times New Roman"/>
                <w:color w:val="auto"/>
                <w:szCs w:val="21"/>
                <w:highlight w:val="none"/>
              </w:rPr>
            </w:pPr>
          </w:p>
        </w:tc>
      </w:tr>
      <w:tr w14:paraId="601A0F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restart"/>
            <w:vAlign w:val="center"/>
          </w:tcPr>
          <w:p w14:paraId="49B5C6BF">
            <w:pPr>
              <w:widowControl/>
              <w:tabs>
                <w:tab w:val="left" w:pos="146"/>
              </w:tabs>
              <w:adjustRightInd w:val="0"/>
              <w:snapToGrid w:val="0"/>
              <w:jc w:val="both"/>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骨料</w:t>
            </w:r>
            <w:r>
              <w:rPr>
                <w:rFonts w:hint="default" w:ascii="Times New Roman" w:hAnsi="Times New Roman" w:cs="Times New Roman"/>
                <w:color w:val="auto"/>
                <w:kern w:val="0"/>
                <w:szCs w:val="21"/>
                <w:highlight w:val="none"/>
              </w:rPr>
              <w:t>烘干</w:t>
            </w:r>
          </w:p>
        </w:tc>
        <w:tc>
          <w:tcPr>
            <w:tcW w:w="160" w:type="pct"/>
            <w:vMerge w:val="restart"/>
            <w:vAlign w:val="center"/>
          </w:tcPr>
          <w:p w14:paraId="433F942D">
            <w:pPr>
              <w:adjustRightInd w:val="0"/>
              <w:snapToGrid w:val="0"/>
              <w:jc w:val="center"/>
              <w:rPr>
                <w:rFonts w:hint="default" w:ascii="Times New Roman" w:hAnsi="Times New Roman" w:eastAsia="宋体" w:cs="Times New Roman"/>
                <w:color w:val="auto"/>
                <w:szCs w:val="21"/>
                <w:highlight w:val="none"/>
                <w:lang w:eastAsia="zh-CN" w:bidi="ar"/>
              </w:rPr>
            </w:pPr>
            <w:r>
              <w:rPr>
                <w:rFonts w:hint="default" w:ascii="Times New Roman" w:hAnsi="Times New Roman" w:cs="Times New Roman"/>
                <w:color w:val="auto"/>
                <w:szCs w:val="21"/>
                <w:highlight w:val="none"/>
                <w:lang w:bidi="ar"/>
              </w:rPr>
              <w:t>烘干</w:t>
            </w:r>
            <w:r>
              <w:rPr>
                <w:rFonts w:hint="default" w:ascii="Times New Roman" w:hAnsi="Times New Roman" w:cs="Times New Roman"/>
                <w:color w:val="auto"/>
                <w:szCs w:val="21"/>
                <w:highlight w:val="none"/>
                <w:lang w:eastAsia="zh-CN" w:bidi="ar"/>
              </w:rPr>
              <w:t>、</w:t>
            </w:r>
          </w:p>
          <w:p w14:paraId="29B303D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燃烧器</w:t>
            </w:r>
          </w:p>
        </w:tc>
        <w:tc>
          <w:tcPr>
            <w:tcW w:w="314" w:type="pct"/>
            <w:vMerge w:val="restart"/>
            <w:vAlign w:val="center"/>
          </w:tcPr>
          <w:p w14:paraId="3B037087">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DA00</w:t>
            </w:r>
            <w:r>
              <w:rPr>
                <w:rFonts w:hint="default" w:ascii="Times New Roman" w:hAnsi="Times New Roman" w:cs="Times New Roman"/>
                <w:color w:val="auto"/>
                <w:kern w:val="0"/>
                <w:szCs w:val="21"/>
                <w:highlight w:val="none"/>
                <w:lang w:val="en-US" w:eastAsia="zh-CN"/>
              </w:rPr>
              <w:t>1</w:t>
            </w:r>
          </w:p>
        </w:tc>
        <w:tc>
          <w:tcPr>
            <w:tcW w:w="353" w:type="pct"/>
            <w:vAlign w:val="center"/>
          </w:tcPr>
          <w:p w14:paraId="6244922D">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颗粒物</w:t>
            </w:r>
          </w:p>
        </w:tc>
        <w:tc>
          <w:tcPr>
            <w:tcW w:w="164" w:type="pct"/>
            <w:vMerge w:val="restart"/>
            <w:vAlign w:val="center"/>
          </w:tcPr>
          <w:p w14:paraId="7E94AA5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产污系数法</w:t>
            </w:r>
          </w:p>
        </w:tc>
        <w:tc>
          <w:tcPr>
            <w:tcW w:w="270" w:type="pct"/>
            <w:vMerge w:val="restart"/>
            <w:vAlign w:val="center"/>
          </w:tcPr>
          <w:p w14:paraId="0523007E">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13154</w:t>
            </w:r>
          </w:p>
        </w:tc>
        <w:tc>
          <w:tcPr>
            <w:tcW w:w="325" w:type="pct"/>
            <w:vAlign w:val="center"/>
          </w:tcPr>
          <w:p w14:paraId="0B13807D">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4172</w:t>
            </w:r>
          </w:p>
        </w:tc>
        <w:tc>
          <w:tcPr>
            <w:tcW w:w="362" w:type="pct"/>
            <w:vAlign w:val="center"/>
          </w:tcPr>
          <w:p w14:paraId="5F91F641">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54.88</w:t>
            </w:r>
          </w:p>
        </w:tc>
        <w:tc>
          <w:tcPr>
            <w:tcW w:w="360" w:type="pct"/>
            <w:vAlign w:val="center"/>
          </w:tcPr>
          <w:p w14:paraId="47CFF0A3">
            <w:pPr>
              <w:widowControl/>
              <w:tabs>
                <w:tab w:val="left" w:pos="146"/>
              </w:tabs>
              <w:adjustRightInd w:val="0"/>
              <w:snapToGrid w:val="0"/>
              <w:jc w:val="center"/>
              <w:textAlignment w:val="center"/>
              <w:rPr>
                <w:rFonts w:hint="default" w:ascii="Times New Roman" w:hAnsi="Times New Roman" w:eastAsia="宋体" w:cs="Times New Roman"/>
                <w:bCs/>
                <w:color w:val="auto"/>
                <w:szCs w:val="21"/>
                <w:highlight w:val="none"/>
                <w:lang w:val="en-US" w:eastAsia="zh-CN" w:bidi="ar"/>
              </w:rPr>
            </w:pPr>
            <w:r>
              <w:rPr>
                <w:rFonts w:hint="default" w:ascii="Times New Roman" w:hAnsi="Times New Roman" w:cs="Times New Roman"/>
                <w:bCs/>
                <w:color w:val="auto"/>
                <w:szCs w:val="21"/>
                <w:highlight w:val="none"/>
                <w:lang w:val="en-US" w:eastAsia="zh-CN" w:bidi="ar"/>
              </w:rPr>
              <w:t>23.984</w:t>
            </w:r>
          </w:p>
        </w:tc>
        <w:tc>
          <w:tcPr>
            <w:tcW w:w="346" w:type="pct"/>
            <w:vMerge w:val="restart"/>
            <w:vAlign w:val="center"/>
          </w:tcPr>
          <w:p w14:paraId="0E18AB46">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szCs w:val="21"/>
                <w:highlight w:val="none"/>
                <w:lang w:bidi="ar"/>
              </w:rPr>
              <w:t>旋风除尘器+布袋除尘器</w:t>
            </w:r>
          </w:p>
        </w:tc>
        <w:tc>
          <w:tcPr>
            <w:tcW w:w="223" w:type="pct"/>
            <w:vAlign w:val="center"/>
          </w:tcPr>
          <w:p w14:paraId="3D7D6DBE">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99.4</w:t>
            </w:r>
          </w:p>
        </w:tc>
        <w:tc>
          <w:tcPr>
            <w:tcW w:w="160" w:type="pct"/>
            <w:vMerge w:val="restart"/>
            <w:vAlign w:val="center"/>
          </w:tcPr>
          <w:p w14:paraId="01D77F55">
            <w:pPr>
              <w:adjustRightInd w:val="0"/>
              <w:snapToGrid w:val="0"/>
              <w:jc w:val="center"/>
              <w:rPr>
                <w:rFonts w:hint="default" w:ascii="Times New Roman" w:hAnsi="Times New Roman" w:cs="Times New Roman"/>
                <w:color w:val="auto"/>
                <w:szCs w:val="21"/>
                <w:highlight w:val="none"/>
              </w:rPr>
            </w:pPr>
          </w:p>
        </w:tc>
        <w:tc>
          <w:tcPr>
            <w:tcW w:w="354" w:type="pct"/>
            <w:vMerge w:val="restart"/>
            <w:vAlign w:val="center"/>
          </w:tcPr>
          <w:p w14:paraId="0061EDD0">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13154</w:t>
            </w:r>
          </w:p>
        </w:tc>
        <w:tc>
          <w:tcPr>
            <w:tcW w:w="408" w:type="pct"/>
            <w:vAlign w:val="center"/>
          </w:tcPr>
          <w:p w14:paraId="1446ED99">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25.05</w:t>
            </w:r>
          </w:p>
        </w:tc>
        <w:tc>
          <w:tcPr>
            <w:tcW w:w="360" w:type="pct"/>
            <w:vAlign w:val="center"/>
          </w:tcPr>
          <w:p w14:paraId="001A7F68">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0.33</w:t>
            </w:r>
          </w:p>
        </w:tc>
        <w:tc>
          <w:tcPr>
            <w:tcW w:w="360" w:type="pct"/>
            <w:tcBorders>
              <w:top w:val="single" w:color="000000" w:sz="2" w:space="0"/>
            </w:tcBorders>
            <w:vAlign w:val="center"/>
          </w:tcPr>
          <w:p w14:paraId="6C57BDF2">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0.1</w:t>
            </w:r>
            <w:r>
              <w:rPr>
                <w:rFonts w:hint="default" w:ascii="Times New Roman" w:hAnsi="Times New Roman" w:cs="Times New Roman"/>
                <w:color w:val="auto"/>
                <w:kern w:val="0"/>
                <w:szCs w:val="21"/>
                <w:highlight w:val="none"/>
                <w:lang w:val="en-US" w:eastAsia="zh-CN"/>
              </w:rPr>
              <w:t>44</w:t>
            </w:r>
          </w:p>
        </w:tc>
        <w:tc>
          <w:tcPr>
            <w:tcW w:w="237" w:type="pct"/>
            <w:vMerge w:val="restart"/>
            <w:tcBorders>
              <w:top w:val="single" w:color="000000" w:sz="2" w:space="0"/>
            </w:tcBorders>
            <w:vAlign w:val="center"/>
          </w:tcPr>
          <w:p w14:paraId="619A5702">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1200</w:t>
            </w:r>
          </w:p>
        </w:tc>
      </w:tr>
      <w:tr w14:paraId="755EC0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continue"/>
            <w:vAlign w:val="center"/>
          </w:tcPr>
          <w:p w14:paraId="47E9F061">
            <w:pPr>
              <w:widowControl/>
              <w:adjustRightInd w:val="0"/>
              <w:snapToGrid w:val="0"/>
              <w:jc w:val="center"/>
              <w:rPr>
                <w:rFonts w:hint="default" w:ascii="Times New Roman" w:hAnsi="Times New Roman" w:cs="Times New Roman"/>
                <w:color w:val="auto"/>
                <w:szCs w:val="21"/>
                <w:highlight w:val="none"/>
              </w:rPr>
            </w:pPr>
          </w:p>
        </w:tc>
        <w:tc>
          <w:tcPr>
            <w:tcW w:w="160" w:type="pct"/>
            <w:vMerge w:val="continue"/>
            <w:vAlign w:val="center"/>
          </w:tcPr>
          <w:p w14:paraId="557E1DA1">
            <w:pPr>
              <w:widowControl/>
              <w:adjustRightInd w:val="0"/>
              <w:snapToGrid w:val="0"/>
              <w:jc w:val="center"/>
              <w:rPr>
                <w:rFonts w:hint="default" w:ascii="Times New Roman" w:hAnsi="Times New Roman" w:cs="Times New Roman"/>
                <w:color w:val="auto"/>
                <w:szCs w:val="21"/>
                <w:highlight w:val="none"/>
              </w:rPr>
            </w:pPr>
          </w:p>
        </w:tc>
        <w:tc>
          <w:tcPr>
            <w:tcW w:w="314" w:type="pct"/>
            <w:vMerge w:val="continue"/>
            <w:vAlign w:val="center"/>
          </w:tcPr>
          <w:p w14:paraId="6ADB411C">
            <w:pPr>
              <w:widowControl/>
              <w:adjustRightInd w:val="0"/>
              <w:snapToGrid w:val="0"/>
              <w:jc w:val="center"/>
              <w:rPr>
                <w:rFonts w:hint="default" w:ascii="Times New Roman" w:hAnsi="Times New Roman" w:cs="Times New Roman"/>
                <w:color w:val="auto"/>
                <w:szCs w:val="21"/>
                <w:highlight w:val="none"/>
              </w:rPr>
            </w:pPr>
          </w:p>
        </w:tc>
        <w:tc>
          <w:tcPr>
            <w:tcW w:w="353" w:type="pct"/>
            <w:vAlign w:val="center"/>
          </w:tcPr>
          <w:p w14:paraId="1257E02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SO</w:t>
            </w:r>
            <w:r>
              <w:rPr>
                <w:rFonts w:hint="default" w:ascii="Times New Roman" w:hAnsi="Times New Roman" w:cs="Times New Roman"/>
                <w:color w:val="auto"/>
                <w:szCs w:val="21"/>
                <w:highlight w:val="none"/>
                <w:vertAlign w:val="subscript"/>
                <w:lang w:bidi="ar"/>
              </w:rPr>
              <w:t>2</w:t>
            </w:r>
          </w:p>
        </w:tc>
        <w:tc>
          <w:tcPr>
            <w:tcW w:w="164" w:type="pct"/>
            <w:vMerge w:val="continue"/>
            <w:vAlign w:val="center"/>
          </w:tcPr>
          <w:p w14:paraId="3B09DAEB">
            <w:pPr>
              <w:widowControl/>
              <w:adjustRightInd w:val="0"/>
              <w:snapToGrid w:val="0"/>
              <w:jc w:val="center"/>
              <w:rPr>
                <w:rFonts w:hint="default" w:ascii="Times New Roman" w:hAnsi="Times New Roman" w:cs="Times New Roman"/>
                <w:color w:val="auto"/>
                <w:szCs w:val="21"/>
                <w:highlight w:val="none"/>
              </w:rPr>
            </w:pPr>
          </w:p>
        </w:tc>
        <w:tc>
          <w:tcPr>
            <w:tcW w:w="270" w:type="pct"/>
            <w:vMerge w:val="continue"/>
            <w:vAlign w:val="center"/>
          </w:tcPr>
          <w:p w14:paraId="16B74A0D">
            <w:pPr>
              <w:widowControl/>
              <w:adjustRightInd w:val="0"/>
              <w:snapToGrid w:val="0"/>
              <w:jc w:val="center"/>
              <w:rPr>
                <w:rFonts w:hint="default" w:ascii="Times New Roman" w:hAnsi="Times New Roman" w:cs="Times New Roman"/>
                <w:color w:val="auto"/>
                <w:szCs w:val="21"/>
                <w:highlight w:val="none"/>
              </w:rPr>
            </w:pPr>
          </w:p>
        </w:tc>
        <w:tc>
          <w:tcPr>
            <w:tcW w:w="325" w:type="pct"/>
            <w:vAlign w:val="center"/>
          </w:tcPr>
          <w:p w14:paraId="4FCD069B">
            <w:pPr>
              <w:widowControl/>
              <w:tabs>
                <w:tab w:val="left" w:pos="146"/>
              </w:tabs>
              <w:adjustRightInd w:val="0"/>
              <w:snapToGrid w:val="0"/>
              <w:jc w:val="center"/>
              <w:textAlignment w:val="center"/>
              <w:rPr>
                <w:rFonts w:hint="default" w:ascii="Times New Roman" w:hAnsi="Times New Roman" w:eastAsia="等线" w:cs="Times New Roman"/>
                <w:color w:val="auto"/>
                <w:kern w:val="0"/>
                <w:szCs w:val="21"/>
                <w:highlight w:val="none"/>
                <w:lang w:val="en-US" w:eastAsia="zh-CN"/>
              </w:rPr>
            </w:pPr>
            <w:r>
              <w:rPr>
                <w:rFonts w:hint="default" w:ascii="Times New Roman" w:hAnsi="Times New Roman" w:eastAsia="等线" w:cs="Times New Roman"/>
                <w:color w:val="auto"/>
                <w:kern w:val="0"/>
                <w:szCs w:val="21"/>
                <w:highlight w:val="none"/>
                <w:lang w:val="en-US" w:eastAsia="zh-CN"/>
              </w:rPr>
              <w:t>1.04</w:t>
            </w:r>
          </w:p>
        </w:tc>
        <w:tc>
          <w:tcPr>
            <w:tcW w:w="362" w:type="pct"/>
            <w:vAlign w:val="center"/>
          </w:tcPr>
          <w:p w14:paraId="38AD902A">
            <w:pPr>
              <w:widowControl/>
              <w:tabs>
                <w:tab w:val="left" w:pos="146"/>
              </w:tabs>
              <w:adjustRightInd w:val="0"/>
              <w:snapToGrid w:val="0"/>
              <w:jc w:val="center"/>
              <w:textAlignment w:val="center"/>
              <w:rPr>
                <w:rFonts w:hint="default" w:ascii="Times New Roman" w:hAnsi="Times New Roman" w:eastAsia="等线" w:cs="Times New Roman"/>
                <w:color w:val="auto"/>
                <w:kern w:val="0"/>
                <w:szCs w:val="21"/>
                <w:highlight w:val="none"/>
                <w:lang w:val="en-US" w:eastAsia="zh-CN"/>
              </w:rPr>
            </w:pPr>
            <w:r>
              <w:rPr>
                <w:rFonts w:hint="default" w:ascii="Times New Roman" w:hAnsi="Times New Roman" w:eastAsia="等线" w:cs="Times New Roman"/>
                <w:color w:val="auto"/>
                <w:kern w:val="0"/>
                <w:szCs w:val="21"/>
                <w:highlight w:val="none"/>
                <w:lang w:val="en-US" w:eastAsia="zh-CN"/>
              </w:rPr>
              <w:t>0.014</w:t>
            </w:r>
          </w:p>
        </w:tc>
        <w:tc>
          <w:tcPr>
            <w:tcW w:w="360" w:type="pct"/>
            <w:vAlign w:val="center"/>
          </w:tcPr>
          <w:p w14:paraId="3AA57BC8">
            <w:pPr>
              <w:widowControl/>
              <w:tabs>
                <w:tab w:val="left" w:pos="146"/>
              </w:tabs>
              <w:adjustRightInd w:val="0"/>
              <w:snapToGrid w:val="0"/>
              <w:jc w:val="center"/>
              <w:textAlignment w:val="center"/>
              <w:rPr>
                <w:rFonts w:hint="default" w:ascii="Times New Roman" w:hAnsi="Times New Roman" w:eastAsia="等线" w:cs="Times New Roman"/>
                <w:color w:val="auto"/>
                <w:kern w:val="0"/>
                <w:szCs w:val="21"/>
                <w:highlight w:val="none"/>
                <w:lang w:val="en-US" w:eastAsia="zh-CN"/>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006</w:t>
            </w:r>
          </w:p>
        </w:tc>
        <w:tc>
          <w:tcPr>
            <w:tcW w:w="346" w:type="pct"/>
            <w:vMerge w:val="continue"/>
            <w:vAlign w:val="center"/>
          </w:tcPr>
          <w:p w14:paraId="136454B7">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223" w:type="pct"/>
            <w:vAlign w:val="center"/>
          </w:tcPr>
          <w:p w14:paraId="36A38C40">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160" w:type="pct"/>
            <w:vMerge w:val="continue"/>
            <w:vAlign w:val="center"/>
          </w:tcPr>
          <w:p w14:paraId="1CEDF713">
            <w:pPr>
              <w:widowControl/>
              <w:adjustRightInd w:val="0"/>
              <w:snapToGrid w:val="0"/>
              <w:jc w:val="center"/>
              <w:rPr>
                <w:rFonts w:hint="default" w:ascii="Times New Roman" w:hAnsi="Times New Roman" w:cs="Times New Roman"/>
                <w:color w:val="auto"/>
                <w:szCs w:val="21"/>
                <w:highlight w:val="none"/>
              </w:rPr>
            </w:pPr>
          </w:p>
        </w:tc>
        <w:tc>
          <w:tcPr>
            <w:tcW w:w="354" w:type="pct"/>
            <w:vMerge w:val="continue"/>
            <w:vAlign w:val="center"/>
          </w:tcPr>
          <w:p w14:paraId="0428254E">
            <w:pPr>
              <w:widowControl/>
              <w:adjustRightInd w:val="0"/>
              <w:snapToGrid w:val="0"/>
              <w:jc w:val="center"/>
              <w:rPr>
                <w:rFonts w:hint="default" w:ascii="Times New Roman" w:hAnsi="Times New Roman" w:cs="Times New Roman"/>
                <w:color w:val="auto"/>
                <w:szCs w:val="21"/>
                <w:highlight w:val="none"/>
              </w:rPr>
            </w:pPr>
          </w:p>
        </w:tc>
        <w:tc>
          <w:tcPr>
            <w:tcW w:w="1157" w:type="dxa"/>
            <w:vAlign w:val="center"/>
          </w:tcPr>
          <w:p w14:paraId="2353C1BF">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等线" w:cs="Times New Roman"/>
                <w:color w:val="auto"/>
                <w:kern w:val="0"/>
                <w:szCs w:val="21"/>
                <w:highlight w:val="none"/>
                <w:lang w:val="en-US" w:eastAsia="zh-CN"/>
              </w:rPr>
              <w:t>1.04</w:t>
            </w:r>
          </w:p>
        </w:tc>
        <w:tc>
          <w:tcPr>
            <w:tcW w:w="1021" w:type="dxa"/>
            <w:vAlign w:val="center"/>
          </w:tcPr>
          <w:p w14:paraId="65928D40">
            <w:pPr>
              <w:widowControl/>
              <w:tabs>
                <w:tab w:val="left" w:pos="146"/>
              </w:tabs>
              <w:adjustRightInd w:val="0"/>
              <w:snapToGrid w:val="0"/>
              <w:jc w:val="center"/>
              <w:textAlignment w:val="center"/>
              <w:rPr>
                <w:rFonts w:hint="default" w:ascii="Times New Roman" w:hAnsi="Times New Roman" w:eastAsia="等线" w:cs="Times New Roman"/>
                <w:color w:val="auto"/>
                <w:kern w:val="0"/>
                <w:szCs w:val="21"/>
                <w:highlight w:val="none"/>
                <w:lang w:val="en-US" w:eastAsia="zh-CN"/>
              </w:rPr>
            </w:pPr>
            <w:r>
              <w:rPr>
                <w:rFonts w:hint="default" w:ascii="Times New Roman" w:hAnsi="Times New Roman" w:eastAsia="等线" w:cs="Times New Roman"/>
                <w:color w:val="auto"/>
                <w:kern w:val="0"/>
                <w:szCs w:val="21"/>
                <w:highlight w:val="none"/>
                <w:lang w:val="en-US" w:eastAsia="zh-CN"/>
              </w:rPr>
              <w:t>0.014</w:t>
            </w:r>
          </w:p>
        </w:tc>
        <w:tc>
          <w:tcPr>
            <w:tcW w:w="1021" w:type="dxa"/>
            <w:vAlign w:val="center"/>
          </w:tcPr>
          <w:p w14:paraId="4E9FE91F">
            <w:pPr>
              <w:widowControl/>
              <w:tabs>
                <w:tab w:val="left" w:pos="146"/>
              </w:tabs>
              <w:adjustRightInd w:val="0"/>
              <w:snapToGrid w:val="0"/>
              <w:jc w:val="center"/>
              <w:textAlignment w:val="center"/>
              <w:rPr>
                <w:rFonts w:hint="default" w:ascii="Times New Roman" w:hAnsi="Times New Roman" w:eastAsia="等线" w:cs="Times New Roman"/>
                <w:color w:val="auto"/>
                <w:szCs w:val="21"/>
                <w:highlight w:val="none"/>
                <w:lang w:val="en-US" w:eastAsia="zh-CN"/>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006</w:t>
            </w:r>
          </w:p>
        </w:tc>
        <w:tc>
          <w:tcPr>
            <w:tcW w:w="237" w:type="pct"/>
            <w:vMerge w:val="continue"/>
            <w:vAlign w:val="center"/>
          </w:tcPr>
          <w:p w14:paraId="6E5D75CA">
            <w:pPr>
              <w:widowControl/>
              <w:adjustRightInd w:val="0"/>
              <w:snapToGrid w:val="0"/>
              <w:jc w:val="center"/>
              <w:rPr>
                <w:rFonts w:hint="default" w:ascii="Times New Roman" w:hAnsi="Times New Roman" w:cs="Times New Roman"/>
                <w:color w:val="auto"/>
                <w:szCs w:val="21"/>
                <w:highlight w:val="none"/>
              </w:rPr>
            </w:pPr>
          </w:p>
        </w:tc>
      </w:tr>
      <w:tr w14:paraId="3A47AE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continue"/>
            <w:vAlign w:val="center"/>
          </w:tcPr>
          <w:p w14:paraId="56B2FD0B">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160" w:type="pct"/>
            <w:vMerge w:val="continue"/>
            <w:vAlign w:val="center"/>
          </w:tcPr>
          <w:p w14:paraId="418CADF0">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314" w:type="pct"/>
            <w:vMerge w:val="continue"/>
            <w:vAlign w:val="center"/>
          </w:tcPr>
          <w:p w14:paraId="0338F6CD">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353" w:type="pct"/>
            <w:vAlign w:val="center"/>
          </w:tcPr>
          <w:p w14:paraId="758164A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NO</w:t>
            </w:r>
            <w:r>
              <w:rPr>
                <w:rFonts w:hint="default" w:ascii="Times New Roman" w:hAnsi="Times New Roman" w:cs="Times New Roman"/>
                <w:color w:val="auto"/>
                <w:szCs w:val="21"/>
                <w:highlight w:val="none"/>
                <w:vertAlign w:val="subscript"/>
                <w:lang w:bidi="ar"/>
              </w:rPr>
              <w:t>X</w:t>
            </w:r>
          </w:p>
        </w:tc>
        <w:tc>
          <w:tcPr>
            <w:tcW w:w="164" w:type="pct"/>
            <w:vMerge w:val="continue"/>
            <w:vAlign w:val="center"/>
          </w:tcPr>
          <w:p w14:paraId="1438AFB0">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270" w:type="pct"/>
            <w:vMerge w:val="continue"/>
            <w:vAlign w:val="center"/>
          </w:tcPr>
          <w:p w14:paraId="434B8C13">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325" w:type="pct"/>
            <w:vAlign w:val="center"/>
          </w:tcPr>
          <w:p w14:paraId="411E8B83">
            <w:pPr>
              <w:widowControl/>
              <w:tabs>
                <w:tab w:val="left" w:pos="146"/>
              </w:tabs>
              <w:adjustRightInd w:val="0"/>
              <w:snapToGrid w:val="0"/>
              <w:jc w:val="center"/>
              <w:textAlignment w:val="center"/>
              <w:rPr>
                <w:rFonts w:hint="default" w:ascii="Times New Roman" w:hAnsi="Times New Roman" w:eastAsia="等线" w:cs="Times New Roman"/>
                <w:color w:val="auto"/>
                <w:kern w:val="0"/>
                <w:szCs w:val="21"/>
                <w:highlight w:val="none"/>
                <w:lang w:val="en-US" w:eastAsia="zh-CN"/>
              </w:rPr>
            </w:pPr>
            <w:r>
              <w:rPr>
                <w:rFonts w:hint="default" w:ascii="Times New Roman" w:hAnsi="Times New Roman" w:eastAsia="等线" w:cs="Times New Roman"/>
                <w:color w:val="auto"/>
                <w:kern w:val="0"/>
                <w:szCs w:val="21"/>
                <w:highlight w:val="none"/>
              </w:rPr>
              <w:t>1</w:t>
            </w:r>
            <w:r>
              <w:rPr>
                <w:rFonts w:hint="default" w:ascii="Times New Roman" w:hAnsi="Times New Roman" w:eastAsia="等线" w:cs="Times New Roman"/>
                <w:color w:val="auto"/>
                <w:kern w:val="0"/>
                <w:szCs w:val="21"/>
                <w:highlight w:val="none"/>
                <w:lang w:val="en-US" w:eastAsia="zh-CN"/>
              </w:rPr>
              <w:t>19.17</w:t>
            </w:r>
          </w:p>
        </w:tc>
        <w:tc>
          <w:tcPr>
            <w:tcW w:w="362" w:type="pct"/>
            <w:vAlign w:val="center"/>
          </w:tcPr>
          <w:p w14:paraId="0F9E6F91">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1.568</w:t>
            </w:r>
          </w:p>
        </w:tc>
        <w:tc>
          <w:tcPr>
            <w:tcW w:w="360" w:type="pct"/>
            <w:vAlign w:val="center"/>
          </w:tcPr>
          <w:p w14:paraId="5FDB0597">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0.685</w:t>
            </w:r>
          </w:p>
        </w:tc>
        <w:tc>
          <w:tcPr>
            <w:tcW w:w="346" w:type="pct"/>
            <w:vMerge w:val="continue"/>
            <w:vAlign w:val="center"/>
          </w:tcPr>
          <w:p w14:paraId="39CA1E63">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223" w:type="pct"/>
            <w:vAlign w:val="center"/>
          </w:tcPr>
          <w:p w14:paraId="153B6BB2">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160" w:type="pct"/>
            <w:vMerge w:val="continue"/>
            <w:vAlign w:val="center"/>
          </w:tcPr>
          <w:p w14:paraId="12B2B85A">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354" w:type="pct"/>
            <w:vMerge w:val="continue"/>
            <w:vAlign w:val="center"/>
          </w:tcPr>
          <w:p w14:paraId="3CD3891A">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408" w:type="pct"/>
            <w:vAlign w:val="center"/>
          </w:tcPr>
          <w:p w14:paraId="1131D708">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等线" w:cs="Times New Roman"/>
                <w:color w:val="auto"/>
                <w:kern w:val="0"/>
                <w:szCs w:val="21"/>
                <w:highlight w:val="none"/>
              </w:rPr>
              <w:t>1</w:t>
            </w:r>
            <w:r>
              <w:rPr>
                <w:rFonts w:hint="default" w:ascii="Times New Roman" w:hAnsi="Times New Roman" w:eastAsia="等线" w:cs="Times New Roman"/>
                <w:color w:val="auto"/>
                <w:kern w:val="0"/>
                <w:szCs w:val="21"/>
                <w:highlight w:val="none"/>
                <w:lang w:val="en-US" w:eastAsia="zh-CN"/>
              </w:rPr>
              <w:t>19.17</w:t>
            </w:r>
          </w:p>
        </w:tc>
        <w:tc>
          <w:tcPr>
            <w:tcW w:w="360" w:type="pct"/>
            <w:vAlign w:val="center"/>
          </w:tcPr>
          <w:p w14:paraId="7893F055">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1.568</w:t>
            </w:r>
          </w:p>
        </w:tc>
        <w:tc>
          <w:tcPr>
            <w:tcW w:w="360" w:type="pct"/>
            <w:tcBorders>
              <w:bottom w:val="single" w:color="000000" w:sz="2" w:space="0"/>
            </w:tcBorders>
            <w:vAlign w:val="center"/>
          </w:tcPr>
          <w:p w14:paraId="0659498E">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0.685</w:t>
            </w:r>
          </w:p>
        </w:tc>
        <w:tc>
          <w:tcPr>
            <w:tcW w:w="237" w:type="pct"/>
            <w:vMerge w:val="continue"/>
            <w:tcBorders>
              <w:bottom w:val="single" w:color="000000" w:sz="2" w:space="0"/>
            </w:tcBorders>
            <w:vAlign w:val="center"/>
          </w:tcPr>
          <w:p w14:paraId="7052B551">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r>
      <w:tr w14:paraId="14B195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restart"/>
            <w:vAlign w:val="center"/>
          </w:tcPr>
          <w:p w14:paraId="3C2C794A">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加热沥青储罐、出料</w:t>
            </w:r>
          </w:p>
        </w:tc>
        <w:tc>
          <w:tcPr>
            <w:tcW w:w="160" w:type="pct"/>
            <w:vMerge w:val="restart"/>
            <w:vAlign w:val="center"/>
          </w:tcPr>
          <w:p w14:paraId="64D6B67B">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沥青罐</w:t>
            </w:r>
          </w:p>
        </w:tc>
        <w:tc>
          <w:tcPr>
            <w:tcW w:w="314" w:type="pct"/>
            <w:vMerge w:val="restart"/>
            <w:vAlign w:val="center"/>
          </w:tcPr>
          <w:p w14:paraId="140796B7">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DA00</w:t>
            </w:r>
            <w:r>
              <w:rPr>
                <w:rFonts w:hint="default" w:ascii="Times New Roman" w:hAnsi="Times New Roman" w:cs="Times New Roman"/>
                <w:color w:val="auto"/>
                <w:kern w:val="0"/>
                <w:szCs w:val="21"/>
                <w:highlight w:val="none"/>
                <w:lang w:val="en-US" w:eastAsia="zh-CN"/>
              </w:rPr>
              <w:t>3</w:t>
            </w:r>
          </w:p>
        </w:tc>
        <w:tc>
          <w:tcPr>
            <w:tcW w:w="353" w:type="pct"/>
            <w:vAlign w:val="center"/>
          </w:tcPr>
          <w:p w14:paraId="3C2EC86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沥青烟</w:t>
            </w:r>
          </w:p>
        </w:tc>
        <w:tc>
          <w:tcPr>
            <w:tcW w:w="164" w:type="pct"/>
            <w:vMerge w:val="continue"/>
            <w:vAlign w:val="center"/>
          </w:tcPr>
          <w:p w14:paraId="61E7CDF2">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270" w:type="pct"/>
            <w:vMerge w:val="restart"/>
            <w:vAlign w:val="center"/>
          </w:tcPr>
          <w:p w14:paraId="1B06FB61">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20000</w:t>
            </w:r>
          </w:p>
        </w:tc>
        <w:tc>
          <w:tcPr>
            <w:tcW w:w="325" w:type="pct"/>
            <w:vAlign w:val="center"/>
          </w:tcPr>
          <w:p w14:paraId="39C4CE06">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362" w:type="pct"/>
            <w:vAlign w:val="center"/>
          </w:tcPr>
          <w:p w14:paraId="7A316C65">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1.</w:t>
            </w:r>
            <w:r>
              <w:rPr>
                <w:rFonts w:hint="default" w:ascii="Times New Roman" w:hAnsi="Times New Roman" w:cs="Times New Roman"/>
                <w:color w:val="auto"/>
                <w:kern w:val="0"/>
                <w:szCs w:val="21"/>
                <w:highlight w:val="none"/>
                <w:lang w:val="en-US" w:eastAsia="zh-CN"/>
              </w:rPr>
              <w:t>658</w:t>
            </w:r>
          </w:p>
        </w:tc>
        <w:tc>
          <w:tcPr>
            <w:tcW w:w="360" w:type="pct"/>
            <w:vAlign w:val="center"/>
          </w:tcPr>
          <w:p w14:paraId="59A9ED9E">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1.9899</w:t>
            </w:r>
          </w:p>
        </w:tc>
        <w:tc>
          <w:tcPr>
            <w:tcW w:w="346" w:type="pct"/>
            <w:vMerge w:val="restart"/>
            <w:vAlign w:val="center"/>
          </w:tcPr>
          <w:p w14:paraId="764F202E">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电捕焦油器+活性炭吸附</w:t>
            </w:r>
          </w:p>
        </w:tc>
        <w:tc>
          <w:tcPr>
            <w:tcW w:w="223" w:type="pct"/>
            <w:vMerge w:val="restart"/>
            <w:vAlign w:val="center"/>
          </w:tcPr>
          <w:p w14:paraId="79A6EF2C">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95</w:t>
            </w:r>
          </w:p>
        </w:tc>
        <w:tc>
          <w:tcPr>
            <w:tcW w:w="160" w:type="pct"/>
            <w:vMerge w:val="continue"/>
            <w:vAlign w:val="center"/>
          </w:tcPr>
          <w:p w14:paraId="2D956928">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p>
        </w:tc>
        <w:tc>
          <w:tcPr>
            <w:tcW w:w="354" w:type="pct"/>
            <w:vMerge w:val="restart"/>
            <w:vAlign w:val="center"/>
          </w:tcPr>
          <w:p w14:paraId="20883EB8">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20000</w:t>
            </w:r>
          </w:p>
        </w:tc>
        <w:tc>
          <w:tcPr>
            <w:tcW w:w="408" w:type="pct"/>
            <w:vAlign w:val="center"/>
          </w:tcPr>
          <w:p w14:paraId="7F1AAA82">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4.15</w:t>
            </w:r>
          </w:p>
        </w:tc>
        <w:tc>
          <w:tcPr>
            <w:tcW w:w="360" w:type="pct"/>
            <w:vAlign w:val="center"/>
          </w:tcPr>
          <w:p w14:paraId="3A27CBE6">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0.0</w:t>
            </w:r>
            <w:r>
              <w:rPr>
                <w:rFonts w:hint="default" w:ascii="Times New Roman" w:hAnsi="Times New Roman" w:cs="Times New Roman"/>
                <w:color w:val="auto"/>
                <w:kern w:val="0"/>
                <w:szCs w:val="21"/>
                <w:highlight w:val="none"/>
                <w:lang w:val="en-US" w:eastAsia="zh-CN"/>
              </w:rPr>
              <w:t>83</w:t>
            </w:r>
          </w:p>
        </w:tc>
        <w:tc>
          <w:tcPr>
            <w:tcW w:w="360" w:type="pct"/>
            <w:tcBorders>
              <w:top w:val="single" w:color="000000" w:sz="2" w:space="0"/>
            </w:tcBorders>
            <w:vAlign w:val="center"/>
          </w:tcPr>
          <w:p w14:paraId="74EB7AB9">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0.</w:t>
            </w:r>
            <w:r>
              <w:rPr>
                <w:rFonts w:hint="default" w:ascii="Times New Roman" w:hAnsi="Times New Roman" w:cs="Times New Roman"/>
                <w:color w:val="auto"/>
                <w:kern w:val="0"/>
                <w:szCs w:val="21"/>
                <w:highlight w:val="none"/>
                <w:lang w:val="en-US" w:eastAsia="zh-CN"/>
              </w:rPr>
              <w:t>099</w:t>
            </w:r>
          </w:p>
        </w:tc>
        <w:tc>
          <w:tcPr>
            <w:tcW w:w="237" w:type="pct"/>
            <w:vMerge w:val="restart"/>
            <w:tcBorders>
              <w:top w:val="single" w:color="000000" w:sz="2" w:space="0"/>
            </w:tcBorders>
            <w:vAlign w:val="center"/>
          </w:tcPr>
          <w:p w14:paraId="0FCEF16B">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1200</w:t>
            </w:r>
          </w:p>
        </w:tc>
      </w:tr>
      <w:tr w14:paraId="7B9CCE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continue"/>
            <w:vAlign w:val="center"/>
          </w:tcPr>
          <w:p w14:paraId="12A081E9">
            <w:pPr>
              <w:adjustRightInd w:val="0"/>
              <w:snapToGrid w:val="0"/>
              <w:jc w:val="center"/>
              <w:rPr>
                <w:rFonts w:hint="default" w:ascii="Times New Roman" w:hAnsi="Times New Roman" w:cs="Times New Roman"/>
                <w:color w:val="auto"/>
                <w:kern w:val="0"/>
                <w:szCs w:val="21"/>
                <w:highlight w:val="none"/>
              </w:rPr>
            </w:pPr>
          </w:p>
        </w:tc>
        <w:tc>
          <w:tcPr>
            <w:tcW w:w="160" w:type="pct"/>
            <w:vMerge w:val="continue"/>
            <w:vAlign w:val="center"/>
          </w:tcPr>
          <w:p w14:paraId="2B3BF3ED">
            <w:pPr>
              <w:adjustRightInd w:val="0"/>
              <w:snapToGrid w:val="0"/>
              <w:jc w:val="center"/>
              <w:rPr>
                <w:rFonts w:hint="default" w:ascii="Times New Roman" w:hAnsi="Times New Roman" w:cs="Times New Roman"/>
                <w:color w:val="auto"/>
                <w:kern w:val="0"/>
                <w:szCs w:val="21"/>
                <w:highlight w:val="none"/>
              </w:rPr>
            </w:pPr>
          </w:p>
        </w:tc>
        <w:tc>
          <w:tcPr>
            <w:tcW w:w="314" w:type="pct"/>
            <w:vMerge w:val="continue"/>
            <w:vAlign w:val="center"/>
          </w:tcPr>
          <w:p w14:paraId="030680A2">
            <w:pPr>
              <w:adjustRightInd w:val="0"/>
              <w:snapToGrid w:val="0"/>
              <w:jc w:val="center"/>
              <w:rPr>
                <w:rFonts w:hint="default" w:ascii="Times New Roman" w:hAnsi="Times New Roman" w:cs="Times New Roman"/>
                <w:color w:val="auto"/>
                <w:kern w:val="0"/>
                <w:szCs w:val="21"/>
                <w:highlight w:val="none"/>
              </w:rPr>
            </w:pPr>
          </w:p>
        </w:tc>
        <w:tc>
          <w:tcPr>
            <w:tcW w:w="353" w:type="pct"/>
            <w:vAlign w:val="center"/>
          </w:tcPr>
          <w:p w14:paraId="5616E14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苯并[a]芘</w:t>
            </w:r>
          </w:p>
        </w:tc>
        <w:tc>
          <w:tcPr>
            <w:tcW w:w="164" w:type="pct"/>
            <w:vMerge w:val="continue"/>
            <w:vAlign w:val="center"/>
          </w:tcPr>
          <w:p w14:paraId="540F5DE2">
            <w:pPr>
              <w:adjustRightInd w:val="0"/>
              <w:snapToGrid w:val="0"/>
              <w:jc w:val="center"/>
              <w:rPr>
                <w:rFonts w:hint="default" w:ascii="Times New Roman" w:hAnsi="Times New Roman" w:cs="Times New Roman"/>
                <w:color w:val="auto"/>
                <w:szCs w:val="21"/>
                <w:highlight w:val="none"/>
                <w:lang w:bidi="ar"/>
              </w:rPr>
            </w:pPr>
          </w:p>
        </w:tc>
        <w:tc>
          <w:tcPr>
            <w:tcW w:w="270" w:type="pct"/>
            <w:vMerge w:val="continue"/>
            <w:vAlign w:val="center"/>
          </w:tcPr>
          <w:p w14:paraId="3FFB7F7A">
            <w:pPr>
              <w:adjustRightInd w:val="0"/>
              <w:snapToGrid w:val="0"/>
              <w:jc w:val="center"/>
              <w:rPr>
                <w:rFonts w:hint="default" w:ascii="Times New Roman" w:hAnsi="Times New Roman" w:cs="Times New Roman"/>
                <w:color w:val="auto"/>
                <w:szCs w:val="21"/>
                <w:highlight w:val="none"/>
                <w:lang w:bidi="ar"/>
              </w:rPr>
            </w:pPr>
          </w:p>
        </w:tc>
        <w:tc>
          <w:tcPr>
            <w:tcW w:w="325" w:type="pct"/>
            <w:vAlign w:val="center"/>
          </w:tcPr>
          <w:p w14:paraId="34DDB051">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kern w:val="0"/>
                <w:sz w:val="24"/>
                <w:szCs w:val="20"/>
                <w:highlight w:val="none"/>
              </w:rPr>
              <w:t>/</w:t>
            </w:r>
          </w:p>
        </w:tc>
        <w:tc>
          <w:tcPr>
            <w:tcW w:w="362" w:type="pct"/>
            <w:vAlign w:val="center"/>
          </w:tcPr>
          <w:p w14:paraId="2D696175">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3.3</w:t>
            </w:r>
            <w:r>
              <w:rPr>
                <w:rFonts w:hint="default" w:ascii="Times New Roman" w:hAnsi="Times New Roman" w:cs="Times New Roman"/>
                <w:color w:val="auto"/>
                <w:szCs w:val="21"/>
                <w:highlight w:val="none"/>
                <w:lang w:bidi="ar"/>
              </w:rPr>
              <w:t>×10</w:t>
            </w:r>
            <w:r>
              <w:rPr>
                <w:rFonts w:hint="default" w:ascii="Times New Roman" w:hAnsi="Times New Roman" w:cs="Times New Roman"/>
                <w:color w:val="auto"/>
                <w:szCs w:val="21"/>
                <w:highlight w:val="none"/>
                <w:vertAlign w:val="superscript"/>
                <w:lang w:bidi="ar"/>
              </w:rPr>
              <w:t>-</w:t>
            </w:r>
            <w:r>
              <w:rPr>
                <w:rFonts w:hint="default" w:ascii="Times New Roman" w:hAnsi="Times New Roman" w:cs="Times New Roman"/>
                <w:color w:val="auto"/>
                <w:szCs w:val="21"/>
                <w:highlight w:val="none"/>
                <w:vertAlign w:val="superscript"/>
                <w:lang w:val="en-US" w:eastAsia="zh-CN" w:bidi="ar"/>
              </w:rPr>
              <w:t>5</w:t>
            </w:r>
          </w:p>
        </w:tc>
        <w:tc>
          <w:tcPr>
            <w:tcW w:w="360" w:type="pct"/>
            <w:vAlign w:val="center"/>
          </w:tcPr>
          <w:p w14:paraId="0E90E7F2">
            <w:pPr>
              <w:adjustRightInd w:val="0"/>
              <w:snapToGrid w:val="0"/>
              <w:jc w:val="center"/>
              <w:rPr>
                <w:rFonts w:hint="default" w:ascii="Times New Roman" w:hAnsi="Times New Roman" w:cs="Times New Roman"/>
                <w:color w:val="auto"/>
                <w:szCs w:val="21"/>
                <w:highlight w:val="none"/>
                <w:lang w:val="en-US" w:bidi="ar"/>
              </w:rPr>
            </w:pPr>
            <w:r>
              <w:rPr>
                <w:rFonts w:hint="default" w:ascii="Times New Roman" w:hAnsi="Times New Roman" w:cs="Times New Roman"/>
                <w:color w:val="auto"/>
                <w:szCs w:val="21"/>
                <w:highlight w:val="none"/>
                <w:lang w:val="en-US" w:eastAsia="zh-CN" w:bidi="ar"/>
              </w:rPr>
              <w:t>0.00004</w:t>
            </w:r>
          </w:p>
        </w:tc>
        <w:tc>
          <w:tcPr>
            <w:tcW w:w="346" w:type="pct"/>
            <w:vMerge w:val="continue"/>
            <w:vAlign w:val="center"/>
          </w:tcPr>
          <w:p w14:paraId="1F28C926">
            <w:pPr>
              <w:adjustRightInd w:val="0"/>
              <w:snapToGrid w:val="0"/>
              <w:jc w:val="center"/>
              <w:rPr>
                <w:rFonts w:hint="default" w:ascii="Times New Roman" w:hAnsi="Times New Roman" w:cs="Times New Roman"/>
                <w:color w:val="auto"/>
                <w:szCs w:val="21"/>
                <w:highlight w:val="none"/>
                <w:lang w:bidi="ar"/>
              </w:rPr>
            </w:pPr>
          </w:p>
        </w:tc>
        <w:tc>
          <w:tcPr>
            <w:tcW w:w="223" w:type="pct"/>
            <w:vMerge w:val="continue"/>
            <w:vAlign w:val="center"/>
          </w:tcPr>
          <w:p w14:paraId="6242C280">
            <w:pPr>
              <w:adjustRightInd w:val="0"/>
              <w:snapToGrid w:val="0"/>
              <w:jc w:val="center"/>
              <w:rPr>
                <w:rFonts w:hint="default" w:ascii="Times New Roman" w:hAnsi="Times New Roman" w:cs="Times New Roman"/>
                <w:color w:val="auto"/>
                <w:szCs w:val="21"/>
                <w:highlight w:val="none"/>
                <w:lang w:bidi="ar"/>
              </w:rPr>
            </w:pPr>
          </w:p>
        </w:tc>
        <w:tc>
          <w:tcPr>
            <w:tcW w:w="160" w:type="pct"/>
            <w:vMerge w:val="continue"/>
            <w:vAlign w:val="center"/>
          </w:tcPr>
          <w:p w14:paraId="1F7921C4">
            <w:pPr>
              <w:adjustRightInd w:val="0"/>
              <w:snapToGrid w:val="0"/>
              <w:jc w:val="center"/>
              <w:rPr>
                <w:rFonts w:hint="default" w:ascii="Times New Roman" w:hAnsi="Times New Roman" w:cs="Times New Roman"/>
                <w:color w:val="auto"/>
                <w:szCs w:val="21"/>
                <w:highlight w:val="none"/>
                <w:lang w:bidi="ar"/>
              </w:rPr>
            </w:pPr>
          </w:p>
        </w:tc>
        <w:tc>
          <w:tcPr>
            <w:tcW w:w="354" w:type="pct"/>
            <w:vMerge w:val="continue"/>
            <w:vAlign w:val="center"/>
          </w:tcPr>
          <w:p w14:paraId="73302738">
            <w:pPr>
              <w:adjustRightInd w:val="0"/>
              <w:snapToGrid w:val="0"/>
              <w:jc w:val="center"/>
              <w:rPr>
                <w:rFonts w:hint="default" w:ascii="Times New Roman" w:hAnsi="Times New Roman" w:cs="Times New Roman"/>
                <w:color w:val="auto"/>
                <w:szCs w:val="21"/>
                <w:highlight w:val="none"/>
                <w:lang w:bidi="ar"/>
              </w:rPr>
            </w:pPr>
          </w:p>
        </w:tc>
        <w:tc>
          <w:tcPr>
            <w:tcW w:w="408" w:type="pct"/>
            <w:vAlign w:val="center"/>
          </w:tcPr>
          <w:p w14:paraId="46CD58C4">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0.0001</w:t>
            </w:r>
          </w:p>
        </w:tc>
        <w:tc>
          <w:tcPr>
            <w:tcW w:w="360" w:type="pct"/>
            <w:vAlign w:val="center"/>
          </w:tcPr>
          <w:p w14:paraId="42358414">
            <w:pPr>
              <w:adjustRightInd w:val="0"/>
              <w:snapToGrid w:val="0"/>
              <w:jc w:val="center"/>
              <w:rPr>
                <w:rFonts w:hint="default" w:ascii="Times New Roman" w:hAnsi="Times New Roman" w:eastAsia="宋体" w:cs="Times New Roman"/>
                <w:color w:val="auto"/>
                <w:szCs w:val="21"/>
                <w:highlight w:val="none"/>
                <w:lang w:val="en-US" w:eastAsia="zh-CN" w:bidi="ar"/>
              </w:rPr>
            </w:pPr>
            <w:bookmarkStart w:id="287" w:name="_Hlk193360528"/>
            <w:r>
              <w:rPr>
                <w:rFonts w:hint="default" w:ascii="Times New Roman" w:hAnsi="Times New Roman" w:cs="Times New Roman"/>
                <w:color w:val="auto"/>
                <w:szCs w:val="21"/>
                <w:highlight w:val="none"/>
                <w:lang w:val="en-US" w:eastAsia="zh-CN" w:bidi="ar"/>
              </w:rPr>
              <w:t>2</w:t>
            </w:r>
            <w:r>
              <w:rPr>
                <w:rFonts w:hint="default" w:ascii="Times New Roman" w:hAnsi="Times New Roman" w:cs="Times New Roman"/>
                <w:color w:val="auto"/>
                <w:szCs w:val="21"/>
                <w:highlight w:val="none"/>
                <w:lang w:bidi="ar"/>
              </w:rPr>
              <w:t>×10</w:t>
            </w:r>
            <w:r>
              <w:rPr>
                <w:rFonts w:hint="default" w:ascii="Times New Roman" w:hAnsi="Times New Roman" w:cs="Times New Roman"/>
                <w:color w:val="auto"/>
                <w:szCs w:val="21"/>
                <w:highlight w:val="none"/>
                <w:vertAlign w:val="superscript"/>
                <w:lang w:bidi="ar"/>
              </w:rPr>
              <w:t>-</w:t>
            </w:r>
            <w:bookmarkEnd w:id="287"/>
            <w:r>
              <w:rPr>
                <w:rFonts w:hint="default" w:ascii="Times New Roman" w:hAnsi="Times New Roman" w:cs="Times New Roman"/>
                <w:color w:val="auto"/>
                <w:szCs w:val="21"/>
                <w:highlight w:val="none"/>
                <w:vertAlign w:val="superscript"/>
                <w:lang w:val="en-US" w:eastAsia="zh-CN" w:bidi="ar"/>
              </w:rPr>
              <w:t>6</w:t>
            </w:r>
          </w:p>
        </w:tc>
        <w:tc>
          <w:tcPr>
            <w:tcW w:w="360" w:type="pct"/>
            <w:tcBorders>
              <w:bottom w:val="single" w:color="000000" w:sz="2" w:space="0"/>
            </w:tcBorders>
            <w:vAlign w:val="center"/>
          </w:tcPr>
          <w:p w14:paraId="0F93A762">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2</w:t>
            </w:r>
            <w:r>
              <w:rPr>
                <w:rFonts w:hint="default" w:ascii="Times New Roman" w:hAnsi="Times New Roman" w:cs="Times New Roman"/>
                <w:color w:val="auto"/>
                <w:szCs w:val="21"/>
                <w:highlight w:val="none"/>
                <w:lang w:bidi="ar"/>
              </w:rPr>
              <w:t>×10</w:t>
            </w:r>
            <w:r>
              <w:rPr>
                <w:rFonts w:hint="default" w:ascii="Times New Roman" w:hAnsi="Times New Roman" w:cs="Times New Roman"/>
                <w:color w:val="auto"/>
                <w:szCs w:val="21"/>
                <w:highlight w:val="none"/>
                <w:vertAlign w:val="superscript"/>
                <w:lang w:bidi="ar"/>
              </w:rPr>
              <w:t>-</w:t>
            </w:r>
            <w:r>
              <w:rPr>
                <w:rFonts w:hint="default" w:ascii="Times New Roman" w:hAnsi="Times New Roman" w:cs="Times New Roman"/>
                <w:color w:val="auto"/>
                <w:szCs w:val="21"/>
                <w:highlight w:val="none"/>
                <w:vertAlign w:val="superscript"/>
                <w:lang w:val="en-US" w:eastAsia="zh-CN" w:bidi="ar"/>
              </w:rPr>
              <w:t>6</w:t>
            </w:r>
          </w:p>
        </w:tc>
        <w:tc>
          <w:tcPr>
            <w:tcW w:w="237" w:type="pct"/>
            <w:vMerge w:val="continue"/>
            <w:vAlign w:val="center"/>
          </w:tcPr>
          <w:p w14:paraId="456E11E9">
            <w:pPr>
              <w:adjustRightInd w:val="0"/>
              <w:snapToGrid w:val="0"/>
              <w:jc w:val="center"/>
              <w:rPr>
                <w:rFonts w:hint="default" w:ascii="Times New Roman" w:hAnsi="Times New Roman" w:cs="Times New Roman"/>
                <w:color w:val="auto"/>
                <w:szCs w:val="21"/>
                <w:highlight w:val="none"/>
                <w:lang w:bidi="ar"/>
              </w:rPr>
            </w:pPr>
          </w:p>
        </w:tc>
      </w:tr>
      <w:tr w14:paraId="0815BB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continue"/>
            <w:vAlign w:val="center"/>
          </w:tcPr>
          <w:p w14:paraId="3620CFCD">
            <w:pPr>
              <w:adjustRightInd w:val="0"/>
              <w:snapToGrid w:val="0"/>
              <w:jc w:val="center"/>
              <w:rPr>
                <w:rFonts w:hint="default" w:ascii="Times New Roman" w:hAnsi="Times New Roman" w:cs="Times New Roman"/>
                <w:color w:val="auto"/>
                <w:kern w:val="0"/>
                <w:szCs w:val="21"/>
                <w:highlight w:val="none"/>
              </w:rPr>
            </w:pPr>
          </w:p>
        </w:tc>
        <w:tc>
          <w:tcPr>
            <w:tcW w:w="160" w:type="pct"/>
            <w:vMerge w:val="continue"/>
            <w:vAlign w:val="center"/>
          </w:tcPr>
          <w:p w14:paraId="73D4447C">
            <w:pPr>
              <w:adjustRightInd w:val="0"/>
              <w:snapToGrid w:val="0"/>
              <w:jc w:val="center"/>
              <w:rPr>
                <w:rFonts w:hint="default" w:ascii="Times New Roman" w:hAnsi="Times New Roman" w:cs="Times New Roman"/>
                <w:color w:val="auto"/>
                <w:kern w:val="0"/>
                <w:szCs w:val="21"/>
                <w:highlight w:val="none"/>
              </w:rPr>
            </w:pPr>
          </w:p>
        </w:tc>
        <w:tc>
          <w:tcPr>
            <w:tcW w:w="314" w:type="pct"/>
            <w:vMerge w:val="continue"/>
            <w:vAlign w:val="center"/>
          </w:tcPr>
          <w:p w14:paraId="0736765B">
            <w:pPr>
              <w:adjustRightInd w:val="0"/>
              <w:snapToGrid w:val="0"/>
              <w:jc w:val="center"/>
              <w:rPr>
                <w:rFonts w:hint="default" w:ascii="Times New Roman" w:hAnsi="Times New Roman" w:cs="Times New Roman"/>
                <w:color w:val="auto"/>
                <w:kern w:val="0"/>
                <w:szCs w:val="21"/>
                <w:highlight w:val="none"/>
              </w:rPr>
            </w:pPr>
          </w:p>
        </w:tc>
        <w:tc>
          <w:tcPr>
            <w:tcW w:w="353" w:type="pct"/>
            <w:vAlign w:val="center"/>
          </w:tcPr>
          <w:p w14:paraId="127C6D9C">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非甲烷总烃</w:t>
            </w:r>
          </w:p>
        </w:tc>
        <w:tc>
          <w:tcPr>
            <w:tcW w:w="164" w:type="pct"/>
            <w:vMerge w:val="continue"/>
            <w:vAlign w:val="center"/>
          </w:tcPr>
          <w:p w14:paraId="5049F6B0">
            <w:pPr>
              <w:adjustRightInd w:val="0"/>
              <w:snapToGrid w:val="0"/>
              <w:jc w:val="center"/>
              <w:rPr>
                <w:rFonts w:hint="default" w:ascii="Times New Roman" w:hAnsi="Times New Roman" w:cs="Times New Roman"/>
                <w:color w:val="auto"/>
                <w:szCs w:val="21"/>
                <w:highlight w:val="none"/>
                <w:lang w:bidi="ar"/>
              </w:rPr>
            </w:pPr>
          </w:p>
        </w:tc>
        <w:tc>
          <w:tcPr>
            <w:tcW w:w="270" w:type="pct"/>
            <w:vMerge w:val="continue"/>
            <w:vAlign w:val="center"/>
          </w:tcPr>
          <w:p w14:paraId="19E65BE2">
            <w:pPr>
              <w:adjustRightInd w:val="0"/>
              <w:snapToGrid w:val="0"/>
              <w:jc w:val="center"/>
              <w:rPr>
                <w:rFonts w:hint="default" w:ascii="Times New Roman" w:hAnsi="Times New Roman" w:cs="Times New Roman"/>
                <w:color w:val="auto"/>
                <w:szCs w:val="21"/>
                <w:highlight w:val="none"/>
                <w:lang w:bidi="ar"/>
              </w:rPr>
            </w:pPr>
          </w:p>
        </w:tc>
        <w:tc>
          <w:tcPr>
            <w:tcW w:w="325" w:type="pct"/>
            <w:vAlign w:val="center"/>
          </w:tcPr>
          <w:p w14:paraId="3FE51343">
            <w:pPr>
              <w:adjustRightInd w:val="0"/>
              <w:snapToGrid w:val="0"/>
              <w:jc w:val="center"/>
              <w:rPr>
                <w:rFonts w:hint="default" w:ascii="Times New Roman" w:hAnsi="Times New Roman" w:eastAsia="宋体" w:cs="Times New Roman"/>
                <w:color w:val="auto"/>
                <w:kern w:val="0"/>
                <w:sz w:val="24"/>
                <w:szCs w:val="20"/>
                <w:highlight w:val="none"/>
                <w:lang w:val="en-US" w:eastAsia="zh-CN"/>
              </w:rPr>
            </w:pPr>
            <w:r>
              <w:rPr>
                <w:rFonts w:hint="default" w:ascii="Times New Roman" w:hAnsi="Times New Roman" w:cs="Times New Roman"/>
                <w:color w:val="auto"/>
                <w:kern w:val="0"/>
                <w:sz w:val="24"/>
                <w:szCs w:val="20"/>
                <w:highlight w:val="none"/>
                <w:lang w:val="en-US" w:eastAsia="zh-CN"/>
              </w:rPr>
              <w:t>/</w:t>
            </w:r>
          </w:p>
        </w:tc>
        <w:tc>
          <w:tcPr>
            <w:tcW w:w="362" w:type="pct"/>
            <w:vAlign w:val="center"/>
          </w:tcPr>
          <w:p w14:paraId="2D2BD2AD">
            <w:pPr>
              <w:adjustRightInd w:val="0"/>
              <w:snapToGrid w:val="0"/>
              <w:jc w:val="center"/>
              <w:rPr>
                <w:rFonts w:hint="default" w:ascii="Times New Roman" w:hAnsi="Times New Roman"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0.00995</w:t>
            </w:r>
          </w:p>
        </w:tc>
        <w:tc>
          <w:tcPr>
            <w:tcW w:w="360" w:type="pct"/>
            <w:vAlign w:val="center"/>
          </w:tcPr>
          <w:p w14:paraId="6DF085F8">
            <w:pPr>
              <w:adjustRightInd w:val="0"/>
              <w:snapToGrid w:val="0"/>
              <w:jc w:val="center"/>
              <w:rPr>
                <w:rFonts w:hint="default" w:ascii="Times New Roman" w:hAnsi="Times New Roman"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0.011939</w:t>
            </w:r>
          </w:p>
        </w:tc>
        <w:tc>
          <w:tcPr>
            <w:tcW w:w="346" w:type="pct"/>
            <w:vMerge w:val="continue"/>
            <w:vAlign w:val="center"/>
          </w:tcPr>
          <w:p w14:paraId="4C9B3E7D">
            <w:pPr>
              <w:adjustRightInd w:val="0"/>
              <w:snapToGrid w:val="0"/>
              <w:jc w:val="center"/>
              <w:rPr>
                <w:rFonts w:hint="default" w:ascii="Times New Roman" w:hAnsi="Times New Roman" w:cs="Times New Roman"/>
                <w:color w:val="auto"/>
                <w:szCs w:val="21"/>
                <w:highlight w:val="none"/>
                <w:lang w:bidi="ar"/>
              </w:rPr>
            </w:pPr>
          </w:p>
        </w:tc>
        <w:tc>
          <w:tcPr>
            <w:tcW w:w="223" w:type="pct"/>
            <w:vMerge w:val="continue"/>
            <w:vAlign w:val="center"/>
          </w:tcPr>
          <w:p w14:paraId="4D4DD50A">
            <w:pPr>
              <w:adjustRightInd w:val="0"/>
              <w:snapToGrid w:val="0"/>
              <w:jc w:val="center"/>
              <w:rPr>
                <w:rFonts w:hint="default" w:ascii="Times New Roman" w:hAnsi="Times New Roman" w:cs="Times New Roman"/>
                <w:color w:val="auto"/>
                <w:szCs w:val="21"/>
                <w:highlight w:val="none"/>
                <w:lang w:bidi="ar"/>
              </w:rPr>
            </w:pPr>
          </w:p>
        </w:tc>
        <w:tc>
          <w:tcPr>
            <w:tcW w:w="160" w:type="pct"/>
            <w:vMerge w:val="continue"/>
            <w:vAlign w:val="center"/>
          </w:tcPr>
          <w:p w14:paraId="6CF279B7">
            <w:pPr>
              <w:adjustRightInd w:val="0"/>
              <w:snapToGrid w:val="0"/>
              <w:jc w:val="center"/>
              <w:rPr>
                <w:rFonts w:hint="default" w:ascii="Times New Roman" w:hAnsi="Times New Roman" w:cs="Times New Roman"/>
                <w:color w:val="auto"/>
                <w:szCs w:val="21"/>
                <w:highlight w:val="none"/>
                <w:lang w:bidi="ar"/>
              </w:rPr>
            </w:pPr>
          </w:p>
        </w:tc>
        <w:tc>
          <w:tcPr>
            <w:tcW w:w="354" w:type="pct"/>
            <w:vMerge w:val="continue"/>
            <w:vAlign w:val="center"/>
          </w:tcPr>
          <w:p w14:paraId="6F629F75">
            <w:pPr>
              <w:adjustRightInd w:val="0"/>
              <w:snapToGrid w:val="0"/>
              <w:jc w:val="center"/>
              <w:rPr>
                <w:rFonts w:hint="default" w:ascii="Times New Roman" w:hAnsi="Times New Roman" w:cs="Times New Roman"/>
                <w:color w:val="auto"/>
                <w:szCs w:val="21"/>
                <w:highlight w:val="none"/>
                <w:lang w:bidi="ar"/>
              </w:rPr>
            </w:pPr>
          </w:p>
        </w:tc>
        <w:tc>
          <w:tcPr>
            <w:tcW w:w="408" w:type="pct"/>
            <w:vAlign w:val="center"/>
          </w:tcPr>
          <w:p w14:paraId="0F231019">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0.0249</w:t>
            </w:r>
          </w:p>
        </w:tc>
        <w:tc>
          <w:tcPr>
            <w:tcW w:w="360" w:type="pct"/>
            <w:vAlign w:val="center"/>
          </w:tcPr>
          <w:p w14:paraId="71D7576C">
            <w:pPr>
              <w:adjustRightInd w:val="0"/>
              <w:snapToGrid w:val="0"/>
              <w:jc w:val="center"/>
              <w:rPr>
                <w:rFonts w:hint="default" w:ascii="Times New Roman" w:hAnsi="Times New Roman"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0.000498</w:t>
            </w:r>
          </w:p>
        </w:tc>
        <w:tc>
          <w:tcPr>
            <w:tcW w:w="360" w:type="pct"/>
            <w:tcBorders>
              <w:bottom w:val="single" w:color="000000" w:sz="2" w:space="0"/>
            </w:tcBorders>
            <w:vAlign w:val="center"/>
          </w:tcPr>
          <w:p w14:paraId="25BD10F3">
            <w:pPr>
              <w:adjustRightInd w:val="0"/>
              <w:snapToGrid w:val="0"/>
              <w:jc w:val="center"/>
              <w:rPr>
                <w:rFonts w:hint="default" w:ascii="Times New Roman" w:hAnsi="Times New Roman"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0.000597</w:t>
            </w:r>
          </w:p>
        </w:tc>
        <w:tc>
          <w:tcPr>
            <w:tcW w:w="237" w:type="pct"/>
            <w:vMerge w:val="continue"/>
            <w:tcBorders>
              <w:bottom w:val="single" w:color="000000" w:sz="2" w:space="0"/>
            </w:tcBorders>
            <w:vAlign w:val="center"/>
          </w:tcPr>
          <w:p w14:paraId="3FDF3B95">
            <w:pPr>
              <w:adjustRightInd w:val="0"/>
              <w:snapToGrid w:val="0"/>
              <w:jc w:val="center"/>
              <w:rPr>
                <w:rFonts w:hint="default" w:ascii="Times New Roman" w:hAnsi="Times New Roman" w:cs="Times New Roman"/>
                <w:color w:val="auto"/>
                <w:szCs w:val="21"/>
                <w:highlight w:val="none"/>
                <w:lang w:bidi="ar"/>
              </w:rPr>
            </w:pPr>
          </w:p>
        </w:tc>
      </w:tr>
      <w:tr w14:paraId="15B0E4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restart"/>
            <w:vAlign w:val="center"/>
          </w:tcPr>
          <w:p w14:paraId="3BC32EC7">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加热沥青储罐</w:t>
            </w:r>
          </w:p>
        </w:tc>
        <w:tc>
          <w:tcPr>
            <w:tcW w:w="160" w:type="pct"/>
            <w:vMerge w:val="restart"/>
            <w:vAlign w:val="center"/>
          </w:tcPr>
          <w:p w14:paraId="4B05C6C5">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导热油炉</w:t>
            </w:r>
          </w:p>
        </w:tc>
        <w:tc>
          <w:tcPr>
            <w:tcW w:w="314" w:type="pct"/>
            <w:vMerge w:val="restart"/>
            <w:vAlign w:val="center"/>
          </w:tcPr>
          <w:p w14:paraId="0D271FF5">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DA00</w:t>
            </w:r>
            <w:r>
              <w:rPr>
                <w:rFonts w:hint="default" w:ascii="Times New Roman" w:hAnsi="Times New Roman" w:cs="Times New Roman"/>
                <w:color w:val="auto"/>
                <w:kern w:val="0"/>
                <w:szCs w:val="21"/>
                <w:highlight w:val="none"/>
                <w:lang w:val="en-US" w:eastAsia="zh-CN"/>
              </w:rPr>
              <w:t>2</w:t>
            </w:r>
          </w:p>
        </w:tc>
        <w:tc>
          <w:tcPr>
            <w:tcW w:w="353" w:type="pct"/>
            <w:vAlign w:val="center"/>
          </w:tcPr>
          <w:p w14:paraId="4A9B07E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烟尘</w:t>
            </w:r>
          </w:p>
        </w:tc>
        <w:tc>
          <w:tcPr>
            <w:tcW w:w="164" w:type="pct"/>
            <w:vMerge w:val="continue"/>
            <w:vAlign w:val="center"/>
          </w:tcPr>
          <w:p w14:paraId="16F37DEC">
            <w:pPr>
              <w:adjustRightInd w:val="0"/>
              <w:snapToGrid w:val="0"/>
              <w:jc w:val="center"/>
              <w:rPr>
                <w:rFonts w:hint="default" w:ascii="Times New Roman" w:hAnsi="Times New Roman" w:cs="Times New Roman"/>
                <w:color w:val="auto"/>
                <w:szCs w:val="21"/>
                <w:highlight w:val="none"/>
              </w:rPr>
            </w:pPr>
          </w:p>
        </w:tc>
        <w:tc>
          <w:tcPr>
            <w:tcW w:w="270" w:type="pct"/>
            <w:vMerge w:val="restart"/>
            <w:vAlign w:val="center"/>
          </w:tcPr>
          <w:p w14:paraId="3E120C29">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1938</w:t>
            </w:r>
          </w:p>
        </w:tc>
        <w:tc>
          <w:tcPr>
            <w:tcW w:w="325" w:type="pct"/>
            <w:vAlign w:val="center"/>
          </w:tcPr>
          <w:p w14:paraId="3EA10E59">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14.04</w:t>
            </w:r>
          </w:p>
        </w:tc>
        <w:tc>
          <w:tcPr>
            <w:tcW w:w="362" w:type="pct"/>
            <w:vAlign w:val="center"/>
          </w:tcPr>
          <w:p w14:paraId="012F5484">
            <w:pPr>
              <w:widowControl/>
              <w:tabs>
                <w:tab w:val="left" w:pos="146"/>
              </w:tabs>
              <w:adjustRightInd w:val="0"/>
              <w:snapToGrid w:val="0"/>
              <w:jc w:val="center"/>
              <w:textAlignment w:val="center"/>
              <w:rPr>
                <w:rFonts w:hint="default" w:ascii="Times New Roman" w:hAnsi="Times New Roman" w:eastAsia="等线" w:cs="Times New Roman"/>
                <w:color w:val="auto"/>
                <w:kern w:val="0"/>
                <w:szCs w:val="21"/>
                <w:highlight w:val="none"/>
                <w:lang w:val="en-US" w:eastAsia="zh-CN"/>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027</w:t>
            </w:r>
          </w:p>
        </w:tc>
        <w:tc>
          <w:tcPr>
            <w:tcW w:w="360" w:type="pct"/>
            <w:vAlign w:val="center"/>
          </w:tcPr>
          <w:p w14:paraId="5D8CBFDF">
            <w:pPr>
              <w:widowControl/>
              <w:tabs>
                <w:tab w:val="left" w:pos="146"/>
              </w:tabs>
              <w:adjustRightInd w:val="0"/>
              <w:snapToGrid w:val="0"/>
              <w:jc w:val="center"/>
              <w:textAlignment w:val="center"/>
              <w:rPr>
                <w:rFonts w:hint="default" w:ascii="Times New Roman" w:hAnsi="Times New Roman" w:eastAsia="等线" w:cs="Times New Roman"/>
                <w:color w:val="auto"/>
                <w:kern w:val="0"/>
                <w:szCs w:val="21"/>
                <w:highlight w:val="none"/>
                <w:lang w:val="en-US" w:eastAsia="zh-CN"/>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012</w:t>
            </w:r>
          </w:p>
        </w:tc>
        <w:tc>
          <w:tcPr>
            <w:tcW w:w="346" w:type="pct"/>
            <w:vMerge w:val="restart"/>
            <w:vAlign w:val="center"/>
          </w:tcPr>
          <w:p w14:paraId="2CFE6551">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223" w:type="pct"/>
            <w:vMerge w:val="restart"/>
            <w:vAlign w:val="center"/>
          </w:tcPr>
          <w:p w14:paraId="1465E053">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160" w:type="pct"/>
            <w:vMerge w:val="continue"/>
            <w:vAlign w:val="center"/>
          </w:tcPr>
          <w:p w14:paraId="3B022B9E">
            <w:pPr>
              <w:adjustRightInd w:val="0"/>
              <w:snapToGrid w:val="0"/>
              <w:jc w:val="center"/>
              <w:rPr>
                <w:rFonts w:hint="default" w:ascii="Times New Roman" w:hAnsi="Times New Roman" w:cs="Times New Roman"/>
                <w:color w:val="auto"/>
                <w:szCs w:val="21"/>
                <w:highlight w:val="none"/>
              </w:rPr>
            </w:pPr>
          </w:p>
        </w:tc>
        <w:tc>
          <w:tcPr>
            <w:tcW w:w="354" w:type="pct"/>
            <w:vMerge w:val="restart"/>
            <w:vAlign w:val="center"/>
          </w:tcPr>
          <w:p w14:paraId="0FE9CFE2">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1938</w:t>
            </w:r>
          </w:p>
        </w:tc>
        <w:tc>
          <w:tcPr>
            <w:tcW w:w="408" w:type="pct"/>
            <w:vAlign w:val="center"/>
          </w:tcPr>
          <w:p w14:paraId="09DCA331">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14.04</w:t>
            </w:r>
          </w:p>
        </w:tc>
        <w:tc>
          <w:tcPr>
            <w:tcW w:w="360" w:type="pct"/>
            <w:vAlign w:val="center"/>
          </w:tcPr>
          <w:p w14:paraId="162DD5DC">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027</w:t>
            </w:r>
          </w:p>
        </w:tc>
        <w:tc>
          <w:tcPr>
            <w:tcW w:w="360" w:type="pct"/>
            <w:tcBorders>
              <w:top w:val="single" w:color="000000" w:sz="2" w:space="0"/>
            </w:tcBorders>
            <w:vAlign w:val="center"/>
          </w:tcPr>
          <w:p w14:paraId="4AB82012">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012</w:t>
            </w:r>
          </w:p>
        </w:tc>
        <w:tc>
          <w:tcPr>
            <w:tcW w:w="237" w:type="pct"/>
            <w:vMerge w:val="restart"/>
            <w:tcBorders>
              <w:top w:val="single" w:color="000000" w:sz="2" w:space="0"/>
            </w:tcBorders>
            <w:vAlign w:val="center"/>
          </w:tcPr>
          <w:p w14:paraId="06274780">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800</w:t>
            </w:r>
          </w:p>
        </w:tc>
      </w:tr>
      <w:tr w14:paraId="206EB6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continue"/>
            <w:vAlign w:val="center"/>
          </w:tcPr>
          <w:p w14:paraId="59962194">
            <w:pPr>
              <w:adjustRightInd w:val="0"/>
              <w:snapToGrid w:val="0"/>
              <w:jc w:val="center"/>
              <w:rPr>
                <w:rFonts w:hint="default" w:ascii="Times New Roman" w:hAnsi="Times New Roman" w:cs="Times New Roman"/>
                <w:color w:val="auto"/>
                <w:kern w:val="0"/>
                <w:szCs w:val="21"/>
                <w:highlight w:val="none"/>
              </w:rPr>
            </w:pPr>
          </w:p>
        </w:tc>
        <w:tc>
          <w:tcPr>
            <w:tcW w:w="160" w:type="pct"/>
            <w:vMerge w:val="continue"/>
            <w:vAlign w:val="center"/>
          </w:tcPr>
          <w:p w14:paraId="7D709644">
            <w:pPr>
              <w:adjustRightInd w:val="0"/>
              <w:snapToGrid w:val="0"/>
              <w:jc w:val="center"/>
              <w:rPr>
                <w:rFonts w:hint="default" w:ascii="Times New Roman" w:hAnsi="Times New Roman" w:cs="Times New Roman"/>
                <w:color w:val="auto"/>
                <w:kern w:val="0"/>
                <w:szCs w:val="21"/>
                <w:highlight w:val="none"/>
              </w:rPr>
            </w:pPr>
          </w:p>
        </w:tc>
        <w:tc>
          <w:tcPr>
            <w:tcW w:w="314" w:type="pct"/>
            <w:vMerge w:val="continue"/>
            <w:vAlign w:val="center"/>
          </w:tcPr>
          <w:p w14:paraId="79AE10C2">
            <w:pPr>
              <w:adjustRightInd w:val="0"/>
              <w:snapToGrid w:val="0"/>
              <w:jc w:val="center"/>
              <w:rPr>
                <w:rFonts w:hint="default" w:ascii="Times New Roman" w:hAnsi="Times New Roman" w:cs="Times New Roman"/>
                <w:color w:val="auto"/>
                <w:kern w:val="0"/>
                <w:szCs w:val="21"/>
                <w:highlight w:val="none"/>
              </w:rPr>
            </w:pPr>
          </w:p>
        </w:tc>
        <w:tc>
          <w:tcPr>
            <w:tcW w:w="353" w:type="pct"/>
            <w:vAlign w:val="center"/>
          </w:tcPr>
          <w:p w14:paraId="0615FB3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SO</w:t>
            </w:r>
            <w:r>
              <w:rPr>
                <w:rFonts w:hint="default" w:ascii="Times New Roman" w:hAnsi="Times New Roman" w:cs="Times New Roman"/>
                <w:color w:val="auto"/>
                <w:szCs w:val="21"/>
                <w:highlight w:val="none"/>
                <w:vertAlign w:val="subscript"/>
                <w:lang w:bidi="ar"/>
              </w:rPr>
              <w:t>2</w:t>
            </w:r>
          </w:p>
        </w:tc>
        <w:tc>
          <w:tcPr>
            <w:tcW w:w="164" w:type="pct"/>
            <w:vMerge w:val="continue"/>
            <w:vAlign w:val="center"/>
          </w:tcPr>
          <w:p w14:paraId="5CA3B212">
            <w:pPr>
              <w:adjustRightInd w:val="0"/>
              <w:snapToGrid w:val="0"/>
              <w:jc w:val="center"/>
              <w:rPr>
                <w:rFonts w:hint="default" w:ascii="Times New Roman" w:hAnsi="Times New Roman" w:cs="Times New Roman"/>
                <w:color w:val="auto"/>
                <w:szCs w:val="21"/>
                <w:highlight w:val="none"/>
                <w:lang w:bidi="ar"/>
              </w:rPr>
            </w:pPr>
          </w:p>
        </w:tc>
        <w:tc>
          <w:tcPr>
            <w:tcW w:w="270" w:type="pct"/>
            <w:vMerge w:val="continue"/>
            <w:vAlign w:val="center"/>
          </w:tcPr>
          <w:p w14:paraId="227556BF">
            <w:pPr>
              <w:adjustRightInd w:val="0"/>
              <w:snapToGrid w:val="0"/>
              <w:jc w:val="center"/>
              <w:rPr>
                <w:rFonts w:hint="default" w:ascii="Times New Roman" w:hAnsi="Times New Roman" w:cs="Times New Roman"/>
                <w:color w:val="auto"/>
                <w:szCs w:val="21"/>
                <w:highlight w:val="none"/>
                <w:lang w:bidi="ar"/>
              </w:rPr>
            </w:pPr>
          </w:p>
        </w:tc>
        <w:tc>
          <w:tcPr>
            <w:tcW w:w="325" w:type="pct"/>
            <w:vAlign w:val="center"/>
          </w:tcPr>
          <w:p w14:paraId="01A42FEC">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kern w:val="0"/>
                <w:szCs w:val="21"/>
                <w:highlight w:val="none"/>
                <w:lang w:val="en-US" w:eastAsia="zh-CN"/>
              </w:rPr>
              <w:t>1.17</w:t>
            </w:r>
          </w:p>
        </w:tc>
        <w:tc>
          <w:tcPr>
            <w:tcW w:w="362" w:type="pct"/>
            <w:vAlign w:val="center"/>
          </w:tcPr>
          <w:p w14:paraId="4EFC7DAB">
            <w:pPr>
              <w:adjustRightInd w:val="0"/>
              <w:snapToGrid w:val="0"/>
              <w:jc w:val="center"/>
              <w:rPr>
                <w:rFonts w:hint="default" w:ascii="Times New Roman" w:hAnsi="Times New Roman" w:eastAsia="等线" w:cs="Times New Roman"/>
                <w:color w:val="auto"/>
                <w:szCs w:val="21"/>
                <w:highlight w:val="none"/>
                <w:lang w:val="en-US" w:eastAsia="zh-CN" w:bidi="ar"/>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002</w:t>
            </w:r>
          </w:p>
        </w:tc>
        <w:tc>
          <w:tcPr>
            <w:tcW w:w="360" w:type="pct"/>
            <w:vAlign w:val="center"/>
          </w:tcPr>
          <w:p w14:paraId="0237B452">
            <w:pPr>
              <w:adjustRightInd w:val="0"/>
              <w:snapToGrid w:val="0"/>
              <w:jc w:val="center"/>
              <w:rPr>
                <w:rFonts w:hint="default" w:ascii="Times New Roman" w:hAnsi="Times New Roman" w:eastAsia="等线" w:cs="Times New Roman"/>
                <w:color w:val="auto"/>
                <w:szCs w:val="21"/>
                <w:highlight w:val="none"/>
                <w:lang w:val="en-US" w:eastAsia="zh-CN" w:bidi="ar"/>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001</w:t>
            </w:r>
          </w:p>
        </w:tc>
        <w:tc>
          <w:tcPr>
            <w:tcW w:w="346" w:type="pct"/>
            <w:vMerge w:val="continue"/>
            <w:vAlign w:val="center"/>
          </w:tcPr>
          <w:p w14:paraId="32D92765">
            <w:pPr>
              <w:adjustRightInd w:val="0"/>
              <w:snapToGrid w:val="0"/>
              <w:jc w:val="center"/>
              <w:rPr>
                <w:rFonts w:hint="default" w:ascii="Times New Roman" w:hAnsi="Times New Roman" w:cs="Times New Roman"/>
                <w:color w:val="auto"/>
                <w:szCs w:val="21"/>
                <w:highlight w:val="none"/>
                <w:lang w:bidi="ar"/>
              </w:rPr>
            </w:pPr>
          </w:p>
        </w:tc>
        <w:tc>
          <w:tcPr>
            <w:tcW w:w="223" w:type="pct"/>
            <w:vMerge w:val="continue"/>
            <w:vAlign w:val="center"/>
          </w:tcPr>
          <w:p w14:paraId="190BC05F">
            <w:pPr>
              <w:adjustRightInd w:val="0"/>
              <w:snapToGrid w:val="0"/>
              <w:jc w:val="center"/>
              <w:rPr>
                <w:rFonts w:hint="default" w:ascii="Times New Roman" w:hAnsi="Times New Roman" w:cs="Times New Roman"/>
                <w:color w:val="auto"/>
                <w:szCs w:val="21"/>
                <w:highlight w:val="none"/>
                <w:lang w:bidi="ar"/>
              </w:rPr>
            </w:pPr>
          </w:p>
        </w:tc>
        <w:tc>
          <w:tcPr>
            <w:tcW w:w="160" w:type="pct"/>
            <w:vMerge w:val="continue"/>
            <w:vAlign w:val="center"/>
          </w:tcPr>
          <w:p w14:paraId="0FBC2A5E">
            <w:pPr>
              <w:adjustRightInd w:val="0"/>
              <w:snapToGrid w:val="0"/>
              <w:jc w:val="center"/>
              <w:rPr>
                <w:rFonts w:hint="default" w:ascii="Times New Roman" w:hAnsi="Times New Roman" w:cs="Times New Roman"/>
                <w:color w:val="auto"/>
                <w:szCs w:val="21"/>
                <w:highlight w:val="none"/>
                <w:lang w:bidi="ar"/>
              </w:rPr>
            </w:pPr>
          </w:p>
        </w:tc>
        <w:tc>
          <w:tcPr>
            <w:tcW w:w="354" w:type="pct"/>
            <w:vMerge w:val="continue"/>
            <w:vAlign w:val="center"/>
          </w:tcPr>
          <w:p w14:paraId="24E4190E">
            <w:pPr>
              <w:adjustRightInd w:val="0"/>
              <w:snapToGrid w:val="0"/>
              <w:jc w:val="center"/>
              <w:rPr>
                <w:rFonts w:hint="default" w:ascii="Times New Roman" w:hAnsi="Times New Roman" w:cs="Times New Roman"/>
                <w:color w:val="auto"/>
                <w:szCs w:val="21"/>
                <w:highlight w:val="none"/>
                <w:lang w:bidi="ar"/>
              </w:rPr>
            </w:pPr>
          </w:p>
        </w:tc>
        <w:tc>
          <w:tcPr>
            <w:tcW w:w="1157" w:type="dxa"/>
            <w:vAlign w:val="center"/>
          </w:tcPr>
          <w:p w14:paraId="4DB195C2">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kern w:val="0"/>
                <w:szCs w:val="21"/>
                <w:highlight w:val="none"/>
                <w:lang w:val="en-US" w:eastAsia="zh-CN"/>
              </w:rPr>
              <w:t>1.17</w:t>
            </w:r>
          </w:p>
        </w:tc>
        <w:tc>
          <w:tcPr>
            <w:tcW w:w="1021" w:type="dxa"/>
            <w:vAlign w:val="center"/>
          </w:tcPr>
          <w:p w14:paraId="566DCEBA">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002</w:t>
            </w:r>
          </w:p>
        </w:tc>
        <w:tc>
          <w:tcPr>
            <w:tcW w:w="1021" w:type="dxa"/>
            <w:vAlign w:val="center"/>
          </w:tcPr>
          <w:p w14:paraId="78028848">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eastAsia="等线" w:cs="Times New Roman"/>
                <w:color w:val="auto"/>
                <w:kern w:val="0"/>
                <w:szCs w:val="21"/>
                <w:highlight w:val="none"/>
              </w:rPr>
              <w:t>0.</w:t>
            </w:r>
            <w:r>
              <w:rPr>
                <w:rFonts w:hint="default" w:ascii="Times New Roman" w:hAnsi="Times New Roman" w:eastAsia="等线" w:cs="Times New Roman"/>
                <w:color w:val="auto"/>
                <w:kern w:val="0"/>
                <w:szCs w:val="21"/>
                <w:highlight w:val="none"/>
                <w:lang w:val="en-US" w:eastAsia="zh-CN"/>
              </w:rPr>
              <w:t>001</w:t>
            </w:r>
          </w:p>
        </w:tc>
        <w:tc>
          <w:tcPr>
            <w:tcW w:w="237" w:type="pct"/>
            <w:vMerge w:val="continue"/>
            <w:vAlign w:val="center"/>
          </w:tcPr>
          <w:p w14:paraId="0931D65B">
            <w:pPr>
              <w:adjustRightInd w:val="0"/>
              <w:snapToGrid w:val="0"/>
              <w:jc w:val="center"/>
              <w:rPr>
                <w:rFonts w:hint="default" w:ascii="Times New Roman" w:hAnsi="Times New Roman" w:cs="Times New Roman"/>
                <w:color w:val="auto"/>
                <w:szCs w:val="21"/>
                <w:highlight w:val="none"/>
                <w:lang w:bidi="ar"/>
              </w:rPr>
            </w:pPr>
          </w:p>
        </w:tc>
      </w:tr>
      <w:tr w14:paraId="1AF347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238" w:type="pct"/>
            <w:vMerge w:val="continue"/>
            <w:vAlign w:val="center"/>
          </w:tcPr>
          <w:p w14:paraId="4535CDF8">
            <w:pPr>
              <w:adjustRightInd w:val="0"/>
              <w:snapToGrid w:val="0"/>
              <w:jc w:val="center"/>
              <w:rPr>
                <w:rFonts w:hint="default" w:ascii="Times New Roman" w:hAnsi="Times New Roman" w:cs="Times New Roman"/>
                <w:color w:val="auto"/>
                <w:szCs w:val="21"/>
                <w:highlight w:val="none"/>
                <w:lang w:bidi="ar"/>
              </w:rPr>
            </w:pPr>
          </w:p>
        </w:tc>
        <w:tc>
          <w:tcPr>
            <w:tcW w:w="160" w:type="pct"/>
            <w:vMerge w:val="continue"/>
            <w:vAlign w:val="center"/>
          </w:tcPr>
          <w:p w14:paraId="612C6580">
            <w:pPr>
              <w:adjustRightInd w:val="0"/>
              <w:snapToGrid w:val="0"/>
              <w:jc w:val="center"/>
              <w:rPr>
                <w:rFonts w:hint="default" w:ascii="Times New Roman" w:hAnsi="Times New Roman" w:cs="Times New Roman"/>
                <w:color w:val="auto"/>
                <w:szCs w:val="21"/>
                <w:highlight w:val="none"/>
                <w:lang w:bidi="ar"/>
              </w:rPr>
            </w:pPr>
          </w:p>
        </w:tc>
        <w:tc>
          <w:tcPr>
            <w:tcW w:w="314" w:type="pct"/>
            <w:vMerge w:val="continue"/>
            <w:vAlign w:val="center"/>
          </w:tcPr>
          <w:p w14:paraId="161A8B13">
            <w:pPr>
              <w:adjustRightInd w:val="0"/>
              <w:snapToGrid w:val="0"/>
              <w:jc w:val="center"/>
              <w:rPr>
                <w:rFonts w:hint="default" w:ascii="Times New Roman" w:hAnsi="Times New Roman" w:cs="Times New Roman"/>
                <w:color w:val="auto"/>
                <w:szCs w:val="21"/>
                <w:highlight w:val="none"/>
                <w:lang w:bidi="ar"/>
              </w:rPr>
            </w:pPr>
          </w:p>
        </w:tc>
        <w:tc>
          <w:tcPr>
            <w:tcW w:w="353" w:type="pct"/>
            <w:vAlign w:val="center"/>
          </w:tcPr>
          <w:p w14:paraId="241B8D0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NO</w:t>
            </w:r>
            <w:r>
              <w:rPr>
                <w:rFonts w:hint="default" w:ascii="Times New Roman" w:hAnsi="Times New Roman" w:cs="Times New Roman"/>
                <w:color w:val="auto"/>
                <w:szCs w:val="21"/>
                <w:highlight w:val="none"/>
                <w:vertAlign w:val="subscript"/>
                <w:lang w:bidi="ar"/>
              </w:rPr>
              <w:t>X</w:t>
            </w:r>
          </w:p>
        </w:tc>
        <w:tc>
          <w:tcPr>
            <w:tcW w:w="164" w:type="pct"/>
            <w:vMerge w:val="continue"/>
            <w:vAlign w:val="center"/>
          </w:tcPr>
          <w:p w14:paraId="51E97F82">
            <w:pPr>
              <w:widowControl/>
              <w:adjustRightInd w:val="0"/>
              <w:snapToGrid w:val="0"/>
              <w:jc w:val="center"/>
              <w:rPr>
                <w:rFonts w:hint="default" w:ascii="Times New Roman" w:hAnsi="Times New Roman" w:cs="Times New Roman"/>
                <w:color w:val="auto"/>
                <w:szCs w:val="21"/>
                <w:highlight w:val="none"/>
              </w:rPr>
            </w:pPr>
          </w:p>
        </w:tc>
        <w:tc>
          <w:tcPr>
            <w:tcW w:w="270" w:type="pct"/>
            <w:vMerge w:val="continue"/>
            <w:vAlign w:val="center"/>
          </w:tcPr>
          <w:p w14:paraId="27A87D81">
            <w:pPr>
              <w:adjustRightInd w:val="0"/>
              <w:snapToGrid w:val="0"/>
              <w:jc w:val="center"/>
              <w:rPr>
                <w:rFonts w:hint="default" w:ascii="Times New Roman" w:hAnsi="Times New Roman" w:cs="Times New Roman"/>
                <w:color w:val="auto"/>
                <w:szCs w:val="21"/>
                <w:highlight w:val="none"/>
                <w:lang w:bidi="ar"/>
              </w:rPr>
            </w:pPr>
          </w:p>
        </w:tc>
        <w:tc>
          <w:tcPr>
            <w:tcW w:w="325" w:type="pct"/>
            <w:vAlign w:val="center"/>
          </w:tcPr>
          <w:p w14:paraId="5AA444F0">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kern w:val="0"/>
                <w:szCs w:val="21"/>
                <w:highlight w:val="none"/>
                <w:lang w:val="en-US" w:eastAsia="zh-CN"/>
              </w:rPr>
              <w:t>119.33</w:t>
            </w:r>
          </w:p>
        </w:tc>
        <w:tc>
          <w:tcPr>
            <w:tcW w:w="362" w:type="pct"/>
            <w:vAlign w:val="center"/>
          </w:tcPr>
          <w:p w14:paraId="11C6A09E">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等线" w:cs="Times New Roman"/>
                <w:color w:val="auto"/>
                <w:kern w:val="0"/>
                <w:szCs w:val="21"/>
                <w:highlight w:val="none"/>
                <w:lang w:val="en-US" w:eastAsia="zh-CN"/>
              </w:rPr>
              <w:t>0.231</w:t>
            </w:r>
          </w:p>
        </w:tc>
        <w:tc>
          <w:tcPr>
            <w:tcW w:w="360" w:type="pct"/>
            <w:vAlign w:val="center"/>
          </w:tcPr>
          <w:p w14:paraId="6E834B88">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等线" w:cs="Times New Roman"/>
                <w:color w:val="auto"/>
                <w:kern w:val="0"/>
                <w:szCs w:val="21"/>
                <w:highlight w:val="none"/>
                <w:lang w:val="en-US" w:eastAsia="zh-CN"/>
              </w:rPr>
              <w:t>0.102</w:t>
            </w:r>
          </w:p>
        </w:tc>
        <w:tc>
          <w:tcPr>
            <w:tcW w:w="346" w:type="pct"/>
            <w:vMerge w:val="continue"/>
            <w:vAlign w:val="center"/>
          </w:tcPr>
          <w:p w14:paraId="536F8CC5">
            <w:pPr>
              <w:adjustRightInd w:val="0"/>
              <w:snapToGrid w:val="0"/>
              <w:jc w:val="center"/>
              <w:rPr>
                <w:rFonts w:hint="default" w:ascii="Times New Roman" w:hAnsi="Times New Roman" w:cs="Times New Roman"/>
                <w:color w:val="auto"/>
                <w:szCs w:val="21"/>
                <w:highlight w:val="none"/>
                <w:lang w:bidi="ar"/>
              </w:rPr>
            </w:pPr>
          </w:p>
        </w:tc>
        <w:tc>
          <w:tcPr>
            <w:tcW w:w="223" w:type="pct"/>
            <w:vMerge w:val="continue"/>
            <w:vAlign w:val="center"/>
          </w:tcPr>
          <w:p w14:paraId="6BBC3BB8">
            <w:pPr>
              <w:adjustRightInd w:val="0"/>
              <w:snapToGrid w:val="0"/>
              <w:jc w:val="center"/>
              <w:rPr>
                <w:rFonts w:hint="default" w:ascii="Times New Roman" w:hAnsi="Times New Roman" w:cs="Times New Roman"/>
                <w:color w:val="auto"/>
                <w:szCs w:val="21"/>
                <w:highlight w:val="none"/>
                <w:lang w:bidi="ar"/>
              </w:rPr>
            </w:pPr>
          </w:p>
        </w:tc>
        <w:tc>
          <w:tcPr>
            <w:tcW w:w="160" w:type="pct"/>
            <w:vMerge w:val="continue"/>
            <w:vAlign w:val="center"/>
          </w:tcPr>
          <w:p w14:paraId="23CDF09F">
            <w:pPr>
              <w:adjustRightInd w:val="0"/>
              <w:snapToGrid w:val="0"/>
              <w:jc w:val="center"/>
              <w:rPr>
                <w:rFonts w:hint="default" w:ascii="Times New Roman" w:hAnsi="Times New Roman" w:cs="Times New Roman"/>
                <w:color w:val="auto"/>
                <w:szCs w:val="21"/>
                <w:highlight w:val="none"/>
                <w:lang w:bidi="ar"/>
              </w:rPr>
            </w:pPr>
          </w:p>
        </w:tc>
        <w:tc>
          <w:tcPr>
            <w:tcW w:w="354" w:type="pct"/>
            <w:vMerge w:val="continue"/>
            <w:vAlign w:val="center"/>
          </w:tcPr>
          <w:p w14:paraId="7A2BB2F9">
            <w:pPr>
              <w:adjustRightInd w:val="0"/>
              <w:snapToGrid w:val="0"/>
              <w:jc w:val="center"/>
              <w:rPr>
                <w:rFonts w:hint="default" w:ascii="Times New Roman" w:hAnsi="Times New Roman" w:cs="Times New Roman"/>
                <w:color w:val="auto"/>
                <w:szCs w:val="21"/>
                <w:highlight w:val="none"/>
                <w:lang w:bidi="ar"/>
              </w:rPr>
            </w:pPr>
          </w:p>
        </w:tc>
        <w:tc>
          <w:tcPr>
            <w:tcW w:w="408" w:type="pct"/>
            <w:vAlign w:val="center"/>
          </w:tcPr>
          <w:p w14:paraId="166B683B">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kern w:val="0"/>
                <w:szCs w:val="21"/>
                <w:highlight w:val="none"/>
                <w:lang w:val="en-US" w:eastAsia="zh-CN"/>
              </w:rPr>
              <w:t>119.33</w:t>
            </w:r>
          </w:p>
        </w:tc>
        <w:tc>
          <w:tcPr>
            <w:tcW w:w="360" w:type="pct"/>
            <w:vAlign w:val="center"/>
          </w:tcPr>
          <w:p w14:paraId="216CC9E0">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eastAsia="等线" w:cs="Times New Roman"/>
                <w:color w:val="auto"/>
                <w:kern w:val="0"/>
                <w:szCs w:val="21"/>
                <w:highlight w:val="none"/>
                <w:lang w:val="en-US" w:eastAsia="zh-CN"/>
              </w:rPr>
              <w:t>0.231</w:t>
            </w:r>
          </w:p>
        </w:tc>
        <w:tc>
          <w:tcPr>
            <w:tcW w:w="360" w:type="pct"/>
            <w:vAlign w:val="center"/>
          </w:tcPr>
          <w:p w14:paraId="59889C42">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eastAsia="等线" w:cs="Times New Roman"/>
                <w:color w:val="auto"/>
                <w:kern w:val="0"/>
                <w:szCs w:val="21"/>
                <w:highlight w:val="none"/>
                <w:lang w:val="en-US" w:eastAsia="zh-CN"/>
              </w:rPr>
              <w:t>0.102</w:t>
            </w:r>
          </w:p>
        </w:tc>
        <w:tc>
          <w:tcPr>
            <w:tcW w:w="237" w:type="pct"/>
            <w:vMerge w:val="continue"/>
            <w:vAlign w:val="center"/>
          </w:tcPr>
          <w:p w14:paraId="4C706824">
            <w:pPr>
              <w:adjustRightInd w:val="0"/>
              <w:snapToGrid w:val="0"/>
              <w:jc w:val="center"/>
              <w:rPr>
                <w:rFonts w:hint="default" w:ascii="Times New Roman" w:hAnsi="Times New Roman" w:cs="Times New Roman"/>
                <w:color w:val="auto"/>
                <w:szCs w:val="21"/>
                <w:highlight w:val="none"/>
                <w:lang w:bidi="ar"/>
              </w:rPr>
            </w:pPr>
          </w:p>
        </w:tc>
      </w:tr>
    </w:tbl>
    <w:p w14:paraId="106638FF">
      <w:pPr>
        <w:widowControl/>
        <w:adjustRightInd w:val="0"/>
        <w:snapToGrid w:val="0"/>
        <w:spacing w:line="400" w:lineRule="exact"/>
        <w:jc w:val="center"/>
        <w:rPr>
          <w:rFonts w:hint="default" w:ascii="Times New Roman" w:hAnsi="Times New Roman" w:eastAsia="黑体" w:cs="Times New Roman"/>
          <w:color w:val="auto"/>
          <w:kern w:val="0"/>
          <w:highlight w:val="none"/>
        </w:rPr>
      </w:pPr>
    </w:p>
    <w:p w14:paraId="0C8768AA">
      <w:pPr>
        <w:widowControl/>
        <w:adjustRightInd w:val="0"/>
        <w:snapToGrid w:val="0"/>
        <w:spacing w:line="400" w:lineRule="exact"/>
        <w:jc w:val="center"/>
        <w:rPr>
          <w:rFonts w:hint="default" w:ascii="Times New Roman" w:hAnsi="Times New Roman" w:eastAsia="黑体" w:cs="Times New Roman"/>
          <w:color w:val="auto"/>
          <w:kern w:val="0"/>
          <w:highlight w:val="none"/>
        </w:rPr>
      </w:pPr>
    </w:p>
    <w:p w14:paraId="760E5A93">
      <w:pPr>
        <w:widowControl/>
        <w:adjustRightInd w:val="0"/>
        <w:snapToGrid w:val="0"/>
        <w:spacing w:line="400" w:lineRule="exact"/>
        <w:jc w:val="center"/>
        <w:rPr>
          <w:rFonts w:hint="default" w:ascii="Times New Roman" w:hAnsi="Times New Roman" w:eastAsia="黑体" w:cs="Times New Roman"/>
          <w:color w:val="auto"/>
          <w:kern w:val="0"/>
          <w:highlight w:val="none"/>
        </w:rPr>
      </w:pPr>
    </w:p>
    <w:p w14:paraId="2E81C9F3">
      <w:pPr>
        <w:widowControl/>
        <w:adjustRightInd w:val="0"/>
        <w:snapToGrid w:val="0"/>
        <w:spacing w:line="400" w:lineRule="exact"/>
        <w:jc w:val="center"/>
        <w:rPr>
          <w:rFonts w:hint="default" w:ascii="Times New Roman" w:hAnsi="Times New Roman" w:eastAsia="黑体" w:cs="Times New Roman"/>
          <w:color w:val="auto"/>
          <w:kern w:val="0"/>
          <w:highlight w:val="none"/>
        </w:rPr>
      </w:pPr>
      <w:r>
        <w:rPr>
          <w:rFonts w:hint="default" w:ascii="Times New Roman" w:hAnsi="Times New Roman" w:eastAsia="黑体" w:cs="Times New Roman"/>
          <w:color w:val="auto"/>
          <w:kern w:val="0"/>
          <w:highlight w:val="none"/>
        </w:rPr>
        <w:t>表2-10 无组织废气污染物产生及排放情况</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8"/>
        <w:gridCol w:w="679"/>
        <w:gridCol w:w="725"/>
        <w:gridCol w:w="644"/>
        <w:gridCol w:w="977"/>
        <w:gridCol w:w="1137"/>
        <w:gridCol w:w="3894"/>
        <w:gridCol w:w="1023"/>
        <w:gridCol w:w="807"/>
        <w:gridCol w:w="1057"/>
        <w:gridCol w:w="1513"/>
        <w:gridCol w:w="700"/>
      </w:tblGrid>
      <w:tr w14:paraId="411B9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355" w:type="pct"/>
            <w:vMerge w:val="restart"/>
            <w:vAlign w:val="center"/>
          </w:tcPr>
          <w:p w14:paraId="6C3B7D3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工序/生产线</w:t>
            </w:r>
          </w:p>
        </w:tc>
        <w:tc>
          <w:tcPr>
            <w:tcW w:w="239" w:type="pct"/>
            <w:vMerge w:val="restart"/>
            <w:vAlign w:val="center"/>
          </w:tcPr>
          <w:p w14:paraId="714C8D4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装置</w:t>
            </w:r>
          </w:p>
        </w:tc>
        <w:tc>
          <w:tcPr>
            <w:tcW w:w="255" w:type="pct"/>
            <w:vMerge w:val="restart"/>
            <w:vAlign w:val="center"/>
          </w:tcPr>
          <w:p w14:paraId="0494575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973" w:type="pct"/>
            <w:gridSpan w:val="3"/>
            <w:vAlign w:val="center"/>
          </w:tcPr>
          <w:p w14:paraId="0B066A6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污染物产生</w:t>
            </w:r>
          </w:p>
        </w:tc>
        <w:tc>
          <w:tcPr>
            <w:tcW w:w="1735" w:type="pct"/>
            <w:gridSpan w:val="2"/>
            <w:vAlign w:val="center"/>
          </w:tcPr>
          <w:p w14:paraId="6655E62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治理措施</w:t>
            </w:r>
          </w:p>
        </w:tc>
        <w:tc>
          <w:tcPr>
            <w:tcW w:w="1192" w:type="pct"/>
            <w:gridSpan w:val="3"/>
            <w:vAlign w:val="center"/>
          </w:tcPr>
          <w:p w14:paraId="739A972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污染物排放</w:t>
            </w:r>
          </w:p>
        </w:tc>
        <w:tc>
          <w:tcPr>
            <w:tcW w:w="247" w:type="pct"/>
            <w:vMerge w:val="restart"/>
            <w:vAlign w:val="center"/>
          </w:tcPr>
          <w:p w14:paraId="0DF8207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w:t>
            </w:r>
          </w:p>
          <w:p w14:paraId="332D0E2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时间</w:t>
            </w:r>
          </w:p>
        </w:tc>
      </w:tr>
      <w:tr w14:paraId="7E82B0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55" w:type="pct"/>
            <w:vMerge w:val="continue"/>
            <w:vAlign w:val="center"/>
          </w:tcPr>
          <w:p w14:paraId="738A619D">
            <w:pPr>
              <w:adjustRightInd w:val="0"/>
              <w:snapToGrid w:val="0"/>
              <w:jc w:val="center"/>
              <w:rPr>
                <w:rFonts w:hint="default" w:ascii="Times New Roman" w:hAnsi="Times New Roman" w:cs="Times New Roman"/>
                <w:color w:val="auto"/>
                <w:szCs w:val="21"/>
                <w:highlight w:val="none"/>
              </w:rPr>
            </w:pPr>
          </w:p>
        </w:tc>
        <w:tc>
          <w:tcPr>
            <w:tcW w:w="239" w:type="pct"/>
            <w:vMerge w:val="continue"/>
            <w:vAlign w:val="center"/>
          </w:tcPr>
          <w:p w14:paraId="56FDA8B1">
            <w:pPr>
              <w:adjustRightInd w:val="0"/>
              <w:snapToGrid w:val="0"/>
              <w:jc w:val="center"/>
              <w:rPr>
                <w:rFonts w:hint="default" w:ascii="Times New Roman" w:hAnsi="Times New Roman" w:cs="Times New Roman"/>
                <w:color w:val="auto"/>
                <w:szCs w:val="21"/>
                <w:highlight w:val="none"/>
              </w:rPr>
            </w:pPr>
          </w:p>
        </w:tc>
        <w:tc>
          <w:tcPr>
            <w:tcW w:w="255" w:type="pct"/>
            <w:vMerge w:val="continue"/>
            <w:vAlign w:val="center"/>
          </w:tcPr>
          <w:p w14:paraId="032B2FD8">
            <w:pPr>
              <w:adjustRightInd w:val="0"/>
              <w:snapToGrid w:val="0"/>
              <w:jc w:val="center"/>
              <w:rPr>
                <w:rFonts w:hint="default" w:ascii="Times New Roman" w:hAnsi="Times New Roman" w:cs="Times New Roman"/>
                <w:color w:val="auto"/>
                <w:szCs w:val="21"/>
                <w:highlight w:val="none"/>
              </w:rPr>
            </w:pPr>
          </w:p>
        </w:tc>
        <w:tc>
          <w:tcPr>
            <w:tcW w:w="227" w:type="pct"/>
            <w:vAlign w:val="center"/>
          </w:tcPr>
          <w:p w14:paraId="32AD415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核算</w:t>
            </w:r>
          </w:p>
          <w:p w14:paraId="743436C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方法</w:t>
            </w:r>
          </w:p>
        </w:tc>
        <w:tc>
          <w:tcPr>
            <w:tcW w:w="344" w:type="pct"/>
            <w:vAlign w:val="center"/>
          </w:tcPr>
          <w:p w14:paraId="5EE5FB2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产生速率/kg/h</w:t>
            </w:r>
          </w:p>
        </w:tc>
        <w:tc>
          <w:tcPr>
            <w:tcW w:w="401" w:type="pct"/>
            <w:vAlign w:val="center"/>
          </w:tcPr>
          <w:p w14:paraId="0793981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年产生量/t/a</w:t>
            </w:r>
          </w:p>
        </w:tc>
        <w:tc>
          <w:tcPr>
            <w:tcW w:w="1374" w:type="pct"/>
            <w:vAlign w:val="center"/>
          </w:tcPr>
          <w:p w14:paraId="75FCD87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工艺</w:t>
            </w:r>
          </w:p>
        </w:tc>
        <w:tc>
          <w:tcPr>
            <w:tcW w:w="361" w:type="pct"/>
            <w:vAlign w:val="center"/>
          </w:tcPr>
          <w:p w14:paraId="5D21001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效率</w:t>
            </w:r>
          </w:p>
        </w:tc>
        <w:tc>
          <w:tcPr>
            <w:tcW w:w="284" w:type="pct"/>
            <w:vAlign w:val="center"/>
          </w:tcPr>
          <w:p w14:paraId="63DF4B8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核算方法</w:t>
            </w:r>
          </w:p>
        </w:tc>
        <w:tc>
          <w:tcPr>
            <w:tcW w:w="373" w:type="pct"/>
            <w:vAlign w:val="center"/>
          </w:tcPr>
          <w:p w14:paraId="515AC4A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排放速率/kg/h</w:t>
            </w:r>
          </w:p>
        </w:tc>
        <w:tc>
          <w:tcPr>
            <w:tcW w:w="534" w:type="pct"/>
            <w:vAlign w:val="center"/>
          </w:tcPr>
          <w:p w14:paraId="5B1FA8F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年排放量/t/a</w:t>
            </w:r>
          </w:p>
        </w:tc>
        <w:tc>
          <w:tcPr>
            <w:tcW w:w="247" w:type="pct"/>
            <w:vMerge w:val="continue"/>
            <w:vAlign w:val="center"/>
          </w:tcPr>
          <w:p w14:paraId="0E7077A3">
            <w:pPr>
              <w:adjustRightInd w:val="0"/>
              <w:snapToGrid w:val="0"/>
              <w:jc w:val="center"/>
              <w:rPr>
                <w:rFonts w:hint="default" w:ascii="Times New Roman" w:hAnsi="Times New Roman" w:cs="Times New Roman"/>
                <w:color w:val="auto"/>
                <w:szCs w:val="21"/>
                <w:highlight w:val="none"/>
              </w:rPr>
            </w:pPr>
          </w:p>
        </w:tc>
      </w:tr>
      <w:tr w14:paraId="251A47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355" w:type="pct"/>
            <w:vAlign w:val="center"/>
          </w:tcPr>
          <w:p w14:paraId="3B0A45CE">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运输</w:t>
            </w:r>
          </w:p>
        </w:tc>
        <w:tc>
          <w:tcPr>
            <w:tcW w:w="239" w:type="pct"/>
            <w:vAlign w:val="center"/>
          </w:tcPr>
          <w:p w14:paraId="078895D6">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车辆</w:t>
            </w:r>
          </w:p>
        </w:tc>
        <w:tc>
          <w:tcPr>
            <w:tcW w:w="255" w:type="pct"/>
            <w:vAlign w:val="center"/>
          </w:tcPr>
          <w:p w14:paraId="00711A65">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粉尘</w:t>
            </w:r>
          </w:p>
        </w:tc>
        <w:tc>
          <w:tcPr>
            <w:tcW w:w="227" w:type="pct"/>
            <w:vAlign w:val="center"/>
          </w:tcPr>
          <w:p w14:paraId="062D7406">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系数法</w:t>
            </w:r>
          </w:p>
        </w:tc>
        <w:tc>
          <w:tcPr>
            <w:tcW w:w="344" w:type="pct"/>
            <w:vAlign w:val="center"/>
          </w:tcPr>
          <w:p w14:paraId="11587AE7">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401" w:type="pct"/>
            <w:vAlign w:val="center"/>
          </w:tcPr>
          <w:p w14:paraId="287B2BF8">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0.2353</w:t>
            </w:r>
          </w:p>
        </w:tc>
        <w:tc>
          <w:tcPr>
            <w:tcW w:w="1374" w:type="pct"/>
            <w:vAlign w:val="center"/>
          </w:tcPr>
          <w:p w14:paraId="4A73E1E6">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洒水降尘</w:t>
            </w:r>
          </w:p>
        </w:tc>
        <w:tc>
          <w:tcPr>
            <w:tcW w:w="361" w:type="pct"/>
            <w:vAlign w:val="center"/>
          </w:tcPr>
          <w:p w14:paraId="267EDF3B">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66%</w:t>
            </w:r>
          </w:p>
        </w:tc>
        <w:tc>
          <w:tcPr>
            <w:tcW w:w="284" w:type="pct"/>
            <w:vAlign w:val="center"/>
          </w:tcPr>
          <w:p w14:paraId="32526A09">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系数法</w:t>
            </w:r>
          </w:p>
        </w:tc>
        <w:tc>
          <w:tcPr>
            <w:tcW w:w="373" w:type="pct"/>
            <w:vAlign w:val="center"/>
          </w:tcPr>
          <w:p w14:paraId="74F8309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534" w:type="pct"/>
            <w:vAlign w:val="center"/>
          </w:tcPr>
          <w:p w14:paraId="3F8D5982">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0.08</w:t>
            </w:r>
          </w:p>
        </w:tc>
        <w:tc>
          <w:tcPr>
            <w:tcW w:w="247" w:type="pct"/>
            <w:vAlign w:val="center"/>
          </w:tcPr>
          <w:p w14:paraId="37A29EB8">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1200</w:t>
            </w:r>
          </w:p>
        </w:tc>
      </w:tr>
      <w:tr w14:paraId="0CD66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7" w:hRule="atLeast"/>
          <w:jc w:val="center"/>
        </w:trPr>
        <w:tc>
          <w:tcPr>
            <w:tcW w:w="355" w:type="pct"/>
            <w:vAlign w:val="center"/>
          </w:tcPr>
          <w:p w14:paraId="4F4E231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卸料粉尘</w:t>
            </w:r>
          </w:p>
        </w:tc>
        <w:tc>
          <w:tcPr>
            <w:tcW w:w="239" w:type="pct"/>
            <w:vAlign w:val="center"/>
          </w:tcPr>
          <w:p w14:paraId="4DA2D0C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原料、产品堆场</w:t>
            </w:r>
          </w:p>
        </w:tc>
        <w:tc>
          <w:tcPr>
            <w:tcW w:w="255" w:type="pct"/>
            <w:vAlign w:val="center"/>
          </w:tcPr>
          <w:p w14:paraId="090B5CE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粉尘</w:t>
            </w:r>
          </w:p>
        </w:tc>
        <w:tc>
          <w:tcPr>
            <w:tcW w:w="227" w:type="pct"/>
            <w:vMerge w:val="restart"/>
            <w:vAlign w:val="center"/>
          </w:tcPr>
          <w:p w14:paraId="0546303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类比法</w:t>
            </w:r>
          </w:p>
        </w:tc>
        <w:tc>
          <w:tcPr>
            <w:tcW w:w="344" w:type="pct"/>
            <w:vAlign w:val="center"/>
          </w:tcPr>
          <w:p w14:paraId="0E605410">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0.003</w:t>
            </w:r>
          </w:p>
        </w:tc>
        <w:tc>
          <w:tcPr>
            <w:tcW w:w="401" w:type="pct"/>
            <w:vAlign w:val="center"/>
          </w:tcPr>
          <w:p w14:paraId="1DF8B2A7">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0.01</w:t>
            </w:r>
          </w:p>
        </w:tc>
        <w:tc>
          <w:tcPr>
            <w:tcW w:w="1374" w:type="pct"/>
            <w:vAlign w:val="center"/>
          </w:tcPr>
          <w:p w14:paraId="2EA86385">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kern w:val="0"/>
                <w:szCs w:val="21"/>
                <w:highlight w:val="none"/>
              </w:rPr>
              <w:t>堆场表面四周设置防风抑尘网，进行定期</w:t>
            </w:r>
            <w:r>
              <w:rPr>
                <w:rFonts w:hint="default" w:ascii="Times New Roman" w:hAnsi="Times New Roman" w:cs="Times New Roman"/>
                <w:color w:val="auto"/>
                <w:kern w:val="0"/>
                <w:szCs w:val="21"/>
                <w:highlight w:val="none"/>
                <w:lang w:eastAsia="zh-CN"/>
              </w:rPr>
              <w:t>喷淋降尘</w:t>
            </w:r>
            <w:r>
              <w:rPr>
                <w:rFonts w:hint="default" w:ascii="Times New Roman" w:hAnsi="Times New Roman" w:cs="Times New Roman"/>
                <w:color w:val="auto"/>
                <w:kern w:val="0"/>
                <w:szCs w:val="21"/>
                <w:highlight w:val="none"/>
              </w:rPr>
              <w:t>，堆场地面全部硬化</w:t>
            </w:r>
          </w:p>
        </w:tc>
        <w:tc>
          <w:tcPr>
            <w:tcW w:w="361" w:type="pct"/>
            <w:vAlign w:val="center"/>
          </w:tcPr>
          <w:p w14:paraId="13C63E3C">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val="en-US" w:eastAsia="zh-CN" w:bidi="ar"/>
              </w:rPr>
              <w:t>90</w:t>
            </w:r>
            <w:r>
              <w:rPr>
                <w:rFonts w:hint="default" w:ascii="Times New Roman" w:hAnsi="Times New Roman" w:cs="Times New Roman"/>
                <w:color w:val="auto"/>
                <w:szCs w:val="21"/>
                <w:highlight w:val="none"/>
                <w:lang w:bidi="ar"/>
              </w:rPr>
              <w:t>%</w:t>
            </w:r>
          </w:p>
        </w:tc>
        <w:tc>
          <w:tcPr>
            <w:tcW w:w="284" w:type="pct"/>
            <w:vMerge w:val="restart"/>
            <w:vAlign w:val="center"/>
          </w:tcPr>
          <w:p w14:paraId="007E9B6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类比法</w:t>
            </w:r>
          </w:p>
        </w:tc>
        <w:tc>
          <w:tcPr>
            <w:tcW w:w="373" w:type="pct"/>
            <w:vAlign w:val="center"/>
          </w:tcPr>
          <w:p w14:paraId="40EE74CD">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color w:val="auto"/>
                <w:kern w:val="0"/>
                <w:szCs w:val="21"/>
                <w:highlight w:val="none"/>
              </w:rPr>
              <w:t>0.0</w:t>
            </w:r>
            <w:r>
              <w:rPr>
                <w:rFonts w:hint="default" w:ascii="Times New Roman" w:hAnsi="Times New Roman" w:cs="Times New Roman"/>
                <w:color w:val="auto"/>
                <w:kern w:val="0"/>
                <w:szCs w:val="21"/>
                <w:highlight w:val="none"/>
                <w:lang w:val="en-US" w:eastAsia="zh-CN"/>
              </w:rPr>
              <w:t>003</w:t>
            </w:r>
          </w:p>
        </w:tc>
        <w:tc>
          <w:tcPr>
            <w:tcW w:w="534" w:type="pct"/>
            <w:tcBorders>
              <w:bottom w:val="single" w:color="auto" w:sz="4" w:space="0"/>
            </w:tcBorders>
            <w:vAlign w:val="center"/>
          </w:tcPr>
          <w:p w14:paraId="5DC7A4C7">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0.001</w:t>
            </w:r>
          </w:p>
        </w:tc>
        <w:tc>
          <w:tcPr>
            <w:tcW w:w="247" w:type="pct"/>
            <w:vMerge w:val="restart"/>
            <w:vAlign w:val="center"/>
          </w:tcPr>
          <w:p w14:paraId="106940C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360</w:t>
            </w:r>
            <w:r>
              <w:rPr>
                <w:rFonts w:hint="default" w:ascii="Times New Roman" w:hAnsi="Times New Roman" w:cs="Times New Roman"/>
                <w:color w:val="auto"/>
                <w:szCs w:val="21"/>
                <w:highlight w:val="none"/>
              </w:rPr>
              <w:t>0</w:t>
            </w:r>
          </w:p>
        </w:tc>
      </w:tr>
      <w:tr w14:paraId="78F056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55" w:type="pct"/>
            <w:vAlign w:val="center"/>
          </w:tcPr>
          <w:p w14:paraId="607ECD5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冷料上料</w:t>
            </w:r>
          </w:p>
        </w:tc>
        <w:tc>
          <w:tcPr>
            <w:tcW w:w="239" w:type="pct"/>
            <w:vAlign w:val="center"/>
          </w:tcPr>
          <w:p w14:paraId="21CF54C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冷料上料</w:t>
            </w:r>
          </w:p>
        </w:tc>
        <w:tc>
          <w:tcPr>
            <w:tcW w:w="255" w:type="pct"/>
            <w:vAlign w:val="center"/>
          </w:tcPr>
          <w:p w14:paraId="6A96F7F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粉尘</w:t>
            </w:r>
          </w:p>
        </w:tc>
        <w:tc>
          <w:tcPr>
            <w:tcW w:w="227" w:type="pct"/>
            <w:vMerge w:val="continue"/>
            <w:vAlign w:val="center"/>
          </w:tcPr>
          <w:p w14:paraId="1B39801D">
            <w:pPr>
              <w:adjustRightInd w:val="0"/>
              <w:snapToGrid w:val="0"/>
              <w:jc w:val="center"/>
              <w:rPr>
                <w:rFonts w:hint="default" w:ascii="Times New Roman" w:hAnsi="Times New Roman" w:cs="Times New Roman"/>
                <w:color w:val="auto"/>
                <w:szCs w:val="21"/>
                <w:highlight w:val="none"/>
              </w:rPr>
            </w:pPr>
          </w:p>
        </w:tc>
        <w:tc>
          <w:tcPr>
            <w:tcW w:w="344" w:type="pct"/>
            <w:vAlign w:val="center"/>
          </w:tcPr>
          <w:p w14:paraId="6FDD313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0.02</w:t>
            </w:r>
          </w:p>
        </w:tc>
        <w:tc>
          <w:tcPr>
            <w:tcW w:w="401" w:type="pct"/>
            <w:vAlign w:val="center"/>
          </w:tcPr>
          <w:p w14:paraId="2B46B9F9">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0.0669</w:t>
            </w:r>
          </w:p>
        </w:tc>
        <w:tc>
          <w:tcPr>
            <w:tcW w:w="1374" w:type="pct"/>
            <w:vAlign w:val="center"/>
          </w:tcPr>
          <w:p w14:paraId="209284A3">
            <w:pPr>
              <w:adjustRightInd w:val="0"/>
              <w:snapToGrid w:val="0"/>
              <w:jc w:val="center"/>
              <w:rPr>
                <w:rFonts w:hint="default" w:ascii="Times New Roman" w:hAnsi="Times New Roman" w:cs="Times New Roman"/>
                <w:bCs/>
                <w:color w:val="auto"/>
                <w:kern w:val="0"/>
                <w:szCs w:val="21"/>
                <w:highlight w:val="none"/>
              </w:rPr>
            </w:pPr>
            <w:r>
              <w:rPr>
                <w:rFonts w:hint="default" w:ascii="Times New Roman" w:hAnsi="Times New Roman" w:cs="Times New Roman"/>
                <w:color w:val="auto"/>
                <w:kern w:val="0"/>
                <w:szCs w:val="21"/>
                <w:highlight w:val="none"/>
              </w:rPr>
              <w:t>冷料上料于封闭</w:t>
            </w:r>
            <w:r>
              <w:rPr>
                <w:rFonts w:hint="default" w:ascii="Times New Roman" w:hAnsi="Times New Roman" w:cs="Times New Roman"/>
                <w:color w:val="auto"/>
                <w:kern w:val="0"/>
                <w:szCs w:val="21"/>
                <w:highlight w:val="none"/>
                <w:lang w:val="en-US" w:eastAsia="zh-CN"/>
              </w:rPr>
              <w:t>料仓</w:t>
            </w:r>
            <w:r>
              <w:rPr>
                <w:rFonts w:hint="default" w:ascii="Times New Roman" w:hAnsi="Times New Roman" w:cs="Times New Roman"/>
                <w:color w:val="auto"/>
                <w:kern w:val="0"/>
                <w:szCs w:val="21"/>
                <w:highlight w:val="none"/>
              </w:rPr>
              <w:t>进行</w:t>
            </w:r>
          </w:p>
        </w:tc>
        <w:tc>
          <w:tcPr>
            <w:tcW w:w="361" w:type="pct"/>
            <w:vAlign w:val="center"/>
          </w:tcPr>
          <w:p w14:paraId="70C3166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70</w:t>
            </w:r>
            <w:r>
              <w:rPr>
                <w:rFonts w:hint="default" w:ascii="Times New Roman" w:hAnsi="Times New Roman" w:cs="Times New Roman"/>
                <w:color w:val="auto"/>
                <w:szCs w:val="21"/>
                <w:highlight w:val="none"/>
              </w:rPr>
              <w:t>%</w:t>
            </w:r>
          </w:p>
        </w:tc>
        <w:tc>
          <w:tcPr>
            <w:tcW w:w="284" w:type="pct"/>
            <w:vMerge w:val="continue"/>
            <w:vAlign w:val="center"/>
          </w:tcPr>
          <w:p w14:paraId="6CF9DB63">
            <w:pPr>
              <w:adjustRightInd w:val="0"/>
              <w:snapToGrid w:val="0"/>
              <w:jc w:val="center"/>
              <w:rPr>
                <w:rFonts w:hint="default" w:ascii="Times New Roman" w:hAnsi="Times New Roman" w:cs="Times New Roman"/>
                <w:color w:val="auto"/>
                <w:szCs w:val="21"/>
                <w:highlight w:val="none"/>
              </w:rPr>
            </w:pPr>
          </w:p>
        </w:tc>
        <w:tc>
          <w:tcPr>
            <w:tcW w:w="373" w:type="pct"/>
            <w:vAlign w:val="center"/>
          </w:tcPr>
          <w:p w14:paraId="7CC40357">
            <w:pPr>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color w:val="auto"/>
                <w:kern w:val="0"/>
                <w:szCs w:val="21"/>
                <w:highlight w:val="none"/>
              </w:rPr>
              <w:t>0.0</w:t>
            </w:r>
            <w:r>
              <w:rPr>
                <w:rFonts w:hint="default" w:ascii="Times New Roman" w:hAnsi="Times New Roman" w:cs="Times New Roman"/>
                <w:color w:val="auto"/>
                <w:kern w:val="0"/>
                <w:szCs w:val="21"/>
                <w:highlight w:val="none"/>
                <w:lang w:val="en-US" w:eastAsia="zh-CN"/>
              </w:rPr>
              <w:t>06</w:t>
            </w:r>
          </w:p>
        </w:tc>
        <w:tc>
          <w:tcPr>
            <w:tcW w:w="534" w:type="pct"/>
            <w:tcBorders>
              <w:top w:val="single" w:color="auto" w:sz="4" w:space="0"/>
              <w:bottom w:val="single" w:color="auto" w:sz="4" w:space="0"/>
            </w:tcBorders>
            <w:vAlign w:val="center"/>
          </w:tcPr>
          <w:p w14:paraId="1DB11BCD">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lang w:val="en-US" w:eastAsia="zh-CN"/>
              </w:rPr>
              <w:t>0.02</w:t>
            </w:r>
          </w:p>
        </w:tc>
        <w:tc>
          <w:tcPr>
            <w:tcW w:w="247" w:type="pct"/>
            <w:vMerge w:val="continue"/>
            <w:vAlign w:val="center"/>
          </w:tcPr>
          <w:p w14:paraId="05B6C709">
            <w:pPr>
              <w:adjustRightInd w:val="0"/>
              <w:snapToGrid w:val="0"/>
              <w:jc w:val="center"/>
              <w:rPr>
                <w:rFonts w:hint="default" w:ascii="Times New Roman" w:hAnsi="Times New Roman" w:cs="Times New Roman"/>
                <w:color w:val="auto"/>
                <w:spacing w:val="1"/>
                <w:szCs w:val="21"/>
                <w:highlight w:val="none"/>
              </w:rPr>
            </w:pPr>
          </w:p>
        </w:tc>
      </w:tr>
      <w:tr w14:paraId="43D2C4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55" w:type="pct"/>
            <w:vAlign w:val="center"/>
          </w:tcPr>
          <w:p w14:paraId="5CBAD419">
            <w:pPr>
              <w:adjustRightInd w:val="0"/>
              <w:snapToGrid w:val="0"/>
              <w:jc w:val="center"/>
              <w:rPr>
                <w:rFonts w:hint="default" w:ascii="Times New Roman" w:hAnsi="Times New Roman" w:eastAsia="宋体" w:cs="Times New Roman"/>
                <w:color w:val="auto"/>
                <w:szCs w:val="21"/>
                <w:highlight w:val="none"/>
                <w:lang w:eastAsia="zh-CN" w:bidi="ar"/>
              </w:rPr>
            </w:pPr>
            <w:r>
              <w:rPr>
                <w:rFonts w:hint="default" w:ascii="Times New Roman" w:hAnsi="Times New Roman" w:cs="Times New Roman"/>
                <w:color w:val="auto"/>
                <w:szCs w:val="21"/>
                <w:highlight w:val="none"/>
                <w:lang w:val="en-US" w:eastAsia="zh-CN" w:bidi="ar"/>
              </w:rPr>
              <w:t>矿粉仓</w:t>
            </w:r>
          </w:p>
        </w:tc>
        <w:tc>
          <w:tcPr>
            <w:tcW w:w="239" w:type="pct"/>
            <w:vAlign w:val="center"/>
          </w:tcPr>
          <w:p w14:paraId="5910FA7D">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破碎筛分</w:t>
            </w:r>
          </w:p>
        </w:tc>
        <w:tc>
          <w:tcPr>
            <w:tcW w:w="255" w:type="pct"/>
            <w:vAlign w:val="center"/>
          </w:tcPr>
          <w:p w14:paraId="3F15789D">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粉尘</w:t>
            </w:r>
          </w:p>
        </w:tc>
        <w:tc>
          <w:tcPr>
            <w:tcW w:w="227" w:type="pct"/>
            <w:vMerge w:val="continue"/>
            <w:vAlign w:val="center"/>
          </w:tcPr>
          <w:p w14:paraId="0A8117B0">
            <w:pPr>
              <w:adjustRightInd w:val="0"/>
              <w:snapToGrid w:val="0"/>
              <w:jc w:val="center"/>
              <w:rPr>
                <w:rFonts w:hint="default" w:ascii="Times New Roman" w:hAnsi="Times New Roman" w:cs="Times New Roman"/>
                <w:color w:val="auto"/>
                <w:szCs w:val="21"/>
                <w:highlight w:val="none"/>
              </w:rPr>
            </w:pPr>
          </w:p>
        </w:tc>
        <w:tc>
          <w:tcPr>
            <w:tcW w:w="344" w:type="pct"/>
            <w:vAlign w:val="center"/>
          </w:tcPr>
          <w:p w14:paraId="786C75AF">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color w:val="auto"/>
                <w:szCs w:val="21"/>
                <w:highlight w:val="none"/>
                <w:lang w:val="en-US" w:eastAsia="zh-CN"/>
              </w:rPr>
              <w:t>3.75</w:t>
            </w:r>
          </w:p>
        </w:tc>
        <w:tc>
          <w:tcPr>
            <w:tcW w:w="401" w:type="pct"/>
            <w:vAlign w:val="center"/>
          </w:tcPr>
          <w:p w14:paraId="51C9FD4B">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bCs/>
                <w:color w:val="auto"/>
                <w:szCs w:val="21"/>
                <w:highlight w:val="none"/>
                <w:lang w:val="en-US" w:eastAsia="zh-CN"/>
              </w:rPr>
              <w:t>0.06</w:t>
            </w:r>
          </w:p>
        </w:tc>
        <w:tc>
          <w:tcPr>
            <w:tcW w:w="1374" w:type="pct"/>
            <w:vAlign w:val="center"/>
          </w:tcPr>
          <w:p w14:paraId="04BD3E5B">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布袋除尘器</w:t>
            </w:r>
          </w:p>
        </w:tc>
        <w:tc>
          <w:tcPr>
            <w:tcW w:w="361" w:type="pct"/>
            <w:vAlign w:val="center"/>
          </w:tcPr>
          <w:p w14:paraId="6605454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99</w:t>
            </w:r>
            <w:r>
              <w:rPr>
                <w:rFonts w:hint="default" w:ascii="Times New Roman" w:hAnsi="Times New Roman" w:cs="Times New Roman"/>
                <w:color w:val="auto"/>
                <w:szCs w:val="21"/>
                <w:highlight w:val="none"/>
                <w:lang w:val="en-US" w:eastAsia="zh-CN"/>
              </w:rPr>
              <w:t>%</w:t>
            </w:r>
          </w:p>
        </w:tc>
        <w:tc>
          <w:tcPr>
            <w:tcW w:w="284" w:type="pct"/>
            <w:vMerge w:val="continue"/>
            <w:vAlign w:val="center"/>
          </w:tcPr>
          <w:p w14:paraId="002BC62A">
            <w:pPr>
              <w:adjustRightInd w:val="0"/>
              <w:snapToGrid w:val="0"/>
              <w:jc w:val="center"/>
              <w:rPr>
                <w:rFonts w:hint="default" w:ascii="Times New Roman" w:hAnsi="Times New Roman" w:cs="Times New Roman"/>
                <w:color w:val="auto"/>
                <w:szCs w:val="21"/>
                <w:highlight w:val="none"/>
              </w:rPr>
            </w:pPr>
          </w:p>
        </w:tc>
        <w:tc>
          <w:tcPr>
            <w:tcW w:w="373" w:type="pct"/>
            <w:vAlign w:val="center"/>
          </w:tcPr>
          <w:p w14:paraId="02EA9C9D">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color w:val="auto"/>
                <w:kern w:val="0"/>
                <w:szCs w:val="21"/>
                <w:highlight w:val="none"/>
              </w:rPr>
              <w:t>0.0</w:t>
            </w:r>
            <w:r>
              <w:rPr>
                <w:rFonts w:hint="default" w:ascii="Times New Roman" w:hAnsi="Times New Roman" w:cs="Times New Roman"/>
                <w:color w:val="auto"/>
                <w:kern w:val="0"/>
                <w:szCs w:val="21"/>
                <w:highlight w:val="none"/>
                <w:lang w:val="en-US" w:eastAsia="zh-CN"/>
              </w:rPr>
              <w:t>375</w:t>
            </w:r>
          </w:p>
        </w:tc>
        <w:tc>
          <w:tcPr>
            <w:tcW w:w="534" w:type="pct"/>
            <w:tcBorders>
              <w:top w:val="single" w:color="auto" w:sz="4" w:space="0"/>
              <w:bottom w:val="single" w:color="auto" w:sz="4" w:space="0"/>
            </w:tcBorders>
            <w:vAlign w:val="center"/>
          </w:tcPr>
          <w:p w14:paraId="661D6208">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lang w:val="en-US" w:eastAsia="zh-CN"/>
              </w:rPr>
              <w:t>0.0006</w:t>
            </w:r>
          </w:p>
        </w:tc>
        <w:tc>
          <w:tcPr>
            <w:tcW w:w="247" w:type="pct"/>
            <w:vAlign w:val="center"/>
          </w:tcPr>
          <w:p w14:paraId="74D219F7">
            <w:pPr>
              <w:adjustRightInd w:val="0"/>
              <w:snapToGrid w:val="0"/>
              <w:jc w:val="center"/>
              <w:rPr>
                <w:rFonts w:hint="default" w:ascii="Times New Roman" w:hAnsi="Times New Roman" w:eastAsia="宋体" w:cs="Times New Roman"/>
                <w:color w:val="auto"/>
                <w:spacing w:val="1"/>
                <w:szCs w:val="21"/>
                <w:highlight w:val="none"/>
                <w:lang w:val="en-US" w:eastAsia="zh-CN"/>
              </w:rPr>
            </w:pPr>
            <w:r>
              <w:rPr>
                <w:rFonts w:hint="default" w:ascii="Times New Roman" w:hAnsi="Times New Roman" w:cs="Times New Roman"/>
                <w:color w:val="auto"/>
                <w:spacing w:val="1"/>
                <w:szCs w:val="21"/>
                <w:highlight w:val="none"/>
                <w:lang w:val="en-US" w:eastAsia="zh-CN"/>
              </w:rPr>
              <w:t>16</w:t>
            </w:r>
          </w:p>
        </w:tc>
      </w:tr>
      <w:tr w14:paraId="72AFA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55" w:type="pct"/>
            <w:vMerge w:val="restart"/>
            <w:vAlign w:val="center"/>
          </w:tcPr>
          <w:p w14:paraId="382FF126">
            <w:pPr>
              <w:adjustRightInd w:val="0"/>
              <w:snapToGrid w:val="0"/>
              <w:jc w:val="center"/>
              <w:rPr>
                <w:rFonts w:hint="default" w:ascii="Times New Roman" w:hAnsi="Times New Roman"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沥青罐加热、拌合无组织</w:t>
            </w:r>
          </w:p>
        </w:tc>
        <w:tc>
          <w:tcPr>
            <w:tcW w:w="239" w:type="pct"/>
            <w:vMerge w:val="restart"/>
            <w:vAlign w:val="center"/>
          </w:tcPr>
          <w:p w14:paraId="374659A6">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拌合系统</w:t>
            </w:r>
          </w:p>
        </w:tc>
        <w:tc>
          <w:tcPr>
            <w:tcW w:w="255" w:type="pct"/>
            <w:vAlign w:val="center"/>
          </w:tcPr>
          <w:p w14:paraId="6596046E">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沥青烟</w:t>
            </w:r>
          </w:p>
        </w:tc>
        <w:tc>
          <w:tcPr>
            <w:tcW w:w="227" w:type="pct"/>
            <w:vMerge w:val="continue"/>
            <w:vAlign w:val="center"/>
          </w:tcPr>
          <w:p w14:paraId="2F66725B">
            <w:pPr>
              <w:adjustRightInd w:val="0"/>
              <w:snapToGrid w:val="0"/>
              <w:jc w:val="center"/>
              <w:rPr>
                <w:rFonts w:hint="default" w:ascii="Times New Roman" w:hAnsi="Times New Roman" w:cs="Times New Roman"/>
                <w:color w:val="auto"/>
                <w:szCs w:val="21"/>
                <w:highlight w:val="none"/>
              </w:rPr>
            </w:pPr>
          </w:p>
        </w:tc>
        <w:tc>
          <w:tcPr>
            <w:tcW w:w="344" w:type="pct"/>
            <w:vAlign w:val="center"/>
          </w:tcPr>
          <w:p w14:paraId="0AD7D713">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0.00558</w:t>
            </w:r>
          </w:p>
        </w:tc>
        <w:tc>
          <w:tcPr>
            <w:tcW w:w="401" w:type="pct"/>
            <w:vAlign w:val="center"/>
          </w:tcPr>
          <w:p w14:paraId="0CB385E0">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0.0201</w:t>
            </w:r>
          </w:p>
        </w:tc>
        <w:tc>
          <w:tcPr>
            <w:tcW w:w="1374" w:type="pct"/>
            <w:vMerge w:val="restart"/>
            <w:vAlign w:val="center"/>
          </w:tcPr>
          <w:p w14:paraId="1FBA345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封闭</w:t>
            </w:r>
          </w:p>
        </w:tc>
        <w:tc>
          <w:tcPr>
            <w:tcW w:w="361" w:type="pct"/>
            <w:vAlign w:val="center"/>
          </w:tcPr>
          <w:p w14:paraId="61380BE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284" w:type="pct"/>
            <w:vMerge w:val="continue"/>
            <w:vAlign w:val="center"/>
          </w:tcPr>
          <w:p w14:paraId="567166C0">
            <w:pPr>
              <w:adjustRightInd w:val="0"/>
              <w:snapToGrid w:val="0"/>
              <w:jc w:val="center"/>
              <w:rPr>
                <w:rFonts w:hint="default" w:ascii="Times New Roman" w:hAnsi="Times New Roman" w:cs="Times New Roman"/>
                <w:color w:val="auto"/>
                <w:szCs w:val="21"/>
                <w:highlight w:val="none"/>
              </w:rPr>
            </w:pPr>
          </w:p>
        </w:tc>
        <w:tc>
          <w:tcPr>
            <w:tcW w:w="373" w:type="pct"/>
            <w:vAlign w:val="center"/>
          </w:tcPr>
          <w:p w14:paraId="7597C0E9">
            <w:pPr>
              <w:jc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szCs w:val="21"/>
                <w:highlight w:val="none"/>
                <w:lang w:val="en-US" w:eastAsia="zh-CN"/>
              </w:rPr>
              <w:t>0.00558</w:t>
            </w:r>
          </w:p>
        </w:tc>
        <w:tc>
          <w:tcPr>
            <w:tcW w:w="534" w:type="pct"/>
            <w:tcBorders>
              <w:top w:val="single" w:color="auto" w:sz="4" w:space="0"/>
              <w:bottom w:val="single" w:color="auto" w:sz="4" w:space="0"/>
            </w:tcBorders>
            <w:vAlign w:val="center"/>
          </w:tcPr>
          <w:p w14:paraId="4ED5F0C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lang w:val="en-US" w:eastAsia="zh-CN"/>
              </w:rPr>
              <w:t>0.0201</w:t>
            </w:r>
          </w:p>
        </w:tc>
        <w:tc>
          <w:tcPr>
            <w:tcW w:w="247" w:type="pct"/>
            <w:vMerge w:val="restart"/>
            <w:vAlign w:val="center"/>
          </w:tcPr>
          <w:p w14:paraId="6F7FADE3">
            <w:pPr>
              <w:adjustRightInd w:val="0"/>
              <w:snapToGrid w:val="0"/>
              <w:jc w:val="center"/>
              <w:rPr>
                <w:rFonts w:hint="default" w:ascii="Times New Roman" w:hAnsi="Times New Roman" w:cs="Times New Roman"/>
                <w:color w:val="auto"/>
                <w:spacing w:val="1"/>
                <w:szCs w:val="21"/>
                <w:highlight w:val="none"/>
              </w:rPr>
            </w:pPr>
            <w:r>
              <w:rPr>
                <w:rFonts w:hint="default" w:ascii="Times New Roman" w:hAnsi="Times New Roman" w:cs="Times New Roman"/>
                <w:color w:val="auto"/>
                <w:szCs w:val="21"/>
                <w:highlight w:val="none"/>
                <w:lang w:val="en-US" w:eastAsia="zh-CN"/>
              </w:rPr>
              <w:t>360</w:t>
            </w:r>
            <w:r>
              <w:rPr>
                <w:rFonts w:hint="default" w:ascii="Times New Roman" w:hAnsi="Times New Roman" w:cs="Times New Roman"/>
                <w:color w:val="auto"/>
                <w:szCs w:val="21"/>
                <w:highlight w:val="none"/>
              </w:rPr>
              <w:t>0</w:t>
            </w:r>
          </w:p>
        </w:tc>
      </w:tr>
      <w:tr w14:paraId="7D9928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55" w:type="pct"/>
            <w:vMerge w:val="continue"/>
            <w:vAlign w:val="center"/>
          </w:tcPr>
          <w:p w14:paraId="2036E905">
            <w:pPr>
              <w:adjustRightInd w:val="0"/>
              <w:snapToGrid w:val="0"/>
              <w:jc w:val="center"/>
              <w:rPr>
                <w:rFonts w:hint="default" w:ascii="Times New Roman" w:hAnsi="Times New Roman" w:cs="Times New Roman"/>
                <w:color w:val="auto"/>
                <w:szCs w:val="21"/>
                <w:highlight w:val="none"/>
                <w:lang w:val="en-US" w:eastAsia="zh-CN" w:bidi="ar"/>
              </w:rPr>
            </w:pPr>
          </w:p>
        </w:tc>
        <w:tc>
          <w:tcPr>
            <w:tcW w:w="239" w:type="pct"/>
            <w:vMerge w:val="continue"/>
            <w:vAlign w:val="center"/>
          </w:tcPr>
          <w:p w14:paraId="521309A3">
            <w:pPr>
              <w:adjustRightInd w:val="0"/>
              <w:snapToGrid w:val="0"/>
              <w:jc w:val="center"/>
              <w:rPr>
                <w:rFonts w:hint="default" w:ascii="Times New Roman" w:hAnsi="Times New Roman" w:cs="Times New Roman"/>
                <w:color w:val="auto"/>
                <w:szCs w:val="21"/>
                <w:highlight w:val="none"/>
                <w:lang w:val="en-US" w:eastAsia="zh-CN" w:bidi="ar"/>
              </w:rPr>
            </w:pPr>
          </w:p>
        </w:tc>
        <w:tc>
          <w:tcPr>
            <w:tcW w:w="255" w:type="pct"/>
            <w:vAlign w:val="center"/>
          </w:tcPr>
          <w:p w14:paraId="514BC338">
            <w:pPr>
              <w:adjustRightInd w:val="0"/>
              <w:snapToGrid w:val="0"/>
              <w:jc w:val="center"/>
              <w:rPr>
                <w:rFonts w:hint="default" w:ascii="Times New Roman" w:hAnsi="Times New Roman" w:cs="Times New Roman"/>
                <w:color w:val="auto"/>
                <w:szCs w:val="21"/>
                <w:highlight w:val="none"/>
                <w:lang w:val="en-US" w:eastAsia="zh-CN" w:bidi="ar"/>
              </w:rPr>
            </w:pPr>
            <w:r>
              <w:rPr>
                <w:rFonts w:hint="default" w:ascii="Times New Roman" w:hAnsi="Times New Roman" w:cs="Times New Roman"/>
                <w:color w:val="auto"/>
                <w:szCs w:val="21"/>
                <w:highlight w:val="none"/>
                <w:lang w:bidi="ar"/>
              </w:rPr>
              <w:t>苯并[a]芘</w:t>
            </w:r>
          </w:p>
        </w:tc>
        <w:tc>
          <w:tcPr>
            <w:tcW w:w="227" w:type="pct"/>
            <w:vMerge w:val="continue"/>
            <w:vAlign w:val="center"/>
          </w:tcPr>
          <w:p w14:paraId="46D5A0EF">
            <w:pPr>
              <w:adjustRightInd w:val="0"/>
              <w:snapToGrid w:val="0"/>
              <w:jc w:val="center"/>
              <w:rPr>
                <w:rFonts w:hint="default" w:ascii="Times New Roman" w:hAnsi="Times New Roman" w:cs="Times New Roman"/>
                <w:color w:val="auto"/>
                <w:szCs w:val="21"/>
                <w:highlight w:val="none"/>
              </w:rPr>
            </w:pPr>
          </w:p>
        </w:tc>
        <w:tc>
          <w:tcPr>
            <w:tcW w:w="344" w:type="pct"/>
            <w:shd w:val="clear" w:color="auto" w:fill="auto"/>
            <w:vAlign w:val="center"/>
          </w:tcPr>
          <w:p w14:paraId="7886A030">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lang w:val="en-US" w:eastAsia="zh-CN"/>
              </w:rPr>
              <w:t>1×10</w:t>
            </w:r>
            <w:r>
              <w:rPr>
                <w:rFonts w:hint="default" w:ascii="Times New Roman" w:hAnsi="Times New Roman" w:cs="Times New Roman"/>
                <w:bCs/>
                <w:color w:val="auto"/>
                <w:szCs w:val="21"/>
                <w:highlight w:val="none"/>
                <w:vertAlign w:val="superscript"/>
                <w:lang w:val="en-US" w:eastAsia="zh-CN"/>
              </w:rPr>
              <w:t>-7</w:t>
            </w:r>
          </w:p>
        </w:tc>
        <w:tc>
          <w:tcPr>
            <w:tcW w:w="401" w:type="pct"/>
            <w:shd w:val="clear" w:color="auto" w:fill="auto"/>
            <w:vAlign w:val="center"/>
          </w:tcPr>
          <w:p w14:paraId="2A0CDA9B">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4.02</w:t>
            </w:r>
            <w:r>
              <w:rPr>
                <w:rFonts w:hint="default" w:ascii="Times New Roman" w:hAnsi="Times New Roman" w:cs="Times New Roman"/>
                <w:bCs/>
                <w:color w:val="auto"/>
                <w:szCs w:val="21"/>
                <w:highlight w:val="none"/>
                <w:lang w:val="en-US" w:eastAsia="zh-CN"/>
              </w:rPr>
              <w:t>×10</w:t>
            </w:r>
            <w:r>
              <w:rPr>
                <w:rFonts w:hint="default" w:ascii="Times New Roman" w:hAnsi="Times New Roman" w:cs="Times New Roman"/>
                <w:bCs/>
                <w:color w:val="auto"/>
                <w:szCs w:val="21"/>
                <w:highlight w:val="none"/>
                <w:vertAlign w:val="superscript"/>
                <w:lang w:val="en-US" w:eastAsia="zh-CN"/>
              </w:rPr>
              <w:t>-7</w:t>
            </w:r>
          </w:p>
        </w:tc>
        <w:tc>
          <w:tcPr>
            <w:tcW w:w="1374" w:type="pct"/>
            <w:vMerge w:val="continue"/>
            <w:vAlign w:val="center"/>
          </w:tcPr>
          <w:p w14:paraId="2187B9C3">
            <w:pPr>
              <w:adjustRightInd w:val="0"/>
              <w:snapToGrid w:val="0"/>
              <w:jc w:val="center"/>
              <w:rPr>
                <w:rFonts w:hint="default" w:ascii="Times New Roman" w:hAnsi="Times New Roman" w:cs="Times New Roman"/>
                <w:color w:val="auto"/>
                <w:kern w:val="0"/>
                <w:szCs w:val="21"/>
                <w:highlight w:val="none"/>
                <w:lang w:val="en-US" w:eastAsia="zh-CN"/>
              </w:rPr>
            </w:pPr>
          </w:p>
        </w:tc>
        <w:tc>
          <w:tcPr>
            <w:tcW w:w="361" w:type="pct"/>
            <w:vAlign w:val="center"/>
          </w:tcPr>
          <w:p w14:paraId="374FD98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284" w:type="pct"/>
            <w:vMerge w:val="continue"/>
            <w:vAlign w:val="center"/>
          </w:tcPr>
          <w:p w14:paraId="3586FB64">
            <w:pPr>
              <w:adjustRightInd w:val="0"/>
              <w:snapToGrid w:val="0"/>
              <w:jc w:val="center"/>
              <w:rPr>
                <w:rFonts w:hint="default" w:ascii="Times New Roman" w:hAnsi="Times New Roman" w:cs="Times New Roman"/>
                <w:color w:val="auto"/>
                <w:szCs w:val="21"/>
                <w:highlight w:val="none"/>
              </w:rPr>
            </w:pPr>
          </w:p>
        </w:tc>
        <w:tc>
          <w:tcPr>
            <w:tcW w:w="373" w:type="pct"/>
            <w:shd w:val="clear" w:color="auto" w:fill="auto"/>
            <w:vAlign w:val="center"/>
          </w:tcPr>
          <w:p w14:paraId="5BF484F9">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bCs/>
                <w:color w:val="auto"/>
                <w:szCs w:val="21"/>
                <w:highlight w:val="none"/>
                <w:lang w:val="en-US" w:eastAsia="zh-CN"/>
              </w:rPr>
              <w:t>1×10</w:t>
            </w:r>
            <w:r>
              <w:rPr>
                <w:rFonts w:hint="default" w:ascii="Times New Roman" w:hAnsi="Times New Roman" w:cs="Times New Roman"/>
                <w:bCs/>
                <w:color w:val="auto"/>
                <w:szCs w:val="21"/>
                <w:highlight w:val="none"/>
                <w:vertAlign w:val="superscript"/>
                <w:lang w:val="en-US" w:eastAsia="zh-CN"/>
              </w:rPr>
              <w:t>-7</w:t>
            </w:r>
          </w:p>
        </w:tc>
        <w:tc>
          <w:tcPr>
            <w:tcW w:w="534" w:type="pct"/>
            <w:tcBorders>
              <w:top w:val="single" w:color="auto" w:sz="4" w:space="0"/>
              <w:bottom w:val="single" w:color="auto" w:sz="4" w:space="0"/>
            </w:tcBorders>
            <w:shd w:val="clear" w:color="auto" w:fill="auto"/>
            <w:vAlign w:val="center"/>
          </w:tcPr>
          <w:p w14:paraId="5D431509">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4.02</w:t>
            </w:r>
            <w:r>
              <w:rPr>
                <w:rFonts w:hint="default" w:ascii="Times New Roman" w:hAnsi="Times New Roman" w:cs="Times New Roman"/>
                <w:bCs/>
                <w:color w:val="auto"/>
                <w:szCs w:val="21"/>
                <w:highlight w:val="none"/>
                <w:lang w:val="en-US" w:eastAsia="zh-CN"/>
              </w:rPr>
              <w:t>×10</w:t>
            </w:r>
            <w:r>
              <w:rPr>
                <w:rFonts w:hint="default" w:ascii="Times New Roman" w:hAnsi="Times New Roman" w:cs="Times New Roman"/>
                <w:bCs/>
                <w:color w:val="auto"/>
                <w:szCs w:val="21"/>
                <w:highlight w:val="none"/>
                <w:vertAlign w:val="superscript"/>
                <w:lang w:val="en-US" w:eastAsia="zh-CN"/>
              </w:rPr>
              <w:t>-7</w:t>
            </w:r>
          </w:p>
        </w:tc>
        <w:tc>
          <w:tcPr>
            <w:tcW w:w="247" w:type="pct"/>
            <w:vMerge w:val="continue"/>
            <w:vAlign w:val="center"/>
          </w:tcPr>
          <w:p w14:paraId="6B294398">
            <w:pPr>
              <w:adjustRightInd w:val="0"/>
              <w:snapToGrid w:val="0"/>
              <w:jc w:val="center"/>
              <w:rPr>
                <w:rFonts w:hint="default" w:ascii="Times New Roman" w:hAnsi="Times New Roman" w:cs="Times New Roman"/>
                <w:color w:val="auto"/>
                <w:szCs w:val="21"/>
                <w:highlight w:val="none"/>
                <w:lang w:val="en-US" w:eastAsia="zh-CN"/>
              </w:rPr>
            </w:pPr>
          </w:p>
        </w:tc>
      </w:tr>
      <w:tr w14:paraId="6789B0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55" w:type="pct"/>
            <w:vMerge w:val="continue"/>
            <w:vAlign w:val="center"/>
          </w:tcPr>
          <w:p w14:paraId="19D6F6D8">
            <w:pPr>
              <w:adjustRightInd w:val="0"/>
              <w:snapToGrid w:val="0"/>
              <w:jc w:val="center"/>
              <w:rPr>
                <w:rFonts w:hint="default" w:ascii="Times New Roman" w:hAnsi="Times New Roman" w:cs="Times New Roman"/>
                <w:color w:val="auto"/>
                <w:szCs w:val="21"/>
                <w:highlight w:val="none"/>
                <w:lang w:val="en-US" w:eastAsia="zh-CN" w:bidi="ar"/>
              </w:rPr>
            </w:pPr>
          </w:p>
        </w:tc>
        <w:tc>
          <w:tcPr>
            <w:tcW w:w="239" w:type="pct"/>
            <w:vMerge w:val="continue"/>
            <w:vAlign w:val="center"/>
          </w:tcPr>
          <w:p w14:paraId="2130DBF9">
            <w:pPr>
              <w:adjustRightInd w:val="0"/>
              <w:snapToGrid w:val="0"/>
              <w:jc w:val="center"/>
              <w:rPr>
                <w:rFonts w:hint="default" w:ascii="Times New Roman" w:hAnsi="Times New Roman" w:cs="Times New Roman"/>
                <w:color w:val="auto"/>
                <w:szCs w:val="21"/>
                <w:highlight w:val="none"/>
                <w:lang w:bidi="ar"/>
              </w:rPr>
            </w:pPr>
          </w:p>
        </w:tc>
        <w:tc>
          <w:tcPr>
            <w:tcW w:w="255" w:type="pct"/>
            <w:vAlign w:val="center"/>
          </w:tcPr>
          <w:p w14:paraId="2797CF56">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bidi="ar"/>
              </w:rPr>
              <w:t>非甲烷总烃</w:t>
            </w:r>
          </w:p>
        </w:tc>
        <w:tc>
          <w:tcPr>
            <w:tcW w:w="227" w:type="pct"/>
            <w:vMerge w:val="continue"/>
            <w:vAlign w:val="center"/>
          </w:tcPr>
          <w:p w14:paraId="2D0EBA14">
            <w:pPr>
              <w:adjustRightInd w:val="0"/>
              <w:snapToGrid w:val="0"/>
              <w:jc w:val="center"/>
              <w:rPr>
                <w:rFonts w:hint="default" w:ascii="Times New Roman" w:hAnsi="Times New Roman" w:cs="Times New Roman"/>
                <w:color w:val="auto"/>
                <w:szCs w:val="21"/>
                <w:highlight w:val="none"/>
              </w:rPr>
            </w:pPr>
          </w:p>
        </w:tc>
        <w:tc>
          <w:tcPr>
            <w:tcW w:w="344" w:type="pct"/>
            <w:vAlign w:val="center"/>
          </w:tcPr>
          <w:p w14:paraId="329EE118">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0.00003</w:t>
            </w:r>
          </w:p>
        </w:tc>
        <w:tc>
          <w:tcPr>
            <w:tcW w:w="401" w:type="pct"/>
            <w:vAlign w:val="center"/>
          </w:tcPr>
          <w:p w14:paraId="03056E99">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0.0001206</w:t>
            </w:r>
          </w:p>
        </w:tc>
        <w:tc>
          <w:tcPr>
            <w:tcW w:w="1374" w:type="pct"/>
            <w:vMerge w:val="continue"/>
            <w:vAlign w:val="center"/>
          </w:tcPr>
          <w:p w14:paraId="100AFBE8">
            <w:pPr>
              <w:adjustRightInd w:val="0"/>
              <w:snapToGrid w:val="0"/>
              <w:jc w:val="center"/>
              <w:rPr>
                <w:rFonts w:hint="default" w:ascii="Times New Roman" w:hAnsi="Times New Roman" w:cs="Times New Roman"/>
                <w:color w:val="auto"/>
                <w:kern w:val="0"/>
                <w:szCs w:val="21"/>
                <w:highlight w:val="none"/>
              </w:rPr>
            </w:pPr>
          </w:p>
        </w:tc>
        <w:tc>
          <w:tcPr>
            <w:tcW w:w="361" w:type="pct"/>
            <w:vAlign w:val="center"/>
          </w:tcPr>
          <w:p w14:paraId="5C6F465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284" w:type="pct"/>
            <w:vMerge w:val="continue"/>
            <w:vAlign w:val="center"/>
          </w:tcPr>
          <w:p w14:paraId="72A5BA70">
            <w:pPr>
              <w:adjustRightInd w:val="0"/>
              <w:snapToGrid w:val="0"/>
              <w:jc w:val="center"/>
              <w:rPr>
                <w:rFonts w:hint="default" w:ascii="Times New Roman" w:hAnsi="Times New Roman" w:cs="Times New Roman"/>
                <w:color w:val="auto"/>
                <w:szCs w:val="21"/>
                <w:highlight w:val="none"/>
              </w:rPr>
            </w:pPr>
          </w:p>
        </w:tc>
        <w:tc>
          <w:tcPr>
            <w:tcW w:w="373" w:type="pct"/>
            <w:vAlign w:val="center"/>
          </w:tcPr>
          <w:p w14:paraId="01D74398">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bCs/>
                <w:color w:val="auto"/>
                <w:szCs w:val="21"/>
                <w:highlight w:val="none"/>
                <w:lang w:val="en-US" w:eastAsia="zh-CN"/>
              </w:rPr>
              <w:t>0.00003</w:t>
            </w:r>
          </w:p>
        </w:tc>
        <w:tc>
          <w:tcPr>
            <w:tcW w:w="534" w:type="pct"/>
            <w:tcBorders>
              <w:top w:val="single" w:color="auto" w:sz="4" w:space="0"/>
              <w:bottom w:val="single" w:color="auto" w:sz="4" w:space="0"/>
            </w:tcBorders>
            <w:vAlign w:val="center"/>
          </w:tcPr>
          <w:p w14:paraId="2FFD2926">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color w:val="auto"/>
                <w:szCs w:val="21"/>
                <w:highlight w:val="none"/>
                <w:lang w:val="en-US" w:eastAsia="zh-CN"/>
              </w:rPr>
              <w:t>0.0001206</w:t>
            </w:r>
          </w:p>
        </w:tc>
        <w:tc>
          <w:tcPr>
            <w:tcW w:w="247" w:type="pct"/>
            <w:vMerge w:val="continue"/>
            <w:vAlign w:val="center"/>
          </w:tcPr>
          <w:p w14:paraId="38877644">
            <w:pPr>
              <w:adjustRightInd w:val="0"/>
              <w:snapToGrid w:val="0"/>
              <w:jc w:val="center"/>
              <w:rPr>
                <w:rFonts w:hint="default" w:ascii="Times New Roman" w:hAnsi="Times New Roman" w:cs="Times New Roman"/>
                <w:color w:val="auto"/>
                <w:spacing w:val="1"/>
                <w:szCs w:val="21"/>
                <w:highlight w:val="none"/>
              </w:rPr>
            </w:pPr>
          </w:p>
        </w:tc>
      </w:tr>
      <w:tr w14:paraId="7A4134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55" w:type="pct"/>
            <w:shd w:val="clear" w:color="auto" w:fill="auto"/>
            <w:vAlign w:val="center"/>
          </w:tcPr>
          <w:p w14:paraId="26101217">
            <w:pPr>
              <w:adjustRightInd w:val="0"/>
              <w:snapToGrid w:val="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cs="Times New Roman"/>
                <w:color w:val="auto"/>
                <w:szCs w:val="21"/>
                <w:highlight w:val="none"/>
                <w:lang w:bidi="ar"/>
              </w:rPr>
              <w:t>柴油储罐</w:t>
            </w:r>
            <w:r>
              <w:rPr>
                <w:rFonts w:hint="default" w:ascii="Times New Roman" w:hAnsi="Times New Roman" w:cs="Times New Roman"/>
                <w:color w:val="auto"/>
                <w:szCs w:val="21"/>
                <w:highlight w:val="none"/>
                <w:lang w:eastAsia="zh-CN" w:bidi="ar"/>
              </w:rPr>
              <w:t>（</w:t>
            </w:r>
            <w:r>
              <w:rPr>
                <w:rFonts w:hint="default" w:ascii="Times New Roman" w:hAnsi="Times New Roman" w:cs="Times New Roman"/>
                <w:color w:val="auto"/>
                <w:szCs w:val="21"/>
                <w:highlight w:val="none"/>
                <w:lang w:val="en-US" w:eastAsia="zh-CN" w:bidi="ar"/>
              </w:rPr>
              <w:t>50m</w:t>
            </w:r>
            <w:r>
              <w:rPr>
                <w:rFonts w:hint="default" w:ascii="Times New Roman" w:hAnsi="Times New Roman" w:cs="Times New Roman"/>
                <w:color w:val="auto"/>
                <w:szCs w:val="21"/>
                <w:highlight w:val="none"/>
                <w:vertAlign w:val="superscript"/>
                <w:lang w:val="en-US" w:eastAsia="zh-CN" w:bidi="ar"/>
              </w:rPr>
              <w:t>3</w:t>
            </w:r>
            <w:r>
              <w:rPr>
                <w:rFonts w:hint="default" w:ascii="Times New Roman" w:hAnsi="Times New Roman" w:cs="Times New Roman"/>
                <w:color w:val="auto"/>
                <w:szCs w:val="21"/>
                <w:highlight w:val="none"/>
                <w:lang w:eastAsia="zh-CN" w:bidi="ar"/>
              </w:rPr>
              <w:t>）</w:t>
            </w:r>
          </w:p>
        </w:tc>
        <w:tc>
          <w:tcPr>
            <w:tcW w:w="239" w:type="pct"/>
            <w:shd w:val="clear" w:color="auto" w:fill="auto"/>
            <w:vAlign w:val="center"/>
          </w:tcPr>
          <w:p w14:paraId="28E77D7A">
            <w:pPr>
              <w:adjustRightInd w:val="0"/>
              <w:snapToGrid w:val="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cs="Times New Roman"/>
                <w:color w:val="auto"/>
                <w:szCs w:val="21"/>
                <w:highlight w:val="none"/>
                <w:lang w:bidi="ar"/>
              </w:rPr>
              <w:t>柴油储罐</w:t>
            </w:r>
          </w:p>
        </w:tc>
        <w:tc>
          <w:tcPr>
            <w:tcW w:w="255" w:type="pct"/>
            <w:vAlign w:val="center"/>
          </w:tcPr>
          <w:p w14:paraId="1B0AA07F">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非甲烷总烃</w:t>
            </w:r>
          </w:p>
        </w:tc>
        <w:tc>
          <w:tcPr>
            <w:tcW w:w="227" w:type="pct"/>
            <w:vMerge w:val="continue"/>
            <w:vAlign w:val="center"/>
          </w:tcPr>
          <w:p w14:paraId="5A892F49">
            <w:pPr>
              <w:adjustRightInd w:val="0"/>
              <w:snapToGrid w:val="0"/>
              <w:jc w:val="center"/>
              <w:rPr>
                <w:rFonts w:hint="default" w:ascii="Times New Roman" w:hAnsi="Times New Roman" w:cs="Times New Roman"/>
                <w:color w:val="auto"/>
                <w:szCs w:val="21"/>
                <w:highlight w:val="none"/>
              </w:rPr>
            </w:pPr>
          </w:p>
        </w:tc>
        <w:tc>
          <w:tcPr>
            <w:tcW w:w="344" w:type="pct"/>
            <w:vAlign w:val="center"/>
          </w:tcPr>
          <w:p w14:paraId="01023C33">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0.00014</w:t>
            </w:r>
          </w:p>
        </w:tc>
        <w:tc>
          <w:tcPr>
            <w:tcW w:w="401" w:type="pct"/>
            <w:vAlign w:val="center"/>
          </w:tcPr>
          <w:p w14:paraId="3C16717B">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0.0005</w:t>
            </w:r>
          </w:p>
        </w:tc>
        <w:tc>
          <w:tcPr>
            <w:tcW w:w="1374" w:type="pct"/>
            <w:vAlign w:val="center"/>
          </w:tcPr>
          <w:p w14:paraId="5BD07CF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采用碳钢材质封闭柴油储罐储存</w:t>
            </w:r>
          </w:p>
        </w:tc>
        <w:tc>
          <w:tcPr>
            <w:tcW w:w="361" w:type="pct"/>
            <w:vAlign w:val="center"/>
          </w:tcPr>
          <w:p w14:paraId="5446F978">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284" w:type="pct"/>
            <w:vMerge w:val="continue"/>
            <w:vAlign w:val="center"/>
          </w:tcPr>
          <w:p w14:paraId="05D758EB">
            <w:pPr>
              <w:adjustRightInd w:val="0"/>
              <w:snapToGrid w:val="0"/>
              <w:jc w:val="center"/>
              <w:rPr>
                <w:rFonts w:hint="default" w:ascii="Times New Roman" w:hAnsi="Times New Roman" w:cs="Times New Roman"/>
                <w:color w:val="auto"/>
                <w:szCs w:val="21"/>
                <w:highlight w:val="none"/>
              </w:rPr>
            </w:pPr>
          </w:p>
        </w:tc>
        <w:tc>
          <w:tcPr>
            <w:tcW w:w="373" w:type="pct"/>
            <w:vAlign w:val="center"/>
          </w:tcPr>
          <w:p w14:paraId="5088D5D5">
            <w:pPr>
              <w:jc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szCs w:val="21"/>
                <w:highlight w:val="none"/>
                <w:lang w:val="en-US" w:eastAsia="zh-CN"/>
              </w:rPr>
              <w:t>0.00014</w:t>
            </w:r>
          </w:p>
        </w:tc>
        <w:tc>
          <w:tcPr>
            <w:tcW w:w="534" w:type="pct"/>
            <w:tcBorders>
              <w:top w:val="single" w:color="auto" w:sz="4" w:space="0"/>
              <w:bottom w:val="single" w:color="auto" w:sz="4" w:space="0"/>
            </w:tcBorders>
            <w:vAlign w:val="center"/>
          </w:tcPr>
          <w:p w14:paraId="4FB687B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lang w:val="en-US" w:eastAsia="zh-CN"/>
              </w:rPr>
              <w:t>0.0005</w:t>
            </w:r>
          </w:p>
        </w:tc>
        <w:tc>
          <w:tcPr>
            <w:tcW w:w="247" w:type="pct"/>
            <w:vMerge w:val="continue"/>
            <w:vAlign w:val="center"/>
          </w:tcPr>
          <w:p w14:paraId="74E9501A">
            <w:pPr>
              <w:adjustRightInd w:val="0"/>
              <w:snapToGrid w:val="0"/>
              <w:jc w:val="center"/>
              <w:rPr>
                <w:rFonts w:hint="default" w:ascii="Times New Roman" w:hAnsi="Times New Roman" w:cs="Times New Roman"/>
                <w:color w:val="auto"/>
                <w:spacing w:val="1"/>
                <w:szCs w:val="21"/>
                <w:highlight w:val="none"/>
              </w:rPr>
            </w:pPr>
          </w:p>
        </w:tc>
      </w:tr>
      <w:tr w14:paraId="3BF6B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55" w:type="pct"/>
            <w:vAlign w:val="center"/>
          </w:tcPr>
          <w:p w14:paraId="4D64C4E0">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柴油储罐</w:t>
            </w:r>
            <w:r>
              <w:rPr>
                <w:rFonts w:hint="default" w:ascii="Times New Roman" w:hAnsi="Times New Roman" w:cs="Times New Roman"/>
                <w:color w:val="auto"/>
                <w:szCs w:val="21"/>
                <w:highlight w:val="none"/>
                <w:lang w:eastAsia="zh-CN" w:bidi="ar"/>
              </w:rPr>
              <w:t>（</w:t>
            </w:r>
            <w:r>
              <w:rPr>
                <w:rFonts w:hint="default" w:ascii="Times New Roman" w:hAnsi="Times New Roman" w:cs="Times New Roman"/>
                <w:color w:val="auto"/>
                <w:szCs w:val="21"/>
                <w:highlight w:val="none"/>
                <w:lang w:val="en-US" w:eastAsia="zh-CN" w:bidi="ar"/>
              </w:rPr>
              <w:t>10m</w:t>
            </w:r>
            <w:r>
              <w:rPr>
                <w:rFonts w:hint="default" w:ascii="Times New Roman" w:hAnsi="Times New Roman" w:cs="Times New Roman"/>
                <w:color w:val="auto"/>
                <w:szCs w:val="21"/>
                <w:highlight w:val="none"/>
                <w:vertAlign w:val="superscript"/>
                <w:lang w:val="en-US" w:eastAsia="zh-CN" w:bidi="ar"/>
              </w:rPr>
              <w:t>3</w:t>
            </w:r>
            <w:r>
              <w:rPr>
                <w:rFonts w:hint="default" w:ascii="Times New Roman" w:hAnsi="Times New Roman" w:cs="Times New Roman"/>
                <w:color w:val="auto"/>
                <w:szCs w:val="21"/>
                <w:highlight w:val="none"/>
                <w:lang w:eastAsia="zh-CN" w:bidi="ar"/>
              </w:rPr>
              <w:t>）</w:t>
            </w:r>
          </w:p>
        </w:tc>
        <w:tc>
          <w:tcPr>
            <w:tcW w:w="239" w:type="pct"/>
            <w:vAlign w:val="center"/>
          </w:tcPr>
          <w:p w14:paraId="4DA80C3F">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柴油储罐</w:t>
            </w:r>
          </w:p>
        </w:tc>
        <w:tc>
          <w:tcPr>
            <w:tcW w:w="255" w:type="pct"/>
            <w:vAlign w:val="center"/>
          </w:tcPr>
          <w:p w14:paraId="65A5C6BB">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非甲烷总烃</w:t>
            </w:r>
          </w:p>
        </w:tc>
        <w:tc>
          <w:tcPr>
            <w:tcW w:w="227" w:type="pct"/>
            <w:vMerge w:val="continue"/>
            <w:vAlign w:val="center"/>
          </w:tcPr>
          <w:p w14:paraId="33EDD347">
            <w:pPr>
              <w:adjustRightInd w:val="0"/>
              <w:snapToGrid w:val="0"/>
              <w:jc w:val="center"/>
              <w:rPr>
                <w:rFonts w:hint="default" w:ascii="Times New Roman" w:hAnsi="Times New Roman" w:cs="Times New Roman"/>
                <w:color w:val="auto"/>
                <w:szCs w:val="21"/>
                <w:highlight w:val="none"/>
              </w:rPr>
            </w:pPr>
          </w:p>
        </w:tc>
        <w:tc>
          <w:tcPr>
            <w:tcW w:w="344" w:type="pct"/>
            <w:vAlign w:val="center"/>
          </w:tcPr>
          <w:p w14:paraId="70571D99">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0.00003</w:t>
            </w:r>
          </w:p>
        </w:tc>
        <w:tc>
          <w:tcPr>
            <w:tcW w:w="401" w:type="pct"/>
            <w:vAlign w:val="center"/>
          </w:tcPr>
          <w:p w14:paraId="5A72C94B">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0.0001</w:t>
            </w:r>
          </w:p>
        </w:tc>
        <w:tc>
          <w:tcPr>
            <w:tcW w:w="1374" w:type="pct"/>
            <w:vAlign w:val="center"/>
          </w:tcPr>
          <w:p w14:paraId="4844699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采用碳钢材质封闭柴油储罐储存</w:t>
            </w:r>
          </w:p>
        </w:tc>
        <w:tc>
          <w:tcPr>
            <w:tcW w:w="361" w:type="pct"/>
            <w:vAlign w:val="center"/>
          </w:tcPr>
          <w:p w14:paraId="36480DF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284" w:type="pct"/>
            <w:vMerge w:val="continue"/>
            <w:vAlign w:val="center"/>
          </w:tcPr>
          <w:p w14:paraId="403E4228">
            <w:pPr>
              <w:adjustRightInd w:val="0"/>
              <w:snapToGrid w:val="0"/>
              <w:jc w:val="center"/>
              <w:rPr>
                <w:rFonts w:hint="default" w:ascii="Times New Roman" w:hAnsi="Times New Roman" w:cs="Times New Roman"/>
                <w:color w:val="auto"/>
                <w:szCs w:val="21"/>
                <w:highlight w:val="none"/>
              </w:rPr>
            </w:pPr>
          </w:p>
        </w:tc>
        <w:tc>
          <w:tcPr>
            <w:tcW w:w="373" w:type="pct"/>
            <w:vAlign w:val="center"/>
          </w:tcPr>
          <w:p w14:paraId="06C9CAED">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0.00003</w:t>
            </w:r>
          </w:p>
        </w:tc>
        <w:tc>
          <w:tcPr>
            <w:tcW w:w="534" w:type="pct"/>
            <w:tcBorders>
              <w:top w:val="single" w:color="auto" w:sz="4" w:space="0"/>
            </w:tcBorders>
            <w:vAlign w:val="center"/>
          </w:tcPr>
          <w:p w14:paraId="70133AE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lang w:val="en-US" w:eastAsia="zh-CN"/>
              </w:rPr>
              <w:t>0.0001</w:t>
            </w:r>
          </w:p>
        </w:tc>
        <w:tc>
          <w:tcPr>
            <w:tcW w:w="247" w:type="pct"/>
            <w:vMerge w:val="continue"/>
            <w:vAlign w:val="center"/>
          </w:tcPr>
          <w:p w14:paraId="56B9AA67">
            <w:pPr>
              <w:adjustRightInd w:val="0"/>
              <w:snapToGrid w:val="0"/>
              <w:jc w:val="center"/>
              <w:rPr>
                <w:rFonts w:hint="default" w:ascii="Times New Roman" w:hAnsi="Times New Roman" w:cs="Times New Roman"/>
                <w:color w:val="auto"/>
                <w:spacing w:val="1"/>
                <w:szCs w:val="21"/>
                <w:highlight w:val="none"/>
              </w:rPr>
            </w:pPr>
          </w:p>
        </w:tc>
      </w:tr>
    </w:tbl>
    <w:p w14:paraId="34A13CD7">
      <w:pPr>
        <w:widowControl/>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br w:type="page"/>
      </w:r>
    </w:p>
    <w:p w14:paraId="5BD8DA4C">
      <w:pPr>
        <w:adjustRightInd w:val="0"/>
        <w:snapToGrid w:val="0"/>
        <w:spacing w:line="500" w:lineRule="exact"/>
        <w:ind w:firstLine="480" w:firstLineChars="200"/>
        <w:rPr>
          <w:rFonts w:hint="default" w:ascii="Times New Roman" w:hAnsi="Times New Roman" w:cs="Times New Roman"/>
          <w:b/>
          <w:bCs/>
          <w:color w:val="auto"/>
          <w:kern w:val="0"/>
          <w:szCs w:val="21"/>
          <w:highlight w:val="none"/>
        </w:rPr>
      </w:pPr>
      <w:r>
        <w:rPr>
          <w:rFonts w:hint="default" w:ascii="Times New Roman" w:hAnsi="Times New Roman" w:cs="Times New Roman"/>
          <w:color w:val="auto"/>
          <w:kern w:val="0"/>
          <w:sz w:val="24"/>
          <w:highlight w:val="none"/>
        </w:rPr>
        <w:t>本项目排放口基本情况见下表。</w:t>
      </w:r>
    </w:p>
    <w:p w14:paraId="2CBA8BED">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表2-11 排放口基本情况</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1531"/>
        <w:gridCol w:w="1410"/>
        <w:gridCol w:w="1359"/>
        <w:gridCol w:w="959"/>
        <w:gridCol w:w="959"/>
        <w:gridCol w:w="959"/>
        <w:gridCol w:w="962"/>
        <w:gridCol w:w="723"/>
        <w:gridCol w:w="647"/>
        <w:gridCol w:w="3503"/>
      </w:tblGrid>
      <w:tr w14:paraId="10B41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10" w:type="pct"/>
            <w:vMerge w:val="restart"/>
            <w:vAlign w:val="center"/>
          </w:tcPr>
          <w:p w14:paraId="05F33F47">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污染源名称</w:t>
            </w:r>
          </w:p>
        </w:tc>
        <w:tc>
          <w:tcPr>
            <w:tcW w:w="540" w:type="pct"/>
            <w:vMerge w:val="restart"/>
            <w:vAlign w:val="center"/>
          </w:tcPr>
          <w:p w14:paraId="48951AEB">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主要污染物</w:t>
            </w:r>
          </w:p>
        </w:tc>
        <w:tc>
          <w:tcPr>
            <w:tcW w:w="976" w:type="pct"/>
            <w:gridSpan w:val="2"/>
            <w:vAlign w:val="center"/>
          </w:tcPr>
          <w:p w14:paraId="550AFCC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排气筒底部中心坐标（°）</w:t>
            </w:r>
          </w:p>
        </w:tc>
        <w:tc>
          <w:tcPr>
            <w:tcW w:w="1353" w:type="pct"/>
            <w:gridSpan w:val="4"/>
            <w:vAlign w:val="center"/>
          </w:tcPr>
          <w:p w14:paraId="2E75727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排气筒参数</w:t>
            </w:r>
          </w:p>
        </w:tc>
        <w:tc>
          <w:tcPr>
            <w:tcW w:w="255" w:type="pct"/>
            <w:vMerge w:val="restart"/>
            <w:vAlign w:val="center"/>
          </w:tcPr>
          <w:p w14:paraId="39AB506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排放工况</w:t>
            </w:r>
          </w:p>
        </w:tc>
        <w:tc>
          <w:tcPr>
            <w:tcW w:w="228" w:type="pct"/>
            <w:vMerge w:val="restart"/>
            <w:vAlign w:val="center"/>
          </w:tcPr>
          <w:p w14:paraId="686C13A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排放口类型</w:t>
            </w:r>
          </w:p>
        </w:tc>
        <w:tc>
          <w:tcPr>
            <w:tcW w:w="1235" w:type="pct"/>
            <w:vMerge w:val="restart"/>
            <w:vAlign w:val="center"/>
          </w:tcPr>
          <w:p w14:paraId="4105D5EB">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执行标准</w:t>
            </w:r>
          </w:p>
        </w:tc>
      </w:tr>
      <w:tr w14:paraId="6A87F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410" w:type="pct"/>
            <w:vMerge w:val="continue"/>
            <w:vAlign w:val="center"/>
          </w:tcPr>
          <w:p w14:paraId="6FE6C9E7">
            <w:pPr>
              <w:jc w:val="center"/>
              <w:rPr>
                <w:rFonts w:hint="default" w:ascii="Times New Roman" w:hAnsi="Times New Roman" w:cs="Times New Roman"/>
                <w:color w:val="auto"/>
                <w:highlight w:val="none"/>
              </w:rPr>
            </w:pPr>
          </w:p>
        </w:tc>
        <w:tc>
          <w:tcPr>
            <w:tcW w:w="540" w:type="pct"/>
            <w:vMerge w:val="continue"/>
            <w:vAlign w:val="center"/>
          </w:tcPr>
          <w:p w14:paraId="551A824F">
            <w:pPr>
              <w:jc w:val="center"/>
              <w:rPr>
                <w:rFonts w:hint="default" w:ascii="Times New Roman" w:hAnsi="Times New Roman" w:cs="Times New Roman"/>
                <w:color w:val="auto"/>
                <w:highlight w:val="none"/>
              </w:rPr>
            </w:pPr>
          </w:p>
        </w:tc>
        <w:tc>
          <w:tcPr>
            <w:tcW w:w="497" w:type="pct"/>
            <w:vAlign w:val="center"/>
          </w:tcPr>
          <w:p w14:paraId="6B684BC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479" w:type="pct"/>
            <w:vAlign w:val="center"/>
          </w:tcPr>
          <w:p w14:paraId="5ED1177B">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338" w:type="pct"/>
            <w:vAlign w:val="center"/>
          </w:tcPr>
          <w:p w14:paraId="2BDACCD4">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高度（m）</w:t>
            </w:r>
          </w:p>
        </w:tc>
        <w:tc>
          <w:tcPr>
            <w:tcW w:w="338" w:type="pct"/>
            <w:vAlign w:val="center"/>
          </w:tcPr>
          <w:p w14:paraId="2C20520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内径（m）</w:t>
            </w:r>
          </w:p>
        </w:tc>
        <w:tc>
          <w:tcPr>
            <w:tcW w:w="338" w:type="pct"/>
            <w:tcBorders>
              <w:right w:val="single" w:color="000000" w:sz="2" w:space="0"/>
            </w:tcBorders>
            <w:vAlign w:val="center"/>
          </w:tcPr>
          <w:p w14:paraId="1CE856F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温度（℃）</w:t>
            </w:r>
          </w:p>
        </w:tc>
        <w:tc>
          <w:tcPr>
            <w:tcW w:w="338" w:type="pct"/>
            <w:tcBorders>
              <w:left w:val="single" w:color="000000" w:sz="2" w:space="0"/>
              <w:bottom w:val="single" w:color="000000" w:sz="2" w:space="0"/>
            </w:tcBorders>
            <w:vAlign w:val="center"/>
          </w:tcPr>
          <w:p w14:paraId="3A8E702D">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流量（m/s）</w:t>
            </w:r>
          </w:p>
        </w:tc>
        <w:tc>
          <w:tcPr>
            <w:tcW w:w="255" w:type="pct"/>
            <w:vMerge w:val="continue"/>
            <w:tcBorders>
              <w:bottom w:val="single" w:color="000000" w:sz="2" w:space="0"/>
            </w:tcBorders>
            <w:vAlign w:val="center"/>
          </w:tcPr>
          <w:p w14:paraId="70E14EE4">
            <w:pPr>
              <w:jc w:val="center"/>
              <w:rPr>
                <w:rFonts w:hint="default" w:ascii="Times New Roman" w:hAnsi="Times New Roman" w:cs="Times New Roman"/>
                <w:color w:val="auto"/>
                <w:highlight w:val="none"/>
              </w:rPr>
            </w:pPr>
          </w:p>
        </w:tc>
        <w:tc>
          <w:tcPr>
            <w:tcW w:w="228" w:type="pct"/>
            <w:vMerge w:val="continue"/>
            <w:tcBorders>
              <w:bottom w:val="single" w:color="000000" w:sz="2" w:space="0"/>
            </w:tcBorders>
            <w:vAlign w:val="center"/>
          </w:tcPr>
          <w:p w14:paraId="4244F0ED">
            <w:pPr>
              <w:jc w:val="center"/>
              <w:rPr>
                <w:rFonts w:hint="default" w:ascii="Times New Roman" w:hAnsi="Times New Roman" w:cs="Times New Roman"/>
                <w:color w:val="auto"/>
                <w:highlight w:val="none"/>
              </w:rPr>
            </w:pPr>
          </w:p>
        </w:tc>
        <w:tc>
          <w:tcPr>
            <w:tcW w:w="1235" w:type="pct"/>
            <w:vMerge w:val="continue"/>
            <w:vAlign w:val="center"/>
          </w:tcPr>
          <w:p w14:paraId="05DA2A93">
            <w:pPr>
              <w:jc w:val="center"/>
              <w:rPr>
                <w:rFonts w:hint="default" w:ascii="Times New Roman" w:hAnsi="Times New Roman" w:cs="Times New Roman"/>
                <w:color w:val="auto"/>
                <w:highlight w:val="none"/>
              </w:rPr>
            </w:pPr>
          </w:p>
        </w:tc>
      </w:tr>
      <w:tr w14:paraId="7829F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410" w:type="pct"/>
            <w:vAlign w:val="center"/>
          </w:tcPr>
          <w:p w14:paraId="3573FD79">
            <w:pPr>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排气筒DA00</w:t>
            </w:r>
            <w:r>
              <w:rPr>
                <w:rFonts w:hint="default" w:ascii="Times New Roman" w:hAnsi="Times New Roman" w:cs="Times New Roman"/>
                <w:color w:val="auto"/>
                <w:highlight w:val="none"/>
                <w:lang w:val="en-US" w:eastAsia="zh-CN"/>
              </w:rPr>
              <w:t>1</w:t>
            </w:r>
          </w:p>
        </w:tc>
        <w:tc>
          <w:tcPr>
            <w:tcW w:w="540" w:type="pct"/>
            <w:vAlign w:val="center"/>
          </w:tcPr>
          <w:p w14:paraId="74FE09DB">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颗粒物</w:t>
            </w:r>
          </w:p>
          <w:p w14:paraId="3DFFC94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二氧化硫</w:t>
            </w:r>
          </w:p>
          <w:p w14:paraId="54ECB9C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氮氧化物</w:t>
            </w:r>
          </w:p>
        </w:tc>
        <w:tc>
          <w:tcPr>
            <w:tcW w:w="497" w:type="pct"/>
            <w:vAlign w:val="center"/>
          </w:tcPr>
          <w:p w14:paraId="47E6CB21">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133.031381</w:t>
            </w:r>
          </w:p>
        </w:tc>
        <w:tc>
          <w:tcPr>
            <w:tcW w:w="479" w:type="pct"/>
            <w:vAlign w:val="center"/>
          </w:tcPr>
          <w:p w14:paraId="675C702F">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45.792421</w:t>
            </w:r>
          </w:p>
        </w:tc>
        <w:tc>
          <w:tcPr>
            <w:tcW w:w="338" w:type="pct"/>
            <w:vAlign w:val="center"/>
          </w:tcPr>
          <w:p w14:paraId="6FD7AFFB">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338" w:type="pct"/>
            <w:vAlign w:val="center"/>
          </w:tcPr>
          <w:p w14:paraId="18E7342E">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0.5</w:t>
            </w:r>
          </w:p>
        </w:tc>
        <w:tc>
          <w:tcPr>
            <w:tcW w:w="338" w:type="pct"/>
            <w:tcBorders>
              <w:right w:val="single" w:color="000000" w:sz="2" w:space="0"/>
            </w:tcBorders>
            <w:vAlign w:val="center"/>
          </w:tcPr>
          <w:p w14:paraId="312246DC">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20</w:t>
            </w:r>
          </w:p>
        </w:tc>
        <w:tc>
          <w:tcPr>
            <w:tcW w:w="338" w:type="pct"/>
            <w:tcBorders>
              <w:top w:val="single" w:color="000000" w:sz="2" w:space="0"/>
              <w:left w:val="single" w:color="000000" w:sz="2" w:space="0"/>
            </w:tcBorders>
            <w:vAlign w:val="center"/>
          </w:tcPr>
          <w:p w14:paraId="373F58E3">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18.62</w:t>
            </w:r>
          </w:p>
        </w:tc>
        <w:tc>
          <w:tcPr>
            <w:tcW w:w="723" w:type="dxa"/>
            <w:vMerge w:val="restart"/>
            <w:tcBorders>
              <w:top w:val="single" w:color="000000" w:sz="2" w:space="0"/>
            </w:tcBorders>
            <w:vAlign w:val="center"/>
          </w:tcPr>
          <w:p w14:paraId="7EA6CED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连续、稳定</w:t>
            </w:r>
          </w:p>
        </w:tc>
        <w:tc>
          <w:tcPr>
            <w:tcW w:w="647" w:type="dxa"/>
            <w:vMerge w:val="restart"/>
            <w:tcBorders>
              <w:top w:val="single" w:color="000000" w:sz="2" w:space="0"/>
            </w:tcBorders>
            <w:vAlign w:val="center"/>
          </w:tcPr>
          <w:p w14:paraId="1A44597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一般排放口</w:t>
            </w:r>
          </w:p>
        </w:tc>
        <w:tc>
          <w:tcPr>
            <w:tcW w:w="1235" w:type="pct"/>
            <w:vAlign w:val="center"/>
          </w:tcPr>
          <w:p w14:paraId="1F1CF74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《大气污染物综合排放标准》（GB16297-1996）表2中二级标准要求</w:t>
            </w:r>
          </w:p>
        </w:tc>
      </w:tr>
      <w:tr w14:paraId="57EB3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trPr>
        <w:tc>
          <w:tcPr>
            <w:tcW w:w="410" w:type="pct"/>
            <w:vAlign w:val="center"/>
          </w:tcPr>
          <w:p w14:paraId="4723537B">
            <w:pPr>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烟囱DA00</w:t>
            </w:r>
            <w:r>
              <w:rPr>
                <w:rFonts w:hint="default" w:ascii="Times New Roman" w:hAnsi="Times New Roman" w:cs="Times New Roman"/>
                <w:color w:val="auto"/>
                <w:highlight w:val="none"/>
                <w:lang w:val="en-US" w:eastAsia="zh-CN"/>
              </w:rPr>
              <w:t>2</w:t>
            </w:r>
          </w:p>
        </w:tc>
        <w:tc>
          <w:tcPr>
            <w:tcW w:w="540" w:type="pct"/>
            <w:vAlign w:val="center"/>
          </w:tcPr>
          <w:p w14:paraId="463BAFF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颗粒物</w:t>
            </w:r>
          </w:p>
          <w:p w14:paraId="374321B7">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二氧化硫</w:t>
            </w:r>
          </w:p>
          <w:p w14:paraId="1E8D62D4">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氮氧化物</w:t>
            </w:r>
          </w:p>
        </w:tc>
        <w:tc>
          <w:tcPr>
            <w:tcW w:w="497" w:type="pct"/>
            <w:vAlign w:val="center"/>
          </w:tcPr>
          <w:p w14:paraId="771BC91F">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133.031397</w:t>
            </w:r>
          </w:p>
        </w:tc>
        <w:tc>
          <w:tcPr>
            <w:tcW w:w="479" w:type="pct"/>
            <w:vAlign w:val="center"/>
          </w:tcPr>
          <w:p w14:paraId="6FB799A3">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45.792474</w:t>
            </w:r>
          </w:p>
        </w:tc>
        <w:tc>
          <w:tcPr>
            <w:tcW w:w="338" w:type="pct"/>
            <w:vAlign w:val="center"/>
          </w:tcPr>
          <w:p w14:paraId="4A419C5D">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338" w:type="pct"/>
            <w:vAlign w:val="center"/>
          </w:tcPr>
          <w:p w14:paraId="35C977D2">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0.2</w:t>
            </w:r>
          </w:p>
        </w:tc>
        <w:tc>
          <w:tcPr>
            <w:tcW w:w="338" w:type="pct"/>
            <w:tcBorders>
              <w:right w:val="single" w:color="000000" w:sz="2" w:space="0"/>
            </w:tcBorders>
            <w:vAlign w:val="center"/>
          </w:tcPr>
          <w:p w14:paraId="1789B494">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0</w:t>
            </w:r>
          </w:p>
        </w:tc>
        <w:tc>
          <w:tcPr>
            <w:tcW w:w="338" w:type="pct"/>
            <w:tcBorders>
              <w:left w:val="single" w:color="000000" w:sz="2" w:space="0"/>
            </w:tcBorders>
            <w:vAlign w:val="center"/>
          </w:tcPr>
          <w:p w14:paraId="2546A2CA">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17.14</w:t>
            </w:r>
          </w:p>
        </w:tc>
        <w:tc>
          <w:tcPr>
            <w:tcW w:w="255" w:type="pct"/>
            <w:vMerge w:val="continue"/>
            <w:vAlign w:val="center"/>
          </w:tcPr>
          <w:p w14:paraId="4B1DE13B">
            <w:pPr>
              <w:jc w:val="center"/>
              <w:rPr>
                <w:rFonts w:hint="default" w:ascii="Times New Roman" w:hAnsi="Times New Roman" w:cs="Times New Roman"/>
                <w:color w:val="auto"/>
                <w:highlight w:val="none"/>
              </w:rPr>
            </w:pPr>
          </w:p>
        </w:tc>
        <w:tc>
          <w:tcPr>
            <w:tcW w:w="228" w:type="pct"/>
            <w:vMerge w:val="continue"/>
            <w:vAlign w:val="center"/>
          </w:tcPr>
          <w:p w14:paraId="6200138E">
            <w:pPr>
              <w:jc w:val="center"/>
              <w:rPr>
                <w:rFonts w:hint="default" w:ascii="Times New Roman" w:hAnsi="Times New Roman" w:cs="Times New Roman"/>
                <w:color w:val="auto"/>
                <w:highlight w:val="none"/>
              </w:rPr>
            </w:pPr>
          </w:p>
        </w:tc>
        <w:tc>
          <w:tcPr>
            <w:tcW w:w="1235" w:type="pct"/>
            <w:vAlign w:val="center"/>
          </w:tcPr>
          <w:p w14:paraId="5BF3D56A">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《锅炉大气污染物排放标准》（GB13271-2014）表2新建锅炉大气污染物排放限值中燃油锅炉排放限值</w:t>
            </w:r>
          </w:p>
        </w:tc>
      </w:tr>
      <w:tr w14:paraId="41E5F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410" w:type="pct"/>
            <w:vAlign w:val="center"/>
          </w:tcPr>
          <w:p w14:paraId="40607AB5">
            <w:pPr>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排气筒DA00</w:t>
            </w:r>
            <w:r>
              <w:rPr>
                <w:rFonts w:hint="default" w:ascii="Times New Roman" w:hAnsi="Times New Roman" w:cs="Times New Roman"/>
                <w:color w:val="auto"/>
                <w:highlight w:val="none"/>
                <w:lang w:val="en-US" w:eastAsia="zh-CN"/>
              </w:rPr>
              <w:t>3</w:t>
            </w:r>
          </w:p>
        </w:tc>
        <w:tc>
          <w:tcPr>
            <w:tcW w:w="540" w:type="pct"/>
            <w:vAlign w:val="center"/>
          </w:tcPr>
          <w:p w14:paraId="511346B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沥青烟气</w:t>
            </w:r>
          </w:p>
          <w:p w14:paraId="0AF73764">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苯并[a]芘</w:t>
            </w:r>
          </w:p>
        </w:tc>
        <w:tc>
          <w:tcPr>
            <w:tcW w:w="497" w:type="pct"/>
            <w:vAlign w:val="center"/>
          </w:tcPr>
          <w:p w14:paraId="4717B599">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133.031407</w:t>
            </w:r>
          </w:p>
        </w:tc>
        <w:tc>
          <w:tcPr>
            <w:tcW w:w="479" w:type="pct"/>
            <w:vAlign w:val="center"/>
          </w:tcPr>
          <w:p w14:paraId="5107F0FA">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45.792442</w:t>
            </w:r>
          </w:p>
        </w:tc>
        <w:tc>
          <w:tcPr>
            <w:tcW w:w="338" w:type="pct"/>
            <w:vAlign w:val="center"/>
          </w:tcPr>
          <w:p w14:paraId="6C055FD3">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338" w:type="pct"/>
            <w:vAlign w:val="center"/>
          </w:tcPr>
          <w:p w14:paraId="15DC1453">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0.6</w:t>
            </w:r>
          </w:p>
        </w:tc>
        <w:tc>
          <w:tcPr>
            <w:tcW w:w="338" w:type="pct"/>
            <w:tcBorders>
              <w:right w:val="single" w:color="000000" w:sz="2" w:space="0"/>
            </w:tcBorders>
            <w:vAlign w:val="center"/>
          </w:tcPr>
          <w:p w14:paraId="206ADC27">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w:t>
            </w:r>
          </w:p>
        </w:tc>
        <w:tc>
          <w:tcPr>
            <w:tcW w:w="338" w:type="pct"/>
            <w:tcBorders>
              <w:left w:val="single" w:color="000000" w:sz="2" w:space="0"/>
            </w:tcBorders>
            <w:vAlign w:val="center"/>
          </w:tcPr>
          <w:p w14:paraId="7B8CB5CD">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19.66</w:t>
            </w:r>
          </w:p>
        </w:tc>
        <w:tc>
          <w:tcPr>
            <w:tcW w:w="255" w:type="pct"/>
            <w:vMerge w:val="continue"/>
            <w:vAlign w:val="center"/>
          </w:tcPr>
          <w:p w14:paraId="7319F9B0">
            <w:pPr>
              <w:jc w:val="center"/>
              <w:rPr>
                <w:rFonts w:hint="default" w:ascii="Times New Roman" w:hAnsi="Times New Roman" w:cs="Times New Roman"/>
                <w:color w:val="auto"/>
                <w:highlight w:val="none"/>
              </w:rPr>
            </w:pPr>
          </w:p>
        </w:tc>
        <w:tc>
          <w:tcPr>
            <w:tcW w:w="228" w:type="pct"/>
            <w:vMerge w:val="continue"/>
            <w:vAlign w:val="center"/>
          </w:tcPr>
          <w:p w14:paraId="62A8F05F">
            <w:pPr>
              <w:jc w:val="center"/>
              <w:rPr>
                <w:rFonts w:hint="default" w:ascii="Times New Roman" w:hAnsi="Times New Roman" w:cs="Times New Roman"/>
                <w:color w:val="auto"/>
                <w:highlight w:val="none"/>
              </w:rPr>
            </w:pPr>
          </w:p>
        </w:tc>
        <w:tc>
          <w:tcPr>
            <w:tcW w:w="1235" w:type="pct"/>
            <w:vAlign w:val="center"/>
          </w:tcPr>
          <w:p w14:paraId="5DC86D6B">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《大气污染物综合排放标准》（GB16297-1996）表2中二级标准要求</w:t>
            </w:r>
          </w:p>
        </w:tc>
      </w:tr>
    </w:tbl>
    <w:p w14:paraId="58C07B11">
      <w:pPr>
        <w:overflowPunct w:val="0"/>
        <w:adjustRightInd w:val="0"/>
        <w:snapToGrid w:val="0"/>
        <w:spacing w:line="500" w:lineRule="exact"/>
        <w:outlineLvl w:val="0"/>
        <w:rPr>
          <w:rFonts w:hint="default" w:ascii="Times New Roman" w:hAnsi="Times New Roman" w:eastAsia="黑体" w:cs="Times New Roman"/>
          <w:bCs/>
          <w:color w:val="auto"/>
          <w:kern w:val="44"/>
          <w:sz w:val="28"/>
          <w:szCs w:val="28"/>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4FDD44B">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8"/>
          <w:szCs w:val="28"/>
          <w:highlight w:val="none"/>
        </w:rPr>
      </w:pPr>
      <w:bookmarkStart w:id="288" w:name="_Toc7358"/>
      <w:bookmarkStart w:id="289" w:name="_Toc192758907"/>
      <w:bookmarkStart w:id="290" w:name="_Toc32391"/>
      <w:bookmarkStart w:id="291" w:name="_Toc1870"/>
      <w:bookmarkStart w:id="292" w:name="_Toc17234"/>
      <w:bookmarkStart w:id="293" w:name="_Toc193459996"/>
      <w:bookmarkStart w:id="294" w:name="_Toc26343"/>
      <w:bookmarkStart w:id="295" w:name="_Toc8520"/>
      <w:r>
        <w:rPr>
          <w:rFonts w:hint="default" w:ascii="Times New Roman" w:hAnsi="Times New Roman" w:eastAsia="黑体" w:cs="Times New Roman"/>
          <w:bCs/>
          <w:color w:val="auto"/>
          <w:kern w:val="44"/>
          <w:sz w:val="28"/>
          <w:szCs w:val="28"/>
          <w:highlight w:val="none"/>
        </w:rPr>
        <w:t>3自然环境简况</w:t>
      </w:r>
      <w:bookmarkEnd w:id="288"/>
      <w:bookmarkEnd w:id="289"/>
      <w:bookmarkEnd w:id="290"/>
      <w:bookmarkEnd w:id="291"/>
      <w:bookmarkEnd w:id="292"/>
      <w:bookmarkEnd w:id="293"/>
      <w:bookmarkEnd w:id="294"/>
      <w:bookmarkEnd w:id="295"/>
    </w:p>
    <w:p w14:paraId="6D06238D">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296" w:name="_Toc25277"/>
      <w:bookmarkStart w:id="297" w:name="_Toc20917"/>
      <w:bookmarkStart w:id="298" w:name="_Toc193459997"/>
      <w:bookmarkStart w:id="299" w:name="_Toc6194"/>
      <w:bookmarkStart w:id="300" w:name="_Toc14885"/>
      <w:bookmarkStart w:id="301" w:name="_Toc192758908"/>
      <w:bookmarkStart w:id="302" w:name="_Toc5447"/>
      <w:bookmarkStart w:id="303" w:name="_Toc21698"/>
      <w:r>
        <w:rPr>
          <w:rFonts w:hint="default" w:ascii="Times New Roman" w:hAnsi="Times New Roman" w:eastAsia="黑体" w:cs="Times New Roman"/>
          <w:bCs/>
          <w:color w:val="auto"/>
          <w:kern w:val="44"/>
          <w:sz w:val="24"/>
          <w:highlight w:val="none"/>
        </w:rPr>
        <w:t>3.1.</w:t>
      </w:r>
      <w:bookmarkStart w:id="304" w:name="_Toc32072"/>
      <w:bookmarkStart w:id="305" w:name="_Toc22361"/>
      <w:r>
        <w:rPr>
          <w:rFonts w:hint="default" w:ascii="Times New Roman" w:hAnsi="Times New Roman" w:eastAsia="黑体" w:cs="Times New Roman"/>
          <w:bCs/>
          <w:color w:val="auto"/>
          <w:kern w:val="44"/>
          <w:sz w:val="24"/>
          <w:highlight w:val="none"/>
        </w:rPr>
        <w:t>地理位置</w:t>
      </w:r>
      <w:bookmarkEnd w:id="296"/>
      <w:bookmarkEnd w:id="297"/>
      <w:bookmarkEnd w:id="298"/>
      <w:bookmarkEnd w:id="299"/>
      <w:bookmarkEnd w:id="300"/>
      <w:bookmarkEnd w:id="301"/>
      <w:bookmarkEnd w:id="302"/>
      <w:bookmarkEnd w:id="303"/>
      <w:bookmarkEnd w:id="304"/>
      <w:bookmarkEnd w:id="305"/>
    </w:p>
    <w:p w14:paraId="00823EA4">
      <w:pPr>
        <w:adjustRightInd w:val="0"/>
        <w:snapToGrid w:val="0"/>
        <w:spacing w:line="500" w:lineRule="exact"/>
        <w:ind w:firstLine="480" w:firstLineChars="200"/>
        <w:rPr>
          <w:rFonts w:hint="default" w:ascii="Times New Roman" w:hAnsi="Times New Roman" w:cs="Times New Roman"/>
          <w:color w:val="auto"/>
          <w:sz w:val="24"/>
          <w:highlight w:val="none"/>
        </w:rPr>
      </w:pPr>
      <w:bookmarkStart w:id="306" w:name="_Toc2032"/>
      <w:bookmarkStart w:id="307" w:name="_Toc155"/>
      <w:r>
        <w:rPr>
          <w:rFonts w:hint="default" w:ascii="Times New Roman" w:hAnsi="Times New Roman" w:cs="Times New Roman"/>
          <w:color w:val="auto"/>
          <w:sz w:val="24"/>
          <w:highlight w:val="none"/>
        </w:rPr>
        <w:t>虎林市位于黑龙江省东部，完达山南麓，乌苏里江的左岸，全市总面积9334km2，地理坐标处于北纬 45°23′至 46°36′，东经 132°11′至 133°56′之间。完达山脉横贯虎林北部，形成屏障，南部、东部是一望无际的三江平原区。虎林的西北以完达山支脉的老龙背、将军岭为界与宝清县交界；东北以七里沁河为界与饶河县毗邻；西部以白龙山脊为界与密山市接壤；东以乌苏里江和松阿察河为界与俄罗斯联邦隔水相望，虎林段的边境线长达 256km。</w:t>
      </w:r>
    </w:p>
    <w:p w14:paraId="2E7494E9">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308" w:name="_Toc193459998"/>
      <w:bookmarkStart w:id="309" w:name="_Toc7015"/>
      <w:bookmarkStart w:id="310" w:name="_Toc12193"/>
      <w:bookmarkStart w:id="311" w:name="_Toc6670"/>
      <w:bookmarkStart w:id="312" w:name="_Toc21719"/>
      <w:bookmarkStart w:id="313" w:name="_Toc192758909"/>
      <w:bookmarkStart w:id="314" w:name="_Toc11931"/>
      <w:bookmarkStart w:id="315" w:name="_Toc12351"/>
      <w:r>
        <w:rPr>
          <w:rFonts w:hint="default" w:ascii="Times New Roman" w:hAnsi="Times New Roman" w:eastAsia="黑体" w:cs="Times New Roman"/>
          <w:bCs/>
          <w:color w:val="auto"/>
          <w:kern w:val="44"/>
          <w:sz w:val="24"/>
          <w:highlight w:val="none"/>
        </w:rPr>
        <w:t>3.2气候气象</w:t>
      </w:r>
      <w:bookmarkEnd w:id="306"/>
      <w:bookmarkEnd w:id="307"/>
      <w:bookmarkEnd w:id="308"/>
      <w:bookmarkEnd w:id="309"/>
      <w:bookmarkEnd w:id="310"/>
      <w:bookmarkEnd w:id="311"/>
      <w:bookmarkEnd w:id="312"/>
      <w:bookmarkEnd w:id="313"/>
      <w:bookmarkEnd w:id="314"/>
      <w:bookmarkEnd w:id="315"/>
    </w:p>
    <w:p w14:paraId="2875AC9F">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虎林属于中温带大陆性季风气候，为三江平原温和湿润气候区，其特点是，冬季在西伯利亚极地大陆气团的控制下，冬季漫长严寒，夏季受到热带海洋气团的影响，夏季短促，温热多雨，水热同季，有利于农作物生长。春季升温快，多大风易旱，秋季降温风速，多雨易涝，早霜。年平均气温2.7℃，区域间变幅在2.2～3.4℃。一月份最冷，平均－19.6℃，区域间变幅为－17.5～－20.7℃。十一月份最热，平均21.1℃，年较差40.7℃。极端最高气温35.3℃极端最低气温－41.4℃。虎林市初终霜出现的日期，初霜期平均日为9月25日，年际间变幅9月25日±15天左右，终霜期出现的平均日为5月13日，年际间变幅在5月13日±20天左右。终霜至初霜日为无霜期。虎林市平原农区的无霜期为11216－137天，平均134天，</w:t>
      </w:r>
      <w:r>
        <w:rPr>
          <w:rFonts w:hint="default" w:ascii="Times New Roman" w:hAnsi="Times New Roman" w:cs="Times New Roman"/>
          <w:color w:val="auto"/>
          <w:sz w:val="24"/>
          <w:highlight w:val="none"/>
          <w:lang w:eastAsia="zh-CN"/>
        </w:rPr>
        <w:t>北</w:t>
      </w:r>
      <w:r>
        <w:rPr>
          <w:rFonts w:hint="default" w:ascii="Times New Roman" w:hAnsi="Times New Roman" w:cs="Times New Roman"/>
          <w:color w:val="auto"/>
          <w:sz w:val="24"/>
          <w:highlight w:val="none"/>
        </w:rPr>
        <w:t>部山区无霜期仅有110～116天。</w:t>
      </w:r>
    </w:p>
    <w:p w14:paraId="4C664EC7">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虎林市风速与风向都表现出明显的季风特征，多年平均风速在 3.0～4.5m/s 之间，最大风速可达 35m/s，大风日数多年平均为29～30天，最多可达58天。风向主要以西北为主，频率为112次，其次是西南风，频率为64次。</w:t>
      </w:r>
    </w:p>
    <w:p w14:paraId="21049DE0">
      <w:pPr>
        <w:spacing w:line="500" w:lineRule="exact"/>
        <w:ind w:firstLine="480"/>
        <w:rPr>
          <w:rFonts w:hint="default" w:ascii="Times New Roman" w:hAnsi="Times New Roman" w:eastAsia="仿宋" w:cs="Times New Roman"/>
          <w:color w:val="auto"/>
          <w:sz w:val="24"/>
          <w:szCs w:val="21"/>
          <w:highlight w:val="none"/>
        </w:rPr>
      </w:pPr>
      <w:r>
        <w:rPr>
          <w:rFonts w:hint="default" w:ascii="Times New Roman" w:hAnsi="Times New Roman" w:cs="Times New Roman"/>
          <w:color w:val="auto"/>
          <w:sz w:val="24"/>
          <w:highlight w:val="none"/>
        </w:rPr>
        <w:t>全市</w:t>
      </w:r>
      <w:r>
        <w:rPr>
          <w:rFonts w:hint="default" w:ascii="Times New Roman" w:hAnsi="Times New Roman" w:cs="Times New Roman"/>
          <w:color w:val="auto"/>
          <w:sz w:val="24"/>
          <w:highlight w:val="none"/>
          <w:lang w:eastAsia="zh-CN"/>
        </w:rPr>
        <w:t>平均年降水量</w:t>
      </w:r>
      <w:r>
        <w:rPr>
          <w:rFonts w:hint="default" w:ascii="Times New Roman" w:hAnsi="Times New Roman" w:cs="Times New Roman"/>
          <w:color w:val="auto"/>
          <w:sz w:val="24"/>
          <w:highlight w:val="none"/>
        </w:rPr>
        <w:t>为538.4～643mm。历年最大降水量为1216.2mm（东方红伐木场水文站1981年），两者相差四倍。各站的降水量年际间变化也很大，变差在442.9～883.7mm。降水量的地域分布是东多西少，北多南少。降水量的季节分布，春季（4～5月）降水量较小，平均84.1mm，占全年降水量的14.3％。夏季（6-8月），平均降水量309.5mm占全年降水量52.7％，秋季降水量（9－10月）平均124.1mm，占全年降水量的9％。11月下旬稳定积雪，白雪覆盖大地达四个月之</w:t>
      </w:r>
      <w:r>
        <w:rPr>
          <w:rFonts w:hint="default" w:ascii="Times New Roman" w:hAnsi="Times New Roman" w:cs="Times New Roman"/>
          <w:snapToGrid w:val="0"/>
          <w:color w:val="auto"/>
          <w:kern w:val="0"/>
          <w:sz w:val="24"/>
          <w:highlight w:val="none"/>
        </w:rPr>
        <w:t>久，平均积雪15-20cm最大积雪深度为46cm。虎林市蒸发量为1112.4-1336.0mm，是降水量的2.07-2.28倍，蒸发量的4倍。其次是六、七、八三个月，一月份最小，为102mm。占全年蒸发量的8.16％。历年平均65-74％。其变化趋势随海拔高度的增加而降低，历年平</w:t>
      </w:r>
      <w:r>
        <w:rPr>
          <w:rFonts w:hint="default" w:ascii="Times New Roman" w:hAnsi="Times New Roman" w:cs="Times New Roman"/>
          <w:color w:val="auto"/>
          <w:sz w:val="24"/>
          <w:highlight w:val="none"/>
        </w:rPr>
        <w:t>均四－五月份最低，平均54-63％，最低在10％左右，空气比较干燥，随着气温的增高，降水增多，而逐渐增高。7-8月份相对湿度达71-82％，此后又随着气温降低，降水减少而降低</w:t>
      </w:r>
      <w:r>
        <w:rPr>
          <w:rFonts w:hint="default" w:ascii="Times New Roman" w:hAnsi="Times New Roman" w:cs="Times New Roman"/>
          <w:color w:val="auto"/>
          <w:sz w:val="24"/>
          <w:szCs w:val="21"/>
          <w:highlight w:val="none"/>
        </w:rPr>
        <w:t>。</w:t>
      </w:r>
    </w:p>
    <w:p w14:paraId="0CEB988D">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316" w:name="_Toc3247"/>
      <w:bookmarkStart w:id="317" w:name="_Toc3582"/>
      <w:bookmarkStart w:id="318" w:name="_Toc192758910"/>
      <w:bookmarkStart w:id="319" w:name="_Toc1682"/>
      <w:bookmarkStart w:id="320" w:name="_Toc193459999"/>
      <w:bookmarkStart w:id="321" w:name="_Toc11288"/>
      <w:bookmarkStart w:id="322" w:name="_Toc29535"/>
      <w:bookmarkStart w:id="323" w:name="_Toc22130"/>
      <w:bookmarkStart w:id="324" w:name="_Toc30472"/>
      <w:bookmarkStart w:id="325" w:name="_Toc17351"/>
      <w:r>
        <w:rPr>
          <w:rFonts w:hint="default" w:ascii="Times New Roman" w:hAnsi="Times New Roman" w:eastAsia="黑体" w:cs="Times New Roman"/>
          <w:bCs/>
          <w:color w:val="auto"/>
          <w:kern w:val="44"/>
          <w:sz w:val="24"/>
          <w:highlight w:val="none"/>
        </w:rPr>
        <w:t>3.3地</w:t>
      </w:r>
      <w:r>
        <w:rPr>
          <w:rFonts w:hint="default" w:ascii="Times New Roman" w:hAnsi="Times New Roman" w:eastAsia="黑体" w:cs="Times New Roman"/>
          <w:bCs/>
          <w:color w:val="auto"/>
          <w:kern w:val="44"/>
          <w:sz w:val="24"/>
          <w:highlight w:val="none"/>
          <w:lang w:val="en-US" w:eastAsia="zh-CN"/>
        </w:rPr>
        <w:t>形</w:t>
      </w:r>
      <w:r>
        <w:rPr>
          <w:rFonts w:hint="default" w:ascii="Times New Roman" w:hAnsi="Times New Roman" w:eastAsia="黑体" w:cs="Times New Roman"/>
          <w:bCs/>
          <w:color w:val="auto"/>
          <w:kern w:val="44"/>
          <w:sz w:val="24"/>
          <w:highlight w:val="none"/>
        </w:rPr>
        <w:t>地貌</w:t>
      </w:r>
      <w:bookmarkEnd w:id="316"/>
      <w:bookmarkEnd w:id="317"/>
      <w:bookmarkEnd w:id="318"/>
      <w:bookmarkEnd w:id="319"/>
      <w:bookmarkEnd w:id="320"/>
      <w:bookmarkEnd w:id="321"/>
      <w:bookmarkEnd w:id="322"/>
      <w:bookmarkEnd w:id="323"/>
      <w:bookmarkEnd w:id="324"/>
      <w:bookmarkEnd w:id="325"/>
    </w:p>
    <w:p w14:paraId="6B4FD702">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虎林市大地结构位于虎林台隆和兴凯湖新生代山前坳道。海西造山运动、形成了西北部完达山脉和中部孤山丘陵的基本</w:t>
      </w:r>
      <w:r>
        <w:rPr>
          <w:rFonts w:hint="default" w:ascii="Times New Roman" w:hAnsi="Times New Roman" w:cs="Times New Roman"/>
          <w:color w:val="auto"/>
          <w:sz w:val="24"/>
          <w:highlight w:val="none"/>
          <w:lang w:eastAsia="zh-CN"/>
        </w:rPr>
        <w:t>轮廓</w:t>
      </w:r>
      <w:r>
        <w:rPr>
          <w:rFonts w:hint="default" w:ascii="Times New Roman" w:hAnsi="Times New Roman" w:cs="Times New Roman"/>
          <w:color w:val="auto"/>
          <w:sz w:val="24"/>
          <w:highlight w:val="none"/>
        </w:rPr>
        <w:t>，中生代时期发生的两次大断察沉陷，出现了</w:t>
      </w:r>
      <w:r>
        <w:rPr>
          <w:rFonts w:hint="default" w:ascii="Times New Roman" w:hAnsi="Times New Roman" w:cs="Times New Roman"/>
          <w:color w:val="auto"/>
          <w:sz w:val="24"/>
          <w:highlight w:val="none"/>
          <w:lang w:eastAsia="zh-CN"/>
        </w:rPr>
        <w:t>白垩</w:t>
      </w:r>
      <w:r>
        <w:rPr>
          <w:rFonts w:hint="default" w:ascii="Times New Roman" w:hAnsi="Times New Roman" w:cs="Times New Roman"/>
          <w:color w:val="auto"/>
          <w:sz w:val="24"/>
          <w:highlight w:val="none"/>
        </w:rPr>
        <w:t>系和</w:t>
      </w:r>
      <w:r>
        <w:rPr>
          <w:rFonts w:hint="default" w:ascii="Times New Roman" w:hAnsi="Times New Roman" w:cs="Times New Roman"/>
          <w:color w:val="auto"/>
          <w:sz w:val="24"/>
          <w:highlight w:val="none"/>
          <w:lang w:eastAsia="zh-CN"/>
        </w:rPr>
        <w:t>侏罗系</w:t>
      </w:r>
      <w:r>
        <w:rPr>
          <w:rFonts w:hint="default" w:ascii="Times New Roman" w:hAnsi="Times New Roman" w:cs="Times New Roman"/>
          <w:color w:val="auto"/>
          <w:sz w:val="24"/>
          <w:highlight w:val="none"/>
        </w:rPr>
        <w:t>的沉积，局部地区出现了二叠系和三叠系沉积，处于海陆相互沉积时期，第四系以来，又不断堆积河湖相松散的亚粘土和砂砾。总的地势是西北高、东南低、由西向东，由北向南逐渐倾斜，平均海拔高度80米。由于地质新构造运动及内陆沉积的影响，地形变化复杂，地貌多样，有低山丘陵、山前漫岗、沟谷平原、平原、低平原五种地貌类型。山前漫岗，占土地总面积的8.3％，分布在低山丘陵与平原之间的</w:t>
      </w:r>
      <w:r>
        <w:rPr>
          <w:rFonts w:hint="default" w:ascii="Times New Roman" w:hAnsi="Times New Roman" w:cs="Times New Roman"/>
          <w:color w:val="auto"/>
          <w:sz w:val="24"/>
          <w:highlight w:val="none"/>
          <w:lang w:eastAsia="zh-CN"/>
        </w:rPr>
        <w:t>丘陵</w:t>
      </w:r>
      <w:r>
        <w:rPr>
          <w:rFonts w:hint="default" w:ascii="Times New Roman" w:hAnsi="Times New Roman" w:cs="Times New Roman"/>
          <w:color w:val="auto"/>
          <w:sz w:val="24"/>
          <w:highlight w:val="none"/>
        </w:rPr>
        <w:t>地带，是低山丘陵延伸地段。海拔小于3º，原始植被为阔叶林和针阔混交林。现大部分已开垦农田。低山丘陵占土地总面积的22.5％，分布在西北部完达山脉和中部太平岭余脉的孤山残丘，海拔高度120m以上，平均200m，最高处是神顶山，海拔高度831m。植被为夏绿阔叶林、柞林和少量的针阔混交林。沟谷平原占土地总面积的2.9％。主要分布在西北部低山丘陵区两山之间的狭长地带，海拔高度120米以下，坡度小于23º，植被多为沼泽化草甸和疏林地。平原占土地总面积的53％，主要分布在中部穆棱河七虎林河两岸海拔高度为60~80m，地势平坦，坡度及缓，坡降为1/6000~1/10000，植被主要是中生性草甸植被现已逐渐垦作耕地。低平原，占土地总面积的14.1％，分布在东部乌苏里江沿岸，穆棱河、七虎林河下游以及阿布沁河，独木河平原地区，海拔高度50~60m左右。这里地势低平，微地形变化较大，牛轭湖、线形洼地形星罗棋布，常受江水顶托山洪下滞，江河</w:t>
      </w:r>
      <w:r>
        <w:rPr>
          <w:rFonts w:hint="default" w:ascii="Times New Roman" w:hAnsi="Times New Roman" w:cs="Times New Roman"/>
          <w:color w:val="auto"/>
          <w:sz w:val="24"/>
          <w:highlight w:val="none"/>
          <w:lang w:eastAsia="zh-CN"/>
        </w:rPr>
        <w:t>泛滥</w:t>
      </w:r>
      <w:r>
        <w:rPr>
          <w:rFonts w:hint="default" w:ascii="Times New Roman" w:hAnsi="Times New Roman" w:cs="Times New Roman"/>
          <w:color w:val="auto"/>
          <w:sz w:val="24"/>
          <w:highlight w:val="none"/>
        </w:rPr>
        <w:t>排水不畅，积涝成灾，植被以沼泽化草甸为主，局部微高地生长着植物桦林。是近年来开发的地区，现部分被垦作耕地</w:t>
      </w:r>
      <w:r>
        <w:rPr>
          <w:rFonts w:hint="default" w:ascii="Times New Roman" w:hAnsi="Times New Roman" w:cs="Times New Roman"/>
          <w:bCs/>
          <w:color w:val="auto"/>
          <w:kern w:val="0"/>
          <w:sz w:val="24"/>
          <w:highlight w:val="none"/>
        </w:rPr>
        <w:t>。</w:t>
      </w:r>
    </w:p>
    <w:p w14:paraId="2462E374">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326" w:name="_Toc28759"/>
      <w:bookmarkStart w:id="327" w:name="_Toc3947"/>
      <w:bookmarkStart w:id="328" w:name="_Toc193460000"/>
      <w:bookmarkStart w:id="329" w:name="_Toc19134"/>
      <w:bookmarkStart w:id="330" w:name="_Toc29592"/>
      <w:bookmarkStart w:id="331" w:name="_Toc4654"/>
      <w:bookmarkStart w:id="332" w:name="_Toc13508"/>
      <w:bookmarkStart w:id="333" w:name="_Toc26348"/>
      <w:bookmarkStart w:id="334" w:name="_Toc28841"/>
      <w:bookmarkStart w:id="335" w:name="_Toc192758911"/>
      <w:r>
        <w:rPr>
          <w:rFonts w:hint="default" w:ascii="Times New Roman" w:hAnsi="Times New Roman" w:eastAsia="黑体" w:cs="Times New Roman"/>
          <w:bCs/>
          <w:color w:val="auto"/>
          <w:kern w:val="44"/>
          <w:sz w:val="24"/>
          <w:highlight w:val="none"/>
        </w:rPr>
        <w:t>3.4水文</w:t>
      </w:r>
      <w:bookmarkEnd w:id="326"/>
      <w:bookmarkEnd w:id="327"/>
      <w:r>
        <w:rPr>
          <w:rFonts w:hint="default" w:ascii="Times New Roman" w:hAnsi="Times New Roman" w:eastAsia="黑体" w:cs="Times New Roman"/>
          <w:bCs/>
          <w:color w:val="auto"/>
          <w:kern w:val="44"/>
          <w:sz w:val="24"/>
          <w:highlight w:val="none"/>
        </w:rPr>
        <w:t>特征</w:t>
      </w:r>
      <w:bookmarkEnd w:id="328"/>
      <w:bookmarkEnd w:id="329"/>
      <w:bookmarkEnd w:id="330"/>
      <w:bookmarkEnd w:id="331"/>
      <w:bookmarkEnd w:id="332"/>
      <w:bookmarkEnd w:id="333"/>
      <w:bookmarkEnd w:id="334"/>
      <w:bookmarkEnd w:id="335"/>
    </w:p>
    <w:p w14:paraId="324D3AB1">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虎林市境内河流较多，均属乌苏里江水系，完达山脉形成天然分水岭。其中一级支流有穆棱河、七虎林河、阿布沁河等十条河流；二级支流十七条，均汇入一级支流，见下表。河流水面106.58km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，全县共有大小池塘、泡沼467个，面积67.69km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，水库6座，水面为99.6km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w:t>
      </w:r>
    </w:p>
    <w:p w14:paraId="7F935EAA">
      <w:pPr>
        <w:spacing w:line="500" w:lineRule="exact"/>
        <w:ind w:firstLine="480" w:firstLineChars="200"/>
        <w:rPr>
          <w:rFonts w:hint="default" w:ascii="Times New Roman" w:hAnsi="Times New Roman" w:eastAsia="仿宋" w:cs="Times New Roman"/>
          <w:snapToGrid w:val="0"/>
          <w:color w:val="auto"/>
          <w:kern w:val="0"/>
          <w:sz w:val="24"/>
          <w:highlight w:val="none"/>
        </w:rPr>
      </w:pPr>
      <w:r>
        <w:rPr>
          <w:rFonts w:hint="default" w:ascii="Times New Roman" w:hAnsi="Times New Roman" w:cs="Times New Roman"/>
          <w:color w:val="auto"/>
          <w:sz w:val="24"/>
          <w:szCs w:val="24"/>
          <w:highlight w:val="none"/>
        </w:rPr>
        <w:t>评价区周边水系较少，仅在评价区北侧有东西向季节性溪流经过，雨季沟渠内有溪流流过，溪流来源主要为大气降水地表水</w:t>
      </w:r>
      <w:r>
        <w:rPr>
          <w:rFonts w:hint="default" w:ascii="Times New Roman" w:hAnsi="Times New Roman" w:cs="Times New Roman"/>
          <w:color w:val="auto"/>
          <w:sz w:val="24"/>
          <w:szCs w:val="24"/>
          <w:highlight w:val="none"/>
          <w:lang w:eastAsia="zh-CN"/>
        </w:rPr>
        <w:t>径流</w:t>
      </w:r>
      <w:r>
        <w:rPr>
          <w:rFonts w:hint="default" w:ascii="Times New Roman" w:hAnsi="Times New Roman" w:cs="Times New Roman"/>
          <w:color w:val="auto"/>
          <w:sz w:val="24"/>
          <w:szCs w:val="24"/>
          <w:highlight w:val="none"/>
        </w:rPr>
        <w:t>汇集，枯水期和平水期沟渠内干涸无水</w:t>
      </w:r>
      <w:r>
        <w:rPr>
          <w:rFonts w:hint="default" w:ascii="Times New Roman" w:hAnsi="Times New Roman" w:cs="Times New Roman"/>
          <w:color w:val="auto"/>
          <w:kern w:val="0"/>
          <w:sz w:val="24"/>
          <w:highlight w:val="none"/>
        </w:rPr>
        <w:t>。</w:t>
      </w:r>
    </w:p>
    <w:p w14:paraId="4289E3D0">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336" w:name="_Toc16779"/>
      <w:bookmarkStart w:id="337" w:name="_Toc18219"/>
      <w:bookmarkStart w:id="338" w:name="_Toc17785"/>
      <w:bookmarkStart w:id="339" w:name="_Toc13260"/>
      <w:bookmarkStart w:id="340" w:name="_Toc24459"/>
      <w:bookmarkStart w:id="341" w:name="_Toc193460001"/>
      <w:bookmarkStart w:id="342" w:name="_Toc11758"/>
      <w:bookmarkStart w:id="343" w:name="_Toc5137"/>
      <w:bookmarkStart w:id="344" w:name="_Toc28583"/>
      <w:bookmarkStart w:id="345" w:name="_Toc192758912"/>
      <w:r>
        <w:rPr>
          <w:rFonts w:hint="default" w:ascii="Times New Roman" w:hAnsi="Times New Roman" w:eastAsia="黑体" w:cs="Times New Roman"/>
          <w:bCs/>
          <w:color w:val="auto"/>
          <w:kern w:val="44"/>
          <w:sz w:val="24"/>
          <w:highlight w:val="none"/>
        </w:rPr>
        <w:t>3.5</w:t>
      </w:r>
      <w:bookmarkEnd w:id="336"/>
      <w:bookmarkEnd w:id="337"/>
      <w:r>
        <w:rPr>
          <w:rFonts w:hint="default" w:ascii="Times New Roman" w:hAnsi="Times New Roman" w:eastAsia="黑体" w:cs="Times New Roman"/>
          <w:bCs/>
          <w:color w:val="auto"/>
          <w:kern w:val="44"/>
          <w:sz w:val="24"/>
          <w:highlight w:val="none"/>
        </w:rPr>
        <w:t>土壤</w:t>
      </w:r>
      <w:bookmarkEnd w:id="338"/>
      <w:bookmarkEnd w:id="339"/>
      <w:bookmarkEnd w:id="340"/>
      <w:bookmarkEnd w:id="341"/>
      <w:bookmarkEnd w:id="342"/>
      <w:bookmarkEnd w:id="343"/>
      <w:bookmarkEnd w:id="344"/>
      <w:bookmarkEnd w:id="345"/>
    </w:p>
    <w:p w14:paraId="0A94E247">
      <w:pPr>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森林资源：森林植被主要分布在北部完达山区和中部残丘漫岗，森林覆盖率为24.6%。草甸植被主要分布在狭长山麓边缘的缓坡，主要建群植被为小叶樟。在乌苏里江的沿岸和穆棱河、七虎林河、阿布沁河下游的河漫滩、牛轭湖、线形洼地以及广阔的低平原多为沼泽及草甸植被。</w:t>
      </w:r>
    </w:p>
    <w:p w14:paraId="7EA3F9FB">
      <w:pPr>
        <w:adjustRightInd w:val="0"/>
        <w:snapToGrid w:val="0"/>
        <w:spacing w:line="500" w:lineRule="exac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sz w:val="24"/>
          <w:szCs w:val="24"/>
          <w:highlight w:val="none"/>
        </w:rPr>
        <w:t>矿产资源：虎林市已发现矿产20种，有煤、油页岩、铁、铜、铌钽、金、泥炭、滑石、蛇纹岩、饰面用辉长岩、磷、石墨、硅石、磷钾、水泥用大理岩、粘土、建筑用石、建筑用砂、砖瓦用粘土、矿泉水，其中已探明资源储量和表外储量的10种，已开发利用的6种；煤累计查明资源储量1.59亿吨；油页岩资源储量6.5亿吨；岩金保有资源量8000千克；煤、油页岩、岩金是虎林市的优势矿产</w:t>
      </w:r>
      <w:r>
        <w:rPr>
          <w:rFonts w:hint="default" w:ascii="Times New Roman" w:hAnsi="Times New Roman" w:cs="Times New Roman"/>
          <w:bCs/>
          <w:color w:val="auto"/>
          <w:sz w:val="24"/>
          <w:highlight w:val="none"/>
        </w:rPr>
        <w:t>。</w:t>
      </w:r>
    </w:p>
    <w:p w14:paraId="248C0F9B">
      <w:pPr>
        <w:spacing w:line="500" w:lineRule="exact"/>
        <w:rPr>
          <w:rFonts w:hint="default" w:ascii="Times New Roman" w:hAnsi="Times New Roman" w:cs="Times New Roman"/>
          <w:color w:val="auto"/>
          <w:sz w:val="24"/>
          <w:highlight w:val="none"/>
        </w:rPr>
      </w:pPr>
    </w:p>
    <w:p w14:paraId="4527B337">
      <w:pPr>
        <w:spacing w:line="500" w:lineRule="exact"/>
        <w:rPr>
          <w:rFonts w:hint="default" w:ascii="Times New Roman" w:hAnsi="Times New Roman" w:cs="Times New Roman"/>
          <w:color w:val="auto"/>
          <w:sz w:val="24"/>
          <w:highlight w:val="none"/>
        </w:rPr>
      </w:pPr>
    </w:p>
    <w:p w14:paraId="05F8E4EC">
      <w:pPr>
        <w:spacing w:after="120" w:line="500" w:lineRule="exact"/>
        <w:ind w:left="420" w:leftChars="200" w:firstLine="480" w:firstLineChars="200"/>
        <w:rPr>
          <w:rFonts w:hint="default" w:ascii="Times New Roman" w:hAnsi="Times New Roman" w:cs="Times New Roman"/>
          <w:color w:val="auto"/>
          <w:kern w:val="0"/>
          <w:sz w:val="24"/>
          <w:szCs w:val="20"/>
          <w:highlight w:val="none"/>
        </w:rPr>
      </w:pPr>
    </w:p>
    <w:p w14:paraId="14333C43">
      <w:pPr>
        <w:spacing w:after="120" w:line="500" w:lineRule="exact"/>
        <w:ind w:left="420" w:leftChars="200" w:firstLine="480" w:firstLineChars="200"/>
        <w:rPr>
          <w:rFonts w:hint="default" w:ascii="Times New Roman" w:hAnsi="Times New Roman" w:cs="Times New Roman"/>
          <w:color w:val="auto"/>
          <w:kern w:val="0"/>
          <w:sz w:val="24"/>
          <w:szCs w:val="20"/>
          <w:highlight w:val="none"/>
        </w:rPr>
      </w:pPr>
    </w:p>
    <w:p w14:paraId="38097F1F">
      <w:pPr>
        <w:spacing w:after="120" w:line="500" w:lineRule="exact"/>
        <w:ind w:left="420" w:leftChars="200" w:firstLine="480" w:firstLineChars="200"/>
        <w:rPr>
          <w:rFonts w:hint="default" w:ascii="Times New Roman" w:hAnsi="Times New Roman" w:cs="Times New Roman"/>
          <w:color w:val="auto"/>
          <w:kern w:val="0"/>
          <w:sz w:val="24"/>
          <w:szCs w:val="20"/>
          <w:highlight w:val="none"/>
        </w:rPr>
      </w:pPr>
    </w:p>
    <w:p w14:paraId="00CAB5D2">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8"/>
          <w:szCs w:val="28"/>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A7514D4">
      <w:pPr>
        <w:overflowPunct w:val="0"/>
        <w:adjustRightInd w:val="0"/>
        <w:snapToGrid w:val="0"/>
        <w:spacing w:line="500" w:lineRule="exact"/>
        <w:outlineLvl w:val="0"/>
        <w:rPr>
          <w:rFonts w:hint="default" w:ascii="Times New Roman" w:hAnsi="Times New Roman" w:eastAsia="黑体" w:cs="Times New Roman"/>
          <w:bCs/>
          <w:color w:val="auto"/>
          <w:kern w:val="44"/>
          <w:sz w:val="28"/>
          <w:szCs w:val="28"/>
          <w:highlight w:val="none"/>
        </w:rPr>
      </w:pPr>
      <w:bookmarkStart w:id="346" w:name="_Toc15937"/>
      <w:bookmarkStart w:id="347" w:name="_Toc192758913"/>
      <w:bookmarkStart w:id="348" w:name="_Toc193460002"/>
      <w:bookmarkStart w:id="349" w:name="_Toc2621"/>
      <w:bookmarkStart w:id="350" w:name="_Toc14839"/>
      <w:bookmarkStart w:id="351" w:name="_Toc16603"/>
      <w:bookmarkStart w:id="352" w:name="_Toc16919"/>
      <w:bookmarkStart w:id="353" w:name="_Toc28589"/>
      <w:r>
        <w:rPr>
          <w:rFonts w:hint="default" w:ascii="Times New Roman" w:hAnsi="Times New Roman" w:eastAsia="黑体" w:cs="Times New Roman"/>
          <w:bCs/>
          <w:color w:val="auto"/>
          <w:kern w:val="44"/>
          <w:sz w:val="28"/>
          <w:szCs w:val="28"/>
          <w:highlight w:val="none"/>
        </w:rPr>
        <w:t>4环境空气质量现状调查与评价</w:t>
      </w:r>
      <w:bookmarkEnd w:id="346"/>
      <w:bookmarkEnd w:id="347"/>
      <w:bookmarkEnd w:id="348"/>
      <w:bookmarkEnd w:id="349"/>
      <w:bookmarkEnd w:id="350"/>
      <w:bookmarkEnd w:id="351"/>
      <w:bookmarkEnd w:id="352"/>
      <w:bookmarkEnd w:id="353"/>
    </w:p>
    <w:p w14:paraId="0456BBF6">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354" w:name="_Toc27034"/>
      <w:bookmarkStart w:id="355" w:name="_Toc1389"/>
      <w:bookmarkStart w:id="356" w:name="_Toc2751"/>
      <w:bookmarkStart w:id="357" w:name="_Toc7691"/>
      <w:bookmarkStart w:id="358" w:name="_Toc193460003"/>
      <w:bookmarkStart w:id="359" w:name="_Toc13793"/>
      <w:bookmarkStart w:id="360" w:name="_Toc21673"/>
      <w:bookmarkStart w:id="361" w:name="_Toc192758914"/>
      <w:r>
        <w:rPr>
          <w:rFonts w:hint="default" w:ascii="Times New Roman" w:hAnsi="Times New Roman" w:eastAsia="黑体" w:cs="Times New Roman"/>
          <w:bCs/>
          <w:color w:val="auto"/>
          <w:kern w:val="44"/>
          <w:sz w:val="24"/>
          <w:highlight w:val="none"/>
        </w:rPr>
        <w:t>4.1项目所在区域环境质量现状</w:t>
      </w:r>
      <w:bookmarkEnd w:id="354"/>
      <w:bookmarkEnd w:id="355"/>
      <w:bookmarkEnd w:id="356"/>
      <w:bookmarkEnd w:id="357"/>
      <w:bookmarkEnd w:id="358"/>
      <w:bookmarkEnd w:id="359"/>
      <w:bookmarkEnd w:id="360"/>
      <w:bookmarkEnd w:id="361"/>
    </w:p>
    <w:p w14:paraId="2D9CDA89">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w:t>
      </w:r>
      <w:r>
        <w:rPr>
          <w:rFonts w:hint="default" w:ascii="Times New Roman" w:hAnsi="Times New Roman" w:cs="Times New Roman"/>
          <w:color w:val="auto"/>
          <w:sz w:val="24"/>
          <w:szCs w:val="24"/>
          <w:highlight w:val="none"/>
        </w:rPr>
        <w:t>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年黑龙江省生态环境质量状况</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鸡西市</w:t>
      </w:r>
      <w:r>
        <w:rPr>
          <w:rFonts w:hint="default" w:ascii="Times New Roman" w:hAnsi="Times New Roman" w:cs="Times New Roman"/>
          <w:color w:val="auto"/>
          <w:kern w:val="0"/>
          <w:sz w:val="24"/>
          <w:highlight w:val="none"/>
        </w:rPr>
        <w:t>常规污染物（SO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、NO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、PM</w:t>
      </w:r>
      <w:r>
        <w:rPr>
          <w:rFonts w:hint="default" w:ascii="Times New Roman" w:hAnsi="Times New Roman" w:cs="Times New Roman"/>
          <w:color w:val="auto"/>
          <w:kern w:val="0"/>
          <w:sz w:val="24"/>
          <w:highlight w:val="none"/>
          <w:vertAlign w:val="subscript"/>
        </w:rPr>
        <w:t>10</w:t>
      </w:r>
      <w:r>
        <w:rPr>
          <w:rFonts w:hint="default" w:ascii="Times New Roman" w:hAnsi="Times New Roman" w:cs="Times New Roman"/>
          <w:color w:val="auto"/>
          <w:kern w:val="0"/>
          <w:sz w:val="24"/>
          <w:highlight w:val="none"/>
        </w:rPr>
        <w:t>、O</w:t>
      </w:r>
      <w:r>
        <w:rPr>
          <w:rFonts w:hint="default" w:ascii="Times New Roman" w:hAnsi="Times New Roman" w:cs="Times New Roman"/>
          <w:color w:val="auto"/>
          <w:kern w:val="0"/>
          <w:sz w:val="24"/>
          <w:highlight w:val="none"/>
          <w:vertAlign w:val="subscript"/>
        </w:rPr>
        <w:t>3</w:t>
      </w:r>
      <w:r>
        <w:rPr>
          <w:rFonts w:hint="default" w:ascii="Times New Roman" w:hAnsi="Times New Roman" w:cs="Times New Roman"/>
          <w:color w:val="auto"/>
          <w:kern w:val="0"/>
          <w:sz w:val="24"/>
          <w:highlight w:val="none"/>
        </w:rPr>
        <w:t>、CO、PM</w:t>
      </w:r>
      <w:r>
        <w:rPr>
          <w:rFonts w:hint="default" w:ascii="Times New Roman" w:hAnsi="Times New Roman" w:cs="Times New Roman"/>
          <w:color w:val="auto"/>
          <w:kern w:val="0"/>
          <w:sz w:val="24"/>
          <w:highlight w:val="none"/>
          <w:vertAlign w:val="subscript"/>
        </w:rPr>
        <w:t>2.5</w:t>
      </w:r>
      <w:r>
        <w:rPr>
          <w:rFonts w:hint="default" w:ascii="Times New Roman" w:hAnsi="Times New Roman" w:cs="Times New Roman"/>
          <w:color w:val="auto"/>
          <w:kern w:val="0"/>
          <w:sz w:val="24"/>
          <w:highlight w:val="none"/>
        </w:rPr>
        <w:t>）区域空气质量现状评价情况见下表。</w:t>
      </w:r>
    </w:p>
    <w:p w14:paraId="40F26B77">
      <w:pPr>
        <w:adjustRightInd w:val="0"/>
        <w:snapToGrid w:val="0"/>
        <w:spacing w:line="400" w:lineRule="exact"/>
        <w:jc w:val="center"/>
        <w:rPr>
          <w:rFonts w:hint="default" w:ascii="Times New Roman" w:hAnsi="Times New Roman" w:eastAsia="仿宋" w:cs="Times New Roman"/>
          <w:b/>
          <w:bCs/>
          <w:snapToGrid w:val="0"/>
          <w:color w:val="auto"/>
          <w:kern w:val="0"/>
          <w:sz w:val="24"/>
          <w:highlight w:val="none"/>
          <w:lang w:val="en-GB"/>
        </w:rPr>
      </w:pPr>
      <w:r>
        <w:rPr>
          <w:rFonts w:hint="default" w:ascii="Times New Roman" w:hAnsi="Times New Roman" w:eastAsia="黑体" w:cs="Times New Roman"/>
          <w:snapToGrid w:val="0"/>
          <w:color w:val="auto"/>
          <w:kern w:val="0"/>
          <w:sz w:val="24"/>
          <w:highlight w:val="none"/>
          <w:lang w:val="en-GB"/>
        </w:rPr>
        <w:t>表</w:t>
      </w:r>
      <w:r>
        <w:rPr>
          <w:rFonts w:hint="default" w:ascii="Times New Roman" w:hAnsi="Times New Roman" w:eastAsia="黑体" w:cs="Times New Roman"/>
          <w:snapToGrid w:val="0"/>
          <w:color w:val="auto"/>
          <w:kern w:val="0"/>
          <w:sz w:val="24"/>
          <w:highlight w:val="none"/>
        </w:rPr>
        <w:t>4</w:t>
      </w:r>
      <w:r>
        <w:rPr>
          <w:rFonts w:hint="default" w:ascii="Times New Roman" w:hAnsi="Times New Roman" w:eastAsia="黑体" w:cs="Times New Roman"/>
          <w:snapToGrid w:val="0"/>
          <w:color w:val="auto"/>
          <w:kern w:val="0"/>
          <w:sz w:val="24"/>
          <w:highlight w:val="none"/>
          <w:lang w:val="en-US" w:eastAsia="zh-CN"/>
        </w:rPr>
        <w:t>.1</w:t>
      </w:r>
      <w:r>
        <w:rPr>
          <w:rFonts w:hint="default" w:ascii="Times New Roman" w:hAnsi="Times New Roman" w:eastAsia="黑体" w:cs="Times New Roman"/>
          <w:snapToGrid w:val="0"/>
          <w:color w:val="auto"/>
          <w:kern w:val="0"/>
          <w:sz w:val="24"/>
          <w:highlight w:val="none"/>
          <w:lang w:val="en-GB"/>
        </w:rPr>
        <w:t>-1 区域空气质量现状评价表 单位：μg/m</w:t>
      </w:r>
      <w:r>
        <w:rPr>
          <w:rFonts w:hint="default" w:ascii="Times New Roman" w:hAnsi="Times New Roman" w:eastAsia="黑体" w:cs="Times New Roman"/>
          <w:snapToGrid w:val="0"/>
          <w:color w:val="auto"/>
          <w:kern w:val="0"/>
          <w:sz w:val="24"/>
          <w:highlight w:val="none"/>
          <w:vertAlign w:val="superscript"/>
          <w:lang w:val="en-GB"/>
        </w:rPr>
        <w:t>3</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9"/>
        <w:gridCol w:w="2697"/>
        <w:gridCol w:w="1146"/>
        <w:gridCol w:w="1080"/>
        <w:gridCol w:w="1188"/>
        <w:gridCol w:w="1302"/>
      </w:tblGrid>
      <w:tr w14:paraId="02723D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650" w:type="pct"/>
            <w:tcBorders>
              <w:top w:val="single" w:color="auto" w:sz="12" w:space="0"/>
              <w:left w:val="nil"/>
              <w:bottom w:val="single" w:color="auto" w:sz="6" w:space="0"/>
              <w:right w:val="single" w:color="auto" w:sz="6" w:space="0"/>
            </w:tcBorders>
            <w:noWrap/>
            <w:vAlign w:val="center"/>
          </w:tcPr>
          <w:p w14:paraId="65F6F388">
            <w:pPr>
              <w:tabs>
                <w:tab w:val="left" w:pos="3960"/>
              </w:tabs>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1582" w:type="pct"/>
            <w:tcBorders>
              <w:top w:val="single" w:color="auto" w:sz="12" w:space="0"/>
              <w:left w:val="single" w:color="auto" w:sz="6" w:space="0"/>
              <w:bottom w:val="single" w:color="auto" w:sz="6" w:space="0"/>
              <w:right w:val="single" w:color="auto" w:sz="6" w:space="0"/>
            </w:tcBorders>
            <w:noWrap/>
            <w:vAlign w:val="center"/>
          </w:tcPr>
          <w:p w14:paraId="25F0E46B">
            <w:pPr>
              <w:tabs>
                <w:tab w:val="left" w:pos="3960"/>
              </w:tabs>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年评价指标</w:t>
            </w:r>
          </w:p>
        </w:tc>
        <w:tc>
          <w:tcPr>
            <w:tcW w:w="672" w:type="pct"/>
            <w:tcBorders>
              <w:top w:val="single" w:color="auto" w:sz="12" w:space="0"/>
              <w:left w:val="single" w:color="auto" w:sz="6" w:space="0"/>
              <w:bottom w:val="single" w:color="auto" w:sz="6" w:space="0"/>
              <w:right w:val="single" w:color="auto" w:sz="6" w:space="0"/>
            </w:tcBorders>
            <w:noWrap/>
            <w:vAlign w:val="center"/>
          </w:tcPr>
          <w:p w14:paraId="14198310">
            <w:pPr>
              <w:tabs>
                <w:tab w:val="left" w:pos="3960"/>
              </w:tabs>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现状浓度</w:t>
            </w:r>
          </w:p>
          <w:p w14:paraId="27DA89CB">
            <w:pPr>
              <w:tabs>
                <w:tab w:val="left" w:pos="3960"/>
              </w:tabs>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（μg/m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p>
        </w:tc>
        <w:tc>
          <w:tcPr>
            <w:tcW w:w="633" w:type="pct"/>
            <w:tcBorders>
              <w:top w:val="single" w:color="auto" w:sz="12" w:space="0"/>
              <w:left w:val="single" w:color="auto" w:sz="6" w:space="0"/>
              <w:bottom w:val="single" w:color="auto" w:sz="6" w:space="0"/>
              <w:right w:val="single" w:color="auto" w:sz="6" w:space="0"/>
            </w:tcBorders>
            <w:noWrap/>
            <w:vAlign w:val="center"/>
          </w:tcPr>
          <w:p w14:paraId="2A1FE9B3">
            <w:pPr>
              <w:tabs>
                <w:tab w:val="left" w:pos="3960"/>
              </w:tabs>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标准值</w:t>
            </w:r>
          </w:p>
          <w:p w14:paraId="6A3E6397">
            <w:pPr>
              <w:tabs>
                <w:tab w:val="left" w:pos="3960"/>
              </w:tabs>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（μg/m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p>
        </w:tc>
        <w:tc>
          <w:tcPr>
            <w:tcW w:w="697" w:type="pct"/>
            <w:tcBorders>
              <w:top w:val="single" w:color="auto" w:sz="12" w:space="0"/>
              <w:left w:val="single" w:color="auto" w:sz="6" w:space="0"/>
              <w:bottom w:val="single" w:color="auto" w:sz="6" w:space="0"/>
              <w:right w:val="single" w:color="auto" w:sz="6" w:space="0"/>
            </w:tcBorders>
            <w:noWrap/>
            <w:vAlign w:val="center"/>
          </w:tcPr>
          <w:p w14:paraId="2C24F6AA">
            <w:pPr>
              <w:tabs>
                <w:tab w:val="left" w:pos="3960"/>
              </w:tabs>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占标率</w:t>
            </w:r>
          </w:p>
          <w:p w14:paraId="082F0490">
            <w:pPr>
              <w:tabs>
                <w:tab w:val="left" w:pos="3960"/>
              </w:tabs>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763" w:type="pct"/>
            <w:tcBorders>
              <w:top w:val="single" w:color="auto" w:sz="12" w:space="0"/>
              <w:left w:val="single" w:color="auto" w:sz="6" w:space="0"/>
              <w:bottom w:val="single" w:color="auto" w:sz="6" w:space="0"/>
              <w:right w:val="nil"/>
            </w:tcBorders>
            <w:noWrap/>
            <w:vAlign w:val="center"/>
          </w:tcPr>
          <w:p w14:paraId="3E13D5D5">
            <w:pPr>
              <w:tabs>
                <w:tab w:val="left" w:pos="3960"/>
              </w:tabs>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达标情况</w:t>
            </w:r>
          </w:p>
        </w:tc>
      </w:tr>
      <w:tr w14:paraId="22BA2D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650" w:type="pct"/>
            <w:tcBorders>
              <w:top w:val="single" w:color="auto" w:sz="6" w:space="0"/>
              <w:left w:val="nil"/>
              <w:bottom w:val="single" w:color="auto" w:sz="6" w:space="0"/>
              <w:right w:val="single" w:color="auto" w:sz="6" w:space="0"/>
            </w:tcBorders>
            <w:noWrap/>
            <w:vAlign w:val="center"/>
          </w:tcPr>
          <w:p w14:paraId="30C46132">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582" w:type="pct"/>
            <w:tcBorders>
              <w:top w:val="single" w:color="auto" w:sz="6" w:space="0"/>
              <w:left w:val="single" w:color="auto" w:sz="6" w:space="0"/>
              <w:bottom w:val="single" w:color="auto" w:sz="6" w:space="0"/>
              <w:right w:val="single" w:color="auto" w:sz="6" w:space="0"/>
            </w:tcBorders>
            <w:noWrap/>
            <w:vAlign w:val="center"/>
          </w:tcPr>
          <w:p w14:paraId="0142A8BE">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672" w:type="pct"/>
            <w:tcBorders>
              <w:top w:val="single" w:color="auto" w:sz="6" w:space="0"/>
              <w:left w:val="single" w:color="auto" w:sz="6" w:space="0"/>
              <w:bottom w:val="single" w:color="auto" w:sz="6" w:space="0"/>
              <w:right w:val="single" w:color="auto" w:sz="6" w:space="0"/>
            </w:tcBorders>
            <w:noWrap/>
            <w:vAlign w:val="center"/>
          </w:tcPr>
          <w:p w14:paraId="4A43847E">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r>
              <w:rPr>
                <w:rFonts w:hint="default" w:ascii="Times New Roman" w:hAnsi="Times New Roman" w:cs="Times New Roman"/>
                <w:color w:val="auto"/>
                <w:sz w:val="21"/>
                <w:szCs w:val="21"/>
                <w:highlight w:val="none"/>
                <w:lang w:val="en-US" w:eastAsia="zh-CN"/>
              </w:rPr>
              <w:t>7</w:t>
            </w:r>
          </w:p>
        </w:tc>
        <w:tc>
          <w:tcPr>
            <w:tcW w:w="633" w:type="pct"/>
            <w:tcBorders>
              <w:top w:val="single" w:color="auto" w:sz="6" w:space="0"/>
              <w:left w:val="single" w:color="auto" w:sz="6" w:space="0"/>
              <w:bottom w:val="single" w:color="auto" w:sz="6" w:space="0"/>
              <w:right w:val="single" w:color="auto" w:sz="6" w:space="0"/>
            </w:tcBorders>
            <w:noWrap/>
            <w:vAlign w:val="center"/>
          </w:tcPr>
          <w:p w14:paraId="6BE6E65D">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p>
        </w:tc>
        <w:tc>
          <w:tcPr>
            <w:tcW w:w="697" w:type="pct"/>
            <w:tcBorders>
              <w:top w:val="single" w:color="auto" w:sz="6" w:space="0"/>
              <w:left w:val="single" w:color="auto" w:sz="6" w:space="0"/>
              <w:bottom w:val="single" w:color="auto" w:sz="6" w:space="0"/>
              <w:right w:val="single" w:color="auto" w:sz="6" w:space="0"/>
            </w:tcBorders>
            <w:noWrap/>
            <w:vAlign w:val="center"/>
          </w:tcPr>
          <w:p w14:paraId="2A217E1C">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77.14</w:t>
            </w:r>
            <w:r>
              <w:rPr>
                <w:rFonts w:hint="default" w:ascii="Times New Roman" w:hAnsi="Times New Roman" w:cs="Times New Roman"/>
                <w:color w:val="auto"/>
                <w:sz w:val="21"/>
                <w:szCs w:val="21"/>
                <w:highlight w:val="none"/>
              </w:rPr>
              <w:t>%</w:t>
            </w:r>
          </w:p>
        </w:tc>
        <w:tc>
          <w:tcPr>
            <w:tcW w:w="763" w:type="pct"/>
            <w:tcBorders>
              <w:top w:val="single" w:color="auto" w:sz="6" w:space="0"/>
              <w:left w:val="single" w:color="auto" w:sz="6" w:space="0"/>
              <w:bottom w:val="single" w:color="auto" w:sz="6" w:space="0"/>
              <w:right w:val="nil"/>
            </w:tcBorders>
            <w:noWrap/>
            <w:vAlign w:val="center"/>
          </w:tcPr>
          <w:p w14:paraId="0C217E7C">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84BB2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650" w:type="pct"/>
            <w:tcBorders>
              <w:top w:val="single" w:color="auto" w:sz="6" w:space="0"/>
              <w:left w:val="nil"/>
              <w:bottom w:val="single" w:color="auto" w:sz="6" w:space="0"/>
              <w:right w:val="single" w:color="auto" w:sz="6" w:space="0"/>
            </w:tcBorders>
            <w:noWrap/>
            <w:vAlign w:val="center"/>
          </w:tcPr>
          <w:p w14:paraId="7A9E3565">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582" w:type="pct"/>
            <w:tcBorders>
              <w:top w:val="single" w:color="auto" w:sz="6" w:space="0"/>
              <w:left w:val="single" w:color="auto" w:sz="6" w:space="0"/>
              <w:bottom w:val="single" w:color="auto" w:sz="6" w:space="0"/>
              <w:right w:val="single" w:color="auto" w:sz="6" w:space="0"/>
            </w:tcBorders>
            <w:noWrap/>
            <w:vAlign w:val="center"/>
          </w:tcPr>
          <w:p w14:paraId="1586E892">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672" w:type="pct"/>
            <w:tcBorders>
              <w:top w:val="single" w:color="auto" w:sz="6" w:space="0"/>
              <w:left w:val="single" w:color="auto" w:sz="6" w:space="0"/>
              <w:bottom w:val="single" w:color="auto" w:sz="6" w:space="0"/>
              <w:right w:val="single" w:color="auto" w:sz="6" w:space="0"/>
            </w:tcBorders>
            <w:noWrap/>
            <w:vAlign w:val="center"/>
          </w:tcPr>
          <w:p w14:paraId="6D356883">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46</w:t>
            </w:r>
          </w:p>
        </w:tc>
        <w:tc>
          <w:tcPr>
            <w:tcW w:w="633" w:type="pct"/>
            <w:tcBorders>
              <w:top w:val="single" w:color="auto" w:sz="6" w:space="0"/>
              <w:left w:val="single" w:color="auto" w:sz="6" w:space="0"/>
              <w:bottom w:val="single" w:color="auto" w:sz="6" w:space="0"/>
              <w:right w:val="single" w:color="auto" w:sz="6" w:space="0"/>
            </w:tcBorders>
            <w:noWrap/>
            <w:vAlign w:val="center"/>
          </w:tcPr>
          <w:p w14:paraId="502B1060">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697" w:type="pct"/>
            <w:tcBorders>
              <w:top w:val="single" w:color="auto" w:sz="6" w:space="0"/>
              <w:left w:val="single" w:color="auto" w:sz="6" w:space="0"/>
              <w:bottom w:val="single" w:color="auto" w:sz="6" w:space="0"/>
              <w:right w:val="single" w:color="auto" w:sz="6" w:space="0"/>
            </w:tcBorders>
            <w:noWrap/>
            <w:vAlign w:val="center"/>
          </w:tcPr>
          <w:p w14:paraId="05AEB8A3">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65.71</w:t>
            </w:r>
            <w:r>
              <w:rPr>
                <w:rFonts w:hint="default" w:ascii="Times New Roman" w:hAnsi="Times New Roman" w:cs="Times New Roman"/>
                <w:color w:val="auto"/>
                <w:sz w:val="21"/>
                <w:szCs w:val="21"/>
                <w:highlight w:val="none"/>
              </w:rPr>
              <w:t>%</w:t>
            </w:r>
          </w:p>
        </w:tc>
        <w:tc>
          <w:tcPr>
            <w:tcW w:w="763" w:type="pct"/>
            <w:tcBorders>
              <w:top w:val="single" w:color="auto" w:sz="6" w:space="0"/>
              <w:left w:val="single" w:color="auto" w:sz="6" w:space="0"/>
              <w:bottom w:val="single" w:color="auto" w:sz="6" w:space="0"/>
              <w:right w:val="nil"/>
            </w:tcBorders>
            <w:noWrap/>
            <w:vAlign w:val="center"/>
          </w:tcPr>
          <w:p w14:paraId="3D9B0E15">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487A7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650" w:type="pct"/>
            <w:tcBorders>
              <w:top w:val="single" w:color="auto" w:sz="6" w:space="0"/>
              <w:left w:val="nil"/>
              <w:bottom w:val="single" w:color="auto" w:sz="6" w:space="0"/>
              <w:right w:val="single" w:color="auto" w:sz="6" w:space="0"/>
            </w:tcBorders>
            <w:noWrap/>
            <w:vAlign w:val="center"/>
          </w:tcPr>
          <w:p w14:paraId="3D07523D">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582" w:type="pct"/>
            <w:tcBorders>
              <w:top w:val="single" w:color="auto" w:sz="6" w:space="0"/>
              <w:left w:val="single" w:color="auto" w:sz="6" w:space="0"/>
              <w:bottom w:val="single" w:color="auto" w:sz="6" w:space="0"/>
              <w:right w:val="single" w:color="auto" w:sz="6" w:space="0"/>
            </w:tcBorders>
            <w:noWrap/>
            <w:vAlign w:val="center"/>
          </w:tcPr>
          <w:p w14:paraId="7E0D7B60">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672" w:type="pct"/>
            <w:tcBorders>
              <w:top w:val="single" w:color="auto" w:sz="6" w:space="0"/>
              <w:left w:val="single" w:color="auto" w:sz="6" w:space="0"/>
              <w:bottom w:val="single" w:color="auto" w:sz="6" w:space="0"/>
              <w:right w:val="single" w:color="auto" w:sz="6" w:space="0"/>
            </w:tcBorders>
            <w:noWrap/>
            <w:vAlign w:val="center"/>
          </w:tcPr>
          <w:p w14:paraId="732696BD">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17</w:t>
            </w:r>
          </w:p>
        </w:tc>
        <w:tc>
          <w:tcPr>
            <w:tcW w:w="633" w:type="pct"/>
            <w:tcBorders>
              <w:top w:val="single" w:color="auto" w:sz="6" w:space="0"/>
              <w:left w:val="single" w:color="auto" w:sz="6" w:space="0"/>
              <w:bottom w:val="single" w:color="auto" w:sz="6" w:space="0"/>
              <w:right w:val="single" w:color="auto" w:sz="6" w:space="0"/>
            </w:tcBorders>
            <w:noWrap/>
            <w:vAlign w:val="center"/>
          </w:tcPr>
          <w:p w14:paraId="291268F1">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697" w:type="pct"/>
            <w:tcBorders>
              <w:top w:val="single" w:color="auto" w:sz="6" w:space="0"/>
              <w:left w:val="single" w:color="auto" w:sz="6" w:space="0"/>
              <w:bottom w:val="single" w:color="auto" w:sz="6" w:space="0"/>
              <w:right w:val="single" w:color="auto" w:sz="6" w:space="0"/>
            </w:tcBorders>
            <w:noWrap/>
            <w:vAlign w:val="center"/>
          </w:tcPr>
          <w:p w14:paraId="1182F8FD">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28</w:t>
            </w:r>
            <w:r>
              <w:rPr>
                <w:rFonts w:hint="default" w:ascii="Times New Roman" w:hAnsi="Times New Roman" w:cs="Times New Roman"/>
                <w:color w:val="auto"/>
                <w:sz w:val="21"/>
                <w:szCs w:val="21"/>
                <w:highlight w:val="none"/>
              </w:rPr>
              <w:t>.33%</w:t>
            </w:r>
          </w:p>
        </w:tc>
        <w:tc>
          <w:tcPr>
            <w:tcW w:w="763" w:type="pct"/>
            <w:tcBorders>
              <w:top w:val="single" w:color="auto" w:sz="6" w:space="0"/>
              <w:left w:val="single" w:color="auto" w:sz="6" w:space="0"/>
              <w:bottom w:val="single" w:color="auto" w:sz="6" w:space="0"/>
              <w:right w:val="nil"/>
            </w:tcBorders>
            <w:noWrap/>
            <w:vAlign w:val="center"/>
          </w:tcPr>
          <w:p w14:paraId="44291259">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CC6EC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650" w:type="pct"/>
            <w:tcBorders>
              <w:top w:val="single" w:color="auto" w:sz="6" w:space="0"/>
              <w:left w:val="nil"/>
              <w:bottom w:val="single" w:color="auto" w:sz="6" w:space="0"/>
              <w:right w:val="single" w:color="auto" w:sz="6" w:space="0"/>
            </w:tcBorders>
            <w:noWrap/>
            <w:vAlign w:val="center"/>
          </w:tcPr>
          <w:p w14:paraId="4E8A97CE">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582" w:type="pct"/>
            <w:tcBorders>
              <w:top w:val="single" w:color="auto" w:sz="6" w:space="0"/>
              <w:left w:val="single" w:color="auto" w:sz="6" w:space="0"/>
              <w:bottom w:val="single" w:color="auto" w:sz="6" w:space="0"/>
              <w:right w:val="single" w:color="auto" w:sz="6" w:space="0"/>
            </w:tcBorders>
            <w:noWrap/>
            <w:vAlign w:val="center"/>
          </w:tcPr>
          <w:p w14:paraId="2737862A">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672" w:type="pct"/>
            <w:tcBorders>
              <w:top w:val="single" w:color="auto" w:sz="6" w:space="0"/>
              <w:left w:val="single" w:color="auto" w:sz="6" w:space="0"/>
              <w:bottom w:val="single" w:color="auto" w:sz="6" w:space="0"/>
              <w:right w:val="single" w:color="auto" w:sz="6" w:space="0"/>
            </w:tcBorders>
            <w:noWrap/>
            <w:vAlign w:val="center"/>
          </w:tcPr>
          <w:p w14:paraId="0CC5CE12">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8</w:t>
            </w:r>
          </w:p>
        </w:tc>
        <w:tc>
          <w:tcPr>
            <w:tcW w:w="633" w:type="pct"/>
            <w:tcBorders>
              <w:top w:val="single" w:color="auto" w:sz="6" w:space="0"/>
              <w:left w:val="single" w:color="auto" w:sz="6" w:space="0"/>
              <w:bottom w:val="single" w:color="auto" w:sz="6" w:space="0"/>
              <w:right w:val="single" w:color="auto" w:sz="6" w:space="0"/>
            </w:tcBorders>
            <w:noWrap/>
            <w:vAlign w:val="center"/>
          </w:tcPr>
          <w:p w14:paraId="38D0FE17">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697" w:type="pct"/>
            <w:tcBorders>
              <w:top w:val="single" w:color="auto" w:sz="6" w:space="0"/>
              <w:left w:val="single" w:color="auto" w:sz="6" w:space="0"/>
              <w:bottom w:val="single" w:color="auto" w:sz="6" w:space="0"/>
              <w:right w:val="single" w:color="auto" w:sz="6" w:space="0"/>
            </w:tcBorders>
            <w:noWrap/>
            <w:vAlign w:val="center"/>
          </w:tcPr>
          <w:p w14:paraId="48056D14">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20.00%</w:t>
            </w:r>
          </w:p>
        </w:tc>
        <w:tc>
          <w:tcPr>
            <w:tcW w:w="763" w:type="pct"/>
            <w:tcBorders>
              <w:top w:val="single" w:color="auto" w:sz="6" w:space="0"/>
              <w:left w:val="single" w:color="auto" w:sz="6" w:space="0"/>
              <w:bottom w:val="single" w:color="auto" w:sz="6" w:space="0"/>
              <w:right w:val="nil"/>
            </w:tcBorders>
            <w:noWrap/>
            <w:vAlign w:val="center"/>
          </w:tcPr>
          <w:p w14:paraId="0576C7FF">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B2329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650" w:type="pct"/>
            <w:tcBorders>
              <w:top w:val="single" w:color="auto" w:sz="6" w:space="0"/>
              <w:left w:val="nil"/>
              <w:bottom w:val="single" w:color="auto" w:sz="6" w:space="0"/>
              <w:right w:val="single" w:color="auto" w:sz="6" w:space="0"/>
            </w:tcBorders>
            <w:noWrap/>
            <w:vAlign w:val="center"/>
          </w:tcPr>
          <w:p w14:paraId="46EDB97A">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COmg/m</w:t>
            </w:r>
            <w:r>
              <w:rPr>
                <w:rFonts w:hint="default" w:ascii="Times New Roman" w:hAnsi="Times New Roman" w:cs="Times New Roman"/>
                <w:color w:val="auto"/>
                <w:sz w:val="21"/>
                <w:szCs w:val="21"/>
                <w:highlight w:val="none"/>
                <w:vertAlign w:val="superscript"/>
              </w:rPr>
              <w:t>3</w:t>
            </w:r>
          </w:p>
        </w:tc>
        <w:tc>
          <w:tcPr>
            <w:tcW w:w="1582" w:type="pct"/>
            <w:tcBorders>
              <w:top w:val="single" w:color="auto" w:sz="6" w:space="0"/>
              <w:left w:val="single" w:color="auto" w:sz="6" w:space="0"/>
              <w:bottom w:val="single" w:color="auto" w:sz="6" w:space="0"/>
              <w:right w:val="single" w:color="auto" w:sz="6" w:space="0"/>
            </w:tcBorders>
            <w:noWrap/>
            <w:vAlign w:val="center"/>
          </w:tcPr>
          <w:p w14:paraId="0631E01E">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第95百分位数日平均浓度</w:t>
            </w:r>
          </w:p>
        </w:tc>
        <w:tc>
          <w:tcPr>
            <w:tcW w:w="672" w:type="pct"/>
            <w:tcBorders>
              <w:top w:val="single" w:color="auto" w:sz="6" w:space="0"/>
              <w:left w:val="single" w:color="auto" w:sz="6" w:space="0"/>
              <w:bottom w:val="single" w:color="auto" w:sz="6" w:space="0"/>
              <w:right w:val="single" w:color="auto" w:sz="6" w:space="0"/>
            </w:tcBorders>
            <w:noWrap/>
            <w:vAlign w:val="center"/>
          </w:tcPr>
          <w:p w14:paraId="50E61AE2">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w:t>
            </w:r>
          </w:p>
        </w:tc>
        <w:tc>
          <w:tcPr>
            <w:tcW w:w="633" w:type="pct"/>
            <w:tcBorders>
              <w:top w:val="single" w:color="auto" w:sz="6" w:space="0"/>
              <w:left w:val="single" w:color="auto" w:sz="6" w:space="0"/>
              <w:bottom w:val="single" w:color="auto" w:sz="6" w:space="0"/>
              <w:right w:val="single" w:color="auto" w:sz="6" w:space="0"/>
            </w:tcBorders>
            <w:noWrap/>
            <w:vAlign w:val="center"/>
          </w:tcPr>
          <w:p w14:paraId="059E8C6B">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4000</w:t>
            </w:r>
          </w:p>
        </w:tc>
        <w:tc>
          <w:tcPr>
            <w:tcW w:w="697" w:type="pct"/>
            <w:tcBorders>
              <w:top w:val="single" w:color="auto" w:sz="6" w:space="0"/>
              <w:left w:val="single" w:color="auto" w:sz="6" w:space="0"/>
              <w:bottom w:val="single" w:color="auto" w:sz="6" w:space="0"/>
              <w:right w:val="single" w:color="auto" w:sz="6" w:space="0"/>
            </w:tcBorders>
            <w:noWrap/>
            <w:vAlign w:val="center"/>
          </w:tcPr>
          <w:p w14:paraId="00E2FD30">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25.00%</w:t>
            </w:r>
          </w:p>
        </w:tc>
        <w:tc>
          <w:tcPr>
            <w:tcW w:w="763" w:type="pct"/>
            <w:tcBorders>
              <w:top w:val="single" w:color="auto" w:sz="6" w:space="0"/>
              <w:left w:val="single" w:color="auto" w:sz="6" w:space="0"/>
              <w:bottom w:val="single" w:color="auto" w:sz="6" w:space="0"/>
              <w:right w:val="nil"/>
            </w:tcBorders>
            <w:noWrap/>
            <w:vAlign w:val="center"/>
          </w:tcPr>
          <w:p w14:paraId="2964611D">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70353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650" w:type="pct"/>
            <w:tcBorders>
              <w:top w:val="single" w:color="auto" w:sz="6" w:space="0"/>
              <w:left w:val="nil"/>
              <w:bottom w:val="single" w:color="auto" w:sz="12" w:space="0"/>
              <w:right w:val="single" w:color="auto" w:sz="6" w:space="0"/>
            </w:tcBorders>
            <w:noWrap/>
            <w:vAlign w:val="center"/>
          </w:tcPr>
          <w:p w14:paraId="526729A3">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582" w:type="pct"/>
            <w:tcBorders>
              <w:top w:val="single" w:color="auto" w:sz="6" w:space="0"/>
              <w:left w:val="single" w:color="auto" w:sz="6" w:space="0"/>
              <w:bottom w:val="single" w:color="auto" w:sz="12" w:space="0"/>
              <w:right w:val="single" w:color="auto" w:sz="6" w:space="0"/>
            </w:tcBorders>
            <w:noWrap/>
            <w:vAlign w:val="center"/>
          </w:tcPr>
          <w:p w14:paraId="49E97BF3">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第90百分位数8h平均质量浓度</w:t>
            </w:r>
          </w:p>
        </w:tc>
        <w:tc>
          <w:tcPr>
            <w:tcW w:w="672" w:type="pct"/>
            <w:tcBorders>
              <w:top w:val="single" w:color="auto" w:sz="6" w:space="0"/>
              <w:left w:val="single" w:color="auto" w:sz="6" w:space="0"/>
              <w:bottom w:val="single" w:color="auto" w:sz="12" w:space="0"/>
              <w:right w:val="single" w:color="auto" w:sz="6" w:space="0"/>
            </w:tcBorders>
            <w:noWrap/>
            <w:vAlign w:val="center"/>
          </w:tcPr>
          <w:p w14:paraId="093CC9C8">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w:t>
            </w:r>
            <w:r>
              <w:rPr>
                <w:rFonts w:hint="default" w:ascii="Times New Roman" w:hAnsi="Times New Roman" w:cs="Times New Roman"/>
                <w:color w:val="auto"/>
                <w:sz w:val="21"/>
                <w:szCs w:val="21"/>
                <w:highlight w:val="none"/>
                <w:lang w:val="en-US" w:eastAsia="zh-CN"/>
              </w:rPr>
              <w:t>0</w:t>
            </w:r>
          </w:p>
        </w:tc>
        <w:tc>
          <w:tcPr>
            <w:tcW w:w="633" w:type="pct"/>
            <w:tcBorders>
              <w:top w:val="single" w:color="auto" w:sz="6" w:space="0"/>
              <w:left w:val="single" w:color="auto" w:sz="6" w:space="0"/>
              <w:bottom w:val="single" w:color="auto" w:sz="12" w:space="0"/>
              <w:right w:val="single" w:color="auto" w:sz="6" w:space="0"/>
            </w:tcBorders>
            <w:noWrap/>
            <w:vAlign w:val="center"/>
          </w:tcPr>
          <w:p w14:paraId="7AA6BEF5">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697" w:type="pct"/>
            <w:tcBorders>
              <w:top w:val="single" w:color="auto" w:sz="6" w:space="0"/>
              <w:left w:val="single" w:color="auto" w:sz="6" w:space="0"/>
              <w:bottom w:val="single" w:color="auto" w:sz="12" w:space="0"/>
              <w:right w:val="single" w:color="auto" w:sz="6" w:space="0"/>
            </w:tcBorders>
            <w:noWrap/>
            <w:vAlign w:val="center"/>
          </w:tcPr>
          <w:p w14:paraId="20A1C23C">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56.</w:t>
            </w:r>
            <w:r>
              <w:rPr>
                <w:rFonts w:hint="default" w:ascii="Times New Roman" w:hAnsi="Times New Roman" w:cs="Times New Roman"/>
                <w:color w:val="auto"/>
                <w:sz w:val="21"/>
                <w:szCs w:val="21"/>
                <w:highlight w:val="none"/>
              </w:rPr>
              <w:t>25%</w:t>
            </w:r>
          </w:p>
        </w:tc>
        <w:tc>
          <w:tcPr>
            <w:tcW w:w="763" w:type="pct"/>
            <w:tcBorders>
              <w:top w:val="single" w:color="auto" w:sz="6" w:space="0"/>
              <w:left w:val="single" w:color="auto" w:sz="6" w:space="0"/>
              <w:bottom w:val="single" w:color="auto" w:sz="12" w:space="0"/>
              <w:right w:val="nil"/>
            </w:tcBorders>
            <w:noWrap/>
            <w:vAlign w:val="center"/>
          </w:tcPr>
          <w:p w14:paraId="5FB40BFF">
            <w:pPr>
              <w:pStyle w:val="157"/>
              <w:keepNext w:val="0"/>
              <w:keepLines w:val="0"/>
              <w:pageBreakBefore w:val="0"/>
              <w:widowControl w:val="0"/>
              <w:kinsoku/>
              <w:overflowPunct/>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30FFF912">
      <w:pPr>
        <w:spacing w:line="500" w:lineRule="exac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sz w:val="24"/>
          <w:szCs w:val="24"/>
          <w:highlight w:val="none"/>
        </w:rPr>
        <w:t>根据《202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年黑龙江省生态环境质量状况》，鸡西市202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年空气质量级别达二级标准，达标天数为34</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天(95.</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%)，SO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、NO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、PM</w:t>
      </w:r>
      <w:r>
        <w:rPr>
          <w:rFonts w:hint="default" w:ascii="Times New Roman" w:hAnsi="Times New Roman" w:cs="Times New Roman"/>
          <w:color w:val="auto"/>
          <w:sz w:val="24"/>
          <w:szCs w:val="24"/>
          <w:highlight w:val="none"/>
          <w:vertAlign w:val="subscript"/>
        </w:rPr>
        <w:t>10</w:t>
      </w:r>
      <w:r>
        <w:rPr>
          <w:rFonts w:hint="default" w:ascii="Times New Roman" w:hAnsi="Times New Roman" w:cs="Times New Roman"/>
          <w:color w:val="auto"/>
          <w:sz w:val="24"/>
          <w:szCs w:val="24"/>
          <w:highlight w:val="none"/>
        </w:rPr>
        <w:t>、PM</w:t>
      </w:r>
      <w:r>
        <w:rPr>
          <w:rFonts w:hint="default" w:ascii="Times New Roman" w:hAnsi="Times New Roman" w:cs="Times New Roman"/>
          <w:color w:val="auto"/>
          <w:sz w:val="24"/>
          <w:szCs w:val="24"/>
          <w:highlight w:val="none"/>
          <w:vertAlign w:val="subscript"/>
        </w:rPr>
        <w:t>2.5</w:t>
      </w:r>
      <w:r>
        <w:rPr>
          <w:rFonts w:hint="default" w:ascii="Times New Roman" w:hAnsi="Times New Roman" w:cs="Times New Roman"/>
          <w:color w:val="auto"/>
          <w:sz w:val="24"/>
          <w:szCs w:val="24"/>
          <w:highlight w:val="none"/>
        </w:rPr>
        <w:t>年均浓度分别为8μg/m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17</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46</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27</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；CO24小时平均第95百分位数为1.0mg/m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，O</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日最大8小时平均第90百分位数为9</w:t>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；各污染物平均浓度均优于《环境空气质量标准》（GB3095-2012）中二级标准限值，判定结果为达标区</w:t>
      </w:r>
      <w:r>
        <w:rPr>
          <w:rFonts w:hint="default" w:ascii="Times New Roman" w:hAnsi="Times New Roman" w:cs="Times New Roman"/>
          <w:color w:val="auto"/>
          <w:sz w:val="24"/>
          <w:highlight w:val="none"/>
        </w:rPr>
        <w:t>。</w:t>
      </w:r>
    </w:p>
    <w:p w14:paraId="13F11282">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362" w:name="_Toc15019"/>
      <w:bookmarkStart w:id="363" w:name="_Toc8331"/>
      <w:bookmarkStart w:id="364" w:name="_Toc192758915"/>
      <w:bookmarkStart w:id="365" w:name="_Toc9480"/>
      <w:bookmarkStart w:id="366" w:name="_Toc3029"/>
      <w:bookmarkStart w:id="367" w:name="_Toc193460004"/>
      <w:bookmarkStart w:id="368" w:name="_Toc25498"/>
      <w:bookmarkStart w:id="369" w:name="_Toc3416"/>
      <w:r>
        <w:rPr>
          <w:rFonts w:hint="default" w:ascii="Times New Roman" w:hAnsi="Times New Roman" w:eastAsia="黑体" w:cs="Times New Roman"/>
          <w:bCs/>
          <w:color w:val="auto"/>
          <w:kern w:val="44"/>
          <w:sz w:val="24"/>
          <w:highlight w:val="none"/>
        </w:rPr>
        <w:t>4.2环境空气质量补充监测</w:t>
      </w:r>
      <w:bookmarkEnd w:id="362"/>
      <w:bookmarkEnd w:id="363"/>
      <w:bookmarkEnd w:id="364"/>
      <w:bookmarkEnd w:id="365"/>
      <w:bookmarkEnd w:id="366"/>
      <w:bookmarkEnd w:id="367"/>
      <w:bookmarkEnd w:id="368"/>
      <w:bookmarkEnd w:id="369"/>
      <w:bookmarkStart w:id="370" w:name="_Hlk71806901"/>
    </w:p>
    <w:bookmarkEnd w:id="370"/>
    <w:p w14:paraId="7DA9B88E">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371" w:name="_Toc6157"/>
      <w:bookmarkStart w:id="372" w:name="_Toc192758916"/>
      <w:bookmarkStart w:id="373" w:name="_Toc8193"/>
      <w:bookmarkStart w:id="374" w:name="_Toc193460005"/>
      <w:bookmarkStart w:id="375" w:name="_Toc18265"/>
      <w:bookmarkStart w:id="376" w:name="_Toc22013"/>
      <w:bookmarkStart w:id="377" w:name="_Toc22580"/>
      <w:bookmarkStart w:id="378" w:name="_Toc6744"/>
      <w:r>
        <w:rPr>
          <w:rFonts w:hint="default" w:ascii="Times New Roman" w:hAnsi="Times New Roman" w:eastAsia="黑体" w:cs="Times New Roman"/>
          <w:bCs/>
          <w:color w:val="auto"/>
          <w:kern w:val="44"/>
          <w:sz w:val="24"/>
          <w:highlight w:val="none"/>
        </w:rPr>
        <w:t>4.2.1监测时间及监测项目</w:t>
      </w:r>
      <w:bookmarkEnd w:id="371"/>
      <w:bookmarkEnd w:id="372"/>
      <w:bookmarkEnd w:id="373"/>
      <w:bookmarkEnd w:id="374"/>
      <w:bookmarkEnd w:id="375"/>
      <w:bookmarkEnd w:id="376"/>
      <w:bookmarkEnd w:id="377"/>
      <w:bookmarkEnd w:id="378"/>
    </w:p>
    <w:p w14:paraId="702B8538">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本项目于</w:t>
      </w:r>
      <w:r>
        <w:rPr>
          <w:rFonts w:hint="default" w:ascii="Times New Roman" w:hAnsi="Times New Roman" w:cs="Times New Roman"/>
          <w:color w:val="auto"/>
          <w:sz w:val="24"/>
          <w:szCs w:val="24"/>
          <w:highlight w:val="none"/>
        </w:rPr>
        <w:t>202</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日至</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18</w:t>
      </w:r>
      <w:r>
        <w:rPr>
          <w:rFonts w:hint="default" w:ascii="Times New Roman" w:hAnsi="Times New Roman" w:cs="Times New Roman"/>
          <w:color w:val="auto"/>
          <w:sz w:val="24"/>
          <w:szCs w:val="24"/>
          <w:highlight w:val="none"/>
        </w:rPr>
        <w:t>日</w:t>
      </w:r>
      <w:r>
        <w:rPr>
          <w:rFonts w:hint="default" w:ascii="Times New Roman" w:hAnsi="Times New Roman" w:cs="Times New Roman"/>
          <w:snapToGrid w:val="0"/>
          <w:color w:val="auto"/>
          <w:kern w:val="0"/>
          <w:sz w:val="24"/>
          <w:highlight w:val="none"/>
        </w:rPr>
        <w:t>进行了为期7天的监测，监测项目为苯并[a]芘、TSP</w:t>
      </w:r>
      <w:r>
        <w:rPr>
          <w:rFonts w:hint="default" w:ascii="Times New Roman" w:hAnsi="Times New Roman" w:cs="Times New Roman"/>
          <w:snapToGrid w:val="0"/>
          <w:color w:val="auto"/>
          <w:kern w:val="0"/>
          <w:sz w:val="24"/>
          <w:highlight w:val="none"/>
          <w:lang w:eastAsia="zh-CN"/>
        </w:rPr>
        <w:t>；2025年7月24日～2025年7月30日</w:t>
      </w:r>
      <w:r>
        <w:rPr>
          <w:rFonts w:hint="default" w:ascii="Times New Roman" w:hAnsi="Times New Roman" w:cs="Times New Roman"/>
          <w:snapToGrid w:val="0"/>
          <w:color w:val="auto"/>
          <w:kern w:val="0"/>
          <w:sz w:val="24"/>
          <w:highlight w:val="none"/>
        </w:rPr>
        <w:t>进行了为期7天的监测，监测项目</w:t>
      </w:r>
      <w:r>
        <w:rPr>
          <w:rFonts w:hint="default" w:ascii="Times New Roman" w:hAnsi="Times New Roman" w:cs="Times New Roman"/>
          <w:snapToGrid w:val="0"/>
          <w:color w:val="auto"/>
          <w:kern w:val="0"/>
          <w:sz w:val="24"/>
          <w:highlight w:val="none"/>
          <w:lang w:val="en-US" w:eastAsia="zh-CN"/>
        </w:rPr>
        <w:t>NMHC</w:t>
      </w:r>
      <w:r>
        <w:rPr>
          <w:rFonts w:hint="default" w:ascii="Times New Roman" w:hAnsi="Times New Roman" w:cs="Times New Roman"/>
          <w:snapToGrid w:val="0"/>
          <w:color w:val="auto"/>
          <w:kern w:val="0"/>
          <w:sz w:val="24"/>
          <w:highlight w:val="none"/>
        </w:rPr>
        <w:t>。</w:t>
      </w:r>
    </w:p>
    <w:p w14:paraId="36F8EA5A">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379" w:name="_Toc32000"/>
      <w:bookmarkStart w:id="380" w:name="_Toc193460006"/>
      <w:bookmarkStart w:id="381" w:name="_Toc25489"/>
      <w:bookmarkStart w:id="382" w:name="_Toc3367"/>
      <w:bookmarkStart w:id="383" w:name="_Toc192758917"/>
      <w:bookmarkStart w:id="384" w:name="_Toc5704"/>
      <w:bookmarkStart w:id="385" w:name="_Toc10620"/>
      <w:bookmarkStart w:id="386" w:name="_Toc8661"/>
      <w:r>
        <w:rPr>
          <w:rFonts w:hint="default" w:ascii="Times New Roman" w:hAnsi="Times New Roman" w:eastAsia="黑体" w:cs="Times New Roman"/>
          <w:bCs/>
          <w:color w:val="auto"/>
          <w:kern w:val="44"/>
          <w:sz w:val="24"/>
          <w:highlight w:val="none"/>
        </w:rPr>
        <w:t>4.2.2监测点布设</w:t>
      </w:r>
      <w:bookmarkEnd w:id="379"/>
      <w:bookmarkEnd w:id="380"/>
      <w:bookmarkEnd w:id="381"/>
      <w:bookmarkEnd w:id="382"/>
      <w:bookmarkEnd w:id="383"/>
      <w:bookmarkEnd w:id="384"/>
      <w:bookmarkEnd w:id="385"/>
      <w:bookmarkEnd w:id="386"/>
      <w:bookmarkStart w:id="387" w:name="_Hlk71806928"/>
    </w:p>
    <w:p w14:paraId="66196144">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根据《环境影响评价技术导则 大气环境》（HJ2.2-2018），补充监测布点以近20年的当地主导风向为轴向，在厂址及主导风向下风向5km范围内设置1~2个监测点。</w:t>
      </w:r>
    </w:p>
    <w:p w14:paraId="7871C0A7">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项目共布设2处监测点</w:t>
      </w:r>
      <w:r>
        <w:rPr>
          <w:rFonts w:hint="default" w:ascii="Times New Roman" w:hAnsi="Times New Roman" w:cs="Times New Roman"/>
          <w:snapToGrid w:val="0"/>
          <w:color w:val="auto"/>
          <w:kern w:val="0"/>
          <w:sz w:val="24"/>
          <w:highlight w:val="none"/>
          <w:lang w:val="en-US" w:eastAsia="zh-CN"/>
        </w:rPr>
        <w:t>监测</w:t>
      </w:r>
      <w:r>
        <w:rPr>
          <w:rFonts w:hint="default" w:ascii="Times New Roman" w:hAnsi="Times New Roman" w:cs="Times New Roman"/>
          <w:snapToGrid w:val="0"/>
          <w:color w:val="auto"/>
          <w:kern w:val="0"/>
          <w:sz w:val="24"/>
          <w:highlight w:val="none"/>
        </w:rPr>
        <w:t>苯并[a]芘、TSP</w:t>
      </w:r>
      <w:r>
        <w:rPr>
          <w:rFonts w:hint="default" w:ascii="Times New Roman" w:hAnsi="Times New Roman" w:cs="Times New Roman"/>
          <w:snapToGrid w:val="0"/>
          <w:color w:val="auto"/>
          <w:kern w:val="0"/>
          <w:sz w:val="24"/>
          <w:highlight w:val="none"/>
          <w:lang w:val="en-US" w:eastAsia="zh-CN"/>
        </w:rPr>
        <w:t xml:space="preserve"> </w:t>
      </w:r>
      <w:r>
        <w:rPr>
          <w:rFonts w:hint="default" w:ascii="Times New Roman" w:hAnsi="Times New Roman" w:cs="Times New Roman"/>
          <w:snapToGrid w:val="0"/>
          <w:color w:val="auto"/>
          <w:kern w:val="0"/>
          <w:sz w:val="24"/>
          <w:highlight w:val="none"/>
        </w:rPr>
        <w:t>：项目区1个，厂区下风向1个</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rPr>
        <w:t>共布设2处监测点</w:t>
      </w:r>
      <w:r>
        <w:rPr>
          <w:rFonts w:hint="default" w:ascii="Times New Roman" w:hAnsi="Times New Roman" w:cs="Times New Roman"/>
          <w:snapToGrid w:val="0"/>
          <w:color w:val="auto"/>
          <w:kern w:val="0"/>
          <w:sz w:val="24"/>
          <w:highlight w:val="none"/>
          <w:lang w:val="en-US" w:eastAsia="zh-CN"/>
        </w:rPr>
        <w:t>监测NMHC</w:t>
      </w:r>
      <w:r>
        <w:rPr>
          <w:rFonts w:hint="default" w:ascii="Times New Roman" w:hAnsi="Times New Roman" w:cs="Times New Roman"/>
          <w:snapToGrid w:val="0"/>
          <w:color w:val="auto"/>
          <w:kern w:val="0"/>
          <w:sz w:val="24"/>
          <w:highlight w:val="none"/>
        </w:rPr>
        <w:t>：项目区1个，厂区下风向1个。</w:t>
      </w:r>
      <w:r>
        <w:rPr>
          <w:rFonts w:hint="default" w:ascii="Times New Roman" w:hAnsi="Times New Roman" w:cs="Times New Roman"/>
          <w:snapToGrid w:val="0"/>
          <w:color w:val="auto"/>
          <w:kern w:val="0"/>
          <w:sz w:val="24"/>
          <w:highlight w:val="none"/>
          <w:lang w:val="en-US" w:eastAsia="zh-CN"/>
        </w:rPr>
        <w:t>各监测布点见下图，</w:t>
      </w:r>
      <w:r>
        <w:rPr>
          <w:rFonts w:hint="default" w:ascii="Times New Roman" w:hAnsi="Times New Roman" w:cs="Times New Roman"/>
          <w:snapToGrid w:val="0"/>
          <w:color w:val="auto"/>
          <w:kern w:val="0"/>
          <w:sz w:val="24"/>
          <w:highlight w:val="none"/>
        </w:rPr>
        <w:t>各监测点的情况见下表。</w:t>
      </w:r>
    </w:p>
    <w:bookmarkEnd w:id="387"/>
    <w:p w14:paraId="62D7E4AF">
      <w:pPr>
        <w:adjustRightInd w:val="0"/>
        <w:spacing w:line="500" w:lineRule="exact"/>
        <w:jc w:val="center"/>
        <w:rPr>
          <w:rFonts w:hint="default" w:ascii="Times New Roman" w:hAnsi="Times New Roman" w:eastAsia="黑体" w:cs="Times New Roman"/>
          <w:color w:val="auto"/>
          <w:sz w:val="24"/>
          <w:highlight w:val="none"/>
        </w:rPr>
      </w:pPr>
      <w:bookmarkStart w:id="388" w:name="_Hlk71806932"/>
      <w:r>
        <w:rPr>
          <w:rFonts w:hint="default" w:ascii="Times New Roman" w:hAnsi="Times New Roman" w:eastAsia="黑体" w:cs="Times New Roman"/>
          <w:color w:val="auto"/>
          <w:sz w:val="24"/>
          <w:highlight w:val="none"/>
        </w:rPr>
        <w:t>表4</w:t>
      </w:r>
      <w:r>
        <w:rPr>
          <w:rFonts w:hint="default" w:ascii="Times New Roman" w:hAnsi="Times New Roman" w:eastAsia="黑体" w:cs="Times New Roman"/>
          <w:color w:val="auto"/>
          <w:sz w:val="24"/>
          <w:highlight w:val="none"/>
          <w:lang w:val="en-US" w:eastAsia="zh-CN"/>
        </w:rPr>
        <w:t>.2</w:t>
      </w:r>
      <w:r>
        <w:rPr>
          <w:rFonts w:hint="default" w:ascii="Times New Roman" w:hAnsi="Times New Roman" w:eastAsia="黑体" w:cs="Times New Roman"/>
          <w:color w:val="auto"/>
          <w:sz w:val="24"/>
          <w:highlight w:val="none"/>
        </w:rPr>
        <w:t>-</w:t>
      </w:r>
      <w:r>
        <w:rPr>
          <w:rFonts w:hint="default" w:ascii="Times New Roman" w:hAnsi="Times New Roman" w:eastAsia="黑体" w:cs="Times New Roman"/>
          <w:color w:val="auto"/>
          <w:sz w:val="24"/>
          <w:highlight w:val="none"/>
          <w:lang w:val="en-US" w:eastAsia="zh-CN"/>
        </w:rPr>
        <w:t>1</w:t>
      </w:r>
      <w:r>
        <w:rPr>
          <w:rFonts w:hint="default" w:ascii="Times New Roman" w:hAnsi="Times New Roman" w:eastAsia="黑体" w:cs="Times New Roman"/>
          <w:color w:val="auto"/>
          <w:sz w:val="24"/>
          <w:highlight w:val="none"/>
        </w:rPr>
        <w:t>环境空气监测布点情况</w:t>
      </w:r>
    </w:p>
    <w:bookmarkEnd w:id="388"/>
    <w:tbl>
      <w:tblPr>
        <w:tblStyle w:val="30"/>
        <w:tblW w:w="499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1597"/>
        <w:gridCol w:w="1121"/>
        <w:gridCol w:w="1122"/>
        <w:gridCol w:w="827"/>
        <w:gridCol w:w="1887"/>
        <w:gridCol w:w="868"/>
        <w:gridCol w:w="936"/>
      </w:tblGrid>
      <w:tr w14:paraId="1073F67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7" w:hRule="atLeast"/>
          <w:jc w:val="center"/>
        </w:trPr>
        <w:tc>
          <w:tcPr>
            <w:tcW w:w="955" w:type="pct"/>
            <w:vMerge w:val="restart"/>
            <w:noWrap w:val="0"/>
            <w:vAlign w:val="center"/>
          </w:tcPr>
          <w:p w14:paraId="480FC215">
            <w:pPr>
              <w:pStyle w:val="160"/>
              <w:rPr>
                <w:rFonts w:hint="default" w:ascii="Times New Roman" w:hAnsi="Times New Roman" w:cs="Times New Roman"/>
                <w:color w:val="auto"/>
                <w:highlight w:val="none"/>
              </w:rPr>
            </w:pPr>
            <w:bookmarkStart w:id="389" w:name="_Toc18734"/>
            <w:bookmarkStart w:id="390" w:name="_Toc587"/>
            <w:bookmarkStart w:id="391" w:name="_Toc31855"/>
            <w:bookmarkStart w:id="392" w:name="_Toc28218"/>
            <w:bookmarkStart w:id="393" w:name="_Toc193460007"/>
            <w:bookmarkStart w:id="394" w:name="_Toc192758918"/>
            <w:r>
              <w:rPr>
                <w:rFonts w:hint="default" w:ascii="Times New Roman" w:hAnsi="Times New Roman" w:cs="Times New Roman"/>
                <w:color w:val="auto"/>
                <w:highlight w:val="none"/>
              </w:rPr>
              <w:t>监测点名称</w:t>
            </w:r>
          </w:p>
        </w:tc>
        <w:tc>
          <w:tcPr>
            <w:tcW w:w="1341" w:type="pct"/>
            <w:gridSpan w:val="2"/>
            <w:tcBorders>
              <w:bottom w:val="single" w:color="auto" w:sz="4" w:space="0"/>
            </w:tcBorders>
            <w:noWrap w:val="0"/>
            <w:vAlign w:val="center"/>
          </w:tcPr>
          <w:p w14:paraId="4FEA7B2E">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监测点坐标/°</w:t>
            </w:r>
          </w:p>
        </w:tc>
        <w:tc>
          <w:tcPr>
            <w:tcW w:w="494" w:type="pct"/>
            <w:vMerge w:val="restart"/>
            <w:tcBorders>
              <w:left w:val="single" w:color="auto" w:sz="4" w:space="0"/>
            </w:tcBorders>
            <w:noWrap w:val="0"/>
            <w:vAlign w:val="center"/>
          </w:tcPr>
          <w:p w14:paraId="216E5A6B">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1128" w:type="pct"/>
            <w:vMerge w:val="restart"/>
            <w:tcBorders>
              <w:left w:val="single" w:color="auto" w:sz="4" w:space="0"/>
            </w:tcBorders>
            <w:noWrap w:val="0"/>
            <w:vAlign w:val="center"/>
          </w:tcPr>
          <w:p w14:paraId="662B0B12">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监测时段</w:t>
            </w:r>
          </w:p>
        </w:tc>
        <w:tc>
          <w:tcPr>
            <w:tcW w:w="519" w:type="pct"/>
            <w:vMerge w:val="restart"/>
            <w:tcBorders>
              <w:left w:val="single" w:color="auto" w:sz="4" w:space="0"/>
            </w:tcBorders>
            <w:noWrap w:val="0"/>
            <w:vAlign w:val="center"/>
          </w:tcPr>
          <w:p w14:paraId="35DEEF7D">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相对项目区方位</w:t>
            </w:r>
          </w:p>
        </w:tc>
        <w:tc>
          <w:tcPr>
            <w:tcW w:w="559" w:type="pct"/>
            <w:vMerge w:val="restart"/>
            <w:noWrap w:val="0"/>
            <w:vAlign w:val="center"/>
          </w:tcPr>
          <w:p w14:paraId="1DEAFAF0">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相对项目区边界距离（m）</w:t>
            </w:r>
          </w:p>
        </w:tc>
      </w:tr>
      <w:tr w14:paraId="7047016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7" w:hRule="atLeast"/>
          <w:jc w:val="center"/>
        </w:trPr>
        <w:tc>
          <w:tcPr>
            <w:tcW w:w="955" w:type="pct"/>
            <w:vMerge w:val="continue"/>
            <w:noWrap w:val="0"/>
            <w:vAlign w:val="center"/>
          </w:tcPr>
          <w:p w14:paraId="1F157817">
            <w:pPr>
              <w:pStyle w:val="160"/>
              <w:rPr>
                <w:rFonts w:hint="default" w:ascii="Times New Roman" w:hAnsi="Times New Roman" w:cs="Times New Roman"/>
                <w:color w:val="auto"/>
                <w:highlight w:val="none"/>
              </w:rPr>
            </w:pPr>
          </w:p>
        </w:tc>
        <w:tc>
          <w:tcPr>
            <w:tcW w:w="670" w:type="pct"/>
            <w:tcBorders>
              <w:top w:val="single" w:color="auto" w:sz="4" w:space="0"/>
              <w:right w:val="single" w:color="auto" w:sz="4" w:space="0"/>
            </w:tcBorders>
            <w:noWrap w:val="0"/>
            <w:vAlign w:val="center"/>
          </w:tcPr>
          <w:p w14:paraId="5B139CC1">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671" w:type="pct"/>
            <w:tcBorders>
              <w:top w:val="single" w:color="auto" w:sz="4" w:space="0"/>
              <w:left w:val="single" w:color="auto" w:sz="4" w:space="0"/>
            </w:tcBorders>
            <w:noWrap w:val="0"/>
            <w:vAlign w:val="center"/>
          </w:tcPr>
          <w:p w14:paraId="0F70E8FD">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494" w:type="pct"/>
            <w:vMerge w:val="continue"/>
            <w:tcBorders>
              <w:left w:val="single" w:color="auto" w:sz="4" w:space="0"/>
            </w:tcBorders>
            <w:noWrap w:val="0"/>
            <w:vAlign w:val="center"/>
          </w:tcPr>
          <w:p w14:paraId="1B3E461A">
            <w:pPr>
              <w:pStyle w:val="160"/>
              <w:rPr>
                <w:rFonts w:hint="default" w:ascii="Times New Roman" w:hAnsi="Times New Roman" w:cs="Times New Roman"/>
                <w:color w:val="auto"/>
                <w:highlight w:val="none"/>
              </w:rPr>
            </w:pPr>
          </w:p>
        </w:tc>
        <w:tc>
          <w:tcPr>
            <w:tcW w:w="1128" w:type="pct"/>
            <w:vMerge w:val="continue"/>
            <w:tcBorders>
              <w:left w:val="single" w:color="auto" w:sz="4" w:space="0"/>
            </w:tcBorders>
            <w:noWrap w:val="0"/>
            <w:vAlign w:val="center"/>
          </w:tcPr>
          <w:p w14:paraId="1BEC323D">
            <w:pPr>
              <w:pStyle w:val="160"/>
              <w:rPr>
                <w:rFonts w:hint="default" w:ascii="Times New Roman" w:hAnsi="Times New Roman" w:cs="Times New Roman"/>
                <w:color w:val="auto"/>
                <w:highlight w:val="none"/>
              </w:rPr>
            </w:pPr>
          </w:p>
        </w:tc>
        <w:tc>
          <w:tcPr>
            <w:tcW w:w="519" w:type="pct"/>
            <w:vMerge w:val="continue"/>
            <w:tcBorders>
              <w:left w:val="single" w:color="auto" w:sz="4" w:space="0"/>
            </w:tcBorders>
            <w:noWrap w:val="0"/>
            <w:vAlign w:val="center"/>
          </w:tcPr>
          <w:p w14:paraId="31CEC1A1">
            <w:pPr>
              <w:pStyle w:val="160"/>
              <w:rPr>
                <w:rFonts w:hint="default" w:ascii="Times New Roman" w:hAnsi="Times New Roman" w:cs="Times New Roman"/>
                <w:color w:val="auto"/>
                <w:highlight w:val="none"/>
              </w:rPr>
            </w:pPr>
          </w:p>
        </w:tc>
        <w:tc>
          <w:tcPr>
            <w:tcW w:w="559" w:type="pct"/>
            <w:vMerge w:val="continue"/>
            <w:noWrap w:val="0"/>
            <w:vAlign w:val="center"/>
          </w:tcPr>
          <w:p w14:paraId="0ACEBD81">
            <w:pPr>
              <w:pStyle w:val="160"/>
              <w:rPr>
                <w:rFonts w:hint="default" w:ascii="Times New Roman" w:hAnsi="Times New Roman" w:cs="Times New Roman"/>
                <w:color w:val="auto"/>
                <w:highlight w:val="none"/>
              </w:rPr>
            </w:pPr>
          </w:p>
        </w:tc>
      </w:tr>
      <w:tr w14:paraId="67A6A09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7" w:hRule="atLeast"/>
          <w:jc w:val="center"/>
        </w:trPr>
        <w:tc>
          <w:tcPr>
            <w:tcW w:w="955" w:type="pct"/>
            <w:noWrap w:val="0"/>
            <w:vAlign w:val="center"/>
          </w:tcPr>
          <w:p w14:paraId="4889F9FF">
            <w:pPr>
              <w:pStyle w:val="16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厂址</w:t>
            </w:r>
          </w:p>
        </w:tc>
        <w:tc>
          <w:tcPr>
            <w:tcW w:w="670" w:type="pct"/>
            <w:tcBorders>
              <w:right w:val="single" w:color="auto" w:sz="4" w:space="0"/>
            </w:tcBorders>
            <w:noWrap w:val="0"/>
            <w:vAlign w:val="center"/>
          </w:tcPr>
          <w:p w14:paraId="79C7194E">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133.032594</w:t>
            </w:r>
          </w:p>
        </w:tc>
        <w:tc>
          <w:tcPr>
            <w:tcW w:w="671" w:type="pct"/>
            <w:tcBorders>
              <w:left w:val="single" w:color="auto" w:sz="4" w:space="0"/>
            </w:tcBorders>
            <w:noWrap w:val="0"/>
            <w:vAlign w:val="center"/>
          </w:tcPr>
          <w:p w14:paraId="3B84024B">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45.792081</w:t>
            </w:r>
          </w:p>
        </w:tc>
        <w:tc>
          <w:tcPr>
            <w:tcW w:w="494" w:type="pct"/>
            <w:vMerge w:val="restart"/>
            <w:tcBorders>
              <w:left w:val="single" w:color="auto" w:sz="4" w:space="0"/>
            </w:tcBorders>
            <w:noWrap w:val="0"/>
            <w:vAlign w:val="center"/>
          </w:tcPr>
          <w:p w14:paraId="3EB8AA89">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TSP、苯并[a]芘</w:t>
            </w:r>
          </w:p>
        </w:tc>
        <w:tc>
          <w:tcPr>
            <w:tcW w:w="1128" w:type="pct"/>
            <w:vMerge w:val="restart"/>
            <w:tcBorders>
              <w:left w:val="single" w:color="auto" w:sz="4" w:space="0"/>
            </w:tcBorders>
            <w:noWrap w:val="0"/>
            <w:vAlign w:val="center"/>
          </w:tcPr>
          <w:p w14:paraId="592CEBE0">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日～202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6月19</w:t>
            </w:r>
            <w:r>
              <w:rPr>
                <w:rFonts w:hint="default" w:ascii="Times New Roman" w:hAnsi="Times New Roman" w:cs="Times New Roman"/>
                <w:color w:val="auto"/>
                <w:highlight w:val="none"/>
              </w:rPr>
              <w:t>日</w:t>
            </w:r>
          </w:p>
        </w:tc>
        <w:tc>
          <w:tcPr>
            <w:tcW w:w="519" w:type="pct"/>
            <w:tcBorders>
              <w:left w:val="single" w:color="auto" w:sz="4" w:space="0"/>
            </w:tcBorders>
            <w:noWrap w:val="0"/>
            <w:vAlign w:val="center"/>
          </w:tcPr>
          <w:p w14:paraId="75A522DE">
            <w:pPr>
              <w:pStyle w:val="16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59" w:type="pct"/>
            <w:noWrap w:val="0"/>
            <w:vAlign w:val="center"/>
          </w:tcPr>
          <w:p w14:paraId="087F361B">
            <w:pPr>
              <w:pStyle w:val="16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14:paraId="4296746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7" w:hRule="atLeast"/>
          <w:jc w:val="center"/>
        </w:trPr>
        <w:tc>
          <w:tcPr>
            <w:tcW w:w="955" w:type="pct"/>
            <w:noWrap w:val="0"/>
            <w:vAlign w:val="center"/>
          </w:tcPr>
          <w:p w14:paraId="7305A62F">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厂址下风向</w:t>
            </w:r>
          </w:p>
        </w:tc>
        <w:tc>
          <w:tcPr>
            <w:tcW w:w="670" w:type="pct"/>
            <w:tcBorders>
              <w:right w:val="single" w:color="auto" w:sz="4" w:space="0"/>
            </w:tcBorders>
            <w:noWrap w:val="0"/>
            <w:vAlign w:val="center"/>
          </w:tcPr>
          <w:p w14:paraId="6C7E0F92">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133.034269</w:t>
            </w:r>
          </w:p>
        </w:tc>
        <w:tc>
          <w:tcPr>
            <w:tcW w:w="671" w:type="pct"/>
            <w:tcBorders>
              <w:left w:val="single" w:color="auto" w:sz="4" w:space="0"/>
            </w:tcBorders>
            <w:noWrap w:val="0"/>
            <w:vAlign w:val="center"/>
          </w:tcPr>
          <w:p w14:paraId="31A1B062">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45.792424</w:t>
            </w:r>
          </w:p>
        </w:tc>
        <w:tc>
          <w:tcPr>
            <w:tcW w:w="494" w:type="pct"/>
            <w:vMerge w:val="continue"/>
            <w:tcBorders>
              <w:left w:val="single" w:color="auto" w:sz="4" w:space="0"/>
            </w:tcBorders>
            <w:noWrap w:val="0"/>
            <w:vAlign w:val="center"/>
          </w:tcPr>
          <w:p w14:paraId="6BC6508D">
            <w:pPr>
              <w:pStyle w:val="160"/>
              <w:rPr>
                <w:rFonts w:hint="default" w:ascii="Times New Roman" w:hAnsi="Times New Roman" w:cs="Times New Roman"/>
                <w:color w:val="auto"/>
                <w:highlight w:val="none"/>
              </w:rPr>
            </w:pPr>
          </w:p>
        </w:tc>
        <w:tc>
          <w:tcPr>
            <w:tcW w:w="1128" w:type="pct"/>
            <w:vMerge w:val="continue"/>
            <w:tcBorders>
              <w:left w:val="single" w:color="auto" w:sz="4" w:space="0"/>
            </w:tcBorders>
            <w:noWrap w:val="0"/>
            <w:vAlign w:val="center"/>
          </w:tcPr>
          <w:p w14:paraId="1640096F">
            <w:pPr>
              <w:pStyle w:val="160"/>
              <w:rPr>
                <w:rFonts w:hint="default" w:ascii="Times New Roman" w:hAnsi="Times New Roman" w:cs="Times New Roman"/>
                <w:color w:val="auto"/>
                <w:highlight w:val="none"/>
              </w:rPr>
            </w:pPr>
          </w:p>
        </w:tc>
        <w:tc>
          <w:tcPr>
            <w:tcW w:w="519" w:type="pct"/>
            <w:tcBorders>
              <w:left w:val="single" w:color="auto" w:sz="4" w:space="0"/>
            </w:tcBorders>
            <w:shd w:val="clear" w:color="auto" w:fill="auto"/>
            <w:noWrap w:val="0"/>
            <w:vAlign w:val="center"/>
          </w:tcPr>
          <w:p w14:paraId="1081B7B1">
            <w:pPr>
              <w:pStyle w:val="16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NE</w:t>
            </w:r>
          </w:p>
        </w:tc>
        <w:tc>
          <w:tcPr>
            <w:tcW w:w="559" w:type="pct"/>
            <w:shd w:val="clear" w:color="auto" w:fill="auto"/>
            <w:noWrap w:val="0"/>
            <w:vAlign w:val="center"/>
          </w:tcPr>
          <w:p w14:paraId="4229605E">
            <w:pPr>
              <w:pStyle w:val="16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40</w:t>
            </w:r>
          </w:p>
        </w:tc>
      </w:tr>
      <w:tr w14:paraId="2568012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7" w:hRule="atLeast"/>
          <w:jc w:val="center"/>
        </w:trPr>
        <w:tc>
          <w:tcPr>
            <w:tcW w:w="955" w:type="pct"/>
            <w:noWrap w:val="0"/>
            <w:vAlign w:val="center"/>
          </w:tcPr>
          <w:p w14:paraId="220B7132">
            <w:pPr>
              <w:pStyle w:val="160"/>
              <w:ind w:firstLine="0" w:firstLineChars="0"/>
              <w:rPr>
                <w:rFonts w:hint="default" w:ascii="Times New Roman" w:hAnsi="Times New Roman" w:cs="Times New Roman"/>
                <w:color w:val="auto"/>
                <w:highlight w:val="none"/>
                <w:lang w:val="en-US" w:eastAsia="zh-CN"/>
              </w:rPr>
            </w:pPr>
            <w:bookmarkStart w:id="395" w:name="_Toc10471"/>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厂址</w:t>
            </w:r>
          </w:p>
        </w:tc>
        <w:tc>
          <w:tcPr>
            <w:tcW w:w="670" w:type="pct"/>
            <w:tcBorders>
              <w:right w:val="single" w:color="auto" w:sz="4" w:space="0"/>
            </w:tcBorders>
            <w:noWrap w:val="0"/>
            <w:vAlign w:val="center"/>
          </w:tcPr>
          <w:p w14:paraId="4D04F842">
            <w:pPr>
              <w:pStyle w:val="1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133.032594</w:t>
            </w:r>
          </w:p>
        </w:tc>
        <w:tc>
          <w:tcPr>
            <w:tcW w:w="671" w:type="pct"/>
            <w:tcBorders>
              <w:left w:val="single" w:color="auto" w:sz="4" w:space="0"/>
            </w:tcBorders>
            <w:noWrap w:val="0"/>
            <w:vAlign w:val="center"/>
          </w:tcPr>
          <w:p w14:paraId="6A990F68">
            <w:pPr>
              <w:pStyle w:val="1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45.792181</w:t>
            </w:r>
          </w:p>
        </w:tc>
        <w:tc>
          <w:tcPr>
            <w:tcW w:w="494" w:type="pct"/>
            <w:vMerge w:val="restart"/>
            <w:tcBorders>
              <w:left w:val="single" w:color="auto" w:sz="4" w:space="0"/>
            </w:tcBorders>
            <w:noWrap w:val="0"/>
            <w:vAlign w:val="center"/>
          </w:tcPr>
          <w:p w14:paraId="2F842959">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NMHC</w:t>
            </w:r>
          </w:p>
        </w:tc>
        <w:tc>
          <w:tcPr>
            <w:tcW w:w="1128" w:type="pct"/>
            <w:vMerge w:val="restart"/>
            <w:tcBorders>
              <w:left w:val="single" w:color="auto" w:sz="4" w:space="0"/>
            </w:tcBorders>
            <w:noWrap w:val="0"/>
            <w:vAlign w:val="center"/>
          </w:tcPr>
          <w:p w14:paraId="5A764FCD">
            <w:pPr>
              <w:pStyle w:val="160"/>
              <w:rPr>
                <w:rFonts w:hint="default" w:ascii="Times New Roman" w:hAnsi="Times New Roman" w:cs="Times New Roman"/>
                <w:color w:val="auto"/>
                <w:highlight w:val="none"/>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rPr>
              <w:t>日～202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7月30</w:t>
            </w:r>
            <w:r>
              <w:rPr>
                <w:rFonts w:hint="default" w:ascii="Times New Roman" w:hAnsi="Times New Roman" w:cs="Times New Roman"/>
                <w:color w:val="auto"/>
                <w:highlight w:val="none"/>
              </w:rPr>
              <w:t>日</w:t>
            </w:r>
          </w:p>
        </w:tc>
        <w:tc>
          <w:tcPr>
            <w:tcW w:w="868" w:type="dxa"/>
            <w:tcBorders>
              <w:left w:val="single" w:color="auto" w:sz="4" w:space="0"/>
            </w:tcBorders>
            <w:shd w:val="clear" w:color="auto" w:fill="auto"/>
            <w:noWrap w:val="0"/>
            <w:vAlign w:val="center"/>
          </w:tcPr>
          <w:p w14:paraId="763CE198">
            <w:pPr>
              <w:pStyle w:val="16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936" w:type="dxa"/>
            <w:shd w:val="clear" w:color="auto" w:fill="auto"/>
            <w:noWrap w:val="0"/>
            <w:vAlign w:val="center"/>
          </w:tcPr>
          <w:p w14:paraId="6BD841B1">
            <w:pPr>
              <w:pStyle w:val="16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27B6533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57" w:hRule="atLeast"/>
          <w:jc w:val="center"/>
        </w:trPr>
        <w:tc>
          <w:tcPr>
            <w:tcW w:w="955" w:type="pct"/>
            <w:noWrap w:val="0"/>
            <w:vAlign w:val="center"/>
          </w:tcPr>
          <w:p w14:paraId="778F89F4">
            <w:pPr>
              <w:pStyle w:val="16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厂址下风向</w:t>
            </w:r>
          </w:p>
        </w:tc>
        <w:tc>
          <w:tcPr>
            <w:tcW w:w="670" w:type="pct"/>
            <w:tcBorders>
              <w:right w:val="single" w:color="auto" w:sz="4" w:space="0"/>
            </w:tcBorders>
            <w:noWrap w:val="0"/>
            <w:vAlign w:val="center"/>
          </w:tcPr>
          <w:p w14:paraId="484AB58B">
            <w:pPr>
              <w:pStyle w:val="1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133.033994</w:t>
            </w:r>
          </w:p>
        </w:tc>
        <w:tc>
          <w:tcPr>
            <w:tcW w:w="671" w:type="pct"/>
            <w:tcBorders>
              <w:left w:val="single" w:color="auto" w:sz="4" w:space="0"/>
            </w:tcBorders>
            <w:noWrap w:val="0"/>
            <w:vAlign w:val="center"/>
          </w:tcPr>
          <w:p w14:paraId="729B504F">
            <w:pPr>
              <w:pStyle w:val="1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45.792681</w:t>
            </w:r>
          </w:p>
        </w:tc>
        <w:tc>
          <w:tcPr>
            <w:tcW w:w="494" w:type="pct"/>
            <w:vMerge w:val="continue"/>
            <w:tcBorders>
              <w:left w:val="single" w:color="auto" w:sz="4" w:space="0"/>
            </w:tcBorders>
            <w:noWrap w:val="0"/>
            <w:vAlign w:val="center"/>
          </w:tcPr>
          <w:p w14:paraId="5C9DCC54">
            <w:pPr>
              <w:pStyle w:val="160"/>
              <w:rPr>
                <w:rFonts w:hint="default" w:ascii="Times New Roman" w:hAnsi="Times New Roman" w:cs="Times New Roman"/>
                <w:color w:val="auto"/>
                <w:highlight w:val="none"/>
              </w:rPr>
            </w:pPr>
          </w:p>
        </w:tc>
        <w:tc>
          <w:tcPr>
            <w:tcW w:w="1128" w:type="pct"/>
            <w:vMerge w:val="continue"/>
            <w:tcBorders>
              <w:left w:val="single" w:color="auto" w:sz="4" w:space="0"/>
            </w:tcBorders>
            <w:noWrap w:val="0"/>
            <w:vAlign w:val="center"/>
          </w:tcPr>
          <w:p w14:paraId="70E283DC">
            <w:pPr>
              <w:pStyle w:val="160"/>
              <w:rPr>
                <w:rFonts w:hint="default" w:ascii="Times New Roman" w:hAnsi="Times New Roman" w:cs="Times New Roman"/>
                <w:color w:val="auto"/>
                <w:highlight w:val="none"/>
              </w:rPr>
            </w:pPr>
          </w:p>
        </w:tc>
        <w:tc>
          <w:tcPr>
            <w:tcW w:w="519" w:type="pct"/>
            <w:tcBorders>
              <w:left w:val="single" w:color="auto" w:sz="4" w:space="0"/>
            </w:tcBorders>
            <w:shd w:val="clear" w:color="auto" w:fill="auto"/>
            <w:noWrap w:val="0"/>
            <w:vAlign w:val="center"/>
          </w:tcPr>
          <w:p w14:paraId="7748C21E">
            <w:pPr>
              <w:pStyle w:val="16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NE</w:t>
            </w:r>
          </w:p>
        </w:tc>
        <w:tc>
          <w:tcPr>
            <w:tcW w:w="559" w:type="pct"/>
            <w:shd w:val="clear" w:color="auto" w:fill="auto"/>
            <w:noWrap w:val="0"/>
            <w:vAlign w:val="center"/>
          </w:tcPr>
          <w:p w14:paraId="1E86870E">
            <w:pPr>
              <w:pStyle w:val="160"/>
              <w:ind w:firstLine="0" w:firstLineChars="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45</w:t>
            </w:r>
          </w:p>
        </w:tc>
      </w:tr>
    </w:tbl>
    <w:p w14:paraId="6C8A9D0D">
      <w:pPr>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507865" cy="2913380"/>
            <wp:effectExtent l="0" t="0" r="6985" b="127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64"/>
                    <a:stretch>
                      <a:fillRect/>
                    </a:stretch>
                  </pic:blipFill>
                  <pic:spPr>
                    <a:xfrm>
                      <a:off x="0" y="0"/>
                      <a:ext cx="4507865" cy="2913380"/>
                    </a:xfrm>
                    <a:prstGeom prst="rect">
                      <a:avLst/>
                    </a:prstGeom>
                    <a:noFill/>
                    <a:ln>
                      <a:noFill/>
                    </a:ln>
                  </pic:spPr>
                </pic:pic>
              </a:graphicData>
            </a:graphic>
          </wp:inline>
        </w:drawing>
      </w:r>
    </w:p>
    <w:p w14:paraId="2EB67F3B">
      <w:pPr>
        <w:bidi w:val="0"/>
        <w:jc w:val="center"/>
        <w:rPr>
          <w:rFonts w:hint="default" w:ascii="Times New Roman" w:hAnsi="Times New Roman" w:cs="Times New Roman"/>
          <w:color w:val="auto"/>
          <w:highlight w:val="none"/>
          <w:lang w:val="en-US" w:eastAsia="zh-CN"/>
        </w:rPr>
      </w:pPr>
      <w:bookmarkStart w:id="396" w:name="_Toc28396"/>
      <w:r>
        <w:rPr>
          <w:rFonts w:hint="default" w:ascii="Times New Roman" w:hAnsi="Times New Roman" w:cs="Times New Roman"/>
          <w:color w:val="auto"/>
          <w:highlight w:val="none"/>
          <w:lang w:val="en-US" w:eastAsia="zh-CN"/>
        </w:rPr>
        <w:t>图1 监测点位布点图</w:t>
      </w:r>
      <w:bookmarkEnd w:id="396"/>
    </w:p>
    <w:p w14:paraId="5BD39A3D">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227830" cy="3275330"/>
            <wp:effectExtent l="0" t="0" r="1270" b="127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22"/>
                    <a:stretch>
                      <a:fillRect/>
                    </a:stretch>
                  </pic:blipFill>
                  <pic:spPr>
                    <a:xfrm>
                      <a:off x="0" y="0"/>
                      <a:ext cx="4227830" cy="3275330"/>
                    </a:xfrm>
                    <a:prstGeom prst="rect">
                      <a:avLst/>
                    </a:prstGeom>
                    <a:noFill/>
                    <a:ln>
                      <a:noFill/>
                    </a:ln>
                  </pic:spPr>
                </pic:pic>
              </a:graphicData>
            </a:graphic>
          </wp:inline>
        </w:drawing>
      </w:r>
    </w:p>
    <w:p w14:paraId="359913FA">
      <w:pPr>
        <w:pStyle w:val="38"/>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图2 补充监测布点图</w:t>
      </w:r>
    </w:p>
    <w:p w14:paraId="28363393">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397" w:name="_Toc28729"/>
      <w:r>
        <w:rPr>
          <w:rFonts w:hint="default" w:ascii="Times New Roman" w:hAnsi="Times New Roman" w:eastAsia="黑体" w:cs="Times New Roman"/>
          <w:bCs/>
          <w:color w:val="auto"/>
          <w:kern w:val="44"/>
          <w:sz w:val="24"/>
          <w:highlight w:val="none"/>
        </w:rPr>
        <w:t>4.2.3监测分析方法及仪器</w:t>
      </w:r>
      <w:bookmarkEnd w:id="389"/>
      <w:bookmarkEnd w:id="390"/>
      <w:bookmarkEnd w:id="391"/>
      <w:bookmarkEnd w:id="392"/>
      <w:bookmarkEnd w:id="393"/>
      <w:bookmarkEnd w:id="394"/>
      <w:bookmarkEnd w:id="395"/>
      <w:bookmarkEnd w:id="397"/>
      <w:bookmarkStart w:id="398" w:name="_Hlk71806942"/>
    </w:p>
    <w:bookmarkEnd w:id="398"/>
    <w:p w14:paraId="7FD30981">
      <w:pPr>
        <w:spacing w:line="400" w:lineRule="exact"/>
        <w:jc w:val="center"/>
        <w:rPr>
          <w:rFonts w:hint="default" w:ascii="Times New Roman" w:hAnsi="Times New Roman" w:eastAsia="黑体" w:cs="Times New Roman"/>
          <w:snapToGrid w:val="0"/>
          <w:color w:val="auto"/>
          <w:kern w:val="0"/>
          <w:sz w:val="24"/>
          <w:highlight w:val="none"/>
          <w:lang w:val="zh-CN"/>
        </w:rPr>
      </w:pPr>
      <w:bookmarkStart w:id="399" w:name="_Hlk71806944"/>
      <w:r>
        <w:rPr>
          <w:rFonts w:hint="default" w:ascii="Times New Roman" w:hAnsi="Times New Roman" w:eastAsia="黑体" w:cs="Times New Roman"/>
          <w:snapToGrid w:val="0"/>
          <w:color w:val="auto"/>
          <w:kern w:val="0"/>
          <w:sz w:val="24"/>
          <w:highlight w:val="none"/>
          <w:lang w:val="zh-CN"/>
        </w:rPr>
        <w:t>表4</w:t>
      </w:r>
      <w:r>
        <w:rPr>
          <w:rFonts w:hint="default" w:ascii="Times New Roman" w:hAnsi="Times New Roman" w:eastAsia="黑体" w:cs="Times New Roman"/>
          <w:snapToGrid w:val="0"/>
          <w:color w:val="auto"/>
          <w:kern w:val="0"/>
          <w:sz w:val="24"/>
          <w:highlight w:val="none"/>
          <w:lang w:val="en-US" w:eastAsia="zh-CN"/>
        </w:rPr>
        <w:t>.2</w:t>
      </w:r>
      <w:r>
        <w:rPr>
          <w:rFonts w:hint="default" w:ascii="Times New Roman" w:hAnsi="Times New Roman" w:eastAsia="黑体" w:cs="Times New Roman"/>
          <w:snapToGrid w:val="0"/>
          <w:color w:val="auto"/>
          <w:kern w:val="0"/>
          <w:sz w:val="24"/>
          <w:highlight w:val="none"/>
          <w:lang w:val="zh-CN"/>
        </w:rPr>
        <w:t>-</w:t>
      </w:r>
      <w:r>
        <w:rPr>
          <w:rFonts w:hint="default" w:ascii="Times New Roman" w:hAnsi="Times New Roman" w:eastAsia="黑体" w:cs="Times New Roman"/>
          <w:snapToGrid w:val="0"/>
          <w:color w:val="auto"/>
          <w:kern w:val="0"/>
          <w:sz w:val="24"/>
          <w:highlight w:val="none"/>
          <w:lang w:val="en-US" w:eastAsia="zh-CN"/>
        </w:rPr>
        <w:t>2</w:t>
      </w:r>
      <w:r>
        <w:rPr>
          <w:rFonts w:hint="default" w:ascii="Times New Roman" w:hAnsi="Times New Roman" w:eastAsia="黑体" w:cs="Times New Roman"/>
          <w:snapToGrid w:val="0"/>
          <w:color w:val="auto"/>
          <w:kern w:val="0"/>
          <w:sz w:val="24"/>
          <w:highlight w:val="none"/>
          <w:lang w:val="zh-CN"/>
        </w:rPr>
        <w:t>监测分析方法及仪器</w:t>
      </w:r>
    </w:p>
    <w:bookmarkEnd w:id="399"/>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1"/>
        <w:gridCol w:w="1180"/>
        <w:gridCol w:w="3637"/>
        <w:gridCol w:w="3021"/>
      </w:tblGrid>
      <w:tr w14:paraId="744ACC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99" w:type="pct"/>
            <w:noWrap w:val="0"/>
            <w:vAlign w:val="center"/>
          </w:tcPr>
          <w:p w14:paraId="5823DEB3">
            <w:pPr>
              <w:jc w:val="center"/>
              <w:rPr>
                <w:rFonts w:hint="default" w:ascii="Times New Roman" w:hAnsi="Times New Roman" w:cs="Times New Roman"/>
                <w:b/>
                <w:bCs/>
                <w:color w:val="auto"/>
                <w:szCs w:val="21"/>
                <w:highlight w:val="none"/>
              </w:rPr>
            </w:pPr>
            <w:bookmarkStart w:id="400" w:name="_Toc193460008"/>
            <w:bookmarkStart w:id="401" w:name="_Toc192758919"/>
            <w:bookmarkStart w:id="402" w:name="_Toc11049"/>
            <w:bookmarkStart w:id="403" w:name="_Toc19638"/>
            <w:bookmarkStart w:id="404" w:name="_Toc6978"/>
            <w:bookmarkStart w:id="405" w:name="_Toc4479"/>
            <w:bookmarkStart w:id="406" w:name="_Hlk71806959"/>
            <w:r>
              <w:rPr>
                <w:rFonts w:hint="default" w:ascii="Times New Roman" w:hAnsi="Times New Roman" w:cs="Times New Roman"/>
                <w:b/>
                <w:bCs/>
                <w:color w:val="auto"/>
                <w:szCs w:val="21"/>
                <w:highlight w:val="none"/>
              </w:rPr>
              <w:t>类别</w:t>
            </w:r>
          </w:p>
        </w:tc>
        <w:tc>
          <w:tcPr>
            <w:tcW w:w="692" w:type="pct"/>
            <w:noWrap w:val="0"/>
            <w:vAlign w:val="center"/>
          </w:tcPr>
          <w:p w14:paraId="67A5D3A7">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检测项目</w:t>
            </w:r>
          </w:p>
        </w:tc>
        <w:tc>
          <w:tcPr>
            <w:tcW w:w="2134" w:type="pct"/>
            <w:noWrap w:val="0"/>
            <w:vAlign w:val="center"/>
          </w:tcPr>
          <w:p w14:paraId="7ACB6730">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检测方法及依据</w:t>
            </w:r>
          </w:p>
        </w:tc>
        <w:tc>
          <w:tcPr>
            <w:tcW w:w="1773" w:type="pct"/>
            <w:noWrap w:val="0"/>
            <w:vAlign w:val="center"/>
          </w:tcPr>
          <w:p w14:paraId="0065C2A6">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仪器名称及型号/编号</w:t>
            </w:r>
          </w:p>
        </w:tc>
      </w:tr>
      <w:tr w14:paraId="016F7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9" w:type="pct"/>
            <w:vMerge w:val="restart"/>
            <w:noWrap w:val="0"/>
            <w:vAlign w:val="center"/>
          </w:tcPr>
          <w:p w14:paraId="30786E7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环境空气</w:t>
            </w:r>
          </w:p>
        </w:tc>
        <w:tc>
          <w:tcPr>
            <w:tcW w:w="692" w:type="pct"/>
            <w:noWrap w:val="0"/>
            <w:vAlign w:val="center"/>
          </w:tcPr>
          <w:p w14:paraId="422F9B0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TSP</w:t>
            </w:r>
          </w:p>
        </w:tc>
        <w:tc>
          <w:tcPr>
            <w:tcW w:w="2134" w:type="pct"/>
            <w:noWrap w:val="0"/>
            <w:vAlign w:val="center"/>
          </w:tcPr>
          <w:p w14:paraId="3DDE39CC">
            <w:pPr>
              <w:widowControl/>
              <w:autoSpaceDE w:val="0"/>
              <w:autoSpaceDN w:val="0"/>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环境空气 总悬浮颗粒物的测定 重量法 HJ 1263-2022</w:t>
            </w:r>
          </w:p>
        </w:tc>
        <w:tc>
          <w:tcPr>
            <w:tcW w:w="1773" w:type="pct"/>
            <w:noWrap w:val="0"/>
            <w:vAlign w:val="center"/>
          </w:tcPr>
          <w:p w14:paraId="7A568A02">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电子天平 </w:t>
            </w:r>
          </w:p>
          <w:p w14:paraId="5D9FFCBC">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XB220A  HCYQ-008</w:t>
            </w:r>
          </w:p>
          <w:p w14:paraId="3E9F033D">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环境空气颗粒物综合采样器</w:t>
            </w:r>
          </w:p>
          <w:p w14:paraId="69C1337A">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cs="Times New Roman"/>
                <w:color w:val="auto"/>
                <w:szCs w:val="21"/>
                <w:highlight w:val="none"/>
                <w:lang w:val="en-US"/>
              </w:rPr>
            </w:pPr>
            <w:r>
              <w:rPr>
                <w:rFonts w:hint="default" w:ascii="Times New Roman" w:hAnsi="Times New Roman" w:eastAsia="宋体" w:cs="Times New Roman"/>
                <w:color w:val="auto"/>
                <w:kern w:val="2"/>
                <w:sz w:val="21"/>
                <w:szCs w:val="21"/>
                <w:highlight w:val="none"/>
                <w:lang w:val="en-US" w:eastAsia="zh-CN" w:bidi="ar-SA"/>
              </w:rPr>
              <w:t>ZR-3922型  HCYQ-039、HCYQ-040</w:t>
            </w:r>
          </w:p>
        </w:tc>
      </w:tr>
      <w:tr w14:paraId="5688D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9" w:type="pct"/>
            <w:vMerge w:val="continue"/>
            <w:noWrap w:val="0"/>
            <w:vAlign w:val="center"/>
          </w:tcPr>
          <w:p w14:paraId="5B45FF77">
            <w:pPr>
              <w:jc w:val="center"/>
              <w:rPr>
                <w:rFonts w:hint="default" w:ascii="Times New Roman" w:hAnsi="Times New Roman" w:cs="Times New Roman"/>
                <w:color w:val="auto"/>
                <w:szCs w:val="21"/>
                <w:highlight w:val="none"/>
              </w:rPr>
            </w:pPr>
          </w:p>
        </w:tc>
        <w:tc>
          <w:tcPr>
            <w:tcW w:w="692" w:type="pct"/>
            <w:noWrap w:val="0"/>
            <w:vAlign w:val="center"/>
          </w:tcPr>
          <w:p w14:paraId="0A134D01">
            <w:pPr>
              <w:widowControl/>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苯并[a]芘</w:t>
            </w:r>
          </w:p>
        </w:tc>
        <w:tc>
          <w:tcPr>
            <w:tcW w:w="2134" w:type="pct"/>
            <w:noWrap w:val="0"/>
            <w:vAlign w:val="center"/>
          </w:tcPr>
          <w:p w14:paraId="5D3DA40D">
            <w:pPr>
              <w:widowControl/>
              <w:autoSpaceDE w:val="0"/>
              <w:autoSpaceDN w:val="0"/>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环境空气和废气 气相和颗粒物中多环芳烃的测定 高效液相色谱法</w:t>
            </w:r>
          </w:p>
          <w:p w14:paraId="35422DDA">
            <w:pPr>
              <w:widowControl/>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HJ 647-2013</w:t>
            </w:r>
          </w:p>
        </w:tc>
        <w:tc>
          <w:tcPr>
            <w:tcW w:w="1773" w:type="pct"/>
            <w:noWrap w:val="0"/>
            <w:vAlign w:val="center"/>
          </w:tcPr>
          <w:p w14:paraId="2F78E4F6">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液相色谱仪 </w:t>
            </w:r>
          </w:p>
          <w:p w14:paraId="63184A1D">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SCL-10A vp</w:t>
            </w:r>
            <w:r>
              <w:rPr>
                <w:rFonts w:hint="default"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cs="Times New Roman" w:eastAsiaTheme="minorEastAsia"/>
                <w:color w:val="auto"/>
                <w:sz w:val="21"/>
                <w:szCs w:val="21"/>
                <w:highlight w:val="none"/>
                <w:lang w:val="en-US" w:eastAsia="zh-CN"/>
              </w:rPr>
              <w:t>HCYQ-030</w:t>
            </w:r>
          </w:p>
          <w:p w14:paraId="76DE294F">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环境空气颗粒物综合采样器</w:t>
            </w:r>
          </w:p>
          <w:p w14:paraId="05A8F8F4">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ZR-3922型  HCYQ-039、HCYQ-040</w:t>
            </w:r>
          </w:p>
        </w:tc>
      </w:tr>
      <w:tr w14:paraId="1E377E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9" w:type="pct"/>
            <w:vMerge w:val="continue"/>
            <w:noWrap w:val="0"/>
            <w:vAlign w:val="center"/>
          </w:tcPr>
          <w:p w14:paraId="1F5BED7E">
            <w:pPr>
              <w:jc w:val="center"/>
              <w:rPr>
                <w:rFonts w:hint="default" w:ascii="Times New Roman" w:hAnsi="Times New Roman" w:cs="Times New Roman"/>
                <w:color w:val="auto"/>
                <w:szCs w:val="21"/>
                <w:highlight w:val="none"/>
              </w:rPr>
            </w:pPr>
            <w:bookmarkStart w:id="407" w:name="_Toc22337"/>
          </w:p>
        </w:tc>
        <w:tc>
          <w:tcPr>
            <w:tcW w:w="692" w:type="pct"/>
            <w:noWrap w:val="0"/>
            <w:vAlign w:val="center"/>
          </w:tcPr>
          <w:p w14:paraId="6DAD514A">
            <w:pPr>
              <w:widowControl/>
              <w:autoSpaceDE w:val="0"/>
              <w:autoSpaceDN w:val="0"/>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snapToGrid w:val="0"/>
                <w:color w:val="auto"/>
                <w:kern w:val="0"/>
                <w:sz w:val="24"/>
                <w:highlight w:val="none"/>
                <w:lang w:val="en-US" w:eastAsia="zh-CN"/>
              </w:rPr>
              <w:t>NMHC</w:t>
            </w:r>
          </w:p>
        </w:tc>
        <w:tc>
          <w:tcPr>
            <w:tcW w:w="2134" w:type="pct"/>
            <w:noWrap w:val="0"/>
            <w:vAlign w:val="center"/>
          </w:tcPr>
          <w:p w14:paraId="06B595BD">
            <w:pPr>
              <w:widowControl/>
              <w:autoSpaceDE w:val="0"/>
              <w:autoSpaceDN w:val="0"/>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 xml:space="preserve">环境空气总烃、甲烷和非甲烷总烃的测定 直接进样-气相色谱法 </w:t>
            </w:r>
          </w:p>
          <w:p w14:paraId="45AAA1C9">
            <w:pPr>
              <w:widowControl/>
              <w:autoSpaceDE w:val="0"/>
              <w:autoSpaceDN w:val="0"/>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HJ 604-2017</w:t>
            </w:r>
          </w:p>
        </w:tc>
        <w:tc>
          <w:tcPr>
            <w:tcW w:w="1773" w:type="pct"/>
            <w:noWrap w:val="0"/>
            <w:vAlign w:val="center"/>
          </w:tcPr>
          <w:p w14:paraId="322E44F1">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真空气体采样器JKCYQ003</w:t>
            </w:r>
          </w:p>
          <w:p w14:paraId="4BF1B493">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HCYQ-062HCYQ-063</w:t>
            </w:r>
          </w:p>
          <w:p w14:paraId="7237A7B6">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气相色谱仪GC-9790型</w:t>
            </w:r>
          </w:p>
          <w:p w14:paraId="5702779B">
            <w:pPr>
              <w:pStyle w:val="17"/>
              <w:keepNext w:val="0"/>
              <w:keepLines w:val="0"/>
              <w:pageBreakBefore w:val="0"/>
              <w:widowControl w:val="0"/>
              <w:kinsoku/>
              <w:wordWrap/>
              <w:overflowPunct/>
              <w:topLinePunct w:val="0"/>
              <w:bidi w:val="0"/>
              <w:adjustRightInd w:val="0"/>
              <w:snapToGrid w:val="0"/>
              <w:spacing w:after="0"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HCYQ-027</w:t>
            </w:r>
          </w:p>
        </w:tc>
      </w:tr>
    </w:tbl>
    <w:p w14:paraId="712D4E2F">
      <w:pPr>
        <w:overflowPunct w:val="0"/>
        <w:adjustRightInd w:val="0"/>
        <w:snapToGrid w:val="0"/>
        <w:spacing w:line="500" w:lineRule="exact"/>
        <w:ind w:left="420" w:leftChars="200" w:firstLine="48" w:firstLineChars="20"/>
        <w:outlineLvl w:val="0"/>
        <w:rPr>
          <w:rFonts w:hint="default" w:ascii="Times New Roman" w:hAnsi="Times New Roman" w:eastAsia="黑体" w:cs="Times New Roman"/>
          <w:bCs/>
          <w:color w:val="auto"/>
          <w:kern w:val="44"/>
          <w:sz w:val="24"/>
          <w:highlight w:val="none"/>
        </w:rPr>
      </w:pPr>
      <w:bookmarkStart w:id="408" w:name="_Toc9616"/>
      <w:r>
        <w:rPr>
          <w:rFonts w:hint="default" w:ascii="Times New Roman" w:hAnsi="Times New Roman" w:eastAsia="黑体" w:cs="Times New Roman"/>
          <w:bCs/>
          <w:color w:val="auto"/>
          <w:kern w:val="44"/>
          <w:sz w:val="24"/>
          <w:highlight w:val="none"/>
        </w:rPr>
        <w:t>4.2.4监测结果</w:t>
      </w:r>
      <w:bookmarkEnd w:id="400"/>
      <w:bookmarkEnd w:id="401"/>
      <w:bookmarkEnd w:id="402"/>
      <w:bookmarkEnd w:id="403"/>
      <w:bookmarkEnd w:id="404"/>
      <w:bookmarkEnd w:id="405"/>
      <w:bookmarkEnd w:id="407"/>
      <w:bookmarkEnd w:id="408"/>
    </w:p>
    <w:p w14:paraId="378258A9">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补充监测统计结果见下表。</w:t>
      </w:r>
    </w:p>
    <w:bookmarkEnd w:id="406"/>
    <w:p w14:paraId="3F812B74">
      <w:pPr>
        <w:spacing w:line="400" w:lineRule="exact"/>
        <w:jc w:val="center"/>
        <w:rPr>
          <w:rFonts w:hint="default" w:ascii="Times New Roman" w:hAnsi="Times New Roman" w:cs="Times New Roman"/>
          <w:snapToGrid w:val="0"/>
          <w:color w:val="auto"/>
          <w:sz w:val="24"/>
          <w:highlight w:val="none"/>
        </w:rPr>
      </w:pPr>
      <w:bookmarkStart w:id="409" w:name="_Hlk71806964"/>
      <w:r>
        <w:rPr>
          <w:rFonts w:hint="default" w:ascii="Times New Roman" w:hAnsi="Times New Roman" w:eastAsia="黑体" w:cs="Times New Roman"/>
          <w:snapToGrid w:val="0"/>
          <w:color w:val="auto"/>
          <w:sz w:val="24"/>
          <w:highlight w:val="none"/>
          <w:lang w:val="en-US" w:eastAsia="zh-CN"/>
        </w:rPr>
        <w:t xml:space="preserve">                  </w:t>
      </w:r>
      <w:r>
        <w:rPr>
          <w:rFonts w:hint="default" w:ascii="Times New Roman" w:hAnsi="Times New Roman" w:eastAsia="黑体" w:cs="Times New Roman"/>
          <w:snapToGrid w:val="0"/>
          <w:color w:val="auto"/>
          <w:sz w:val="24"/>
          <w:highlight w:val="none"/>
        </w:rPr>
        <w:t>表4</w:t>
      </w:r>
      <w:r>
        <w:rPr>
          <w:rFonts w:hint="default" w:ascii="Times New Roman" w:hAnsi="Times New Roman" w:eastAsia="黑体" w:cs="Times New Roman"/>
          <w:snapToGrid w:val="0"/>
          <w:color w:val="auto"/>
          <w:sz w:val="24"/>
          <w:highlight w:val="none"/>
          <w:lang w:val="en-US" w:eastAsia="zh-CN"/>
        </w:rPr>
        <w:t>.2</w:t>
      </w:r>
      <w:r>
        <w:rPr>
          <w:rFonts w:hint="default" w:ascii="Times New Roman" w:hAnsi="Times New Roman" w:eastAsia="黑体" w:cs="Times New Roman"/>
          <w:snapToGrid w:val="0"/>
          <w:color w:val="auto"/>
          <w:sz w:val="24"/>
          <w:highlight w:val="none"/>
        </w:rPr>
        <w:t>-</w:t>
      </w:r>
      <w:r>
        <w:rPr>
          <w:rFonts w:hint="default" w:ascii="Times New Roman" w:hAnsi="Times New Roman" w:eastAsia="黑体" w:cs="Times New Roman"/>
          <w:snapToGrid w:val="0"/>
          <w:color w:val="auto"/>
          <w:sz w:val="24"/>
          <w:highlight w:val="none"/>
          <w:lang w:val="en-US" w:eastAsia="zh-CN"/>
        </w:rPr>
        <w:t>3</w:t>
      </w:r>
      <w:r>
        <w:rPr>
          <w:rFonts w:hint="default" w:ascii="Times New Roman" w:hAnsi="Times New Roman" w:eastAsia="黑体" w:cs="Times New Roman"/>
          <w:snapToGrid w:val="0"/>
          <w:color w:val="auto"/>
          <w:sz w:val="24"/>
          <w:highlight w:val="none"/>
        </w:rPr>
        <w:t>污染物监测结果一览表</w:t>
      </w:r>
      <w:r>
        <w:rPr>
          <w:rFonts w:hint="default" w:ascii="Times New Roman" w:hAnsi="Times New Roman" w:eastAsia="黑体" w:cs="Times New Roman"/>
          <w:snapToGrid w:val="0"/>
          <w:color w:val="auto"/>
          <w:sz w:val="24"/>
          <w:highlight w:val="none"/>
          <w:lang w:val="en-US" w:eastAsia="zh-CN"/>
        </w:rPr>
        <w:t xml:space="preserve">             </w:t>
      </w:r>
      <w:r>
        <w:rPr>
          <w:rFonts w:hint="default" w:ascii="Times New Roman" w:hAnsi="Times New Roman" w:cs="Times New Roman"/>
          <w:color w:val="auto"/>
          <w:sz w:val="24"/>
          <w:szCs w:val="21"/>
          <w:highlight w:val="none"/>
        </w:rPr>
        <w:t>单位：mg/m</w:t>
      </w:r>
      <w:r>
        <w:rPr>
          <w:rFonts w:hint="default" w:ascii="Times New Roman" w:hAnsi="Times New Roman" w:cs="Times New Roman"/>
          <w:color w:val="auto"/>
          <w:sz w:val="24"/>
          <w:szCs w:val="21"/>
          <w:highlight w:val="none"/>
          <w:vertAlign w:val="superscript"/>
        </w:rPr>
        <w:t>3</w:t>
      </w:r>
    </w:p>
    <w:bookmarkEnd w:id="409"/>
    <w:tbl>
      <w:tblPr>
        <w:tblStyle w:val="30"/>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0"/>
        <w:gridCol w:w="873"/>
        <w:gridCol w:w="450"/>
        <w:gridCol w:w="781"/>
        <w:gridCol w:w="781"/>
        <w:gridCol w:w="781"/>
        <w:gridCol w:w="781"/>
        <w:gridCol w:w="781"/>
        <w:gridCol w:w="781"/>
        <w:gridCol w:w="782"/>
        <w:gridCol w:w="517"/>
        <w:gridCol w:w="735"/>
      </w:tblGrid>
      <w:tr w14:paraId="1468D8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6" w:type="pct"/>
            <w:vMerge w:val="restart"/>
            <w:noWrap w:val="0"/>
            <w:vAlign w:val="center"/>
          </w:tcPr>
          <w:p w14:paraId="659A9487">
            <w:pPr>
              <w:pStyle w:val="6"/>
              <w:snapToGrid w:val="0"/>
              <w:jc w:val="center"/>
              <w:rPr>
                <w:rFonts w:hint="default" w:ascii="Times New Roman" w:hAnsi="Times New Roman" w:cs="Times New Roman"/>
                <w:color w:val="auto"/>
                <w:sz w:val="21"/>
                <w:szCs w:val="21"/>
                <w:highlight w:val="none"/>
              </w:rPr>
            </w:pPr>
            <w:bookmarkStart w:id="410" w:name="_Toc31385"/>
            <w:bookmarkStart w:id="411" w:name="_Toc192758920"/>
            <w:bookmarkStart w:id="412" w:name="_Toc193460009"/>
            <w:bookmarkStart w:id="413" w:name="_Toc18973"/>
            <w:bookmarkStart w:id="414" w:name="_Toc1447"/>
            <w:bookmarkStart w:id="415" w:name="_Toc17377"/>
            <w:bookmarkStart w:id="416" w:name="_Hlk71806979"/>
            <w:r>
              <w:rPr>
                <w:rFonts w:hint="default" w:ascii="Times New Roman" w:hAnsi="Times New Roman" w:cs="Times New Roman"/>
                <w:color w:val="auto"/>
                <w:sz w:val="21"/>
                <w:szCs w:val="21"/>
                <w:highlight w:val="none"/>
              </w:rPr>
              <w:t>检测项目</w:t>
            </w:r>
          </w:p>
        </w:tc>
        <w:tc>
          <w:tcPr>
            <w:tcW w:w="512" w:type="pct"/>
            <w:vMerge w:val="restart"/>
            <w:noWrap w:val="0"/>
            <w:vAlign w:val="center"/>
          </w:tcPr>
          <w:p w14:paraId="15E067CA">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w:t>
            </w:r>
          </w:p>
          <w:p w14:paraId="28625C51">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点位</w:t>
            </w:r>
          </w:p>
        </w:tc>
        <w:tc>
          <w:tcPr>
            <w:tcW w:w="264" w:type="pct"/>
            <w:vMerge w:val="restart"/>
            <w:noWrap w:val="0"/>
            <w:vAlign w:val="center"/>
          </w:tcPr>
          <w:p w14:paraId="441D56CB">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类型</w:t>
            </w:r>
          </w:p>
        </w:tc>
        <w:tc>
          <w:tcPr>
            <w:tcW w:w="3211" w:type="pct"/>
            <w:gridSpan w:val="7"/>
            <w:noWrap w:val="0"/>
            <w:vAlign w:val="center"/>
          </w:tcPr>
          <w:p w14:paraId="405FFA0E">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检测结果</w:t>
            </w:r>
          </w:p>
        </w:tc>
        <w:tc>
          <w:tcPr>
            <w:tcW w:w="303" w:type="pct"/>
            <w:vMerge w:val="restart"/>
            <w:noWrap w:val="0"/>
            <w:vAlign w:val="center"/>
          </w:tcPr>
          <w:p w14:paraId="4B1119C7">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w:t>
            </w:r>
          </w:p>
          <w:p w14:paraId="76E56449">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w:t>
            </w:r>
          </w:p>
        </w:tc>
        <w:tc>
          <w:tcPr>
            <w:tcW w:w="431" w:type="pct"/>
            <w:vMerge w:val="restart"/>
            <w:noWrap w:val="0"/>
            <w:vAlign w:val="center"/>
          </w:tcPr>
          <w:p w14:paraId="578632F9">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最大浓度占标率/%</w:t>
            </w:r>
          </w:p>
        </w:tc>
      </w:tr>
      <w:tr w14:paraId="69687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276" w:type="pct"/>
            <w:vMerge w:val="continue"/>
            <w:noWrap w:val="0"/>
            <w:vAlign w:val="center"/>
          </w:tcPr>
          <w:p w14:paraId="36FE5CD5">
            <w:pPr>
              <w:pStyle w:val="6"/>
              <w:snapToGrid w:val="0"/>
              <w:jc w:val="center"/>
              <w:rPr>
                <w:rFonts w:hint="default" w:ascii="Times New Roman" w:hAnsi="Times New Roman" w:cs="Times New Roman"/>
                <w:color w:val="auto"/>
                <w:sz w:val="21"/>
                <w:szCs w:val="21"/>
                <w:highlight w:val="none"/>
              </w:rPr>
            </w:pPr>
          </w:p>
        </w:tc>
        <w:tc>
          <w:tcPr>
            <w:tcW w:w="512" w:type="pct"/>
            <w:vMerge w:val="continue"/>
            <w:noWrap w:val="0"/>
            <w:vAlign w:val="center"/>
          </w:tcPr>
          <w:p w14:paraId="491AD4CB">
            <w:pPr>
              <w:pStyle w:val="6"/>
              <w:snapToGrid w:val="0"/>
              <w:jc w:val="center"/>
              <w:rPr>
                <w:rFonts w:hint="default" w:ascii="Times New Roman" w:hAnsi="Times New Roman" w:cs="Times New Roman"/>
                <w:color w:val="auto"/>
                <w:sz w:val="21"/>
                <w:szCs w:val="21"/>
                <w:highlight w:val="none"/>
              </w:rPr>
            </w:pPr>
          </w:p>
        </w:tc>
        <w:tc>
          <w:tcPr>
            <w:tcW w:w="264" w:type="pct"/>
            <w:vMerge w:val="continue"/>
            <w:noWrap w:val="0"/>
            <w:vAlign w:val="center"/>
          </w:tcPr>
          <w:p w14:paraId="600EDF43">
            <w:pPr>
              <w:pStyle w:val="6"/>
              <w:snapToGrid w:val="0"/>
              <w:jc w:val="center"/>
              <w:rPr>
                <w:rFonts w:hint="default" w:ascii="Times New Roman" w:hAnsi="Times New Roman" w:cs="Times New Roman"/>
                <w:color w:val="auto"/>
                <w:sz w:val="21"/>
                <w:szCs w:val="21"/>
                <w:highlight w:val="none"/>
              </w:rPr>
            </w:pPr>
          </w:p>
        </w:tc>
        <w:tc>
          <w:tcPr>
            <w:tcW w:w="458" w:type="pct"/>
            <w:noWrap w:val="0"/>
            <w:vAlign w:val="center"/>
          </w:tcPr>
          <w:p w14:paraId="1D3FF993">
            <w:pPr>
              <w:spacing w:line="220" w:lineRule="atLeast"/>
              <w:jc w:val="center"/>
              <w:rPr>
                <w:rFonts w:hint="default" w:ascii="Times New Roman" w:hAnsi="Times New Roman" w:eastAsia="宋体" w:cs="Times New Roman"/>
                <w:b w:val="0"/>
                <w:bCs/>
                <w:color w:val="auto"/>
                <w:szCs w:val="21"/>
                <w:highlight w:val="none"/>
                <w:lang w:val="en-US" w:eastAsia="zh-CN"/>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6.12</w:t>
            </w:r>
          </w:p>
        </w:tc>
        <w:tc>
          <w:tcPr>
            <w:tcW w:w="458" w:type="pct"/>
            <w:noWrap w:val="0"/>
            <w:vAlign w:val="center"/>
          </w:tcPr>
          <w:p w14:paraId="674CEAA0">
            <w:pPr>
              <w:spacing w:line="220" w:lineRule="atLeast"/>
              <w:jc w:val="center"/>
              <w:rPr>
                <w:rFonts w:hint="default" w:ascii="Times New Roman" w:hAnsi="Times New Roman" w:cs="Times New Roman"/>
                <w:b w:val="0"/>
                <w:bCs/>
                <w:color w:val="auto"/>
                <w:szCs w:val="21"/>
                <w:highlight w:val="none"/>
                <w:lang w:val="en-US"/>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6.13</w:t>
            </w:r>
          </w:p>
        </w:tc>
        <w:tc>
          <w:tcPr>
            <w:tcW w:w="458" w:type="pct"/>
            <w:noWrap w:val="0"/>
            <w:vAlign w:val="center"/>
          </w:tcPr>
          <w:p w14:paraId="11CBFBE0">
            <w:pPr>
              <w:spacing w:line="220" w:lineRule="atLeast"/>
              <w:jc w:val="center"/>
              <w:rPr>
                <w:rFonts w:hint="default" w:ascii="Times New Roman" w:hAnsi="Times New Roman" w:cs="Times New Roman"/>
                <w:b w:val="0"/>
                <w:bCs/>
                <w:color w:val="auto"/>
                <w:szCs w:val="21"/>
                <w:highlight w:val="none"/>
                <w:lang w:val="en-US"/>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6.14</w:t>
            </w:r>
          </w:p>
        </w:tc>
        <w:tc>
          <w:tcPr>
            <w:tcW w:w="458" w:type="pct"/>
            <w:noWrap w:val="0"/>
            <w:vAlign w:val="center"/>
          </w:tcPr>
          <w:p w14:paraId="472A0707">
            <w:pPr>
              <w:spacing w:line="220" w:lineRule="atLeast"/>
              <w:jc w:val="center"/>
              <w:rPr>
                <w:rFonts w:hint="default" w:ascii="Times New Roman" w:hAnsi="Times New Roman" w:cs="Times New Roman"/>
                <w:b w:val="0"/>
                <w:bCs/>
                <w:color w:val="auto"/>
                <w:szCs w:val="21"/>
                <w:highlight w:val="none"/>
                <w:lang w:val="en-US"/>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6.15</w:t>
            </w:r>
          </w:p>
        </w:tc>
        <w:tc>
          <w:tcPr>
            <w:tcW w:w="458" w:type="pct"/>
            <w:noWrap w:val="0"/>
            <w:vAlign w:val="center"/>
          </w:tcPr>
          <w:p w14:paraId="02CDDFAE">
            <w:pPr>
              <w:spacing w:line="220" w:lineRule="atLeast"/>
              <w:jc w:val="center"/>
              <w:rPr>
                <w:rFonts w:hint="default" w:ascii="Times New Roman" w:hAnsi="Times New Roman" w:cs="Times New Roman"/>
                <w:b w:val="0"/>
                <w:bCs/>
                <w:color w:val="auto"/>
                <w:szCs w:val="21"/>
                <w:highlight w:val="none"/>
                <w:lang w:val="en-US"/>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6.16</w:t>
            </w:r>
          </w:p>
        </w:tc>
        <w:tc>
          <w:tcPr>
            <w:tcW w:w="458" w:type="pct"/>
            <w:noWrap w:val="0"/>
            <w:vAlign w:val="center"/>
          </w:tcPr>
          <w:p w14:paraId="4D70E48A">
            <w:pPr>
              <w:spacing w:line="220" w:lineRule="atLeast"/>
              <w:jc w:val="center"/>
              <w:rPr>
                <w:rFonts w:hint="default" w:ascii="Times New Roman" w:hAnsi="Times New Roman" w:cs="Times New Roman"/>
                <w:b w:val="0"/>
                <w:bCs/>
                <w:color w:val="auto"/>
                <w:szCs w:val="21"/>
                <w:highlight w:val="none"/>
                <w:lang w:val="en-US"/>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6.17</w:t>
            </w:r>
          </w:p>
        </w:tc>
        <w:tc>
          <w:tcPr>
            <w:tcW w:w="459" w:type="pct"/>
            <w:noWrap w:val="0"/>
            <w:vAlign w:val="center"/>
          </w:tcPr>
          <w:p w14:paraId="2E368B55">
            <w:pPr>
              <w:spacing w:line="220" w:lineRule="atLeast"/>
              <w:jc w:val="center"/>
              <w:rPr>
                <w:rFonts w:hint="default" w:ascii="Times New Roman" w:hAnsi="Times New Roman" w:cs="Times New Roman"/>
                <w:b w:val="0"/>
                <w:bCs/>
                <w:color w:val="auto"/>
                <w:szCs w:val="21"/>
                <w:highlight w:val="none"/>
              </w:rPr>
            </w:pPr>
            <w:r>
              <w:rPr>
                <w:rFonts w:hint="default" w:ascii="Times New Roman" w:hAnsi="Times New Roman" w:cs="Times New Roman"/>
                <w:b w:val="0"/>
                <w:bCs/>
                <w:color w:val="auto"/>
                <w:szCs w:val="21"/>
                <w:highlight w:val="none"/>
              </w:rPr>
              <w:t>202</w:t>
            </w:r>
            <w:r>
              <w:rPr>
                <w:rFonts w:hint="default" w:ascii="Times New Roman" w:hAnsi="Times New Roman" w:cs="Times New Roman"/>
                <w:b w:val="0"/>
                <w:bCs/>
                <w:color w:val="auto"/>
                <w:szCs w:val="21"/>
                <w:highlight w:val="none"/>
                <w:lang w:val="en-US" w:eastAsia="zh-CN"/>
              </w:rPr>
              <w:t>5</w:t>
            </w:r>
            <w:r>
              <w:rPr>
                <w:rFonts w:hint="default" w:ascii="Times New Roman" w:hAnsi="Times New Roman" w:cs="Times New Roman"/>
                <w:b w:val="0"/>
                <w:bCs/>
                <w:color w:val="auto"/>
                <w:szCs w:val="21"/>
                <w:highlight w:val="none"/>
              </w:rPr>
              <w:t>.0</w:t>
            </w:r>
            <w:r>
              <w:rPr>
                <w:rFonts w:hint="default" w:ascii="Times New Roman" w:hAnsi="Times New Roman" w:cs="Times New Roman"/>
                <w:b w:val="0"/>
                <w:bCs/>
                <w:color w:val="auto"/>
                <w:szCs w:val="21"/>
                <w:highlight w:val="none"/>
                <w:lang w:val="en-US" w:eastAsia="zh-CN"/>
              </w:rPr>
              <w:t>6.18</w:t>
            </w:r>
          </w:p>
        </w:tc>
        <w:tc>
          <w:tcPr>
            <w:tcW w:w="303" w:type="pct"/>
            <w:vMerge w:val="continue"/>
            <w:noWrap w:val="0"/>
            <w:vAlign w:val="center"/>
          </w:tcPr>
          <w:p w14:paraId="78380EDB">
            <w:pPr>
              <w:pStyle w:val="6"/>
              <w:snapToGrid w:val="0"/>
              <w:jc w:val="center"/>
              <w:rPr>
                <w:rFonts w:hint="default" w:ascii="Times New Roman" w:hAnsi="Times New Roman" w:cs="Times New Roman"/>
                <w:color w:val="auto"/>
                <w:sz w:val="21"/>
                <w:szCs w:val="21"/>
                <w:highlight w:val="none"/>
              </w:rPr>
            </w:pPr>
          </w:p>
        </w:tc>
        <w:tc>
          <w:tcPr>
            <w:tcW w:w="431" w:type="pct"/>
            <w:vMerge w:val="continue"/>
            <w:noWrap w:val="0"/>
            <w:vAlign w:val="center"/>
          </w:tcPr>
          <w:p w14:paraId="3F03B2B3">
            <w:pPr>
              <w:pStyle w:val="6"/>
              <w:snapToGrid w:val="0"/>
              <w:jc w:val="center"/>
              <w:rPr>
                <w:rFonts w:hint="default" w:ascii="Times New Roman" w:hAnsi="Times New Roman" w:cs="Times New Roman"/>
                <w:color w:val="auto"/>
                <w:sz w:val="21"/>
                <w:szCs w:val="21"/>
                <w:highlight w:val="none"/>
              </w:rPr>
            </w:pPr>
          </w:p>
        </w:tc>
      </w:tr>
      <w:tr w14:paraId="19F5B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6" w:type="pct"/>
            <w:vMerge w:val="restart"/>
            <w:noWrap w:val="0"/>
            <w:vAlign w:val="center"/>
          </w:tcPr>
          <w:p w14:paraId="564AB822">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w:t>
            </w:r>
          </w:p>
          <w:p w14:paraId="52110EFD">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w:t>
            </w:r>
          </w:p>
          <w:p w14:paraId="783A1D20">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w:t>
            </w:r>
          </w:p>
        </w:tc>
        <w:tc>
          <w:tcPr>
            <w:tcW w:w="512" w:type="pct"/>
            <w:noWrap w:val="0"/>
            <w:vAlign w:val="center"/>
          </w:tcPr>
          <w:p w14:paraId="5DD65BAE">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厂址</w:t>
            </w:r>
          </w:p>
        </w:tc>
        <w:tc>
          <w:tcPr>
            <w:tcW w:w="264" w:type="pct"/>
            <w:vMerge w:val="restart"/>
            <w:noWrap w:val="0"/>
            <w:vAlign w:val="center"/>
          </w:tcPr>
          <w:p w14:paraId="6C2720ED">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日均值</w:t>
            </w:r>
          </w:p>
        </w:tc>
        <w:tc>
          <w:tcPr>
            <w:tcW w:w="458" w:type="pct"/>
            <w:noWrap w:val="0"/>
            <w:vAlign w:val="center"/>
          </w:tcPr>
          <w:p w14:paraId="36AE7BE4">
            <w:pPr>
              <w:keepNext w:val="0"/>
              <w:keepLines w:val="0"/>
              <w:widowControl/>
              <w:suppressLineNumbers w:val="0"/>
              <w:jc w:val="right"/>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0.171</w:t>
            </w:r>
          </w:p>
        </w:tc>
        <w:tc>
          <w:tcPr>
            <w:tcW w:w="458" w:type="pct"/>
            <w:noWrap w:val="0"/>
            <w:vAlign w:val="center"/>
          </w:tcPr>
          <w:p w14:paraId="4F674856">
            <w:pPr>
              <w:keepNext w:val="0"/>
              <w:keepLines w:val="0"/>
              <w:widowControl/>
              <w:suppressLineNumbers w:val="0"/>
              <w:jc w:val="right"/>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0.176</w:t>
            </w:r>
          </w:p>
        </w:tc>
        <w:tc>
          <w:tcPr>
            <w:tcW w:w="458" w:type="pct"/>
            <w:noWrap w:val="0"/>
            <w:vAlign w:val="center"/>
          </w:tcPr>
          <w:p w14:paraId="24DC56DD">
            <w:pPr>
              <w:keepNext w:val="0"/>
              <w:keepLines w:val="0"/>
              <w:widowControl/>
              <w:suppressLineNumbers w:val="0"/>
              <w:jc w:val="right"/>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0.182</w:t>
            </w:r>
          </w:p>
        </w:tc>
        <w:tc>
          <w:tcPr>
            <w:tcW w:w="458" w:type="pct"/>
            <w:noWrap w:val="0"/>
            <w:vAlign w:val="center"/>
          </w:tcPr>
          <w:p w14:paraId="320CDA77">
            <w:pPr>
              <w:keepNext w:val="0"/>
              <w:keepLines w:val="0"/>
              <w:widowControl/>
              <w:suppressLineNumbers w:val="0"/>
              <w:jc w:val="right"/>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0.165</w:t>
            </w:r>
          </w:p>
        </w:tc>
        <w:tc>
          <w:tcPr>
            <w:tcW w:w="458" w:type="pct"/>
            <w:noWrap w:val="0"/>
            <w:vAlign w:val="center"/>
          </w:tcPr>
          <w:p w14:paraId="27092B23">
            <w:pPr>
              <w:keepNext w:val="0"/>
              <w:keepLines w:val="0"/>
              <w:widowControl/>
              <w:suppressLineNumbers w:val="0"/>
              <w:jc w:val="right"/>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0.172</w:t>
            </w:r>
          </w:p>
        </w:tc>
        <w:tc>
          <w:tcPr>
            <w:tcW w:w="458" w:type="pct"/>
            <w:noWrap w:val="0"/>
            <w:vAlign w:val="center"/>
          </w:tcPr>
          <w:p w14:paraId="534E28A7">
            <w:pPr>
              <w:keepNext w:val="0"/>
              <w:keepLines w:val="0"/>
              <w:widowControl/>
              <w:suppressLineNumbers w:val="0"/>
              <w:jc w:val="right"/>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0.152</w:t>
            </w:r>
          </w:p>
        </w:tc>
        <w:tc>
          <w:tcPr>
            <w:tcW w:w="459" w:type="pct"/>
            <w:noWrap w:val="0"/>
            <w:vAlign w:val="center"/>
          </w:tcPr>
          <w:p w14:paraId="5108D7A9">
            <w:pPr>
              <w:keepNext w:val="0"/>
              <w:keepLines w:val="0"/>
              <w:widowControl/>
              <w:suppressLineNumbers w:val="0"/>
              <w:jc w:val="right"/>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0.192</w:t>
            </w:r>
          </w:p>
        </w:tc>
        <w:tc>
          <w:tcPr>
            <w:tcW w:w="303" w:type="pct"/>
            <w:noWrap w:val="0"/>
            <w:vAlign w:val="center"/>
          </w:tcPr>
          <w:p w14:paraId="12302048">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431" w:type="pct"/>
            <w:noWrap w:val="0"/>
            <w:vAlign w:val="center"/>
          </w:tcPr>
          <w:p w14:paraId="0BDC51A2">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71527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6" w:type="pct"/>
            <w:vMerge w:val="continue"/>
            <w:noWrap w:val="0"/>
            <w:vAlign w:val="center"/>
          </w:tcPr>
          <w:p w14:paraId="0B049A3E">
            <w:pPr>
              <w:pStyle w:val="6"/>
              <w:snapToGrid w:val="0"/>
              <w:jc w:val="center"/>
              <w:rPr>
                <w:rFonts w:hint="default" w:ascii="Times New Roman" w:hAnsi="Times New Roman" w:cs="Times New Roman"/>
                <w:color w:val="auto"/>
                <w:sz w:val="21"/>
                <w:szCs w:val="21"/>
                <w:highlight w:val="none"/>
              </w:rPr>
            </w:pPr>
          </w:p>
        </w:tc>
        <w:tc>
          <w:tcPr>
            <w:tcW w:w="512" w:type="pct"/>
            <w:noWrap w:val="0"/>
            <w:vAlign w:val="center"/>
          </w:tcPr>
          <w:p w14:paraId="1C20037A">
            <w:pPr>
              <w:pStyle w:val="6"/>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厂址</w:t>
            </w:r>
            <w:r>
              <w:rPr>
                <w:rFonts w:hint="default" w:ascii="Times New Roman" w:hAnsi="Times New Roman" w:cs="Times New Roman"/>
                <w:color w:val="auto"/>
                <w:sz w:val="21"/>
                <w:szCs w:val="21"/>
                <w:highlight w:val="none"/>
              </w:rPr>
              <w:t>下风向</w:t>
            </w:r>
          </w:p>
        </w:tc>
        <w:tc>
          <w:tcPr>
            <w:tcW w:w="264" w:type="pct"/>
            <w:vMerge w:val="continue"/>
            <w:noWrap w:val="0"/>
            <w:vAlign w:val="center"/>
          </w:tcPr>
          <w:p w14:paraId="790EE993">
            <w:pPr>
              <w:pStyle w:val="6"/>
              <w:snapToGrid w:val="0"/>
              <w:jc w:val="center"/>
              <w:rPr>
                <w:rFonts w:hint="default" w:ascii="Times New Roman" w:hAnsi="Times New Roman" w:eastAsia="宋体" w:cs="Times New Roman"/>
                <w:color w:val="auto"/>
                <w:kern w:val="0"/>
                <w:sz w:val="21"/>
                <w:szCs w:val="21"/>
                <w:highlight w:val="none"/>
                <w:lang w:val="en-US" w:eastAsia="zh-CN" w:bidi="ar-SA"/>
              </w:rPr>
            </w:pPr>
          </w:p>
        </w:tc>
        <w:tc>
          <w:tcPr>
            <w:tcW w:w="458" w:type="pct"/>
            <w:noWrap w:val="0"/>
            <w:vAlign w:val="center"/>
          </w:tcPr>
          <w:p w14:paraId="2A44B920">
            <w:pPr>
              <w:keepNext w:val="0"/>
              <w:keepLines w:val="0"/>
              <w:widowControl/>
              <w:suppressLineNumbers w:val="0"/>
              <w:jc w:val="right"/>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0.095</w:t>
            </w:r>
          </w:p>
        </w:tc>
        <w:tc>
          <w:tcPr>
            <w:tcW w:w="458" w:type="pct"/>
            <w:noWrap w:val="0"/>
            <w:vAlign w:val="center"/>
          </w:tcPr>
          <w:p w14:paraId="3B443C4B">
            <w:pPr>
              <w:keepNext w:val="0"/>
              <w:keepLines w:val="0"/>
              <w:widowControl/>
              <w:suppressLineNumbers w:val="0"/>
              <w:jc w:val="right"/>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20"/>
                <w:szCs w:val="20"/>
                <w:highlight w:val="none"/>
                <w:lang w:val="en-US" w:eastAsia="zh-CN" w:bidi="ar-SA"/>
              </w:rPr>
              <w:t>0.121</w:t>
            </w:r>
          </w:p>
        </w:tc>
        <w:tc>
          <w:tcPr>
            <w:tcW w:w="458" w:type="pct"/>
            <w:noWrap w:val="0"/>
            <w:vAlign w:val="center"/>
          </w:tcPr>
          <w:p w14:paraId="2B9CE81D">
            <w:pPr>
              <w:keepNext w:val="0"/>
              <w:keepLines w:val="0"/>
              <w:widowControl/>
              <w:suppressLineNumbers w:val="0"/>
              <w:jc w:val="right"/>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20"/>
                <w:szCs w:val="20"/>
                <w:highlight w:val="none"/>
                <w:lang w:val="en-US" w:eastAsia="zh-CN" w:bidi="ar-SA"/>
              </w:rPr>
              <w:t>0.121</w:t>
            </w:r>
          </w:p>
        </w:tc>
        <w:tc>
          <w:tcPr>
            <w:tcW w:w="458" w:type="pct"/>
            <w:noWrap w:val="0"/>
            <w:vAlign w:val="center"/>
          </w:tcPr>
          <w:p w14:paraId="2957710F">
            <w:pPr>
              <w:keepNext w:val="0"/>
              <w:keepLines w:val="0"/>
              <w:widowControl/>
              <w:suppressLineNumbers w:val="0"/>
              <w:jc w:val="right"/>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20"/>
                <w:szCs w:val="20"/>
                <w:highlight w:val="none"/>
                <w:lang w:val="en-US" w:eastAsia="zh-CN" w:bidi="ar-SA"/>
              </w:rPr>
              <w:t>0.083</w:t>
            </w:r>
          </w:p>
        </w:tc>
        <w:tc>
          <w:tcPr>
            <w:tcW w:w="458" w:type="pct"/>
            <w:noWrap w:val="0"/>
            <w:vAlign w:val="center"/>
          </w:tcPr>
          <w:p w14:paraId="16E528DF">
            <w:pPr>
              <w:keepNext w:val="0"/>
              <w:keepLines w:val="0"/>
              <w:widowControl/>
              <w:suppressLineNumbers w:val="0"/>
              <w:jc w:val="right"/>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20"/>
                <w:szCs w:val="20"/>
                <w:highlight w:val="none"/>
                <w:lang w:val="en-US" w:eastAsia="zh-CN" w:bidi="ar-SA"/>
              </w:rPr>
              <w:t>0.087</w:t>
            </w:r>
          </w:p>
        </w:tc>
        <w:tc>
          <w:tcPr>
            <w:tcW w:w="458" w:type="pct"/>
            <w:noWrap w:val="0"/>
            <w:vAlign w:val="center"/>
          </w:tcPr>
          <w:p w14:paraId="275582D0">
            <w:pPr>
              <w:keepNext w:val="0"/>
              <w:keepLines w:val="0"/>
              <w:widowControl/>
              <w:suppressLineNumbers w:val="0"/>
              <w:jc w:val="right"/>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20"/>
                <w:szCs w:val="20"/>
                <w:highlight w:val="none"/>
                <w:lang w:val="en-US" w:eastAsia="zh-CN" w:bidi="ar-SA"/>
              </w:rPr>
              <w:t>0.103</w:t>
            </w:r>
          </w:p>
        </w:tc>
        <w:tc>
          <w:tcPr>
            <w:tcW w:w="459" w:type="pct"/>
            <w:noWrap w:val="0"/>
            <w:vAlign w:val="center"/>
          </w:tcPr>
          <w:p w14:paraId="641937FB">
            <w:pPr>
              <w:keepNext w:val="0"/>
              <w:keepLines w:val="0"/>
              <w:widowControl/>
              <w:suppressLineNumbers w:val="0"/>
              <w:jc w:val="right"/>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20"/>
                <w:szCs w:val="20"/>
                <w:highlight w:val="none"/>
                <w:lang w:val="en-US" w:eastAsia="zh-CN" w:bidi="ar-SA"/>
              </w:rPr>
              <w:t>0.109</w:t>
            </w:r>
          </w:p>
        </w:tc>
        <w:tc>
          <w:tcPr>
            <w:tcW w:w="303" w:type="pct"/>
            <w:noWrap w:val="0"/>
            <w:vAlign w:val="center"/>
          </w:tcPr>
          <w:p w14:paraId="0E760236">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431" w:type="pct"/>
            <w:noWrap w:val="0"/>
            <w:vAlign w:val="center"/>
          </w:tcPr>
          <w:p w14:paraId="76AF2610">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0E373D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6" w:type="pct"/>
            <w:vMerge w:val="continue"/>
            <w:noWrap w:val="0"/>
            <w:vAlign w:val="center"/>
          </w:tcPr>
          <w:p w14:paraId="2EA8F497">
            <w:pPr>
              <w:pStyle w:val="6"/>
              <w:snapToGrid w:val="0"/>
              <w:jc w:val="center"/>
              <w:rPr>
                <w:rFonts w:hint="default" w:ascii="Times New Roman" w:hAnsi="Times New Roman" w:cs="Times New Roman"/>
                <w:color w:val="auto"/>
                <w:sz w:val="21"/>
                <w:szCs w:val="21"/>
                <w:highlight w:val="none"/>
              </w:rPr>
            </w:pPr>
          </w:p>
        </w:tc>
        <w:tc>
          <w:tcPr>
            <w:tcW w:w="777" w:type="pct"/>
            <w:gridSpan w:val="2"/>
            <w:noWrap w:val="0"/>
            <w:vAlign w:val="center"/>
          </w:tcPr>
          <w:p w14:paraId="3DD1D96A">
            <w:pPr>
              <w:pStyle w:val="6"/>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平均检测值</w:t>
            </w:r>
          </w:p>
        </w:tc>
        <w:tc>
          <w:tcPr>
            <w:tcW w:w="458" w:type="pct"/>
            <w:noWrap w:val="0"/>
            <w:vAlign w:val="center"/>
          </w:tcPr>
          <w:p w14:paraId="732CC7F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0.133</w:t>
            </w:r>
          </w:p>
        </w:tc>
        <w:tc>
          <w:tcPr>
            <w:tcW w:w="458" w:type="pct"/>
            <w:noWrap w:val="0"/>
            <w:vAlign w:val="center"/>
          </w:tcPr>
          <w:p w14:paraId="275D1AD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0.1485</w:t>
            </w:r>
          </w:p>
        </w:tc>
        <w:tc>
          <w:tcPr>
            <w:tcW w:w="458" w:type="pct"/>
            <w:noWrap w:val="0"/>
            <w:vAlign w:val="center"/>
          </w:tcPr>
          <w:p w14:paraId="61919A0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0.1515</w:t>
            </w:r>
          </w:p>
        </w:tc>
        <w:tc>
          <w:tcPr>
            <w:tcW w:w="458" w:type="pct"/>
            <w:noWrap w:val="0"/>
            <w:vAlign w:val="center"/>
          </w:tcPr>
          <w:p w14:paraId="7BBD39F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0.124</w:t>
            </w:r>
          </w:p>
        </w:tc>
        <w:tc>
          <w:tcPr>
            <w:tcW w:w="458" w:type="pct"/>
            <w:noWrap w:val="0"/>
            <w:vAlign w:val="center"/>
          </w:tcPr>
          <w:p w14:paraId="1F45953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0.1295</w:t>
            </w:r>
          </w:p>
        </w:tc>
        <w:tc>
          <w:tcPr>
            <w:tcW w:w="458" w:type="pct"/>
            <w:noWrap w:val="0"/>
            <w:vAlign w:val="center"/>
          </w:tcPr>
          <w:p w14:paraId="7FA420E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0.1275</w:t>
            </w:r>
          </w:p>
        </w:tc>
        <w:tc>
          <w:tcPr>
            <w:tcW w:w="459" w:type="pct"/>
            <w:noWrap w:val="0"/>
            <w:vAlign w:val="center"/>
          </w:tcPr>
          <w:p w14:paraId="4237B44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0.1505</w:t>
            </w:r>
          </w:p>
        </w:tc>
        <w:tc>
          <w:tcPr>
            <w:tcW w:w="303" w:type="pct"/>
            <w:noWrap w:val="0"/>
            <w:vAlign w:val="center"/>
          </w:tcPr>
          <w:p w14:paraId="694D89C0">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431" w:type="pct"/>
            <w:noWrap w:val="0"/>
            <w:vAlign w:val="center"/>
          </w:tcPr>
          <w:p w14:paraId="26633393">
            <w:pPr>
              <w:pStyle w:val="6"/>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50.5</w:t>
            </w:r>
          </w:p>
        </w:tc>
      </w:tr>
      <w:tr w14:paraId="471C9C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6" w:type="pct"/>
            <w:vMerge w:val="restart"/>
            <w:noWrap w:val="0"/>
            <w:vAlign w:val="center"/>
          </w:tcPr>
          <w:p w14:paraId="4DB852DF">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苯并[a]芘</w:t>
            </w:r>
          </w:p>
        </w:tc>
        <w:tc>
          <w:tcPr>
            <w:tcW w:w="512" w:type="pct"/>
            <w:noWrap w:val="0"/>
            <w:vAlign w:val="center"/>
          </w:tcPr>
          <w:p w14:paraId="7D20B3F8">
            <w:pPr>
              <w:pStyle w:val="6"/>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厂址</w:t>
            </w:r>
            <w:r>
              <w:rPr>
                <w:rFonts w:hint="default" w:ascii="Times New Roman" w:hAnsi="Times New Roman" w:cs="Times New Roman"/>
                <w:color w:val="auto"/>
                <w:sz w:val="18"/>
                <w:szCs w:val="18"/>
                <w:highlight w:val="none"/>
                <w:lang w:val="en-US" w:eastAsia="zh-CN"/>
              </w:rPr>
              <w:t>(n</w:t>
            </w:r>
            <w:r>
              <w:rPr>
                <w:rFonts w:hint="default" w:ascii="Times New Roman" w:hAnsi="Times New Roman" w:cs="Times New Roman"/>
                <w:color w:val="auto"/>
                <w:sz w:val="21"/>
                <w:szCs w:val="18"/>
                <w:highlight w:val="none"/>
              </w:rPr>
              <w:t>g/m</w:t>
            </w:r>
            <w:r>
              <w:rPr>
                <w:rFonts w:hint="default" w:ascii="Times New Roman" w:hAnsi="Times New Roman" w:cs="Times New Roman"/>
                <w:color w:val="auto"/>
                <w:sz w:val="21"/>
                <w:szCs w:val="18"/>
                <w:highlight w:val="none"/>
                <w:vertAlign w:val="superscript"/>
              </w:rPr>
              <w:t>3</w:t>
            </w:r>
            <w:r>
              <w:rPr>
                <w:rFonts w:hint="default" w:ascii="Times New Roman" w:hAnsi="Times New Roman" w:cs="Times New Roman"/>
                <w:color w:val="auto"/>
                <w:sz w:val="18"/>
                <w:szCs w:val="18"/>
                <w:highlight w:val="none"/>
                <w:lang w:val="en-US" w:eastAsia="zh-CN"/>
              </w:rPr>
              <w:t>)</w:t>
            </w:r>
          </w:p>
        </w:tc>
        <w:tc>
          <w:tcPr>
            <w:tcW w:w="264" w:type="pct"/>
            <w:vMerge w:val="restart"/>
            <w:noWrap w:val="0"/>
            <w:vAlign w:val="center"/>
          </w:tcPr>
          <w:p w14:paraId="3886F906">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日均值</w:t>
            </w:r>
          </w:p>
        </w:tc>
        <w:tc>
          <w:tcPr>
            <w:tcW w:w="458" w:type="pct"/>
            <w:noWrap w:val="0"/>
            <w:vAlign w:val="center"/>
          </w:tcPr>
          <w:p w14:paraId="6F3DA19B">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68540E90">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35DBCCBB">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22615037">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0485DD4D">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4F2B23AE">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9" w:type="pct"/>
            <w:noWrap w:val="0"/>
            <w:vAlign w:val="center"/>
          </w:tcPr>
          <w:p w14:paraId="3B02C444">
            <w:pPr>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303" w:type="pct"/>
            <w:noWrap w:val="0"/>
            <w:vAlign w:val="center"/>
          </w:tcPr>
          <w:p w14:paraId="0165B2AC">
            <w:pPr>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21"/>
                <w:szCs w:val="21"/>
                <w:highlight w:val="none"/>
                <w:lang w:val="en-US" w:eastAsia="zh-CN"/>
              </w:rPr>
              <w:t>/</w:t>
            </w:r>
          </w:p>
        </w:tc>
        <w:tc>
          <w:tcPr>
            <w:tcW w:w="431" w:type="pct"/>
            <w:noWrap w:val="0"/>
            <w:vAlign w:val="center"/>
          </w:tcPr>
          <w:p w14:paraId="2056BBB1">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1B8B4A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6" w:type="pct"/>
            <w:vMerge w:val="continue"/>
            <w:noWrap w:val="0"/>
            <w:vAlign w:val="center"/>
          </w:tcPr>
          <w:p w14:paraId="5198906B">
            <w:pPr>
              <w:pStyle w:val="6"/>
              <w:snapToGrid w:val="0"/>
              <w:jc w:val="center"/>
              <w:rPr>
                <w:rFonts w:hint="default" w:ascii="Times New Roman" w:hAnsi="Times New Roman" w:cs="Times New Roman"/>
                <w:color w:val="auto"/>
                <w:sz w:val="21"/>
                <w:szCs w:val="21"/>
                <w:highlight w:val="none"/>
              </w:rPr>
            </w:pPr>
          </w:p>
        </w:tc>
        <w:tc>
          <w:tcPr>
            <w:tcW w:w="512" w:type="pct"/>
            <w:noWrap w:val="0"/>
            <w:vAlign w:val="center"/>
          </w:tcPr>
          <w:p w14:paraId="0B5EBBAA">
            <w:pPr>
              <w:pStyle w:val="6"/>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厂址</w:t>
            </w:r>
            <w:r>
              <w:rPr>
                <w:rFonts w:hint="default" w:ascii="Times New Roman" w:hAnsi="Times New Roman" w:cs="Times New Roman"/>
                <w:color w:val="auto"/>
                <w:sz w:val="21"/>
                <w:szCs w:val="21"/>
                <w:highlight w:val="none"/>
              </w:rPr>
              <w:t>下风向</w:t>
            </w:r>
            <w:r>
              <w:rPr>
                <w:rFonts w:hint="default" w:ascii="Times New Roman" w:hAnsi="Times New Roman" w:cs="Times New Roman"/>
                <w:color w:val="auto"/>
                <w:sz w:val="18"/>
                <w:szCs w:val="18"/>
                <w:highlight w:val="none"/>
                <w:lang w:val="en-US" w:eastAsia="zh-CN"/>
              </w:rPr>
              <w:t>(n</w:t>
            </w:r>
            <w:r>
              <w:rPr>
                <w:rFonts w:hint="default" w:ascii="Times New Roman" w:hAnsi="Times New Roman" w:cs="Times New Roman"/>
                <w:color w:val="auto"/>
                <w:sz w:val="21"/>
                <w:szCs w:val="18"/>
                <w:highlight w:val="none"/>
              </w:rPr>
              <w:t>g/m</w:t>
            </w:r>
            <w:r>
              <w:rPr>
                <w:rFonts w:hint="default" w:ascii="Times New Roman" w:hAnsi="Times New Roman" w:cs="Times New Roman"/>
                <w:color w:val="auto"/>
                <w:sz w:val="21"/>
                <w:szCs w:val="18"/>
                <w:highlight w:val="none"/>
                <w:vertAlign w:val="superscript"/>
              </w:rPr>
              <w:t>3</w:t>
            </w:r>
            <w:r>
              <w:rPr>
                <w:rFonts w:hint="default" w:ascii="Times New Roman" w:hAnsi="Times New Roman" w:cs="Times New Roman"/>
                <w:color w:val="auto"/>
                <w:sz w:val="18"/>
                <w:szCs w:val="18"/>
                <w:highlight w:val="none"/>
                <w:lang w:val="en-US" w:eastAsia="zh-CN"/>
              </w:rPr>
              <w:t>)</w:t>
            </w:r>
          </w:p>
        </w:tc>
        <w:tc>
          <w:tcPr>
            <w:tcW w:w="264" w:type="pct"/>
            <w:vMerge w:val="continue"/>
            <w:noWrap w:val="0"/>
            <w:vAlign w:val="center"/>
          </w:tcPr>
          <w:p w14:paraId="36C61686">
            <w:pPr>
              <w:pStyle w:val="6"/>
              <w:snapToGrid w:val="0"/>
              <w:jc w:val="center"/>
              <w:rPr>
                <w:rFonts w:hint="default" w:ascii="Times New Roman" w:hAnsi="Times New Roman" w:cs="Times New Roman"/>
                <w:color w:val="auto"/>
                <w:sz w:val="21"/>
                <w:szCs w:val="21"/>
                <w:highlight w:val="none"/>
              </w:rPr>
            </w:pPr>
          </w:p>
        </w:tc>
        <w:tc>
          <w:tcPr>
            <w:tcW w:w="458" w:type="pct"/>
            <w:noWrap w:val="0"/>
            <w:vAlign w:val="center"/>
          </w:tcPr>
          <w:p w14:paraId="555631EF">
            <w:pPr>
              <w:jc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2F10BABD">
            <w:pPr>
              <w:jc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576A8A26">
            <w:pPr>
              <w:jc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1AD948A8">
            <w:pPr>
              <w:jc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7E66F3B4">
            <w:pPr>
              <w:jc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709BB370">
            <w:pPr>
              <w:jc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18"/>
                <w:szCs w:val="18"/>
                <w:highlight w:val="none"/>
                <w:lang w:val="en-US" w:eastAsia="zh-CN" w:bidi="ar-SA"/>
              </w:rPr>
              <w:t>0.14L</w:t>
            </w:r>
          </w:p>
        </w:tc>
        <w:tc>
          <w:tcPr>
            <w:tcW w:w="459" w:type="pct"/>
            <w:noWrap w:val="0"/>
            <w:vAlign w:val="center"/>
          </w:tcPr>
          <w:p w14:paraId="4F0B5AF4">
            <w:pPr>
              <w:jc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kern w:val="0"/>
                <w:sz w:val="18"/>
                <w:szCs w:val="18"/>
                <w:highlight w:val="none"/>
                <w:lang w:val="en-US" w:eastAsia="zh-CN" w:bidi="ar-SA"/>
              </w:rPr>
              <w:t>0.14L</w:t>
            </w:r>
          </w:p>
        </w:tc>
        <w:tc>
          <w:tcPr>
            <w:tcW w:w="303" w:type="pct"/>
            <w:noWrap w:val="0"/>
            <w:vAlign w:val="center"/>
          </w:tcPr>
          <w:p w14:paraId="21746A0C">
            <w:pPr>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21"/>
                <w:szCs w:val="21"/>
                <w:highlight w:val="none"/>
                <w:lang w:val="en-US" w:eastAsia="zh-CN"/>
              </w:rPr>
              <w:t>/</w:t>
            </w:r>
          </w:p>
        </w:tc>
        <w:tc>
          <w:tcPr>
            <w:tcW w:w="431" w:type="pct"/>
            <w:noWrap w:val="0"/>
            <w:vAlign w:val="center"/>
          </w:tcPr>
          <w:p w14:paraId="46716E8A">
            <w:pPr>
              <w:pStyle w:val="6"/>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27A54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6" w:type="pct"/>
            <w:vMerge w:val="continue"/>
            <w:noWrap w:val="0"/>
            <w:vAlign w:val="center"/>
          </w:tcPr>
          <w:p w14:paraId="2A027230">
            <w:pPr>
              <w:pStyle w:val="6"/>
              <w:snapToGrid w:val="0"/>
              <w:jc w:val="center"/>
              <w:rPr>
                <w:rFonts w:hint="default" w:ascii="Times New Roman" w:hAnsi="Times New Roman" w:cs="Times New Roman"/>
                <w:color w:val="auto"/>
                <w:sz w:val="21"/>
                <w:szCs w:val="21"/>
                <w:highlight w:val="none"/>
              </w:rPr>
            </w:pPr>
            <w:bookmarkStart w:id="417" w:name="_Toc29491"/>
          </w:p>
        </w:tc>
        <w:tc>
          <w:tcPr>
            <w:tcW w:w="777" w:type="pct"/>
            <w:gridSpan w:val="2"/>
            <w:noWrap w:val="0"/>
            <w:vAlign w:val="center"/>
          </w:tcPr>
          <w:p w14:paraId="62DD1E6F">
            <w:pPr>
              <w:pStyle w:val="6"/>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平均检测值</w:t>
            </w:r>
          </w:p>
        </w:tc>
        <w:tc>
          <w:tcPr>
            <w:tcW w:w="458" w:type="pct"/>
            <w:noWrap w:val="0"/>
            <w:vAlign w:val="center"/>
          </w:tcPr>
          <w:p w14:paraId="7F4B1800">
            <w:pPr>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66CACB99">
            <w:pPr>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24EBB400">
            <w:pPr>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71EE8033">
            <w:pPr>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6117AA1D">
            <w:pPr>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8" w:type="pct"/>
            <w:noWrap w:val="0"/>
            <w:vAlign w:val="center"/>
          </w:tcPr>
          <w:p w14:paraId="4D2E1F3A">
            <w:pPr>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459" w:type="pct"/>
            <w:noWrap w:val="0"/>
            <w:vAlign w:val="center"/>
          </w:tcPr>
          <w:p w14:paraId="112828F3">
            <w:pPr>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0.14L</w:t>
            </w:r>
          </w:p>
        </w:tc>
        <w:tc>
          <w:tcPr>
            <w:tcW w:w="303" w:type="pct"/>
            <w:noWrap w:val="0"/>
            <w:vAlign w:val="center"/>
          </w:tcPr>
          <w:p w14:paraId="66F12A4F">
            <w:pPr>
              <w:pStyle w:val="6"/>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0.0000025</w:t>
            </w:r>
          </w:p>
        </w:tc>
        <w:tc>
          <w:tcPr>
            <w:tcW w:w="431" w:type="pct"/>
            <w:noWrap w:val="0"/>
            <w:vAlign w:val="center"/>
          </w:tcPr>
          <w:p w14:paraId="5864EFBB">
            <w:pPr>
              <w:pStyle w:val="6"/>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bl>
    <w:p w14:paraId="10D91E06">
      <w:pPr>
        <w:pStyle w:val="61"/>
        <w:rPr>
          <w:rFonts w:hint="default" w:ascii="Times New Roman" w:hAnsi="Times New Roman" w:eastAsia="黑体" w:cs="Times New Roman"/>
          <w:snapToGrid w:val="0"/>
          <w:color w:val="auto"/>
          <w:kern w:val="2"/>
          <w:sz w:val="24"/>
          <w:szCs w:val="24"/>
          <w:highlight w:val="none"/>
          <w:lang w:val="en-US" w:eastAsia="zh-CN" w:bidi="ar-SA"/>
        </w:rPr>
      </w:pPr>
      <w:r>
        <w:rPr>
          <w:rFonts w:hint="default" w:ascii="Times New Roman" w:hAnsi="Times New Roman" w:eastAsia="黑体" w:cs="Times New Roman"/>
          <w:snapToGrid w:val="0"/>
          <w:color w:val="auto"/>
          <w:kern w:val="2"/>
          <w:sz w:val="24"/>
          <w:szCs w:val="24"/>
          <w:highlight w:val="none"/>
          <w:lang w:val="en-US" w:eastAsia="zh-CN" w:bidi="ar-SA"/>
        </w:rPr>
        <w:t xml:space="preserve"> </w:t>
      </w:r>
    </w:p>
    <w:p w14:paraId="0EA02DA3">
      <w:pPr>
        <w:pStyle w:val="61"/>
        <w:rPr>
          <w:rFonts w:hint="default" w:ascii="Times New Roman" w:hAnsi="Times New Roman" w:cs="Times New Roman"/>
          <w:snapToGrid w:val="0"/>
          <w:color w:val="auto"/>
          <w:highlight w:val="none"/>
          <w:vertAlign w:val="superscript"/>
          <w:lang w:val="en-US" w:eastAsia="zh-CN"/>
        </w:rPr>
      </w:pPr>
      <w:r>
        <w:rPr>
          <w:rFonts w:hint="default" w:ascii="Times New Roman" w:hAnsi="Times New Roman" w:cs="Times New Roman"/>
          <w:snapToGrid w:val="0"/>
          <w:color w:val="auto"/>
          <w:kern w:val="2"/>
          <w:sz w:val="24"/>
          <w:szCs w:val="24"/>
          <w:highlight w:val="none"/>
          <w:lang w:val="en-US" w:eastAsia="zh-CN" w:bidi="ar-SA"/>
        </w:rPr>
        <w:t xml:space="preserve">                 </w:t>
      </w:r>
      <w:r>
        <w:rPr>
          <w:rFonts w:hint="default" w:ascii="Times New Roman" w:hAnsi="Times New Roman" w:eastAsia="黑体" w:cs="Times New Roman"/>
          <w:snapToGrid w:val="0"/>
          <w:color w:val="auto"/>
          <w:kern w:val="2"/>
          <w:sz w:val="24"/>
          <w:szCs w:val="24"/>
          <w:highlight w:val="none"/>
          <w:lang w:val="en-US" w:eastAsia="zh-CN" w:bidi="ar-SA"/>
        </w:rPr>
        <w:t xml:space="preserve"> 4</w:t>
      </w:r>
      <w:r>
        <w:rPr>
          <w:rFonts w:hint="default" w:ascii="Times New Roman" w:hAnsi="Times New Roman" w:cs="Times New Roman"/>
          <w:snapToGrid w:val="0"/>
          <w:color w:val="auto"/>
          <w:kern w:val="2"/>
          <w:sz w:val="24"/>
          <w:szCs w:val="24"/>
          <w:highlight w:val="none"/>
          <w:lang w:val="en-US" w:eastAsia="zh-CN" w:bidi="ar-SA"/>
        </w:rPr>
        <w:t>.2</w:t>
      </w:r>
      <w:r>
        <w:rPr>
          <w:rFonts w:hint="default" w:ascii="Times New Roman" w:hAnsi="Times New Roman" w:eastAsia="黑体" w:cs="Times New Roman"/>
          <w:snapToGrid w:val="0"/>
          <w:color w:val="auto"/>
          <w:kern w:val="2"/>
          <w:sz w:val="24"/>
          <w:szCs w:val="24"/>
          <w:highlight w:val="none"/>
          <w:lang w:val="en-US" w:eastAsia="zh-CN" w:bidi="ar-SA"/>
        </w:rPr>
        <w:t>-</w:t>
      </w:r>
      <w:r>
        <w:rPr>
          <w:rFonts w:hint="default" w:ascii="Times New Roman" w:hAnsi="Times New Roman" w:cs="Times New Roman"/>
          <w:snapToGrid w:val="0"/>
          <w:color w:val="auto"/>
          <w:kern w:val="2"/>
          <w:sz w:val="24"/>
          <w:szCs w:val="24"/>
          <w:highlight w:val="none"/>
          <w:lang w:val="en-US" w:eastAsia="zh-CN" w:bidi="ar-SA"/>
        </w:rPr>
        <w:t>4</w:t>
      </w:r>
      <w:r>
        <w:rPr>
          <w:rFonts w:hint="default" w:ascii="Times New Roman" w:hAnsi="Times New Roman" w:eastAsia="黑体" w:cs="Times New Roman"/>
          <w:snapToGrid w:val="0"/>
          <w:color w:val="auto"/>
          <w:kern w:val="2"/>
          <w:sz w:val="24"/>
          <w:szCs w:val="24"/>
          <w:highlight w:val="none"/>
          <w:lang w:val="en-US" w:eastAsia="zh-CN" w:bidi="ar-SA"/>
        </w:rPr>
        <w:t xml:space="preserve"> </w:t>
      </w:r>
      <w:r>
        <w:rPr>
          <w:rFonts w:hint="default" w:ascii="Times New Roman" w:hAnsi="Times New Roman" w:cs="Times New Roman"/>
          <w:snapToGrid w:val="0"/>
          <w:color w:val="auto"/>
          <w:kern w:val="2"/>
          <w:sz w:val="24"/>
          <w:szCs w:val="24"/>
          <w:highlight w:val="none"/>
          <w:lang w:val="en-US" w:eastAsia="zh-CN" w:bidi="ar-SA"/>
        </w:rPr>
        <w:t>NMHC</w:t>
      </w:r>
      <w:r>
        <w:rPr>
          <w:rFonts w:hint="default" w:ascii="Times New Roman" w:hAnsi="Times New Roman" w:eastAsia="黑体" w:cs="Times New Roman"/>
          <w:snapToGrid w:val="0"/>
          <w:color w:val="auto"/>
          <w:kern w:val="2"/>
          <w:sz w:val="24"/>
          <w:szCs w:val="24"/>
          <w:highlight w:val="none"/>
          <w:lang w:val="en-US" w:eastAsia="zh-CN" w:bidi="ar-SA"/>
        </w:rPr>
        <w:t xml:space="preserve">环境空气监测结果        </w:t>
      </w:r>
      <w:r>
        <w:rPr>
          <w:rFonts w:hint="default" w:ascii="Times New Roman" w:hAnsi="Times New Roman" w:cs="Times New Roman"/>
          <w:snapToGrid w:val="0"/>
          <w:color w:val="auto"/>
          <w:sz w:val="24"/>
          <w:szCs w:val="24"/>
          <w:highlight w:val="none"/>
          <w:lang w:eastAsia="zh-CN"/>
        </w:rPr>
        <w:t xml:space="preserve">   </w:t>
      </w:r>
      <w:r>
        <w:rPr>
          <w:rFonts w:hint="default" w:ascii="Times New Roman" w:hAnsi="Times New Roman" w:cs="Times New Roman"/>
          <w:snapToGrid w:val="0"/>
          <w:color w:val="auto"/>
          <w:sz w:val="24"/>
          <w:szCs w:val="24"/>
          <w:highlight w:val="none"/>
          <w:lang w:val="en-US" w:eastAsia="zh-CN"/>
        </w:rPr>
        <w:t>单位：</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p>
    <w:tbl>
      <w:tblPr>
        <w:tblStyle w:val="3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1282"/>
        <w:gridCol w:w="847"/>
        <w:gridCol w:w="1331"/>
        <w:gridCol w:w="946"/>
        <w:gridCol w:w="946"/>
        <w:gridCol w:w="946"/>
        <w:gridCol w:w="956"/>
        <w:gridCol w:w="593"/>
      </w:tblGrid>
      <w:tr w14:paraId="22713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4" w:type="pct"/>
            <w:vMerge w:val="restart"/>
            <w:noWrap w:val="0"/>
            <w:vAlign w:val="center"/>
          </w:tcPr>
          <w:p w14:paraId="22F81152">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检测类别</w:t>
            </w:r>
          </w:p>
        </w:tc>
        <w:tc>
          <w:tcPr>
            <w:tcW w:w="752" w:type="pct"/>
            <w:vMerge w:val="restart"/>
            <w:noWrap w:val="0"/>
            <w:vAlign w:val="center"/>
          </w:tcPr>
          <w:p w14:paraId="39118CB0">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采样日期</w:t>
            </w:r>
          </w:p>
        </w:tc>
        <w:tc>
          <w:tcPr>
            <w:tcW w:w="497" w:type="pct"/>
            <w:vMerge w:val="restart"/>
            <w:noWrap w:val="0"/>
            <w:vAlign w:val="center"/>
          </w:tcPr>
          <w:p w14:paraId="3757B21C">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检测项目</w:t>
            </w:r>
          </w:p>
        </w:tc>
        <w:tc>
          <w:tcPr>
            <w:tcW w:w="781" w:type="pct"/>
            <w:vMerge w:val="restart"/>
            <w:noWrap w:val="0"/>
            <w:vAlign w:val="center"/>
          </w:tcPr>
          <w:p w14:paraId="66402C3D">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检测点位</w:t>
            </w:r>
          </w:p>
        </w:tc>
        <w:tc>
          <w:tcPr>
            <w:tcW w:w="2226" w:type="pct"/>
            <w:gridSpan w:val="4"/>
            <w:noWrap w:val="0"/>
            <w:vAlign w:val="center"/>
          </w:tcPr>
          <w:p w14:paraId="3FEE7DE4">
            <w:pPr>
              <w:pStyle w:val="74"/>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检测结果</w:t>
            </w:r>
          </w:p>
        </w:tc>
        <w:tc>
          <w:tcPr>
            <w:tcW w:w="348" w:type="pct"/>
            <w:vMerge w:val="restart"/>
            <w:noWrap w:val="0"/>
            <w:vAlign w:val="center"/>
          </w:tcPr>
          <w:p w14:paraId="091A225C">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w:t>
            </w:r>
          </w:p>
        </w:tc>
      </w:tr>
      <w:tr w14:paraId="1EF9E1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4" w:type="pct"/>
            <w:vMerge w:val="continue"/>
            <w:noWrap w:val="0"/>
            <w:vAlign w:val="center"/>
          </w:tcPr>
          <w:p w14:paraId="00863B49">
            <w:pPr>
              <w:pStyle w:val="74"/>
              <w:jc w:val="center"/>
              <w:rPr>
                <w:rFonts w:hint="default" w:ascii="Times New Roman" w:hAnsi="Times New Roman" w:cs="Times New Roman"/>
                <w:color w:val="auto"/>
                <w:highlight w:val="none"/>
              </w:rPr>
            </w:pPr>
          </w:p>
        </w:tc>
        <w:tc>
          <w:tcPr>
            <w:tcW w:w="752" w:type="pct"/>
            <w:vMerge w:val="continue"/>
            <w:noWrap w:val="0"/>
            <w:vAlign w:val="center"/>
          </w:tcPr>
          <w:p w14:paraId="69A0320A">
            <w:pPr>
              <w:pStyle w:val="74"/>
              <w:jc w:val="center"/>
              <w:rPr>
                <w:rFonts w:hint="default" w:ascii="Times New Roman" w:hAnsi="Times New Roman" w:cs="Times New Roman"/>
                <w:color w:val="auto"/>
                <w:highlight w:val="none"/>
              </w:rPr>
            </w:pPr>
          </w:p>
        </w:tc>
        <w:tc>
          <w:tcPr>
            <w:tcW w:w="497" w:type="pct"/>
            <w:vMerge w:val="continue"/>
            <w:noWrap w:val="0"/>
            <w:vAlign w:val="center"/>
          </w:tcPr>
          <w:p w14:paraId="37D1FA8D">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170376D1">
            <w:pPr>
              <w:pStyle w:val="74"/>
              <w:jc w:val="center"/>
              <w:rPr>
                <w:rFonts w:hint="default" w:ascii="Times New Roman" w:hAnsi="Times New Roman" w:cs="Times New Roman"/>
                <w:color w:val="auto"/>
                <w:highlight w:val="none"/>
              </w:rPr>
            </w:pPr>
          </w:p>
        </w:tc>
        <w:tc>
          <w:tcPr>
            <w:tcW w:w="555" w:type="pct"/>
            <w:noWrap w:val="0"/>
            <w:vAlign w:val="center"/>
          </w:tcPr>
          <w:p w14:paraId="562EACE8">
            <w:pPr>
              <w:pStyle w:val="74"/>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第一次</w:t>
            </w:r>
          </w:p>
        </w:tc>
        <w:tc>
          <w:tcPr>
            <w:tcW w:w="555" w:type="pct"/>
            <w:noWrap w:val="0"/>
            <w:vAlign w:val="center"/>
          </w:tcPr>
          <w:p w14:paraId="2826AF94">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第二次</w:t>
            </w:r>
          </w:p>
        </w:tc>
        <w:tc>
          <w:tcPr>
            <w:tcW w:w="555" w:type="pct"/>
            <w:noWrap w:val="0"/>
            <w:vAlign w:val="center"/>
          </w:tcPr>
          <w:p w14:paraId="33D9A1D7">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第三次</w:t>
            </w:r>
          </w:p>
        </w:tc>
        <w:tc>
          <w:tcPr>
            <w:tcW w:w="561" w:type="pct"/>
            <w:noWrap w:val="0"/>
            <w:vAlign w:val="center"/>
          </w:tcPr>
          <w:p w14:paraId="3559A6B2">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第</w:t>
            </w:r>
            <w:r>
              <w:rPr>
                <w:rFonts w:hint="default" w:ascii="Times New Roman" w:hAnsi="Times New Roman" w:cs="Times New Roman"/>
                <w:color w:val="auto"/>
                <w:highlight w:val="none"/>
                <w:lang w:eastAsia="zh-CN"/>
              </w:rPr>
              <w:t>四</w:t>
            </w:r>
            <w:r>
              <w:rPr>
                <w:rFonts w:hint="default" w:ascii="Times New Roman" w:hAnsi="Times New Roman" w:cs="Times New Roman"/>
                <w:color w:val="auto"/>
                <w:highlight w:val="none"/>
              </w:rPr>
              <w:t>次</w:t>
            </w:r>
          </w:p>
        </w:tc>
        <w:tc>
          <w:tcPr>
            <w:tcW w:w="348" w:type="pct"/>
            <w:vMerge w:val="continue"/>
            <w:noWrap w:val="0"/>
            <w:vAlign w:val="center"/>
          </w:tcPr>
          <w:p w14:paraId="7F22F2AE">
            <w:pPr>
              <w:pStyle w:val="74"/>
              <w:jc w:val="center"/>
              <w:rPr>
                <w:rFonts w:hint="default" w:ascii="Times New Roman" w:hAnsi="Times New Roman" w:cs="Times New Roman"/>
                <w:color w:val="auto"/>
                <w:highlight w:val="none"/>
              </w:rPr>
            </w:pPr>
          </w:p>
        </w:tc>
      </w:tr>
      <w:tr w14:paraId="347DA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noWrap w:val="0"/>
            <w:vAlign w:val="center"/>
          </w:tcPr>
          <w:p w14:paraId="08C9A6D5">
            <w:pPr>
              <w:pStyle w:val="74"/>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环境空气</w:t>
            </w:r>
          </w:p>
        </w:tc>
        <w:tc>
          <w:tcPr>
            <w:tcW w:w="752" w:type="pct"/>
            <w:noWrap w:val="0"/>
            <w:vAlign w:val="center"/>
          </w:tcPr>
          <w:p w14:paraId="5CB8C0AB">
            <w:pPr>
              <w:pStyle w:val="74"/>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5.7.24</w:t>
            </w:r>
          </w:p>
        </w:tc>
        <w:tc>
          <w:tcPr>
            <w:tcW w:w="497" w:type="pct"/>
            <w:vMerge w:val="restart"/>
            <w:noWrap w:val="0"/>
            <w:vAlign w:val="center"/>
          </w:tcPr>
          <w:p w14:paraId="5B1B3F2F">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NMHC</w:t>
            </w:r>
          </w:p>
        </w:tc>
        <w:tc>
          <w:tcPr>
            <w:tcW w:w="781" w:type="pct"/>
            <w:vMerge w:val="restart"/>
            <w:noWrap w:val="0"/>
            <w:vAlign w:val="center"/>
          </w:tcPr>
          <w:p w14:paraId="32896049">
            <w:pPr>
              <w:pStyle w:val="74"/>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1"/>
                <w:szCs w:val="21"/>
                <w:highlight w:val="none"/>
                <w:lang w:val="en-US" w:eastAsia="zh-CN"/>
              </w:rPr>
              <w:t>厂址</w:t>
            </w:r>
          </w:p>
        </w:tc>
        <w:tc>
          <w:tcPr>
            <w:tcW w:w="555" w:type="pct"/>
            <w:noWrap w:val="0"/>
            <w:vAlign w:val="center"/>
          </w:tcPr>
          <w:p w14:paraId="1034497E">
            <w:pPr>
              <w:spacing w:after="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0.23</w:t>
            </w:r>
          </w:p>
        </w:tc>
        <w:tc>
          <w:tcPr>
            <w:tcW w:w="555" w:type="pct"/>
            <w:noWrap w:val="0"/>
            <w:vAlign w:val="center"/>
          </w:tcPr>
          <w:p w14:paraId="71521D60">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0.26</w:t>
            </w:r>
          </w:p>
        </w:tc>
        <w:tc>
          <w:tcPr>
            <w:tcW w:w="555" w:type="pct"/>
            <w:noWrap w:val="0"/>
            <w:vAlign w:val="center"/>
          </w:tcPr>
          <w:p w14:paraId="3D12AE76">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0.22</w:t>
            </w:r>
          </w:p>
        </w:tc>
        <w:tc>
          <w:tcPr>
            <w:tcW w:w="561" w:type="pct"/>
            <w:noWrap w:val="0"/>
            <w:vAlign w:val="center"/>
          </w:tcPr>
          <w:p w14:paraId="740882A2">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0.17</w:t>
            </w:r>
          </w:p>
        </w:tc>
        <w:tc>
          <w:tcPr>
            <w:tcW w:w="348" w:type="pct"/>
            <w:vMerge w:val="restart"/>
            <w:noWrap w:val="0"/>
            <w:vAlign w:val="center"/>
          </w:tcPr>
          <w:p w14:paraId="11B306BB">
            <w:pPr>
              <w:pStyle w:val="74"/>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r>
      <w:tr w14:paraId="53E74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5D003A22">
            <w:pPr>
              <w:pStyle w:val="74"/>
              <w:jc w:val="center"/>
              <w:rPr>
                <w:rFonts w:hint="default" w:ascii="Times New Roman" w:hAnsi="Times New Roman" w:cs="Times New Roman"/>
                <w:color w:val="auto"/>
                <w:highlight w:val="none"/>
              </w:rPr>
            </w:pPr>
          </w:p>
        </w:tc>
        <w:tc>
          <w:tcPr>
            <w:tcW w:w="752" w:type="pct"/>
            <w:noWrap w:val="0"/>
            <w:vAlign w:val="center"/>
          </w:tcPr>
          <w:p w14:paraId="7520FD6A">
            <w:pPr>
              <w:pStyle w:val="7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2025.7.25</w:t>
            </w:r>
          </w:p>
        </w:tc>
        <w:tc>
          <w:tcPr>
            <w:tcW w:w="497" w:type="pct"/>
            <w:vMerge w:val="continue"/>
            <w:noWrap w:val="0"/>
            <w:vAlign w:val="center"/>
          </w:tcPr>
          <w:p w14:paraId="45E32A91">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77C8A974">
            <w:pPr>
              <w:pStyle w:val="74"/>
              <w:jc w:val="center"/>
              <w:rPr>
                <w:rFonts w:hint="default" w:ascii="Times New Roman" w:hAnsi="Times New Roman" w:cs="Times New Roman"/>
                <w:color w:val="auto"/>
                <w:highlight w:val="none"/>
              </w:rPr>
            </w:pPr>
          </w:p>
        </w:tc>
        <w:tc>
          <w:tcPr>
            <w:tcW w:w="555" w:type="pct"/>
            <w:noWrap w:val="0"/>
            <w:vAlign w:val="center"/>
          </w:tcPr>
          <w:p w14:paraId="57DDDC07">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0.20</w:t>
            </w:r>
          </w:p>
        </w:tc>
        <w:tc>
          <w:tcPr>
            <w:tcW w:w="555" w:type="pct"/>
            <w:noWrap w:val="0"/>
            <w:vAlign w:val="center"/>
          </w:tcPr>
          <w:p w14:paraId="60669526">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0.16</w:t>
            </w:r>
          </w:p>
        </w:tc>
        <w:tc>
          <w:tcPr>
            <w:tcW w:w="555" w:type="pct"/>
            <w:noWrap w:val="0"/>
            <w:vAlign w:val="center"/>
          </w:tcPr>
          <w:p w14:paraId="38276FF4">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0.18</w:t>
            </w:r>
          </w:p>
        </w:tc>
        <w:tc>
          <w:tcPr>
            <w:tcW w:w="561" w:type="pct"/>
            <w:noWrap w:val="0"/>
            <w:vAlign w:val="center"/>
          </w:tcPr>
          <w:p w14:paraId="723515C5">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0.23</w:t>
            </w:r>
          </w:p>
        </w:tc>
        <w:tc>
          <w:tcPr>
            <w:tcW w:w="348" w:type="pct"/>
            <w:vMerge w:val="continue"/>
            <w:noWrap w:val="0"/>
            <w:vAlign w:val="center"/>
          </w:tcPr>
          <w:p w14:paraId="48B17D39">
            <w:pPr>
              <w:pStyle w:val="74"/>
              <w:jc w:val="center"/>
              <w:rPr>
                <w:rFonts w:hint="default" w:ascii="Times New Roman" w:hAnsi="Times New Roman" w:cs="Times New Roman"/>
                <w:color w:val="auto"/>
                <w:highlight w:val="none"/>
              </w:rPr>
            </w:pPr>
          </w:p>
        </w:tc>
      </w:tr>
      <w:tr w14:paraId="1ABF6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66368907">
            <w:pPr>
              <w:pStyle w:val="74"/>
              <w:jc w:val="center"/>
              <w:rPr>
                <w:rFonts w:hint="default" w:ascii="Times New Roman" w:hAnsi="Times New Roman" w:cs="Times New Roman"/>
                <w:color w:val="auto"/>
                <w:highlight w:val="none"/>
              </w:rPr>
            </w:pPr>
          </w:p>
        </w:tc>
        <w:tc>
          <w:tcPr>
            <w:tcW w:w="752" w:type="pct"/>
            <w:noWrap w:val="0"/>
            <w:vAlign w:val="center"/>
          </w:tcPr>
          <w:p w14:paraId="1A51D80A">
            <w:pPr>
              <w:pStyle w:val="74"/>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2025.7.26</w:t>
            </w:r>
          </w:p>
        </w:tc>
        <w:tc>
          <w:tcPr>
            <w:tcW w:w="497" w:type="pct"/>
            <w:vMerge w:val="continue"/>
            <w:noWrap w:val="0"/>
            <w:vAlign w:val="center"/>
          </w:tcPr>
          <w:p w14:paraId="19A3B87C">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3EB8C70C">
            <w:pPr>
              <w:pStyle w:val="74"/>
              <w:jc w:val="center"/>
              <w:rPr>
                <w:rFonts w:hint="default" w:ascii="Times New Roman" w:hAnsi="Times New Roman" w:cs="Times New Roman"/>
                <w:color w:val="auto"/>
                <w:highlight w:val="none"/>
              </w:rPr>
            </w:pPr>
          </w:p>
        </w:tc>
        <w:tc>
          <w:tcPr>
            <w:tcW w:w="555" w:type="pct"/>
            <w:noWrap w:val="0"/>
            <w:vAlign w:val="center"/>
          </w:tcPr>
          <w:p w14:paraId="1F534930">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0.21</w:t>
            </w:r>
          </w:p>
        </w:tc>
        <w:tc>
          <w:tcPr>
            <w:tcW w:w="555" w:type="pct"/>
            <w:noWrap w:val="0"/>
            <w:vAlign w:val="center"/>
          </w:tcPr>
          <w:p w14:paraId="04209168">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0.20</w:t>
            </w:r>
          </w:p>
        </w:tc>
        <w:tc>
          <w:tcPr>
            <w:tcW w:w="555" w:type="pct"/>
            <w:noWrap w:val="0"/>
            <w:vAlign w:val="center"/>
          </w:tcPr>
          <w:p w14:paraId="6C309306">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0.21</w:t>
            </w:r>
          </w:p>
        </w:tc>
        <w:tc>
          <w:tcPr>
            <w:tcW w:w="561" w:type="pct"/>
            <w:noWrap w:val="0"/>
            <w:vAlign w:val="center"/>
          </w:tcPr>
          <w:p w14:paraId="48878102">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0.20</w:t>
            </w:r>
          </w:p>
        </w:tc>
        <w:tc>
          <w:tcPr>
            <w:tcW w:w="348" w:type="pct"/>
            <w:vMerge w:val="continue"/>
            <w:noWrap w:val="0"/>
            <w:vAlign w:val="center"/>
          </w:tcPr>
          <w:p w14:paraId="18D3B947">
            <w:pPr>
              <w:pStyle w:val="74"/>
              <w:jc w:val="center"/>
              <w:rPr>
                <w:rFonts w:hint="default" w:ascii="Times New Roman" w:hAnsi="Times New Roman" w:cs="Times New Roman"/>
                <w:color w:val="auto"/>
                <w:highlight w:val="none"/>
              </w:rPr>
            </w:pPr>
          </w:p>
        </w:tc>
      </w:tr>
      <w:tr w14:paraId="42CF0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01AEC026">
            <w:pPr>
              <w:pStyle w:val="74"/>
              <w:jc w:val="center"/>
              <w:rPr>
                <w:rFonts w:hint="default" w:ascii="Times New Roman" w:hAnsi="Times New Roman" w:cs="Times New Roman"/>
                <w:color w:val="auto"/>
                <w:highlight w:val="none"/>
              </w:rPr>
            </w:pPr>
          </w:p>
        </w:tc>
        <w:tc>
          <w:tcPr>
            <w:tcW w:w="752" w:type="pct"/>
            <w:noWrap w:val="0"/>
            <w:vAlign w:val="center"/>
          </w:tcPr>
          <w:p w14:paraId="7C54DF8E">
            <w:pPr>
              <w:pStyle w:val="74"/>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2025.7.27</w:t>
            </w:r>
          </w:p>
        </w:tc>
        <w:tc>
          <w:tcPr>
            <w:tcW w:w="497" w:type="pct"/>
            <w:vMerge w:val="continue"/>
            <w:noWrap w:val="0"/>
            <w:vAlign w:val="center"/>
          </w:tcPr>
          <w:p w14:paraId="33B7E911">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10B69510">
            <w:pPr>
              <w:pStyle w:val="74"/>
              <w:jc w:val="center"/>
              <w:rPr>
                <w:rFonts w:hint="default" w:ascii="Times New Roman" w:hAnsi="Times New Roman" w:cs="Times New Roman"/>
                <w:color w:val="auto"/>
                <w:highlight w:val="none"/>
              </w:rPr>
            </w:pPr>
          </w:p>
        </w:tc>
        <w:tc>
          <w:tcPr>
            <w:tcW w:w="555" w:type="pct"/>
            <w:noWrap w:val="0"/>
            <w:vAlign w:val="center"/>
          </w:tcPr>
          <w:p w14:paraId="1AAB5463">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0.22</w:t>
            </w:r>
          </w:p>
        </w:tc>
        <w:tc>
          <w:tcPr>
            <w:tcW w:w="555" w:type="pct"/>
            <w:noWrap w:val="0"/>
            <w:vAlign w:val="center"/>
          </w:tcPr>
          <w:p w14:paraId="3C69E6AE">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0.25</w:t>
            </w:r>
          </w:p>
        </w:tc>
        <w:tc>
          <w:tcPr>
            <w:tcW w:w="555" w:type="pct"/>
            <w:noWrap w:val="0"/>
            <w:vAlign w:val="center"/>
          </w:tcPr>
          <w:p w14:paraId="572FF1DB">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0.17</w:t>
            </w:r>
          </w:p>
        </w:tc>
        <w:tc>
          <w:tcPr>
            <w:tcW w:w="561" w:type="pct"/>
            <w:noWrap w:val="0"/>
            <w:vAlign w:val="center"/>
          </w:tcPr>
          <w:p w14:paraId="14CCA889">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0.19</w:t>
            </w:r>
          </w:p>
        </w:tc>
        <w:tc>
          <w:tcPr>
            <w:tcW w:w="348" w:type="pct"/>
            <w:vMerge w:val="continue"/>
            <w:noWrap w:val="0"/>
            <w:vAlign w:val="center"/>
          </w:tcPr>
          <w:p w14:paraId="64B39B1A">
            <w:pPr>
              <w:pStyle w:val="74"/>
              <w:jc w:val="center"/>
              <w:rPr>
                <w:rFonts w:hint="default" w:ascii="Times New Roman" w:hAnsi="Times New Roman" w:cs="Times New Roman"/>
                <w:color w:val="auto"/>
                <w:highlight w:val="none"/>
              </w:rPr>
            </w:pPr>
          </w:p>
        </w:tc>
      </w:tr>
      <w:tr w14:paraId="59C07E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130492EC">
            <w:pPr>
              <w:pStyle w:val="74"/>
              <w:jc w:val="center"/>
              <w:rPr>
                <w:rFonts w:hint="default" w:ascii="Times New Roman" w:hAnsi="Times New Roman" w:cs="Times New Roman"/>
                <w:color w:val="auto"/>
                <w:highlight w:val="none"/>
              </w:rPr>
            </w:pPr>
          </w:p>
        </w:tc>
        <w:tc>
          <w:tcPr>
            <w:tcW w:w="752" w:type="pct"/>
            <w:noWrap w:val="0"/>
            <w:vAlign w:val="center"/>
          </w:tcPr>
          <w:p w14:paraId="3602DB65">
            <w:pPr>
              <w:pStyle w:val="74"/>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2025.7.28</w:t>
            </w:r>
          </w:p>
        </w:tc>
        <w:tc>
          <w:tcPr>
            <w:tcW w:w="497" w:type="pct"/>
            <w:vMerge w:val="continue"/>
            <w:noWrap w:val="0"/>
            <w:vAlign w:val="center"/>
          </w:tcPr>
          <w:p w14:paraId="3AC589D9">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6BA3AC3A">
            <w:pPr>
              <w:pStyle w:val="74"/>
              <w:jc w:val="center"/>
              <w:rPr>
                <w:rFonts w:hint="default" w:ascii="Times New Roman" w:hAnsi="Times New Roman" w:cs="Times New Roman"/>
                <w:color w:val="auto"/>
                <w:highlight w:val="none"/>
              </w:rPr>
            </w:pPr>
          </w:p>
        </w:tc>
        <w:tc>
          <w:tcPr>
            <w:tcW w:w="555" w:type="pct"/>
            <w:noWrap w:val="0"/>
            <w:vAlign w:val="center"/>
          </w:tcPr>
          <w:p w14:paraId="757E0C3B">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0.25</w:t>
            </w:r>
          </w:p>
        </w:tc>
        <w:tc>
          <w:tcPr>
            <w:tcW w:w="555" w:type="pct"/>
            <w:noWrap w:val="0"/>
            <w:vAlign w:val="center"/>
          </w:tcPr>
          <w:p w14:paraId="35AF04DB">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0.26</w:t>
            </w:r>
          </w:p>
        </w:tc>
        <w:tc>
          <w:tcPr>
            <w:tcW w:w="555" w:type="pct"/>
            <w:noWrap w:val="0"/>
            <w:vAlign w:val="center"/>
          </w:tcPr>
          <w:p w14:paraId="4AD03F8B">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0.19</w:t>
            </w:r>
          </w:p>
        </w:tc>
        <w:tc>
          <w:tcPr>
            <w:tcW w:w="561" w:type="pct"/>
            <w:noWrap w:val="0"/>
            <w:vAlign w:val="center"/>
          </w:tcPr>
          <w:p w14:paraId="41D6E394">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0.25</w:t>
            </w:r>
          </w:p>
        </w:tc>
        <w:tc>
          <w:tcPr>
            <w:tcW w:w="348" w:type="pct"/>
            <w:vMerge w:val="continue"/>
            <w:noWrap w:val="0"/>
            <w:vAlign w:val="center"/>
          </w:tcPr>
          <w:p w14:paraId="0EA74E99">
            <w:pPr>
              <w:pStyle w:val="74"/>
              <w:jc w:val="center"/>
              <w:rPr>
                <w:rFonts w:hint="default" w:ascii="Times New Roman" w:hAnsi="Times New Roman" w:cs="Times New Roman"/>
                <w:color w:val="auto"/>
                <w:highlight w:val="none"/>
              </w:rPr>
            </w:pPr>
          </w:p>
        </w:tc>
      </w:tr>
      <w:tr w14:paraId="67D30C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0D28292D">
            <w:pPr>
              <w:pStyle w:val="74"/>
              <w:jc w:val="center"/>
              <w:rPr>
                <w:rFonts w:hint="default" w:ascii="Times New Roman" w:hAnsi="Times New Roman" w:cs="Times New Roman"/>
                <w:color w:val="auto"/>
                <w:highlight w:val="none"/>
              </w:rPr>
            </w:pPr>
          </w:p>
        </w:tc>
        <w:tc>
          <w:tcPr>
            <w:tcW w:w="752" w:type="pct"/>
            <w:noWrap w:val="0"/>
            <w:vAlign w:val="center"/>
          </w:tcPr>
          <w:p w14:paraId="037A7F11">
            <w:pPr>
              <w:pStyle w:val="74"/>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2025.7.29</w:t>
            </w:r>
          </w:p>
        </w:tc>
        <w:tc>
          <w:tcPr>
            <w:tcW w:w="497" w:type="pct"/>
            <w:vMerge w:val="continue"/>
            <w:noWrap w:val="0"/>
            <w:vAlign w:val="center"/>
          </w:tcPr>
          <w:p w14:paraId="5BD32BCA">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43E7B6CF">
            <w:pPr>
              <w:pStyle w:val="74"/>
              <w:jc w:val="center"/>
              <w:rPr>
                <w:rFonts w:hint="default" w:ascii="Times New Roman" w:hAnsi="Times New Roman" w:cs="Times New Roman"/>
                <w:color w:val="auto"/>
                <w:highlight w:val="none"/>
              </w:rPr>
            </w:pPr>
          </w:p>
        </w:tc>
        <w:tc>
          <w:tcPr>
            <w:tcW w:w="555" w:type="pct"/>
            <w:noWrap w:val="0"/>
            <w:vAlign w:val="center"/>
          </w:tcPr>
          <w:p w14:paraId="316CAC6A">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0.21</w:t>
            </w:r>
          </w:p>
        </w:tc>
        <w:tc>
          <w:tcPr>
            <w:tcW w:w="555" w:type="pct"/>
            <w:noWrap w:val="0"/>
            <w:vAlign w:val="center"/>
          </w:tcPr>
          <w:p w14:paraId="55AF6DAE">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0.21</w:t>
            </w:r>
          </w:p>
        </w:tc>
        <w:tc>
          <w:tcPr>
            <w:tcW w:w="555" w:type="pct"/>
            <w:noWrap w:val="0"/>
            <w:vAlign w:val="center"/>
          </w:tcPr>
          <w:p w14:paraId="6EDFAD5B">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0.17</w:t>
            </w:r>
          </w:p>
        </w:tc>
        <w:tc>
          <w:tcPr>
            <w:tcW w:w="561" w:type="pct"/>
            <w:noWrap w:val="0"/>
            <w:vAlign w:val="center"/>
          </w:tcPr>
          <w:p w14:paraId="2F6785BF">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0.24</w:t>
            </w:r>
          </w:p>
        </w:tc>
        <w:tc>
          <w:tcPr>
            <w:tcW w:w="348" w:type="pct"/>
            <w:vMerge w:val="continue"/>
            <w:noWrap w:val="0"/>
            <w:vAlign w:val="center"/>
          </w:tcPr>
          <w:p w14:paraId="44DD9DCB">
            <w:pPr>
              <w:pStyle w:val="74"/>
              <w:jc w:val="center"/>
              <w:rPr>
                <w:rFonts w:hint="default" w:ascii="Times New Roman" w:hAnsi="Times New Roman" w:cs="Times New Roman"/>
                <w:color w:val="auto"/>
                <w:highlight w:val="none"/>
              </w:rPr>
            </w:pPr>
          </w:p>
        </w:tc>
      </w:tr>
      <w:tr w14:paraId="5F7A3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3C093722">
            <w:pPr>
              <w:pStyle w:val="74"/>
              <w:jc w:val="center"/>
              <w:rPr>
                <w:rFonts w:hint="default" w:ascii="Times New Roman" w:hAnsi="Times New Roman" w:cs="Times New Roman"/>
                <w:color w:val="auto"/>
                <w:highlight w:val="none"/>
              </w:rPr>
            </w:pPr>
          </w:p>
        </w:tc>
        <w:tc>
          <w:tcPr>
            <w:tcW w:w="752" w:type="pct"/>
            <w:noWrap w:val="0"/>
            <w:vAlign w:val="center"/>
          </w:tcPr>
          <w:p w14:paraId="66BFA1D6">
            <w:pPr>
              <w:pStyle w:val="74"/>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2025.7.30</w:t>
            </w:r>
          </w:p>
        </w:tc>
        <w:tc>
          <w:tcPr>
            <w:tcW w:w="497" w:type="pct"/>
            <w:vMerge w:val="continue"/>
            <w:noWrap w:val="0"/>
            <w:vAlign w:val="center"/>
          </w:tcPr>
          <w:p w14:paraId="53DD554E">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50F91A67">
            <w:pPr>
              <w:pStyle w:val="74"/>
              <w:jc w:val="center"/>
              <w:rPr>
                <w:rFonts w:hint="default" w:ascii="Times New Roman" w:hAnsi="Times New Roman" w:cs="Times New Roman"/>
                <w:color w:val="auto"/>
                <w:highlight w:val="none"/>
              </w:rPr>
            </w:pPr>
          </w:p>
        </w:tc>
        <w:tc>
          <w:tcPr>
            <w:tcW w:w="555" w:type="pct"/>
            <w:noWrap w:val="0"/>
            <w:vAlign w:val="center"/>
          </w:tcPr>
          <w:p w14:paraId="57ECCF30">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0.20</w:t>
            </w:r>
          </w:p>
        </w:tc>
        <w:tc>
          <w:tcPr>
            <w:tcW w:w="555" w:type="pct"/>
            <w:noWrap w:val="0"/>
            <w:vAlign w:val="center"/>
          </w:tcPr>
          <w:p w14:paraId="5654D110">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0.25</w:t>
            </w:r>
          </w:p>
        </w:tc>
        <w:tc>
          <w:tcPr>
            <w:tcW w:w="555" w:type="pct"/>
            <w:noWrap w:val="0"/>
            <w:vAlign w:val="center"/>
          </w:tcPr>
          <w:p w14:paraId="4650BBB1">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0.17</w:t>
            </w:r>
          </w:p>
        </w:tc>
        <w:tc>
          <w:tcPr>
            <w:tcW w:w="561" w:type="pct"/>
            <w:noWrap w:val="0"/>
            <w:vAlign w:val="center"/>
          </w:tcPr>
          <w:p w14:paraId="2BF49119">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0.23</w:t>
            </w:r>
          </w:p>
        </w:tc>
        <w:tc>
          <w:tcPr>
            <w:tcW w:w="348" w:type="pct"/>
            <w:vMerge w:val="continue"/>
            <w:noWrap w:val="0"/>
            <w:vAlign w:val="center"/>
          </w:tcPr>
          <w:p w14:paraId="2A4ADFAD">
            <w:pPr>
              <w:pStyle w:val="74"/>
              <w:jc w:val="center"/>
              <w:rPr>
                <w:rFonts w:hint="default" w:ascii="Times New Roman" w:hAnsi="Times New Roman" w:cs="Times New Roman"/>
                <w:color w:val="auto"/>
                <w:highlight w:val="none"/>
              </w:rPr>
            </w:pPr>
          </w:p>
        </w:tc>
      </w:tr>
      <w:tr w14:paraId="1EB2A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noWrap w:val="0"/>
            <w:vAlign w:val="center"/>
          </w:tcPr>
          <w:p w14:paraId="1266F1D0">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环境空气</w:t>
            </w:r>
          </w:p>
        </w:tc>
        <w:tc>
          <w:tcPr>
            <w:tcW w:w="752" w:type="pct"/>
            <w:noWrap w:val="0"/>
            <w:vAlign w:val="center"/>
          </w:tcPr>
          <w:p w14:paraId="01426001">
            <w:pPr>
              <w:pStyle w:val="74"/>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5.7.24</w:t>
            </w:r>
          </w:p>
        </w:tc>
        <w:tc>
          <w:tcPr>
            <w:tcW w:w="497" w:type="pct"/>
            <w:vMerge w:val="restart"/>
            <w:noWrap w:val="0"/>
            <w:vAlign w:val="center"/>
          </w:tcPr>
          <w:p w14:paraId="7D859F2F">
            <w:pPr>
              <w:pStyle w:val="7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NMHC</w:t>
            </w:r>
          </w:p>
        </w:tc>
        <w:tc>
          <w:tcPr>
            <w:tcW w:w="781" w:type="pct"/>
            <w:vMerge w:val="restart"/>
            <w:noWrap w:val="0"/>
            <w:vAlign w:val="center"/>
          </w:tcPr>
          <w:p w14:paraId="5C94308A">
            <w:pPr>
              <w:pStyle w:val="74"/>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厂址下风向</w:t>
            </w:r>
          </w:p>
        </w:tc>
        <w:tc>
          <w:tcPr>
            <w:tcW w:w="555" w:type="pct"/>
            <w:noWrap w:val="0"/>
            <w:vAlign w:val="center"/>
          </w:tcPr>
          <w:p w14:paraId="1CDF7B8C">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0.09</w:t>
            </w:r>
          </w:p>
        </w:tc>
        <w:tc>
          <w:tcPr>
            <w:tcW w:w="555" w:type="pct"/>
            <w:noWrap w:val="0"/>
            <w:vAlign w:val="center"/>
          </w:tcPr>
          <w:p w14:paraId="0B503E9F">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0.13</w:t>
            </w:r>
          </w:p>
        </w:tc>
        <w:tc>
          <w:tcPr>
            <w:tcW w:w="555" w:type="pct"/>
            <w:noWrap w:val="0"/>
            <w:vAlign w:val="center"/>
          </w:tcPr>
          <w:p w14:paraId="23D4E42F">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0.09</w:t>
            </w:r>
          </w:p>
        </w:tc>
        <w:tc>
          <w:tcPr>
            <w:tcW w:w="561" w:type="pct"/>
            <w:noWrap w:val="0"/>
            <w:vAlign w:val="center"/>
          </w:tcPr>
          <w:p w14:paraId="592671C0">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0.12</w:t>
            </w:r>
          </w:p>
        </w:tc>
        <w:tc>
          <w:tcPr>
            <w:tcW w:w="348" w:type="pct"/>
            <w:vMerge w:val="restart"/>
            <w:noWrap w:val="0"/>
            <w:vAlign w:val="center"/>
          </w:tcPr>
          <w:p w14:paraId="6A432268">
            <w:pPr>
              <w:pStyle w:val="74"/>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r>
      <w:tr w14:paraId="554FF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689DAF73">
            <w:pPr>
              <w:pStyle w:val="74"/>
              <w:jc w:val="center"/>
              <w:rPr>
                <w:rFonts w:hint="default" w:ascii="Times New Roman" w:hAnsi="Times New Roman" w:cs="Times New Roman"/>
                <w:color w:val="auto"/>
                <w:highlight w:val="none"/>
              </w:rPr>
            </w:pPr>
          </w:p>
        </w:tc>
        <w:tc>
          <w:tcPr>
            <w:tcW w:w="752" w:type="pct"/>
            <w:noWrap w:val="0"/>
            <w:vAlign w:val="center"/>
          </w:tcPr>
          <w:p w14:paraId="6A2ED3B9">
            <w:pPr>
              <w:pStyle w:val="74"/>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2025.7.25</w:t>
            </w:r>
          </w:p>
        </w:tc>
        <w:tc>
          <w:tcPr>
            <w:tcW w:w="497" w:type="pct"/>
            <w:vMerge w:val="continue"/>
            <w:noWrap w:val="0"/>
            <w:vAlign w:val="center"/>
          </w:tcPr>
          <w:p w14:paraId="14B81165">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4FCEB97B">
            <w:pPr>
              <w:pStyle w:val="74"/>
              <w:jc w:val="center"/>
              <w:rPr>
                <w:rFonts w:hint="default" w:ascii="Times New Roman" w:hAnsi="Times New Roman" w:cs="Times New Roman"/>
                <w:color w:val="auto"/>
                <w:highlight w:val="none"/>
              </w:rPr>
            </w:pPr>
          </w:p>
        </w:tc>
        <w:tc>
          <w:tcPr>
            <w:tcW w:w="555" w:type="pct"/>
            <w:noWrap w:val="0"/>
            <w:vAlign w:val="center"/>
          </w:tcPr>
          <w:p w14:paraId="71F84581">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0.10</w:t>
            </w:r>
          </w:p>
        </w:tc>
        <w:tc>
          <w:tcPr>
            <w:tcW w:w="555" w:type="pct"/>
            <w:noWrap w:val="0"/>
            <w:vAlign w:val="center"/>
          </w:tcPr>
          <w:p w14:paraId="5AC8D29A">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0.12</w:t>
            </w:r>
          </w:p>
        </w:tc>
        <w:tc>
          <w:tcPr>
            <w:tcW w:w="555" w:type="pct"/>
            <w:noWrap w:val="0"/>
            <w:vAlign w:val="center"/>
          </w:tcPr>
          <w:p w14:paraId="78B8D34B">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0.12</w:t>
            </w:r>
          </w:p>
        </w:tc>
        <w:tc>
          <w:tcPr>
            <w:tcW w:w="561" w:type="pct"/>
            <w:noWrap w:val="0"/>
            <w:vAlign w:val="center"/>
          </w:tcPr>
          <w:p w14:paraId="6CD820D7">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0.13</w:t>
            </w:r>
          </w:p>
        </w:tc>
        <w:tc>
          <w:tcPr>
            <w:tcW w:w="348" w:type="pct"/>
            <w:vMerge w:val="continue"/>
            <w:noWrap w:val="0"/>
            <w:vAlign w:val="center"/>
          </w:tcPr>
          <w:p w14:paraId="078B2D7D">
            <w:pPr>
              <w:pStyle w:val="74"/>
              <w:jc w:val="center"/>
              <w:rPr>
                <w:rFonts w:hint="default" w:ascii="Times New Roman" w:hAnsi="Times New Roman" w:cs="Times New Roman"/>
                <w:color w:val="auto"/>
                <w:highlight w:val="none"/>
              </w:rPr>
            </w:pPr>
          </w:p>
        </w:tc>
      </w:tr>
      <w:tr w14:paraId="187CA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FED288C">
            <w:pPr>
              <w:pStyle w:val="74"/>
              <w:jc w:val="center"/>
              <w:rPr>
                <w:rFonts w:hint="default" w:ascii="Times New Roman" w:hAnsi="Times New Roman" w:cs="Times New Roman"/>
                <w:color w:val="auto"/>
                <w:highlight w:val="none"/>
              </w:rPr>
            </w:pPr>
          </w:p>
        </w:tc>
        <w:tc>
          <w:tcPr>
            <w:tcW w:w="752" w:type="pct"/>
            <w:noWrap w:val="0"/>
            <w:vAlign w:val="center"/>
          </w:tcPr>
          <w:p w14:paraId="5C29251E">
            <w:pPr>
              <w:pStyle w:val="74"/>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2025.7.26</w:t>
            </w:r>
          </w:p>
        </w:tc>
        <w:tc>
          <w:tcPr>
            <w:tcW w:w="497" w:type="pct"/>
            <w:vMerge w:val="continue"/>
            <w:noWrap w:val="0"/>
            <w:vAlign w:val="center"/>
          </w:tcPr>
          <w:p w14:paraId="2223A931">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587EE5B8">
            <w:pPr>
              <w:pStyle w:val="74"/>
              <w:jc w:val="center"/>
              <w:rPr>
                <w:rFonts w:hint="default" w:ascii="Times New Roman" w:hAnsi="Times New Roman" w:cs="Times New Roman"/>
                <w:color w:val="auto"/>
                <w:highlight w:val="none"/>
              </w:rPr>
            </w:pPr>
          </w:p>
        </w:tc>
        <w:tc>
          <w:tcPr>
            <w:tcW w:w="555" w:type="pct"/>
            <w:noWrap w:val="0"/>
            <w:vAlign w:val="center"/>
          </w:tcPr>
          <w:p w14:paraId="01AC0B84">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0.11</w:t>
            </w:r>
          </w:p>
        </w:tc>
        <w:tc>
          <w:tcPr>
            <w:tcW w:w="555" w:type="pct"/>
            <w:noWrap w:val="0"/>
            <w:vAlign w:val="center"/>
          </w:tcPr>
          <w:p w14:paraId="5E5D35B8">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0.09</w:t>
            </w:r>
          </w:p>
        </w:tc>
        <w:tc>
          <w:tcPr>
            <w:tcW w:w="555" w:type="pct"/>
            <w:noWrap w:val="0"/>
            <w:vAlign w:val="center"/>
          </w:tcPr>
          <w:p w14:paraId="58088FBF">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0.10</w:t>
            </w:r>
          </w:p>
        </w:tc>
        <w:tc>
          <w:tcPr>
            <w:tcW w:w="561" w:type="pct"/>
            <w:noWrap w:val="0"/>
            <w:vAlign w:val="center"/>
          </w:tcPr>
          <w:p w14:paraId="4812BA14">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0.08</w:t>
            </w:r>
          </w:p>
        </w:tc>
        <w:tc>
          <w:tcPr>
            <w:tcW w:w="348" w:type="pct"/>
            <w:vMerge w:val="continue"/>
            <w:noWrap w:val="0"/>
            <w:vAlign w:val="center"/>
          </w:tcPr>
          <w:p w14:paraId="0822B339">
            <w:pPr>
              <w:pStyle w:val="74"/>
              <w:jc w:val="center"/>
              <w:rPr>
                <w:rFonts w:hint="default" w:ascii="Times New Roman" w:hAnsi="Times New Roman" w:cs="Times New Roman"/>
                <w:color w:val="auto"/>
                <w:highlight w:val="none"/>
              </w:rPr>
            </w:pPr>
          </w:p>
        </w:tc>
      </w:tr>
      <w:tr w14:paraId="238BA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5CA72617">
            <w:pPr>
              <w:pStyle w:val="74"/>
              <w:jc w:val="center"/>
              <w:rPr>
                <w:rFonts w:hint="default" w:ascii="Times New Roman" w:hAnsi="Times New Roman" w:cs="Times New Roman"/>
                <w:color w:val="auto"/>
                <w:highlight w:val="none"/>
              </w:rPr>
            </w:pPr>
          </w:p>
        </w:tc>
        <w:tc>
          <w:tcPr>
            <w:tcW w:w="752" w:type="pct"/>
            <w:noWrap w:val="0"/>
            <w:vAlign w:val="center"/>
          </w:tcPr>
          <w:p w14:paraId="25AA4413">
            <w:pPr>
              <w:pStyle w:val="74"/>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2025.7.27</w:t>
            </w:r>
          </w:p>
        </w:tc>
        <w:tc>
          <w:tcPr>
            <w:tcW w:w="497" w:type="pct"/>
            <w:vMerge w:val="continue"/>
            <w:noWrap w:val="0"/>
            <w:vAlign w:val="center"/>
          </w:tcPr>
          <w:p w14:paraId="12E42E81">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45563B4C">
            <w:pPr>
              <w:pStyle w:val="74"/>
              <w:jc w:val="center"/>
              <w:rPr>
                <w:rFonts w:hint="default" w:ascii="Times New Roman" w:hAnsi="Times New Roman" w:cs="Times New Roman"/>
                <w:color w:val="auto"/>
                <w:highlight w:val="none"/>
              </w:rPr>
            </w:pPr>
          </w:p>
        </w:tc>
        <w:tc>
          <w:tcPr>
            <w:tcW w:w="555" w:type="pct"/>
            <w:noWrap w:val="0"/>
            <w:vAlign w:val="center"/>
          </w:tcPr>
          <w:p w14:paraId="17AAD440">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0.09</w:t>
            </w:r>
          </w:p>
        </w:tc>
        <w:tc>
          <w:tcPr>
            <w:tcW w:w="555" w:type="pct"/>
            <w:noWrap w:val="0"/>
            <w:vAlign w:val="center"/>
          </w:tcPr>
          <w:p w14:paraId="3B0B413E">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0.09</w:t>
            </w:r>
          </w:p>
        </w:tc>
        <w:tc>
          <w:tcPr>
            <w:tcW w:w="555" w:type="pct"/>
            <w:noWrap w:val="0"/>
            <w:vAlign w:val="center"/>
          </w:tcPr>
          <w:p w14:paraId="37BE0097">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0.11</w:t>
            </w:r>
          </w:p>
        </w:tc>
        <w:tc>
          <w:tcPr>
            <w:tcW w:w="561" w:type="pct"/>
            <w:noWrap w:val="0"/>
            <w:vAlign w:val="center"/>
          </w:tcPr>
          <w:p w14:paraId="41490B4F">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0.12</w:t>
            </w:r>
          </w:p>
        </w:tc>
        <w:tc>
          <w:tcPr>
            <w:tcW w:w="348" w:type="pct"/>
            <w:vMerge w:val="continue"/>
            <w:noWrap w:val="0"/>
            <w:vAlign w:val="center"/>
          </w:tcPr>
          <w:p w14:paraId="00E0F4D4">
            <w:pPr>
              <w:pStyle w:val="74"/>
              <w:jc w:val="center"/>
              <w:rPr>
                <w:rFonts w:hint="default" w:ascii="Times New Roman" w:hAnsi="Times New Roman" w:cs="Times New Roman"/>
                <w:color w:val="auto"/>
                <w:highlight w:val="none"/>
              </w:rPr>
            </w:pPr>
          </w:p>
        </w:tc>
      </w:tr>
      <w:tr w14:paraId="115457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79C6B8B0">
            <w:pPr>
              <w:pStyle w:val="74"/>
              <w:jc w:val="center"/>
              <w:rPr>
                <w:rFonts w:hint="default" w:ascii="Times New Roman" w:hAnsi="Times New Roman" w:cs="Times New Roman"/>
                <w:color w:val="auto"/>
                <w:highlight w:val="none"/>
              </w:rPr>
            </w:pPr>
          </w:p>
        </w:tc>
        <w:tc>
          <w:tcPr>
            <w:tcW w:w="752" w:type="pct"/>
            <w:noWrap w:val="0"/>
            <w:vAlign w:val="center"/>
          </w:tcPr>
          <w:p w14:paraId="04F819A1">
            <w:pPr>
              <w:pStyle w:val="74"/>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2025.7.28</w:t>
            </w:r>
          </w:p>
        </w:tc>
        <w:tc>
          <w:tcPr>
            <w:tcW w:w="497" w:type="pct"/>
            <w:vMerge w:val="continue"/>
            <w:noWrap w:val="0"/>
            <w:vAlign w:val="center"/>
          </w:tcPr>
          <w:p w14:paraId="5C3EBFF8">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069096C9">
            <w:pPr>
              <w:pStyle w:val="74"/>
              <w:jc w:val="center"/>
              <w:rPr>
                <w:rFonts w:hint="default" w:ascii="Times New Roman" w:hAnsi="Times New Roman" w:cs="Times New Roman"/>
                <w:color w:val="auto"/>
                <w:highlight w:val="none"/>
              </w:rPr>
            </w:pPr>
          </w:p>
        </w:tc>
        <w:tc>
          <w:tcPr>
            <w:tcW w:w="555" w:type="pct"/>
            <w:noWrap w:val="0"/>
            <w:vAlign w:val="center"/>
          </w:tcPr>
          <w:p w14:paraId="30A3272A">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0.12</w:t>
            </w:r>
          </w:p>
        </w:tc>
        <w:tc>
          <w:tcPr>
            <w:tcW w:w="555" w:type="pct"/>
            <w:noWrap w:val="0"/>
            <w:vAlign w:val="center"/>
          </w:tcPr>
          <w:p w14:paraId="2223785D">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0.09</w:t>
            </w:r>
          </w:p>
        </w:tc>
        <w:tc>
          <w:tcPr>
            <w:tcW w:w="555" w:type="pct"/>
            <w:noWrap w:val="0"/>
            <w:vAlign w:val="center"/>
          </w:tcPr>
          <w:p w14:paraId="465716B8">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0.12</w:t>
            </w:r>
          </w:p>
        </w:tc>
        <w:tc>
          <w:tcPr>
            <w:tcW w:w="561" w:type="pct"/>
            <w:noWrap w:val="0"/>
            <w:vAlign w:val="center"/>
          </w:tcPr>
          <w:p w14:paraId="6F5166B8">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0.13</w:t>
            </w:r>
          </w:p>
        </w:tc>
        <w:tc>
          <w:tcPr>
            <w:tcW w:w="348" w:type="pct"/>
            <w:vMerge w:val="continue"/>
            <w:noWrap w:val="0"/>
            <w:vAlign w:val="center"/>
          </w:tcPr>
          <w:p w14:paraId="79131D8B">
            <w:pPr>
              <w:pStyle w:val="74"/>
              <w:jc w:val="center"/>
              <w:rPr>
                <w:rFonts w:hint="default" w:ascii="Times New Roman" w:hAnsi="Times New Roman" w:cs="Times New Roman"/>
                <w:color w:val="auto"/>
                <w:highlight w:val="none"/>
              </w:rPr>
            </w:pPr>
          </w:p>
        </w:tc>
      </w:tr>
      <w:tr w14:paraId="54CE4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74D40416">
            <w:pPr>
              <w:pStyle w:val="74"/>
              <w:jc w:val="center"/>
              <w:rPr>
                <w:rFonts w:hint="default" w:ascii="Times New Roman" w:hAnsi="Times New Roman" w:cs="Times New Roman"/>
                <w:color w:val="auto"/>
                <w:highlight w:val="none"/>
              </w:rPr>
            </w:pPr>
          </w:p>
        </w:tc>
        <w:tc>
          <w:tcPr>
            <w:tcW w:w="752" w:type="pct"/>
            <w:noWrap w:val="0"/>
            <w:vAlign w:val="center"/>
          </w:tcPr>
          <w:p w14:paraId="33E8C1F4">
            <w:pPr>
              <w:pStyle w:val="74"/>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2025.7.29</w:t>
            </w:r>
          </w:p>
        </w:tc>
        <w:tc>
          <w:tcPr>
            <w:tcW w:w="497" w:type="pct"/>
            <w:vMerge w:val="continue"/>
            <w:noWrap w:val="0"/>
            <w:vAlign w:val="center"/>
          </w:tcPr>
          <w:p w14:paraId="1F694F72">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146C0BA8">
            <w:pPr>
              <w:pStyle w:val="74"/>
              <w:jc w:val="center"/>
              <w:rPr>
                <w:rFonts w:hint="default" w:ascii="Times New Roman" w:hAnsi="Times New Roman" w:cs="Times New Roman"/>
                <w:color w:val="auto"/>
                <w:highlight w:val="none"/>
              </w:rPr>
            </w:pPr>
          </w:p>
        </w:tc>
        <w:tc>
          <w:tcPr>
            <w:tcW w:w="555" w:type="pct"/>
            <w:noWrap w:val="0"/>
            <w:vAlign w:val="center"/>
          </w:tcPr>
          <w:p w14:paraId="75C65BBC">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0.08</w:t>
            </w:r>
          </w:p>
        </w:tc>
        <w:tc>
          <w:tcPr>
            <w:tcW w:w="555" w:type="pct"/>
            <w:noWrap w:val="0"/>
            <w:vAlign w:val="center"/>
          </w:tcPr>
          <w:p w14:paraId="63F2CFBA">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0.10</w:t>
            </w:r>
          </w:p>
        </w:tc>
        <w:tc>
          <w:tcPr>
            <w:tcW w:w="555" w:type="pct"/>
            <w:noWrap w:val="0"/>
            <w:vAlign w:val="center"/>
          </w:tcPr>
          <w:p w14:paraId="64444480">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0.08</w:t>
            </w:r>
          </w:p>
        </w:tc>
        <w:tc>
          <w:tcPr>
            <w:tcW w:w="561" w:type="pct"/>
            <w:noWrap w:val="0"/>
            <w:vAlign w:val="center"/>
          </w:tcPr>
          <w:p w14:paraId="542F402E">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0.12</w:t>
            </w:r>
          </w:p>
        </w:tc>
        <w:tc>
          <w:tcPr>
            <w:tcW w:w="348" w:type="pct"/>
            <w:vMerge w:val="continue"/>
            <w:noWrap w:val="0"/>
            <w:vAlign w:val="center"/>
          </w:tcPr>
          <w:p w14:paraId="5D94629F">
            <w:pPr>
              <w:pStyle w:val="74"/>
              <w:jc w:val="center"/>
              <w:rPr>
                <w:rFonts w:hint="default" w:ascii="Times New Roman" w:hAnsi="Times New Roman" w:cs="Times New Roman"/>
                <w:color w:val="auto"/>
                <w:highlight w:val="none"/>
              </w:rPr>
            </w:pPr>
          </w:p>
        </w:tc>
      </w:tr>
      <w:tr w14:paraId="1383E9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noWrap w:val="0"/>
            <w:vAlign w:val="center"/>
          </w:tcPr>
          <w:p w14:paraId="449C5D81">
            <w:pPr>
              <w:pStyle w:val="74"/>
              <w:jc w:val="center"/>
              <w:rPr>
                <w:rFonts w:hint="default" w:ascii="Times New Roman" w:hAnsi="Times New Roman" w:cs="Times New Roman"/>
                <w:color w:val="auto"/>
                <w:highlight w:val="none"/>
              </w:rPr>
            </w:pPr>
          </w:p>
        </w:tc>
        <w:tc>
          <w:tcPr>
            <w:tcW w:w="752" w:type="pct"/>
            <w:noWrap w:val="0"/>
            <w:vAlign w:val="center"/>
          </w:tcPr>
          <w:p w14:paraId="755E817C">
            <w:pPr>
              <w:pStyle w:val="74"/>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2025.7.30</w:t>
            </w:r>
          </w:p>
        </w:tc>
        <w:tc>
          <w:tcPr>
            <w:tcW w:w="497" w:type="pct"/>
            <w:vMerge w:val="continue"/>
            <w:noWrap w:val="0"/>
            <w:vAlign w:val="center"/>
          </w:tcPr>
          <w:p w14:paraId="4701D2C5">
            <w:pPr>
              <w:pStyle w:val="74"/>
              <w:jc w:val="center"/>
              <w:rPr>
                <w:rFonts w:hint="default" w:ascii="Times New Roman" w:hAnsi="Times New Roman" w:cs="Times New Roman"/>
                <w:color w:val="auto"/>
                <w:highlight w:val="none"/>
              </w:rPr>
            </w:pPr>
          </w:p>
        </w:tc>
        <w:tc>
          <w:tcPr>
            <w:tcW w:w="781" w:type="pct"/>
            <w:vMerge w:val="continue"/>
            <w:noWrap w:val="0"/>
            <w:vAlign w:val="center"/>
          </w:tcPr>
          <w:p w14:paraId="14E79AE3">
            <w:pPr>
              <w:pStyle w:val="74"/>
              <w:jc w:val="center"/>
              <w:rPr>
                <w:rFonts w:hint="default" w:ascii="Times New Roman" w:hAnsi="Times New Roman" w:cs="Times New Roman"/>
                <w:color w:val="auto"/>
                <w:highlight w:val="none"/>
              </w:rPr>
            </w:pPr>
          </w:p>
        </w:tc>
        <w:tc>
          <w:tcPr>
            <w:tcW w:w="555" w:type="pct"/>
            <w:noWrap w:val="0"/>
            <w:vAlign w:val="center"/>
          </w:tcPr>
          <w:p w14:paraId="2013B3F3">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0.09</w:t>
            </w:r>
          </w:p>
        </w:tc>
        <w:tc>
          <w:tcPr>
            <w:tcW w:w="555" w:type="pct"/>
            <w:noWrap w:val="0"/>
            <w:vAlign w:val="center"/>
          </w:tcPr>
          <w:p w14:paraId="4A14B31A">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0.11</w:t>
            </w:r>
          </w:p>
        </w:tc>
        <w:tc>
          <w:tcPr>
            <w:tcW w:w="555" w:type="pct"/>
            <w:noWrap w:val="0"/>
            <w:vAlign w:val="center"/>
          </w:tcPr>
          <w:p w14:paraId="4FA28EB2">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0.12</w:t>
            </w:r>
          </w:p>
        </w:tc>
        <w:tc>
          <w:tcPr>
            <w:tcW w:w="561" w:type="pct"/>
            <w:noWrap w:val="0"/>
            <w:vAlign w:val="center"/>
          </w:tcPr>
          <w:p w14:paraId="5CAE389E">
            <w:pPr>
              <w:spacing w:after="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0.08</w:t>
            </w:r>
          </w:p>
        </w:tc>
        <w:tc>
          <w:tcPr>
            <w:tcW w:w="348" w:type="pct"/>
            <w:vMerge w:val="continue"/>
            <w:noWrap w:val="0"/>
            <w:vAlign w:val="center"/>
          </w:tcPr>
          <w:p w14:paraId="01CE12ED">
            <w:pPr>
              <w:pStyle w:val="74"/>
              <w:jc w:val="center"/>
              <w:rPr>
                <w:rFonts w:hint="default" w:ascii="Times New Roman" w:hAnsi="Times New Roman" w:cs="Times New Roman"/>
                <w:color w:val="auto"/>
                <w:highlight w:val="none"/>
              </w:rPr>
            </w:pPr>
          </w:p>
        </w:tc>
      </w:tr>
    </w:tbl>
    <w:p w14:paraId="426A2715">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418" w:name="_Toc25190"/>
      <w:r>
        <w:rPr>
          <w:rFonts w:hint="default" w:ascii="Times New Roman" w:hAnsi="Times New Roman" w:eastAsia="黑体" w:cs="Times New Roman"/>
          <w:bCs/>
          <w:color w:val="auto"/>
          <w:kern w:val="44"/>
          <w:sz w:val="24"/>
          <w:highlight w:val="none"/>
        </w:rPr>
        <w:t>4.3补充监测现状评价</w:t>
      </w:r>
      <w:bookmarkEnd w:id="410"/>
      <w:bookmarkEnd w:id="411"/>
      <w:bookmarkEnd w:id="412"/>
      <w:bookmarkEnd w:id="413"/>
      <w:bookmarkEnd w:id="414"/>
      <w:bookmarkEnd w:id="415"/>
      <w:bookmarkEnd w:id="417"/>
      <w:bookmarkEnd w:id="418"/>
    </w:p>
    <w:p w14:paraId="71813ABF">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（1）评价参数</w:t>
      </w:r>
    </w:p>
    <w:p w14:paraId="4C8389A0">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评价因子选择苯并[a]芘、TSP</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lang w:val="en-US" w:eastAsia="zh-CN"/>
        </w:rPr>
        <w:t>NMHC</w:t>
      </w:r>
      <w:r>
        <w:rPr>
          <w:rFonts w:hint="default" w:ascii="Times New Roman" w:hAnsi="Times New Roman" w:cs="Times New Roman"/>
          <w:snapToGrid w:val="0"/>
          <w:color w:val="auto"/>
          <w:kern w:val="0"/>
          <w:sz w:val="24"/>
          <w:highlight w:val="none"/>
        </w:rPr>
        <w:t>。</w:t>
      </w:r>
    </w:p>
    <w:p w14:paraId="514CEBDF">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（2）评价标准</w:t>
      </w:r>
    </w:p>
    <w:p w14:paraId="422414DC">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苯并[a]芘、TSP的评价采用《环境空气质量标准》（GB3095-2012）及修改单中的二级标准</w:t>
      </w:r>
      <w:r>
        <w:rPr>
          <w:rFonts w:hint="default" w:ascii="Times New Roman" w:hAnsi="Times New Roman" w:cs="Times New Roman"/>
          <w:snapToGrid w:val="0"/>
          <w:color w:val="auto"/>
          <w:kern w:val="0"/>
          <w:sz w:val="24"/>
          <w:highlight w:val="none"/>
          <w:lang w:eastAsia="zh-CN"/>
        </w:rPr>
        <w:t>，</w:t>
      </w:r>
      <w:r>
        <w:rPr>
          <w:rFonts w:hint="default" w:ascii="Times New Roman" w:hAnsi="Times New Roman" w:cs="Times New Roman"/>
          <w:snapToGrid w:val="0"/>
          <w:color w:val="auto"/>
          <w:kern w:val="0"/>
          <w:sz w:val="24"/>
          <w:highlight w:val="none"/>
          <w:lang w:val="en-US" w:eastAsia="zh-CN"/>
        </w:rPr>
        <w:t>NMHC的评价采用《大气污染物综合排放标准详解》</w:t>
      </w:r>
      <w:r>
        <w:rPr>
          <w:rFonts w:hint="default" w:ascii="Times New Roman" w:hAnsi="Times New Roman" w:cs="Times New Roman"/>
          <w:snapToGrid w:val="0"/>
          <w:color w:val="auto"/>
          <w:kern w:val="0"/>
          <w:highlight w:val="none"/>
          <w:lang w:val="en-US" w:eastAsia="zh-CN"/>
        </w:rPr>
        <w:t>，</w:t>
      </w:r>
      <w:r>
        <w:rPr>
          <w:rFonts w:hint="default" w:ascii="Times New Roman" w:hAnsi="Times New Roman" w:cs="Times New Roman"/>
          <w:snapToGrid w:val="0"/>
          <w:color w:val="auto"/>
          <w:kern w:val="0"/>
          <w:sz w:val="24"/>
          <w:highlight w:val="none"/>
        </w:rPr>
        <w:t>评价标准见下表。</w:t>
      </w:r>
    </w:p>
    <w:bookmarkEnd w:id="416"/>
    <w:p w14:paraId="50D9F6F7">
      <w:pPr>
        <w:spacing w:line="400" w:lineRule="exact"/>
        <w:jc w:val="center"/>
        <w:rPr>
          <w:rFonts w:hint="default" w:ascii="Times New Roman" w:hAnsi="Times New Roman" w:eastAsia="黑体" w:cs="Times New Roman"/>
          <w:snapToGrid w:val="0"/>
          <w:color w:val="auto"/>
          <w:sz w:val="24"/>
          <w:highlight w:val="none"/>
        </w:rPr>
      </w:pPr>
      <w:bookmarkStart w:id="419" w:name="_Hlk71806984"/>
      <w:r>
        <w:rPr>
          <w:rFonts w:hint="default" w:ascii="Times New Roman" w:hAnsi="Times New Roman" w:eastAsia="黑体" w:cs="Times New Roman"/>
          <w:snapToGrid w:val="0"/>
          <w:color w:val="auto"/>
          <w:sz w:val="24"/>
          <w:highlight w:val="none"/>
        </w:rPr>
        <w:t>表4</w:t>
      </w:r>
      <w:r>
        <w:rPr>
          <w:rFonts w:hint="default" w:ascii="Times New Roman" w:hAnsi="Times New Roman" w:eastAsia="黑体" w:cs="Times New Roman"/>
          <w:snapToGrid w:val="0"/>
          <w:color w:val="auto"/>
          <w:sz w:val="24"/>
          <w:highlight w:val="none"/>
          <w:lang w:val="en-US" w:eastAsia="zh-CN"/>
        </w:rPr>
        <w:t>.3</w:t>
      </w:r>
      <w:r>
        <w:rPr>
          <w:rFonts w:hint="default" w:ascii="Times New Roman" w:hAnsi="Times New Roman" w:eastAsia="黑体" w:cs="Times New Roman"/>
          <w:snapToGrid w:val="0"/>
          <w:color w:val="auto"/>
          <w:sz w:val="24"/>
          <w:highlight w:val="none"/>
        </w:rPr>
        <w:t>-</w:t>
      </w:r>
      <w:r>
        <w:rPr>
          <w:rFonts w:hint="default" w:ascii="Times New Roman" w:hAnsi="Times New Roman" w:eastAsia="黑体" w:cs="Times New Roman"/>
          <w:snapToGrid w:val="0"/>
          <w:color w:val="auto"/>
          <w:sz w:val="24"/>
          <w:highlight w:val="none"/>
          <w:lang w:val="en-US" w:eastAsia="zh-CN"/>
        </w:rPr>
        <w:t>1</w:t>
      </w:r>
      <w:r>
        <w:rPr>
          <w:rFonts w:hint="default" w:ascii="Times New Roman" w:hAnsi="Times New Roman" w:eastAsia="黑体" w:cs="Times New Roman"/>
          <w:snapToGrid w:val="0"/>
          <w:color w:val="auto"/>
          <w:sz w:val="24"/>
          <w:highlight w:val="none"/>
        </w:rPr>
        <w:t>评价标准一览表</w:t>
      </w:r>
    </w:p>
    <w:bookmarkEnd w:id="419"/>
    <w:tbl>
      <w:tblPr>
        <w:tblStyle w:val="30"/>
        <w:tblW w:w="503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79"/>
        <w:gridCol w:w="1413"/>
        <w:gridCol w:w="925"/>
        <w:gridCol w:w="1200"/>
        <w:gridCol w:w="3665"/>
      </w:tblGrid>
      <w:tr w14:paraId="443E14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3" w:type="pct"/>
            <w:vAlign w:val="center"/>
          </w:tcPr>
          <w:p w14:paraId="72688A45">
            <w:pPr>
              <w:adjustRightInd w:val="0"/>
              <w:snapToGrid w:val="0"/>
              <w:jc w:val="center"/>
              <w:rPr>
                <w:rFonts w:hint="default" w:ascii="Times New Roman" w:hAnsi="Times New Roman" w:cs="Times New Roman"/>
                <w:color w:val="auto"/>
                <w:kern w:val="0"/>
                <w:szCs w:val="21"/>
                <w:highlight w:val="none"/>
              </w:rPr>
            </w:pPr>
            <w:bookmarkStart w:id="420" w:name="_Hlk71807003"/>
            <w:r>
              <w:rPr>
                <w:rFonts w:hint="default" w:ascii="Times New Roman" w:hAnsi="Times New Roman" w:cs="Times New Roman"/>
                <w:color w:val="auto"/>
                <w:kern w:val="0"/>
                <w:szCs w:val="21"/>
                <w:highlight w:val="none"/>
              </w:rPr>
              <w:t>污染物名称</w:t>
            </w:r>
          </w:p>
        </w:tc>
        <w:tc>
          <w:tcPr>
            <w:tcW w:w="1362" w:type="pct"/>
            <w:gridSpan w:val="2"/>
            <w:vAlign w:val="center"/>
          </w:tcPr>
          <w:p w14:paraId="5C47A0A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浓度限值</w:t>
            </w:r>
          </w:p>
        </w:tc>
        <w:tc>
          <w:tcPr>
            <w:tcW w:w="699" w:type="pct"/>
            <w:vAlign w:val="center"/>
          </w:tcPr>
          <w:p w14:paraId="7C17550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浓度单位</w:t>
            </w:r>
          </w:p>
        </w:tc>
        <w:tc>
          <w:tcPr>
            <w:tcW w:w="2135" w:type="pct"/>
            <w:vAlign w:val="center"/>
          </w:tcPr>
          <w:p w14:paraId="511C92C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标准来源</w:t>
            </w:r>
          </w:p>
        </w:tc>
      </w:tr>
      <w:tr w14:paraId="51E16C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803" w:type="pct"/>
            <w:vAlign w:val="center"/>
          </w:tcPr>
          <w:p w14:paraId="121A28E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kern w:val="0"/>
                <w:szCs w:val="21"/>
                <w:highlight w:val="none"/>
              </w:rPr>
              <w:t>苯并[a]芘</w:t>
            </w:r>
          </w:p>
        </w:tc>
        <w:tc>
          <w:tcPr>
            <w:tcW w:w="823" w:type="pct"/>
            <w:vAlign w:val="center"/>
          </w:tcPr>
          <w:p w14:paraId="6C3BB6A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24小时平均</w:t>
            </w:r>
          </w:p>
        </w:tc>
        <w:tc>
          <w:tcPr>
            <w:tcW w:w="538" w:type="pct"/>
            <w:vAlign w:val="center"/>
          </w:tcPr>
          <w:p w14:paraId="33093D7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0.0025</w:t>
            </w:r>
          </w:p>
        </w:tc>
        <w:tc>
          <w:tcPr>
            <w:tcW w:w="699" w:type="pct"/>
            <w:vMerge w:val="restart"/>
            <w:vAlign w:val="center"/>
          </w:tcPr>
          <w:p w14:paraId="0C89DE6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μg/m</w:t>
            </w:r>
            <w:r>
              <w:rPr>
                <w:rFonts w:hint="default" w:ascii="Times New Roman" w:hAnsi="Times New Roman" w:cs="Times New Roman"/>
                <w:color w:val="auto"/>
                <w:kern w:val="0"/>
                <w:szCs w:val="21"/>
                <w:highlight w:val="none"/>
                <w:vertAlign w:val="superscript"/>
              </w:rPr>
              <w:t>3</w:t>
            </w:r>
          </w:p>
        </w:tc>
        <w:tc>
          <w:tcPr>
            <w:tcW w:w="2135" w:type="pct"/>
            <w:vMerge w:val="restart"/>
            <w:vAlign w:val="center"/>
          </w:tcPr>
          <w:p w14:paraId="47102A7E">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kern w:val="0"/>
                <w:szCs w:val="21"/>
                <w:highlight w:val="none"/>
              </w:rPr>
              <w:t>《环境空气质量标准》（GB3095-2012）及修改单中的二级标准</w:t>
            </w:r>
          </w:p>
        </w:tc>
      </w:tr>
      <w:tr w14:paraId="2B697C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803" w:type="pct"/>
            <w:vAlign w:val="center"/>
          </w:tcPr>
          <w:p w14:paraId="7095A61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TSP</w:t>
            </w:r>
          </w:p>
        </w:tc>
        <w:tc>
          <w:tcPr>
            <w:tcW w:w="823" w:type="pct"/>
            <w:vAlign w:val="center"/>
          </w:tcPr>
          <w:p w14:paraId="47B5D55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24小时平均</w:t>
            </w:r>
          </w:p>
        </w:tc>
        <w:tc>
          <w:tcPr>
            <w:tcW w:w="538" w:type="pct"/>
            <w:vAlign w:val="center"/>
          </w:tcPr>
          <w:p w14:paraId="2F72E8F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300</w:t>
            </w:r>
          </w:p>
        </w:tc>
        <w:tc>
          <w:tcPr>
            <w:tcW w:w="699" w:type="pct"/>
            <w:vMerge w:val="continue"/>
            <w:vAlign w:val="center"/>
          </w:tcPr>
          <w:p w14:paraId="4794B88C">
            <w:pPr>
              <w:adjustRightInd w:val="0"/>
              <w:snapToGrid w:val="0"/>
              <w:jc w:val="center"/>
              <w:rPr>
                <w:rFonts w:hint="default" w:ascii="Times New Roman" w:hAnsi="Times New Roman" w:cs="Times New Roman"/>
                <w:color w:val="auto"/>
                <w:kern w:val="0"/>
                <w:szCs w:val="21"/>
                <w:highlight w:val="none"/>
              </w:rPr>
            </w:pPr>
          </w:p>
        </w:tc>
        <w:tc>
          <w:tcPr>
            <w:tcW w:w="2135" w:type="pct"/>
            <w:vMerge w:val="continue"/>
            <w:vAlign w:val="center"/>
          </w:tcPr>
          <w:p w14:paraId="565BE3F3">
            <w:pPr>
              <w:adjustRightInd w:val="0"/>
              <w:snapToGrid w:val="0"/>
              <w:rPr>
                <w:rFonts w:hint="default" w:ascii="Times New Roman" w:hAnsi="Times New Roman" w:cs="Times New Roman"/>
                <w:snapToGrid w:val="0"/>
                <w:color w:val="auto"/>
                <w:kern w:val="0"/>
                <w:szCs w:val="21"/>
                <w:highlight w:val="none"/>
              </w:rPr>
            </w:pPr>
          </w:p>
        </w:tc>
      </w:tr>
      <w:tr w14:paraId="174C75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803" w:type="pct"/>
            <w:vAlign w:val="center"/>
          </w:tcPr>
          <w:p w14:paraId="69A2CF31">
            <w:pPr>
              <w:adjustRightInd w:val="0"/>
              <w:snapToGrid w:val="0"/>
              <w:jc w:val="center"/>
              <w:rPr>
                <w:rFonts w:hint="default" w:ascii="Times New Roman" w:hAnsi="Times New Roman" w:eastAsia="宋体" w:cs="Times New Roman"/>
                <w:color w:val="auto"/>
                <w:kern w:val="0"/>
                <w:szCs w:val="21"/>
                <w:highlight w:val="none"/>
                <w:lang w:val="en-US" w:eastAsia="zh-CN"/>
              </w:rPr>
            </w:pPr>
            <w:bookmarkStart w:id="421" w:name="_Hlk71807008"/>
            <w:r>
              <w:rPr>
                <w:rFonts w:hint="default" w:ascii="Times New Roman" w:hAnsi="Times New Roman" w:cs="Times New Roman"/>
                <w:color w:val="auto"/>
                <w:kern w:val="0"/>
                <w:szCs w:val="21"/>
                <w:highlight w:val="none"/>
                <w:lang w:val="en-US" w:eastAsia="zh-CN"/>
              </w:rPr>
              <w:t>NMHC</w:t>
            </w:r>
          </w:p>
        </w:tc>
        <w:tc>
          <w:tcPr>
            <w:tcW w:w="823" w:type="pct"/>
            <w:vAlign w:val="center"/>
          </w:tcPr>
          <w:p w14:paraId="62B6452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小时值</w:t>
            </w:r>
          </w:p>
        </w:tc>
        <w:tc>
          <w:tcPr>
            <w:tcW w:w="538" w:type="pct"/>
            <w:vAlign w:val="center"/>
          </w:tcPr>
          <w:p w14:paraId="2455793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sz w:val="21"/>
                <w:szCs w:val="21"/>
                <w:highlight w:val="none"/>
              </w:rPr>
              <w:t>200</w:t>
            </w:r>
            <w:r>
              <w:rPr>
                <w:rFonts w:hint="default" w:ascii="Times New Roman" w:hAnsi="Times New Roman" w:cs="Times New Roman"/>
                <w:snapToGrid w:val="0"/>
                <w:color w:val="auto"/>
                <w:sz w:val="21"/>
                <w:szCs w:val="21"/>
                <w:highlight w:val="none"/>
                <w:lang w:val="en-US" w:eastAsia="zh-CN"/>
              </w:rPr>
              <w:t>0</w:t>
            </w:r>
          </w:p>
        </w:tc>
        <w:tc>
          <w:tcPr>
            <w:tcW w:w="699" w:type="pct"/>
            <w:vMerge w:val="continue"/>
            <w:vAlign w:val="center"/>
          </w:tcPr>
          <w:p w14:paraId="4F22F20A">
            <w:pPr>
              <w:adjustRightInd w:val="0"/>
              <w:snapToGrid w:val="0"/>
              <w:jc w:val="center"/>
              <w:rPr>
                <w:rFonts w:hint="default" w:ascii="Times New Roman" w:hAnsi="Times New Roman" w:cs="Times New Roman"/>
                <w:color w:val="auto"/>
                <w:kern w:val="0"/>
                <w:szCs w:val="21"/>
                <w:highlight w:val="none"/>
              </w:rPr>
            </w:pPr>
          </w:p>
        </w:tc>
        <w:tc>
          <w:tcPr>
            <w:tcW w:w="2135" w:type="pct"/>
            <w:vAlign w:val="center"/>
          </w:tcPr>
          <w:p w14:paraId="1EF4FB52">
            <w:pPr>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highlight w:val="none"/>
                <w:lang w:val="en-US" w:eastAsia="zh-CN"/>
              </w:rPr>
              <w:t>《大气污染物综合排放标准详解》</w:t>
            </w:r>
          </w:p>
        </w:tc>
      </w:tr>
      <w:bookmarkEnd w:id="420"/>
    </w:tbl>
    <w:p w14:paraId="64A999FE">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（3）评价方法</w:t>
      </w:r>
    </w:p>
    <w:p w14:paraId="2699A0FD">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对采用补充监测数据进行现状评价的，取各污染物不同评价时段监测浓度的最大值，作为评价范围内环境空气保护目标及网格点环境质量现状浓度。对于有多个监测点位数据的，先计算相同时刻各监测点位平均值，再取各监测时段平均值中的最大值。计算方法见公式：</w:t>
      </w:r>
    </w:p>
    <w:p w14:paraId="0809AF2E">
      <w:pPr>
        <w:adjustRightInd w:val="0"/>
        <w:snapToGrid w:val="0"/>
        <w:ind w:firstLine="480" w:firstLineChars="200"/>
        <w:jc w:val="center"/>
        <w:rPr>
          <w:rFonts w:hint="default" w:ascii="Times New Roman" w:hAnsi="Times New Roman" w:cs="Times New Roman"/>
          <w:snapToGrid w:val="0"/>
          <w:color w:val="auto"/>
          <w:kern w:val="0"/>
          <w:sz w:val="24"/>
          <w:highlight w:val="none"/>
        </w:rPr>
      </w:pPr>
      <w:r>
        <w:rPr>
          <w:rFonts w:hint="default" w:ascii="Times New Roman" w:hAnsi="Times New Roman" w:cs="Times New Roman"/>
          <w:i/>
          <w:snapToGrid w:val="0"/>
          <w:color w:val="auto"/>
          <w:kern w:val="0"/>
          <w:sz w:val="24"/>
          <w:highlight w:val="none"/>
        </w:rPr>
        <w:t>C</w:t>
      </w:r>
      <w:r>
        <w:rPr>
          <w:rFonts w:hint="default" w:ascii="Times New Roman" w:hAnsi="Times New Roman" w:cs="Times New Roman"/>
          <w:snapToGrid w:val="0"/>
          <w:color w:val="auto"/>
          <w:kern w:val="0"/>
          <w:sz w:val="24"/>
          <w:highlight w:val="none"/>
          <w:vertAlign w:val="subscript"/>
        </w:rPr>
        <w:t>现状（x,y）</w:t>
      </w:r>
      <w:r>
        <w:rPr>
          <w:rFonts w:hint="default" w:ascii="Times New Roman" w:hAnsi="Times New Roman" w:cs="Times New Roman"/>
          <w:snapToGrid w:val="0"/>
          <w:color w:val="auto"/>
          <w:kern w:val="0"/>
          <w:sz w:val="24"/>
          <w:highlight w:val="none"/>
        </w:rPr>
        <w:t>=MAX[</w:t>
      </w:r>
      <m:oMath>
        <m:f>
          <m:fPr>
            <m:ctrlPr>
              <w:rPr>
                <w:rFonts w:hint="default" w:ascii="Cambria Math" w:hAnsi="Cambria Math" w:cs="Times New Roman"/>
                <w:color w:val="auto"/>
                <w:kern w:val="0"/>
                <w:sz w:val="24"/>
                <w:highlight w:val="none"/>
              </w:rPr>
            </m:ctrlPr>
          </m:fPr>
          <m:num>
            <m:r>
              <m:rPr>
                <m:nor/>
                <m:sty m:val="p"/>
              </m:rPr>
              <w:rPr>
                <w:rFonts w:hint="default" w:ascii="Times New Roman" w:hAnsi="Times New Roman" w:cs="Times New Roman"/>
                <w:b w:val="0"/>
                <w:i w:val="0"/>
                <w:color w:val="auto"/>
                <w:kern w:val="0"/>
                <w:sz w:val="24"/>
                <w:highlight w:val="none"/>
              </w:rPr>
              <m:t>1</m:t>
            </m:r>
            <m:ctrlPr>
              <w:rPr>
                <w:rFonts w:hint="default" w:ascii="Cambria Math" w:hAnsi="Cambria Math" w:cs="Times New Roman"/>
                <w:color w:val="auto"/>
                <w:kern w:val="0"/>
                <w:sz w:val="24"/>
                <w:highlight w:val="none"/>
              </w:rPr>
            </m:ctrlPr>
          </m:num>
          <m:den>
            <m:r>
              <m:rPr>
                <m:nor/>
              </m:rPr>
              <w:rPr>
                <w:rFonts w:hint="default" w:ascii="Times New Roman" w:hAnsi="Times New Roman" w:cs="Times New Roman"/>
                <w:i/>
                <w:color w:val="auto"/>
                <w:kern w:val="0"/>
                <w:sz w:val="24"/>
                <w:highlight w:val="none"/>
              </w:rPr>
              <m:t>n</m:t>
            </m:r>
            <m:ctrlPr>
              <w:rPr>
                <w:rFonts w:hint="default" w:ascii="Cambria Math" w:hAnsi="Cambria Math" w:cs="Times New Roman"/>
                <w:color w:val="auto"/>
                <w:kern w:val="0"/>
                <w:sz w:val="24"/>
                <w:highlight w:val="none"/>
              </w:rPr>
            </m:ctrlPr>
          </m:den>
        </m:f>
        <m:nary>
          <m:naryPr>
            <m:chr m:val="∑"/>
            <m:limLoc m:val="subSup"/>
            <m:ctrlPr>
              <w:rPr>
                <w:rFonts w:hint="default" w:ascii="Cambria Math" w:hAnsi="Cambria Math" w:cs="Times New Roman"/>
                <w:i/>
                <w:color w:val="auto"/>
                <w:kern w:val="0"/>
                <w:sz w:val="24"/>
                <w:highlight w:val="none"/>
              </w:rPr>
            </m:ctrlPr>
          </m:naryPr>
          <m:sub>
            <m:r>
              <m:rPr>
                <m:nor/>
              </m:rPr>
              <w:rPr>
                <w:rFonts w:hint="default" w:ascii="Times New Roman" w:hAnsi="Times New Roman" w:cs="Times New Roman"/>
                <w:i/>
                <w:color w:val="auto"/>
                <w:kern w:val="0"/>
                <w:sz w:val="24"/>
                <w:highlight w:val="none"/>
              </w:rPr>
              <m:t>j</m:t>
            </m:r>
            <m:r>
              <m:rPr>
                <m:nor/>
                <m:sty m:val="p"/>
              </m:rPr>
              <w:rPr>
                <w:rFonts w:hint="default" w:ascii="Times New Roman" w:hAnsi="Times New Roman" w:cs="Times New Roman"/>
                <w:b w:val="0"/>
                <w:i w:val="0"/>
                <w:color w:val="auto"/>
                <w:kern w:val="0"/>
                <w:sz w:val="24"/>
                <w:highlight w:val="none"/>
              </w:rPr>
              <m:t>=1</m:t>
            </m:r>
            <m:ctrlPr>
              <w:rPr>
                <w:rFonts w:hint="default" w:ascii="Cambria Math" w:hAnsi="Cambria Math" w:cs="Times New Roman"/>
                <w:i/>
                <w:color w:val="auto"/>
                <w:kern w:val="0"/>
                <w:sz w:val="24"/>
                <w:highlight w:val="none"/>
              </w:rPr>
            </m:ctrlPr>
          </m:sub>
          <m:sup>
            <m:r>
              <m:rPr>
                <m:nor/>
              </m:rPr>
              <w:rPr>
                <w:rFonts w:hint="default" w:ascii="Times New Roman" w:hAnsi="Times New Roman" w:cs="Times New Roman"/>
                <w:i/>
                <w:color w:val="auto"/>
                <w:kern w:val="0"/>
                <w:sz w:val="24"/>
                <w:highlight w:val="none"/>
              </w:rPr>
              <m:t>n</m:t>
            </m:r>
            <m:ctrlPr>
              <w:rPr>
                <w:rFonts w:hint="default" w:ascii="Cambria Math" w:hAnsi="Cambria Math" w:cs="Times New Roman"/>
                <w:i/>
                <w:color w:val="auto"/>
                <w:kern w:val="0"/>
                <w:sz w:val="24"/>
                <w:highlight w:val="none"/>
              </w:rPr>
            </m:ctrlPr>
          </m:sup>
          <m:e>
            <m:sSub>
              <m:sSubPr>
                <m:ctrlPr>
                  <w:rPr>
                    <w:rFonts w:hint="default" w:ascii="Cambria Math" w:hAnsi="Cambria Math" w:cs="Times New Roman"/>
                    <w:i/>
                    <w:color w:val="auto"/>
                    <w:kern w:val="0"/>
                    <w:sz w:val="24"/>
                    <w:highlight w:val="none"/>
                  </w:rPr>
                </m:ctrlPr>
              </m:sSubPr>
              <m:e>
                <m:r>
                  <m:rPr>
                    <m:nor/>
                  </m:rPr>
                  <w:rPr>
                    <w:rFonts w:hint="default" w:ascii="Times New Roman" w:hAnsi="Times New Roman" w:cs="Times New Roman"/>
                    <w:i/>
                    <w:color w:val="auto"/>
                    <w:kern w:val="0"/>
                    <w:sz w:val="24"/>
                    <w:highlight w:val="none"/>
                  </w:rPr>
                  <m:t>C</m:t>
                </m:r>
                <m:ctrlPr>
                  <w:rPr>
                    <w:rFonts w:hint="default" w:ascii="Cambria Math" w:hAnsi="Cambria Math" w:cs="Times New Roman"/>
                    <w:i/>
                    <w:color w:val="auto"/>
                    <w:kern w:val="0"/>
                    <w:sz w:val="24"/>
                    <w:highlight w:val="none"/>
                  </w:rPr>
                </m:ctrlPr>
              </m:e>
              <m:sub>
                <m:r>
                  <m:rPr>
                    <m:nor/>
                    <m:sty m:val="p"/>
                  </m:rPr>
                  <w:rPr>
                    <w:rFonts w:hint="default" w:ascii="Times New Roman" w:hAnsi="Times New Roman" w:cs="Times New Roman"/>
                    <w:b w:val="0"/>
                    <w:i w:val="0"/>
                    <w:color w:val="auto"/>
                    <w:kern w:val="0"/>
                    <w:sz w:val="24"/>
                    <w:highlight w:val="none"/>
                  </w:rPr>
                  <m:t>监测（</m:t>
                </m:r>
                <m:r>
                  <m:rPr>
                    <m:nor/>
                  </m:rPr>
                  <w:rPr>
                    <w:rFonts w:hint="default" w:ascii="Times New Roman" w:hAnsi="Times New Roman" w:cs="Times New Roman"/>
                    <w:i/>
                    <w:color w:val="auto"/>
                    <w:kern w:val="0"/>
                    <w:sz w:val="24"/>
                    <w:highlight w:val="none"/>
                  </w:rPr>
                  <m:t>j</m:t>
                </m:r>
                <m:r>
                  <m:rPr>
                    <m:nor/>
                    <m:sty m:val="p"/>
                  </m:rPr>
                  <w:rPr>
                    <w:rFonts w:hint="default" w:ascii="Times New Roman" w:hAnsi="Times New Roman" w:cs="Times New Roman"/>
                    <w:b w:val="0"/>
                    <w:i w:val="0"/>
                    <w:color w:val="auto"/>
                    <w:kern w:val="0"/>
                    <w:sz w:val="24"/>
                    <w:highlight w:val="none"/>
                  </w:rPr>
                  <m:t>,</m:t>
                </m:r>
                <m:r>
                  <m:rPr>
                    <m:nor/>
                  </m:rPr>
                  <w:rPr>
                    <w:rFonts w:hint="default" w:ascii="Times New Roman" w:hAnsi="Times New Roman" w:cs="Times New Roman"/>
                    <w:i/>
                    <w:color w:val="auto"/>
                    <w:kern w:val="0"/>
                    <w:sz w:val="24"/>
                    <w:highlight w:val="none"/>
                  </w:rPr>
                  <m:t>t</m:t>
                </m:r>
                <m:r>
                  <m:rPr>
                    <m:nor/>
                    <m:sty m:val="p"/>
                  </m:rPr>
                  <w:rPr>
                    <w:rFonts w:hint="default" w:ascii="Times New Roman" w:hAnsi="Times New Roman" w:cs="Times New Roman"/>
                    <w:b w:val="0"/>
                    <w:i w:val="0"/>
                    <w:color w:val="auto"/>
                    <w:kern w:val="0"/>
                    <w:sz w:val="24"/>
                    <w:highlight w:val="none"/>
                  </w:rPr>
                  <m:t>）</m:t>
                </m:r>
                <m:ctrlPr>
                  <w:rPr>
                    <w:rFonts w:hint="default" w:ascii="Cambria Math" w:hAnsi="Cambria Math" w:cs="Times New Roman"/>
                    <w:i/>
                    <w:color w:val="auto"/>
                    <w:kern w:val="0"/>
                    <w:sz w:val="24"/>
                    <w:highlight w:val="none"/>
                  </w:rPr>
                </m:ctrlPr>
              </m:sub>
            </m:sSub>
            <m:ctrlPr>
              <w:rPr>
                <w:rFonts w:hint="default" w:ascii="Cambria Math" w:hAnsi="Cambria Math" w:cs="Times New Roman"/>
                <w:i/>
                <w:color w:val="auto"/>
                <w:kern w:val="0"/>
                <w:sz w:val="24"/>
                <w:highlight w:val="none"/>
              </w:rPr>
            </m:ctrlPr>
          </m:e>
        </m:nary>
      </m:oMath>
      <w:r>
        <w:rPr>
          <w:rFonts w:hint="default" w:ascii="Times New Roman" w:hAnsi="Times New Roman" w:cs="Times New Roman"/>
          <w:snapToGrid w:val="0"/>
          <w:color w:val="auto"/>
          <w:kern w:val="0"/>
          <w:sz w:val="24"/>
          <w:highlight w:val="none"/>
        </w:rPr>
        <w:t>]</w:t>
      </w:r>
    </w:p>
    <w:p w14:paraId="249CC79A">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式中：</w:t>
      </w:r>
      <w:r>
        <w:rPr>
          <w:rFonts w:hint="default" w:ascii="Times New Roman" w:hAnsi="Times New Roman" w:cs="Times New Roman"/>
          <w:i/>
          <w:snapToGrid w:val="0"/>
          <w:color w:val="auto"/>
          <w:kern w:val="0"/>
          <w:sz w:val="24"/>
          <w:highlight w:val="none"/>
        </w:rPr>
        <w:t>C</w:t>
      </w:r>
      <w:r>
        <w:rPr>
          <w:rFonts w:hint="default" w:ascii="Times New Roman" w:hAnsi="Times New Roman" w:cs="Times New Roman"/>
          <w:snapToGrid w:val="0"/>
          <w:color w:val="auto"/>
          <w:kern w:val="0"/>
          <w:sz w:val="24"/>
          <w:highlight w:val="none"/>
          <w:vertAlign w:val="subscript"/>
        </w:rPr>
        <w:t>现状（x,y）</w:t>
      </w:r>
      <w:r>
        <w:rPr>
          <w:rFonts w:hint="default" w:ascii="Times New Roman" w:hAnsi="Times New Roman" w:cs="Times New Roman"/>
          <w:snapToGrid w:val="0"/>
          <w:color w:val="auto"/>
          <w:kern w:val="0"/>
          <w:sz w:val="24"/>
          <w:highlight w:val="none"/>
        </w:rPr>
        <w:t>—环境空气保护目标及网格点（x,y）环境质量现状浓度，μg/m</w:t>
      </w:r>
      <w:r>
        <w:rPr>
          <w:rFonts w:hint="default" w:ascii="Times New Roman" w:hAnsi="Times New Roman" w:cs="Times New Roman"/>
          <w:snapToGrid w:val="0"/>
          <w:color w:val="auto"/>
          <w:kern w:val="0"/>
          <w:sz w:val="24"/>
          <w:highlight w:val="none"/>
          <w:vertAlign w:val="superscript"/>
        </w:rPr>
        <w:t>3</w:t>
      </w:r>
      <w:r>
        <w:rPr>
          <w:rFonts w:hint="default" w:ascii="Times New Roman" w:hAnsi="Times New Roman" w:cs="Times New Roman"/>
          <w:snapToGrid w:val="0"/>
          <w:color w:val="auto"/>
          <w:kern w:val="0"/>
          <w:sz w:val="24"/>
          <w:highlight w:val="none"/>
        </w:rPr>
        <w:t>；</w:t>
      </w:r>
    </w:p>
    <w:p w14:paraId="4B418E88">
      <w:pPr>
        <w:adjustRightInd w:val="0"/>
        <w:snapToGrid w:val="0"/>
        <w:spacing w:line="500" w:lineRule="exact"/>
        <w:ind w:firstLine="1200" w:firstLineChars="500"/>
        <w:rPr>
          <w:rFonts w:hint="default" w:ascii="Times New Roman" w:hAnsi="Times New Roman" w:cs="Times New Roman"/>
          <w:snapToGrid w:val="0"/>
          <w:color w:val="auto"/>
          <w:kern w:val="0"/>
          <w:sz w:val="24"/>
          <w:highlight w:val="none"/>
        </w:rPr>
      </w:pPr>
      <w:r>
        <w:rPr>
          <w:rFonts w:hint="default" w:ascii="Times New Roman" w:hAnsi="Times New Roman" w:cs="Times New Roman"/>
          <w:i/>
          <w:snapToGrid w:val="0"/>
          <w:color w:val="auto"/>
          <w:kern w:val="0"/>
          <w:sz w:val="24"/>
          <w:highlight w:val="none"/>
        </w:rPr>
        <w:t>C</w:t>
      </w:r>
      <w:r>
        <w:rPr>
          <w:rFonts w:hint="default" w:ascii="Times New Roman" w:hAnsi="Times New Roman" w:cs="Times New Roman"/>
          <w:snapToGrid w:val="0"/>
          <w:color w:val="auto"/>
          <w:kern w:val="0"/>
          <w:sz w:val="24"/>
          <w:highlight w:val="none"/>
          <w:vertAlign w:val="subscript"/>
        </w:rPr>
        <w:t>监测（</w:t>
      </w:r>
      <w:r>
        <w:rPr>
          <w:rFonts w:hint="default" w:ascii="Times New Roman" w:hAnsi="Times New Roman" w:cs="Times New Roman"/>
          <w:i/>
          <w:iCs/>
          <w:snapToGrid w:val="0"/>
          <w:color w:val="auto"/>
          <w:kern w:val="0"/>
          <w:sz w:val="24"/>
          <w:highlight w:val="none"/>
          <w:vertAlign w:val="subscript"/>
        </w:rPr>
        <w:t>j,t</w:t>
      </w:r>
      <w:r>
        <w:rPr>
          <w:rFonts w:hint="default" w:ascii="Times New Roman" w:hAnsi="Times New Roman" w:cs="Times New Roman"/>
          <w:snapToGrid w:val="0"/>
          <w:color w:val="auto"/>
          <w:kern w:val="0"/>
          <w:sz w:val="24"/>
          <w:highlight w:val="none"/>
          <w:vertAlign w:val="subscript"/>
        </w:rPr>
        <w:t>）</w:t>
      </w:r>
      <w:r>
        <w:rPr>
          <w:rFonts w:hint="default" w:ascii="Times New Roman" w:hAnsi="Times New Roman" w:cs="Times New Roman"/>
          <w:snapToGrid w:val="0"/>
          <w:color w:val="auto"/>
          <w:kern w:val="0"/>
          <w:sz w:val="24"/>
          <w:highlight w:val="none"/>
        </w:rPr>
        <w:t>—第j个监测点位在t时刻环境质量现状浓度（包括1h平均、8h平均或日平均质量浓度）采用估算模型计算出的第</w:t>
      </w:r>
      <w:r>
        <w:rPr>
          <w:rFonts w:hint="default" w:ascii="Times New Roman" w:hAnsi="Times New Roman" w:cs="Times New Roman"/>
          <w:i/>
          <w:snapToGrid w:val="0"/>
          <w:color w:val="auto"/>
          <w:kern w:val="0"/>
          <w:sz w:val="24"/>
          <w:highlight w:val="none"/>
        </w:rPr>
        <w:t>i</w:t>
      </w:r>
      <w:r>
        <w:rPr>
          <w:rFonts w:hint="default" w:ascii="Times New Roman" w:hAnsi="Times New Roman" w:cs="Times New Roman"/>
          <w:snapToGrid w:val="0"/>
          <w:color w:val="auto"/>
          <w:kern w:val="0"/>
          <w:sz w:val="24"/>
          <w:highlight w:val="none"/>
        </w:rPr>
        <w:t>个污染物的最大1h地面空气质量浓度，</w:t>
      </w:r>
      <w:bookmarkStart w:id="422" w:name="_Hlk53993784"/>
      <w:r>
        <w:rPr>
          <w:rFonts w:hint="default" w:ascii="Times New Roman" w:hAnsi="Times New Roman" w:cs="Times New Roman"/>
          <w:snapToGrid w:val="0"/>
          <w:color w:val="auto"/>
          <w:kern w:val="0"/>
          <w:sz w:val="24"/>
          <w:highlight w:val="none"/>
        </w:rPr>
        <w:t>μg/m</w:t>
      </w:r>
      <w:r>
        <w:rPr>
          <w:rFonts w:hint="default" w:ascii="Times New Roman" w:hAnsi="Times New Roman" w:cs="Times New Roman"/>
          <w:snapToGrid w:val="0"/>
          <w:color w:val="auto"/>
          <w:kern w:val="0"/>
          <w:sz w:val="24"/>
          <w:highlight w:val="none"/>
          <w:vertAlign w:val="superscript"/>
        </w:rPr>
        <w:t>3</w:t>
      </w:r>
      <w:bookmarkEnd w:id="422"/>
      <w:r>
        <w:rPr>
          <w:rFonts w:hint="default" w:ascii="Times New Roman" w:hAnsi="Times New Roman" w:cs="Times New Roman"/>
          <w:snapToGrid w:val="0"/>
          <w:color w:val="auto"/>
          <w:kern w:val="0"/>
          <w:sz w:val="24"/>
          <w:highlight w:val="none"/>
        </w:rPr>
        <w:t>；</w:t>
      </w:r>
    </w:p>
    <w:p w14:paraId="61ECEF87">
      <w:pPr>
        <w:adjustRightInd w:val="0"/>
        <w:snapToGrid w:val="0"/>
        <w:spacing w:line="500" w:lineRule="exact"/>
        <w:ind w:firstLine="1200" w:firstLineChars="5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n—现状补充监测点位数；</w:t>
      </w:r>
    </w:p>
    <w:p w14:paraId="305B35CA">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（4）监测结果分析</w:t>
      </w:r>
    </w:p>
    <w:p w14:paraId="5F7BC75D">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补充现状监测统计结果分析情况见下表。</w:t>
      </w:r>
      <w:bookmarkEnd w:id="421"/>
    </w:p>
    <w:p w14:paraId="0B518376">
      <w:pPr>
        <w:spacing w:line="400" w:lineRule="exact"/>
        <w:jc w:val="center"/>
        <w:rPr>
          <w:rFonts w:hint="default" w:ascii="Times New Roman" w:hAnsi="Times New Roman" w:eastAsia="黑体" w:cs="Times New Roman"/>
          <w:snapToGrid w:val="0"/>
          <w:color w:val="auto"/>
          <w:kern w:val="0"/>
          <w:sz w:val="24"/>
          <w:highlight w:val="none"/>
        </w:rPr>
      </w:pPr>
      <w:bookmarkStart w:id="423" w:name="_Hlk71807216"/>
      <w:r>
        <w:rPr>
          <w:rFonts w:hint="default" w:ascii="Times New Roman" w:hAnsi="Times New Roman" w:eastAsia="黑体" w:cs="Times New Roman"/>
          <w:snapToGrid w:val="0"/>
          <w:color w:val="auto"/>
          <w:kern w:val="0"/>
          <w:sz w:val="24"/>
          <w:highlight w:val="none"/>
        </w:rPr>
        <w:t>表4</w:t>
      </w:r>
      <w:r>
        <w:rPr>
          <w:rFonts w:hint="default" w:ascii="Times New Roman" w:hAnsi="Times New Roman" w:eastAsia="黑体" w:cs="Times New Roman"/>
          <w:snapToGrid w:val="0"/>
          <w:color w:val="auto"/>
          <w:kern w:val="0"/>
          <w:sz w:val="24"/>
          <w:highlight w:val="none"/>
          <w:lang w:val="en-US" w:eastAsia="zh-CN"/>
        </w:rPr>
        <w:t>.3</w:t>
      </w:r>
      <w:r>
        <w:rPr>
          <w:rFonts w:hint="default" w:ascii="Times New Roman" w:hAnsi="Times New Roman" w:eastAsia="黑体" w:cs="Times New Roman"/>
          <w:snapToGrid w:val="0"/>
          <w:color w:val="auto"/>
          <w:kern w:val="0"/>
          <w:sz w:val="24"/>
          <w:highlight w:val="none"/>
        </w:rPr>
        <w:t>-</w:t>
      </w:r>
      <w:r>
        <w:rPr>
          <w:rFonts w:hint="default" w:ascii="Times New Roman" w:hAnsi="Times New Roman" w:eastAsia="黑体" w:cs="Times New Roman"/>
          <w:snapToGrid w:val="0"/>
          <w:color w:val="auto"/>
          <w:kern w:val="0"/>
          <w:sz w:val="24"/>
          <w:highlight w:val="none"/>
          <w:lang w:val="en-US" w:eastAsia="zh-CN"/>
        </w:rPr>
        <w:t>2</w:t>
      </w:r>
      <w:r>
        <w:rPr>
          <w:rFonts w:hint="default" w:ascii="Times New Roman" w:hAnsi="Times New Roman" w:eastAsia="黑体" w:cs="Times New Roman"/>
          <w:snapToGrid w:val="0"/>
          <w:color w:val="auto"/>
          <w:kern w:val="0"/>
          <w:sz w:val="24"/>
          <w:highlight w:val="none"/>
        </w:rPr>
        <w:t>其他污染物环境现状监测统计表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312"/>
        <w:gridCol w:w="1432"/>
        <w:gridCol w:w="1582"/>
        <w:gridCol w:w="1227"/>
        <w:gridCol w:w="927"/>
        <w:gridCol w:w="822"/>
      </w:tblGrid>
      <w:tr w14:paraId="71D7C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tcBorders>
              <w:left w:val="nil"/>
            </w:tcBorders>
            <w:vAlign w:val="center"/>
          </w:tcPr>
          <w:p w14:paraId="70A0A143">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kern w:val="2"/>
                <w:sz w:val="21"/>
                <w:szCs w:val="21"/>
                <w:highlight w:val="none"/>
                <w:lang w:val="en-US" w:eastAsia="zh-CN" w:bidi="ar-SA"/>
              </w:rPr>
              <w:t>污染物</w:t>
            </w:r>
          </w:p>
        </w:tc>
        <w:tc>
          <w:tcPr>
            <w:tcW w:w="770" w:type="pct"/>
            <w:vAlign w:val="center"/>
          </w:tcPr>
          <w:p w14:paraId="3C137798">
            <w:pPr>
              <w:spacing w:line="400" w:lineRule="exact"/>
              <w:jc w:val="center"/>
              <w:rPr>
                <w:rFonts w:hint="default" w:ascii="Times New Roman" w:hAnsi="Times New Roman"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监测时间</w:t>
            </w:r>
          </w:p>
        </w:tc>
        <w:tc>
          <w:tcPr>
            <w:tcW w:w="840" w:type="pct"/>
            <w:vAlign w:val="center"/>
          </w:tcPr>
          <w:p w14:paraId="2934AD31">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平均时间</w:t>
            </w:r>
          </w:p>
        </w:tc>
        <w:tc>
          <w:tcPr>
            <w:tcW w:w="928" w:type="pct"/>
            <w:tcBorders>
              <w:right w:val="nil"/>
            </w:tcBorders>
            <w:vAlign w:val="center"/>
          </w:tcPr>
          <w:p w14:paraId="012D9891">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监测均值范围</w:t>
            </w:r>
          </w:p>
        </w:tc>
        <w:tc>
          <w:tcPr>
            <w:tcW w:w="720" w:type="pct"/>
            <w:tcBorders>
              <w:right w:val="nil"/>
            </w:tcBorders>
            <w:vAlign w:val="center"/>
          </w:tcPr>
          <w:p w14:paraId="154C34C6">
            <w:pPr>
              <w:pStyle w:val="6"/>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最大浓度占标率/%</w:t>
            </w:r>
          </w:p>
        </w:tc>
        <w:tc>
          <w:tcPr>
            <w:tcW w:w="544" w:type="pct"/>
            <w:tcBorders>
              <w:right w:val="nil"/>
            </w:tcBorders>
            <w:vAlign w:val="center"/>
          </w:tcPr>
          <w:p w14:paraId="29684FC4">
            <w:pPr>
              <w:pStyle w:val="74"/>
              <w:adjustRightInd w:val="0"/>
              <w:snapToGrid w:val="0"/>
              <w:ind w:left="0" w:leftChars="0"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szCs w:val="21"/>
                <w:highlight w:val="none"/>
              </w:rPr>
              <w:t>超标率/%</w:t>
            </w:r>
          </w:p>
        </w:tc>
        <w:tc>
          <w:tcPr>
            <w:tcW w:w="482" w:type="pct"/>
            <w:tcBorders>
              <w:right w:val="nil"/>
            </w:tcBorders>
            <w:vAlign w:val="center"/>
          </w:tcPr>
          <w:p w14:paraId="2C7700B2">
            <w:pPr>
              <w:pStyle w:val="74"/>
              <w:adjustRightInd w:val="0"/>
              <w:snapToGrid w:val="0"/>
              <w:ind w:left="0" w:leftChars="0"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szCs w:val="21"/>
                <w:highlight w:val="none"/>
              </w:rPr>
              <w:t>达标情况</w:t>
            </w:r>
          </w:p>
        </w:tc>
      </w:tr>
      <w:tr w14:paraId="2E203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714" w:type="pct"/>
            <w:tcBorders>
              <w:left w:val="nil"/>
            </w:tcBorders>
            <w:vAlign w:val="center"/>
          </w:tcPr>
          <w:p w14:paraId="0E1FBD65">
            <w:pPr>
              <w:pStyle w:val="74"/>
              <w:ind w:left="0" w:leftChars="0"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highlight w:val="none"/>
              </w:rPr>
              <w:t>TSP</w:t>
            </w:r>
          </w:p>
        </w:tc>
        <w:tc>
          <w:tcPr>
            <w:tcW w:w="770" w:type="pct"/>
            <w:vAlign w:val="center"/>
          </w:tcPr>
          <w:p w14:paraId="364BA060">
            <w:pPr>
              <w:spacing w:line="400" w:lineRule="exact"/>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2025.06.12~2025.6.18</w:t>
            </w:r>
          </w:p>
        </w:tc>
        <w:tc>
          <w:tcPr>
            <w:tcW w:w="840" w:type="pct"/>
            <w:vAlign w:val="center"/>
          </w:tcPr>
          <w:p w14:paraId="56A0EC5D">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日</w:t>
            </w:r>
            <w:r>
              <w:rPr>
                <w:rFonts w:hint="default" w:ascii="Times New Roman" w:hAnsi="Times New Roman" w:cs="Times New Roman"/>
                <w:color w:val="auto"/>
                <w:szCs w:val="21"/>
                <w:highlight w:val="none"/>
              </w:rPr>
              <w:t>均值</w:t>
            </w:r>
          </w:p>
        </w:tc>
        <w:tc>
          <w:tcPr>
            <w:tcW w:w="928" w:type="pct"/>
            <w:tcBorders>
              <w:right w:val="nil"/>
            </w:tcBorders>
            <w:vAlign w:val="center"/>
          </w:tcPr>
          <w:p w14:paraId="6325E074">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0.124-0.1515</w:t>
            </w:r>
          </w:p>
        </w:tc>
        <w:tc>
          <w:tcPr>
            <w:tcW w:w="720" w:type="pct"/>
            <w:tcBorders>
              <w:right w:val="nil"/>
            </w:tcBorders>
            <w:vAlign w:val="center"/>
          </w:tcPr>
          <w:p w14:paraId="524742C5">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50.5</w:t>
            </w:r>
          </w:p>
        </w:tc>
        <w:tc>
          <w:tcPr>
            <w:tcW w:w="544" w:type="pct"/>
            <w:tcBorders>
              <w:right w:val="nil"/>
            </w:tcBorders>
            <w:vAlign w:val="center"/>
          </w:tcPr>
          <w:p w14:paraId="5BD8041C">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0</w:t>
            </w:r>
          </w:p>
        </w:tc>
        <w:tc>
          <w:tcPr>
            <w:tcW w:w="482" w:type="pct"/>
            <w:tcBorders>
              <w:right w:val="nil"/>
            </w:tcBorders>
            <w:vAlign w:val="center"/>
          </w:tcPr>
          <w:p w14:paraId="461A4910">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达标</w:t>
            </w:r>
          </w:p>
        </w:tc>
      </w:tr>
      <w:tr w14:paraId="60B6D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tcBorders>
              <w:left w:val="nil"/>
            </w:tcBorders>
            <w:vAlign w:val="center"/>
          </w:tcPr>
          <w:p w14:paraId="1A046995">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highlight w:val="none"/>
              </w:rPr>
              <w:t>苯并[a]芘</w:t>
            </w:r>
          </w:p>
        </w:tc>
        <w:tc>
          <w:tcPr>
            <w:tcW w:w="770" w:type="pct"/>
            <w:vAlign w:val="center"/>
          </w:tcPr>
          <w:p w14:paraId="305A69AC">
            <w:pPr>
              <w:spacing w:line="400" w:lineRule="exact"/>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2025.06.12~2025.6.18</w:t>
            </w:r>
          </w:p>
        </w:tc>
        <w:tc>
          <w:tcPr>
            <w:tcW w:w="840" w:type="pct"/>
            <w:vAlign w:val="center"/>
          </w:tcPr>
          <w:p w14:paraId="05B8C2C1">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日</w:t>
            </w:r>
            <w:r>
              <w:rPr>
                <w:rFonts w:hint="default" w:ascii="Times New Roman" w:hAnsi="Times New Roman" w:cs="Times New Roman"/>
                <w:color w:val="auto"/>
                <w:szCs w:val="21"/>
                <w:highlight w:val="none"/>
              </w:rPr>
              <w:t>均值</w:t>
            </w:r>
          </w:p>
        </w:tc>
        <w:tc>
          <w:tcPr>
            <w:tcW w:w="928" w:type="pct"/>
            <w:tcBorders>
              <w:right w:val="nil"/>
            </w:tcBorders>
            <w:vAlign w:val="center"/>
          </w:tcPr>
          <w:p w14:paraId="679EEA04">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0.14L</w:t>
            </w:r>
          </w:p>
        </w:tc>
        <w:tc>
          <w:tcPr>
            <w:tcW w:w="720" w:type="pct"/>
            <w:tcBorders>
              <w:right w:val="nil"/>
            </w:tcBorders>
            <w:vAlign w:val="center"/>
          </w:tcPr>
          <w:p w14:paraId="3D7393F9">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w:t>
            </w:r>
          </w:p>
        </w:tc>
        <w:tc>
          <w:tcPr>
            <w:tcW w:w="544" w:type="pct"/>
            <w:tcBorders>
              <w:right w:val="nil"/>
            </w:tcBorders>
            <w:vAlign w:val="center"/>
          </w:tcPr>
          <w:p w14:paraId="0CD43E06">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w:t>
            </w:r>
          </w:p>
        </w:tc>
        <w:tc>
          <w:tcPr>
            <w:tcW w:w="482" w:type="pct"/>
            <w:tcBorders>
              <w:right w:val="nil"/>
            </w:tcBorders>
            <w:vAlign w:val="center"/>
          </w:tcPr>
          <w:p w14:paraId="4E59B67D">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达标</w:t>
            </w:r>
          </w:p>
        </w:tc>
      </w:tr>
      <w:tr w14:paraId="048E3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tcBorders>
              <w:left w:val="nil"/>
            </w:tcBorders>
            <w:vAlign w:val="center"/>
          </w:tcPr>
          <w:p w14:paraId="24D13667">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NMHC</w:t>
            </w:r>
          </w:p>
        </w:tc>
        <w:tc>
          <w:tcPr>
            <w:tcW w:w="770" w:type="pct"/>
            <w:vAlign w:val="center"/>
          </w:tcPr>
          <w:p w14:paraId="05F17600">
            <w:pPr>
              <w:spacing w:line="400" w:lineRule="exact"/>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5.7.24~2025.7.30</w:t>
            </w:r>
          </w:p>
        </w:tc>
        <w:tc>
          <w:tcPr>
            <w:tcW w:w="840" w:type="pct"/>
            <w:vAlign w:val="center"/>
          </w:tcPr>
          <w:p w14:paraId="7DC5F99C">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小时值</w:t>
            </w:r>
          </w:p>
        </w:tc>
        <w:tc>
          <w:tcPr>
            <w:tcW w:w="928" w:type="pct"/>
            <w:tcBorders>
              <w:right w:val="nil"/>
            </w:tcBorders>
            <w:vAlign w:val="center"/>
          </w:tcPr>
          <w:p w14:paraId="20481F7C">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0.125-0.195</w:t>
            </w:r>
          </w:p>
        </w:tc>
        <w:tc>
          <w:tcPr>
            <w:tcW w:w="720" w:type="pct"/>
            <w:tcBorders>
              <w:right w:val="nil"/>
            </w:tcBorders>
            <w:vAlign w:val="center"/>
          </w:tcPr>
          <w:p w14:paraId="2FBF26BF">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9.75</w:t>
            </w:r>
          </w:p>
        </w:tc>
        <w:tc>
          <w:tcPr>
            <w:tcW w:w="544" w:type="pct"/>
            <w:tcBorders>
              <w:right w:val="nil"/>
            </w:tcBorders>
            <w:vAlign w:val="center"/>
          </w:tcPr>
          <w:p w14:paraId="0FA4004C">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0</w:t>
            </w:r>
          </w:p>
        </w:tc>
        <w:tc>
          <w:tcPr>
            <w:tcW w:w="482" w:type="pct"/>
            <w:tcBorders>
              <w:right w:val="nil"/>
            </w:tcBorders>
            <w:vAlign w:val="center"/>
          </w:tcPr>
          <w:p w14:paraId="0B95C71A">
            <w:pPr>
              <w:spacing w:line="40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kern w:val="2"/>
                <w:sz w:val="21"/>
                <w:szCs w:val="21"/>
                <w:highlight w:val="none"/>
                <w:lang w:val="en-US" w:eastAsia="zh-CN" w:bidi="ar-SA"/>
              </w:rPr>
              <w:t>达标</w:t>
            </w:r>
          </w:p>
        </w:tc>
      </w:tr>
    </w:tbl>
    <w:p w14:paraId="7A3B984E">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bookmarkStart w:id="424" w:name="_Hlk71807269"/>
      <w:r>
        <w:rPr>
          <w:rFonts w:hint="default" w:ascii="Times New Roman" w:hAnsi="Times New Roman" w:cs="Times New Roman"/>
          <w:snapToGrid w:val="0"/>
          <w:color w:val="auto"/>
          <w:kern w:val="0"/>
          <w:sz w:val="24"/>
          <w:highlight w:val="none"/>
        </w:rPr>
        <w:t>（5）环境空气补充监测评价结论</w:t>
      </w:r>
    </w:p>
    <w:p w14:paraId="666FD4BC">
      <w:pPr>
        <w:spacing w:line="500" w:lineRule="exact"/>
        <w:ind w:firstLine="480" w:firstLineChars="200"/>
        <w:rPr>
          <w:rFonts w:hint="default" w:ascii="Times New Roman" w:hAnsi="Times New Roman" w:eastAsia="宋体" w:cs="Times New Roman"/>
          <w:snapToGrid w:val="0"/>
          <w:color w:val="auto"/>
          <w:sz w:val="24"/>
          <w:highlight w:val="none"/>
          <w:lang w:val="en-US" w:eastAsia="zh-CN"/>
        </w:rPr>
      </w:pPr>
      <w:r>
        <w:rPr>
          <w:rFonts w:hint="default" w:ascii="Times New Roman" w:hAnsi="Times New Roman" w:cs="Times New Roman"/>
          <w:snapToGrid w:val="0"/>
          <w:color w:val="auto"/>
          <w:sz w:val="24"/>
          <w:highlight w:val="none"/>
          <w:lang w:val="en-GB"/>
        </w:rPr>
        <w:t>根据表4-7，本项目补充监测的TSP、</w:t>
      </w:r>
      <w:r>
        <w:rPr>
          <w:rFonts w:hint="default" w:ascii="Times New Roman" w:hAnsi="Times New Roman" w:cs="Times New Roman"/>
          <w:snapToGrid w:val="0"/>
          <w:color w:val="auto"/>
          <w:kern w:val="0"/>
          <w:sz w:val="24"/>
          <w:highlight w:val="none"/>
        </w:rPr>
        <w:t>苯并[a]芘</w:t>
      </w:r>
      <w:r>
        <w:rPr>
          <w:rFonts w:hint="default" w:ascii="Times New Roman" w:hAnsi="Times New Roman" w:cs="Times New Roman"/>
          <w:snapToGrid w:val="0"/>
          <w:color w:val="auto"/>
          <w:sz w:val="24"/>
          <w:highlight w:val="none"/>
          <w:lang w:val="en-GB"/>
        </w:rPr>
        <w:t>环境空气质量现状均满足《环境空气质量标准（GB3095-2012）》及修改单中二级标准</w:t>
      </w:r>
      <w:bookmarkEnd w:id="423"/>
      <w:bookmarkEnd w:id="424"/>
      <w:r>
        <w:rPr>
          <w:rFonts w:hint="default" w:ascii="Times New Roman" w:hAnsi="Times New Roman" w:cs="Times New Roman"/>
          <w:snapToGrid w:val="0"/>
          <w:color w:val="auto"/>
          <w:sz w:val="24"/>
          <w:highlight w:val="none"/>
          <w:lang w:val="en-GB"/>
        </w:rPr>
        <w:t>要求。</w:t>
      </w:r>
      <w:r>
        <w:rPr>
          <w:rFonts w:hint="default" w:ascii="Times New Roman" w:hAnsi="Times New Roman" w:cs="Times New Roman"/>
          <w:color w:val="auto"/>
          <w:sz w:val="24"/>
          <w:szCs w:val="24"/>
          <w:highlight w:val="none"/>
          <w:lang w:val="en-US" w:eastAsia="zh-CN"/>
        </w:rPr>
        <w:t>NMHC满足《大气污染物综合排放标准详解》中标准限值的要求</w:t>
      </w:r>
      <w:r>
        <w:rPr>
          <w:rFonts w:hint="default" w:ascii="Times New Roman" w:hAnsi="Times New Roman" w:cs="Times New Roman"/>
          <w:snapToGrid w:val="0"/>
          <w:color w:val="auto"/>
          <w:sz w:val="24"/>
          <w:highlight w:val="none"/>
          <w:lang w:val="en-US" w:eastAsia="zh-CN"/>
        </w:rPr>
        <w:t>。</w:t>
      </w:r>
    </w:p>
    <w:p w14:paraId="268F5833">
      <w:pPr>
        <w:spacing w:line="480" w:lineRule="exact"/>
        <w:rPr>
          <w:rFonts w:hint="default" w:ascii="Times New Roman" w:hAnsi="Times New Roman" w:cs="Times New Roman"/>
          <w:snapToGrid w:val="0"/>
          <w:color w:val="auto"/>
          <w:sz w:val="24"/>
          <w:highlight w:val="none"/>
          <w:lang w:val="en-GB"/>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C8D0034">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8"/>
          <w:szCs w:val="28"/>
          <w:highlight w:val="none"/>
        </w:rPr>
      </w:pPr>
      <w:bookmarkStart w:id="425" w:name="_Toc9348"/>
      <w:bookmarkStart w:id="426" w:name="_Toc192758921"/>
      <w:bookmarkStart w:id="427" w:name="_Toc193460010"/>
      <w:bookmarkStart w:id="428" w:name="_Toc5459"/>
      <w:bookmarkStart w:id="429" w:name="_Toc15096"/>
      <w:bookmarkStart w:id="430" w:name="_Toc24566"/>
      <w:bookmarkStart w:id="431" w:name="_Toc30768"/>
      <w:bookmarkStart w:id="432" w:name="_Toc13175"/>
      <w:r>
        <w:rPr>
          <w:rFonts w:hint="default" w:ascii="Times New Roman" w:hAnsi="Times New Roman" w:eastAsia="黑体" w:cs="Times New Roman"/>
          <w:bCs/>
          <w:color w:val="auto"/>
          <w:kern w:val="44"/>
          <w:sz w:val="28"/>
          <w:szCs w:val="28"/>
          <w:highlight w:val="none"/>
        </w:rPr>
        <w:t>5大气环境影响预测与评价</w:t>
      </w:r>
      <w:bookmarkEnd w:id="425"/>
      <w:bookmarkEnd w:id="426"/>
      <w:bookmarkEnd w:id="427"/>
      <w:bookmarkEnd w:id="428"/>
      <w:bookmarkEnd w:id="429"/>
      <w:bookmarkEnd w:id="430"/>
      <w:bookmarkEnd w:id="431"/>
      <w:bookmarkEnd w:id="432"/>
    </w:p>
    <w:p w14:paraId="4186DD40">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433" w:name="_Toc193460011"/>
      <w:bookmarkStart w:id="434" w:name="_Toc19521"/>
      <w:bookmarkStart w:id="435" w:name="_Toc8854"/>
      <w:bookmarkStart w:id="436" w:name="_Toc16706"/>
      <w:bookmarkStart w:id="437" w:name="_Toc1717"/>
      <w:bookmarkStart w:id="438" w:name="_Toc9756"/>
      <w:bookmarkStart w:id="439" w:name="_Toc192758922"/>
      <w:bookmarkStart w:id="440" w:name="_Toc30352"/>
      <w:r>
        <w:rPr>
          <w:rFonts w:hint="default" w:ascii="Times New Roman" w:hAnsi="Times New Roman" w:eastAsia="黑体" w:cs="Times New Roman"/>
          <w:bCs/>
          <w:color w:val="auto"/>
          <w:kern w:val="44"/>
          <w:sz w:val="24"/>
          <w:highlight w:val="none"/>
        </w:rPr>
        <w:t>5.1废气产生情况</w:t>
      </w:r>
      <w:bookmarkEnd w:id="433"/>
      <w:bookmarkEnd w:id="434"/>
      <w:bookmarkEnd w:id="435"/>
      <w:bookmarkEnd w:id="436"/>
      <w:bookmarkEnd w:id="437"/>
      <w:bookmarkEnd w:id="438"/>
      <w:bookmarkEnd w:id="439"/>
      <w:bookmarkEnd w:id="440"/>
    </w:p>
    <w:p w14:paraId="33CB100E">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本项目沥青由厂家直接运送至厂区沥青罐内，原料采用封闭式罐车运入厂区，原料采用汽车运输，运输车辆全部采用苫布覆盖。运输产生的粉尘主要是沿途抛洒及道路行驶引起的扬尘，</w:t>
      </w:r>
      <w:r>
        <w:rPr>
          <w:rFonts w:hint="default" w:ascii="Times New Roman" w:hAnsi="Times New Roman" w:cs="Times New Roman"/>
          <w:color w:val="auto"/>
          <w:kern w:val="0"/>
          <w:sz w:val="24"/>
          <w:highlight w:val="none"/>
          <w:lang w:val="en-US" w:eastAsia="zh-CN"/>
        </w:rPr>
        <w:t>厂区定期洒水抑尘，</w:t>
      </w:r>
      <w:r>
        <w:rPr>
          <w:rFonts w:hint="default" w:ascii="Times New Roman" w:hAnsi="Times New Roman" w:cs="Times New Roman"/>
          <w:color w:val="auto"/>
          <w:kern w:val="0"/>
          <w:sz w:val="24"/>
          <w:highlight w:val="none"/>
        </w:rPr>
        <w:t>无组织颗粒物排放浓度满足《大气污染物综合排放标准》（GB16297-1996）表2中无组织排放监控浓度限值要求。本项目原料外购进场到指定堆场装卸和堆存时及产品碎石于堆场装卸和堆存时会产生无组织粉尘，本项目堆场四周设置防风抑尘网，安装高压喷淋装置进行定期</w:t>
      </w:r>
      <w:r>
        <w:rPr>
          <w:rFonts w:hint="default" w:ascii="Times New Roman" w:hAnsi="Times New Roman" w:cs="Times New Roman"/>
          <w:color w:val="auto"/>
          <w:kern w:val="0"/>
          <w:sz w:val="24"/>
          <w:highlight w:val="none"/>
          <w:lang w:eastAsia="zh-CN"/>
        </w:rPr>
        <w:t>喷淋降尘</w:t>
      </w:r>
      <w:r>
        <w:rPr>
          <w:rFonts w:hint="default" w:ascii="Times New Roman" w:hAnsi="Times New Roman" w:cs="Times New Roman"/>
          <w:color w:val="auto"/>
          <w:kern w:val="0"/>
          <w:sz w:val="24"/>
          <w:highlight w:val="none"/>
        </w:rPr>
        <w:t>，无组织颗粒物排放浓度满足《大气污染物综合排放标准》（GB16297-1996）表2中无组织排放监控浓度限值要求。冷料通过铲车、封闭皮带输送至烘干筒，过程中会产生一定量的粉尘，冷料上料和输送位于封闭式</w:t>
      </w:r>
      <w:r>
        <w:rPr>
          <w:rFonts w:hint="default" w:ascii="Times New Roman" w:hAnsi="Times New Roman" w:cs="Times New Roman"/>
          <w:color w:val="auto"/>
          <w:kern w:val="0"/>
          <w:sz w:val="24"/>
          <w:highlight w:val="none"/>
          <w:lang w:val="en-US" w:eastAsia="zh-CN"/>
        </w:rPr>
        <w:t>料仓</w:t>
      </w:r>
      <w:r>
        <w:rPr>
          <w:rFonts w:hint="default" w:ascii="Times New Roman" w:hAnsi="Times New Roman" w:cs="Times New Roman"/>
          <w:color w:val="auto"/>
          <w:kern w:val="0"/>
          <w:sz w:val="24"/>
          <w:highlight w:val="none"/>
        </w:rPr>
        <w:t>中进行，无组织颗粒物排放浓度满足《大气污染物综合排放标准》（GB16297-1996）表2中无组织排放监控浓度限值要求。</w:t>
      </w:r>
      <w:r>
        <w:rPr>
          <w:rFonts w:hint="default" w:ascii="Times New Roman" w:hAnsi="Times New Roman" w:cs="Times New Roman"/>
          <w:color w:val="auto"/>
          <w:kern w:val="0"/>
          <w:sz w:val="24"/>
          <w:highlight w:val="none"/>
          <w:lang w:val="en-US" w:eastAsia="zh-CN"/>
        </w:rPr>
        <w:t>矿粉仓装卸废气经</w:t>
      </w:r>
      <w:r>
        <w:rPr>
          <w:rFonts w:hint="default" w:ascii="Times New Roman" w:hAnsi="Times New Roman" w:cs="Times New Roman"/>
          <w:color w:val="auto"/>
          <w:kern w:val="0"/>
          <w:sz w:val="24"/>
          <w:highlight w:val="none"/>
        </w:rPr>
        <w:t>布袋除尘器（除尘效率99%）处理后</w:t>
      </w:r>
      <w:r>
        <w:rPr>
          <w:rFonts w:hint="default" w:ascii="Times New Roman" w:hAnsi="Times New Roman" w:cs="Times New Roman"/>
          <w:color w:val="auto"/>
          <w:kern w:val="0"/>
          <w:sz w:val="24"/>
          <w:highlight w:val="none"/>
          <w:lang w:val="en-US" w:eastAsia="zh-CN"/>
        </w:rPr>
        <w:t>无组织</w:t>
      </w:r>
      <w:r>
        <w:rPr>
          <w:rFonts w:hint="default" w:ascii="Times New Roman" w:hAnsi="Times New Roman" w:cs="Times New Roman"/>
          <w:color w:val="auto"/>
          <w:kern w:val="0"/>
          <w:sz w:val="24"/>
          <w:highlight w:val="none"/>
        </w:rPr>
        <w:t>排放</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无组织颗粒物排放浓度满足《大气污染物综合排放标准》（GB16297-1996）表2中无组织排放监控浓度限值要求。</w:t>
      </w:r>
    </w:p>
    <w:p w14:paraId="2DAEB9B4">
      <w:pPr>
        <w:adjustRightInd w:val="0"/>
        <w:snapToGrid w:val="0"/>
        <w:spacing w:line="500" w:lineRule="exact"/>
        <w:ind w:firstLine="480" w:firstLineChars="200"/>
        <w:rPr>
          <w:rFonts w:hint="default" w:ascii="Times New Roman" w:hAnsi="Times New Roman" w:cs="Times New Roman"/>
          <w:color w:val="auto"/>
          <w:kern w:val="0"/>
          <w:sz w:val="24"/>
          <w:highlight w:val="none"/>
          <w:lang w:eastAsia="zh-CN"/>
        </w:rPr>
      </w:pPr>
      <w:r>
        <w:rPr>
          <w:rFonts w:hint="default" w:ascii="Times New Roman" w:hAnsi="Times New Roman" w:cs="Times New Roman"/>
          <w:color w:val="auto"/>
          <w:kern w:val="0"/>
          <w:sz w:val="24"/>
          <w:highlight w:val="none"/>
        </w:rPr>
        <w:t>骨料烘干时石料在烘干滚筒内翻滚以及筛分过程中会产生粉尘。本项目烘干滚筒及筛分设备为密闭形式，烘干、筛分粉尘经旋风除尘器（除尘效率40%）+布袋除尘器（除尘效率99%）处理后通过</w:t>
      </w:r>
      <w:r>
        <w:rPr>
          <w:rFonts w:hint="default" w:ascii="Times New Roman" w:hAnsi="Times New Roman" w:cs="Times New Roman"/>
          <w:color w:val="auto"/>
          <w:kern w:val="0"/>
          <w:sz w:val="24"/>
          <w:highlight w:val="none"/>
          <w:lang w:val="en-US" w:eastAsia="zh-CN"/>
        </w:rPr>
        <w:t>15</w:t>
      </w:r>
      <w:r>
        <w:rPr>
          <w:rFonts w:hint="default" w:ascii="Times New Roman" w:hAnsi="Times New Roman" w:cs="Times New Roman"/>
          <w:color w:val="auto"/>
          <w:kern w:val="0"/>
          <w:sz w:val="24"/>
          <w:highlight w:val="none"/>
        </w:rPr>
        <w:t>m高烟囱DA00</w:t>
      </w:r>
      <w:r>
        <w:rPr>
          <w:rFonts w:hint="default" w:ascii="Times New Roman" w:hAnsi="Times New Roman" w:cs="Times New Roman"/>
          <w:color w:val="auto"/>
          <w:kern w:val="0"/>
          <w:sz w:val="24"/>
          <w:highlight w:val="none"/>
          <w:lang w:val="en-US" w:eastAsia="zh-CN"/>
        </w:rPr>
        <w:t>1</w:t>
      </w:r>
      <w:r>
        <w:rPr>
          <w:rFonts w:hint="default" w:ascii="Times New Roman" w:hAnsi="Times New Roman" w:cs="Times New Roman"/>
          <w:color w:val="auto"/>
          <w:kern w:val="0"/>
          <w:sz w:val="24"/>
          <w:highlight w:val="none"/>
        </w:rPr>
        <w:t>排放，有组织颗粒物排放浓度及排放速率满足《大气污染物综合排放标准》（GB16297-1996）表2中二级标准要求。本项目采用燃烧器向烘干滚筒喷入火焰的方式对骨料进行加热，燃烧器以轻质柴油为燃料</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燃烧器采用低氮燃烧技术</w:t>
      </w:r>
      <w:r>
        <w:rPr>
          <w:rFonts w:hint="default" w:ascii="Times New Roman" w:hAnsi="Times New Roman" w:cs="Times New Roman"/>
          <w:color w:val="auto"/>
          <w:kern w:val="0"/>
          <w:sz w:val="24"/>
          <w:highlight w:val="none"/>
        </w:rPr>
        <w:t>。燃油废气与烘干、筛分粉尘形成混合气体，混合气体通过引风机引入旋风除尘器（除尘效率40%）+布袋除尘器（除尘效率99%）处理后通过</w:t>
      </w:r>
      <w:r>
        <w:rPr>
          <w:rFonts w:hint="default" w:ascii="Times New Roman" w:hAnsi="Times New Roman" w:cs="Times New Roman"/>
          <w:color w:val="auto"/>
          <w:kern w:val="0"/>
          <w:sz w:val="24"/>
          <w:highlight w:val="none"/>
          <w:lang w:val="en-US" w:eastAsia="zh-CN"/>
        </w:rPr>
        <w:t>15</w:t>
      </w:r>
      <w:r>
        <w:rPr>
          <w:rFonts w:hint="default" w:ascii="Times New Roman" w:hAnsi="Times New Roman" w:cs="Times New Roman"/>
          <w:color w:val="auto"/>
          <w:kern w:val="0"/>
          <w:sz w:val="24"/>
          <w:highlight w:val="none"/>
        </w:rPr>
        <w:t>m高烟囱DA001排放，SO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、颗粒物、NO</w:t>
      </w:r>
      <w:r>
        <w:rPr>
          <w:rFonts w:hint="default" w:ascii="Times New Roman" w:hAnsi="Times New Roman" w:cs="Times New Roman"/>
          <w:color w:val="auto"/>
          <w:kern w:val="0"/>
          <w:sz w:val="24"/>
          <w:highlight w:val="none"/>
          <w:vertAlign w:val="subscript"/>
        </w:rPr>
        <w:t>X</w:t>
      </w:r>
      <w:r>
        <w:rPr>
          <w:rFonts w:hint="default" w:ascii="Times New Roman" w:hAnsi="Times New Roman" w:cs="Times New Roman"/>
          <w:color w:val="auto"/>
          <w:kern w:val="0"/>
          <w:sz w:val="24"/>
          <w:highlight w:val="none"/>
        </w:rPr>
        <w:t>排放浓度及排放速率满足《大气污染物综合排放标准》（GB16297-1996）表2中二级标准要求。本项目采用</w:t>
      </w:r>
      <w:r>
        <w:rPr>
          <w:rFonts w:hint="default" w:ascii="Times New Roman" w:hAnsi="Times New Roman" w:cs="Times New Roman"/>
          <w:color w:val="auto"/>
          <w:kern w:val="0"/>
          <w:sz w:val="24"/>
          <w:highlight w:val="none"/>
          <w:lang w:val="en-US" w:eastAsia="zh-CN"/>
        </w:rPr>
        <w:t>100</w:t>
      </w:r>
      <w:r>
        <w:rPr>
          <w:rFonts w:hint="default" w:ascii="Times New Roman" w:hAnsi="Times New Roman" w:cs="Times New Roman"/>
          <w:color w:val="auto"/>
          <w:kern w:val="0"/>
          <w:sz w:val="24"/>
          <w:highlight w:val="none"/>
        </w:rPr>
        <w:t>万Kcal导热油炉加热沥青储罐，产生的导热油炉</w:t>
      </w:r>
      <w:r>
        <w:rPr>
          <w:rFonts w:hint="default" w:ascii="Times New Roman" w:hAnsi="Times New Roman" w:cs="Times New Roman"/>
          <w:color w:val="auto"/>
          <w:kern w:val="0"/>
          <w:sz w:val="24"/>
          <w:highlight w:val="none"/>
          <w:lang w:val="en-US" w:eastAsia="zh-CN"/>
        </w:rPr>
        <w:t>采用低氮燃烧技术，燃烧</w:t>
      </w:r>
      <w:r>
        <w:rPr>
          <w:rFonts w:hint="default" w:ascii="Times New Roman" w:hAnsi="Times New Roman" w:cs="Times New Roman"/>
          <w:color w:val="auto"/>
          <w:kern w:val="0"/>
          <w:sz w:val="24"/>
          <w:highlight w:val="none"/>
        </w:rPr>
        <w:t>烟气经</w:t>
      </w:r>
      <w:r>
        <w:rPr>
          <w:rFonts w:hint="default" w:ascii="Times New Roman" w:hAnsi="Times New Roman" w:cs="Times New Roman"/>
          <w:color w:val="auto"/>
          <w:kern w:val="0"/>
          <w:sz w:val="24"/>
          <w:highlight w:val="none"/>
          <w:lang w:val="en-US" w:eastAsia="zh-CN"/>
        </w:rPr>
        <w:t>10</w:t>
      </w:r>
      <w:r>
        <w:rPr>
          <w:rFonts w:hint="default" w:ascii="Times New Roman" w:hAnsi="Times New Roman" w:cs="Times New Roman"/>
          <w:color w:val="auto"/>
          <w:kern w:val="0"/>
          <w:sz w:val="24"/>
          <w:highlight w:val="none"/>
        </w:rPr>
        <w:t>m高烟囱DA002排放，SO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、颗粒物、NO</w:t>
      </w:r>
      <w:r>
        <w:rPr>
          <w:rFonts w:hint="default" w:ascii="Times New Roman" w:hAnsi="Times New Roman" w:cs="Times New Roman"/>
          <w:color w:val="auto"/>
          <w:kern w:val="0"/>
          <w:sz w:val="24"/>
          <w:highlight w:val="none"/>
          <w:vertAlign w:val="subscript"/>
        </w:rPr>
        <w:t>X</w:t>
      </w:r>
      <w:r>
        <w:rPr>
          <w:rFonts w:hint="default" w:ascii="Times New Roman" w:hAnsi="Times New Roman" w:cs="Times New Roman"/>
          <w:color w:val="auto"/>
          <w:kern w:val="0"/>
          <w:sz w:val="24"/>
          <w:highlight w:val="none"/>
        </w:rPr>
        <w:t>排放浓度及烟气黑度符合《锅炉大气污染物排放标准》（GB13271-2014）表2新建锅炉大气污染物排放浓度限值中燃油锅炉排放限值。本项目设置负压抽风废气整体收集系统，沥青储罐通过集气管收集沥青烟气、出料区设置自动升降门及集气管，密闭收集沥青烟气，沥青烟气通过引风机（设计风量20000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/h）经负压收集后经电捕焦油器+活性炭吸附装置处理后通过</w:t>
      </w:r>
      <w:r>
        <w:rPr>
          <w:rFonts w:hint="default" w:ascii="Times New Roman" w:hAnsi="Times New Roman" w:cs="Times New Roman"/>
          <w:color w:val="auto"/>
          <w:kern w:val="0"/>
          <w:sz w:val="24"/>
          <w:highlight w:val="none"/>
          <w:lang w:val="en-US" w:eastAsia="zh-CN"/>
        </w:rPr>
        <w:t>15</w:t>
      </w:r>
      <w:r>
        <w:rPr>
          <w:rFonts w:hint="default" w:ascii="Times New Roman" w:hAnsi="Times New Roman" w:cs="Times New Roman"/>
          <w:color w:val="auto"/>
          <w:kern w:val="0"/>
          <w:sz w:val="24"/>
          <w:highlight w:val="none"/>
        </w:rPr>
        <w:t>m烟囱DA00</w:t>
      </w:r>
      <w:r>
        <w:rPr>
          <w:rFonts w:hint="default" w:ascii="Times New Roman" w:hAnsi="Times New Roman" w:cs="Times New Roman"/>
          <w:color w:val="auto"/>
          <w:kern w:val="0"/>
          <w:sz w:val="24"/>
          <w:highlight w:val="none"/>
          <w:lang w:val="en-US" w:eastAsia="zh-CN"/>
        </w:rPr>
        <w:t>3</w:t>
      </w:r>
      <w:r>
        <w:rPr>
          <w:rFonts w:hint="default" w:ascii="Times New Roman" w:hAnsi="Times New Roman" w:cs="Times New Roman"/>
          <w:color w:val="auto"/>
          <w:kern w:val="0"/>
          <w:sz w:val="24"/>
          <w:highlight w:val="none"/>
        </w:rPr>
        <w:t>排放。</w:t>
      </w:r>
      <w:r>
        <w:rPr>
          <w:rFonts w:hint="default" w:ascii="Times New Roman" w:hAnsi="Times New Roman" w:cs="Times New Roman"/>
          <w:color w:val="auto"/>
          <w:kern w:val="0"/>
          <w:sz w:val="24"/>
          <w:highlight w:val="none"/>
          <w:lang w:val="en-US" w:eastAsia="zh-CN"/>
        </w:rPr>
        <w:t>沥青烟、苯并[a]芘</w:t>
      </w:r>
      <w:r>
        <w:rPr>
          <w:rFonts w:hint="default" w:ascii="Times New Roman" w:hAnsi="Times New Roman" w:cs="Times New Roman"/>
          <w:color w:val="auto"/>
          <w:kern w:val="0"/>
          <w:sz w:val="24"/>
          <w:highlight w:val="none"/>
        </w:rPr>
        <w:t>有组织排放浓度及排放速率满足《大气污染物综合排放标准》（GB16297-1996）表2中二级标准限值。</w:t>
      </w:r>
      <w:r>
        <w:rPr>
          <w:rFonts w:hint="default" w:ascii="Times New Roman" w:hAnsi="Times New Roman" w:cs="Times New Roman"/>
          <w:color w:val="auto"/>
          <w:kern w:val="0"/>
          <w:sz w:val="24"/>
          <w:highlight w:val="none"/>
          <w:lang w:val="en-US" w:eastAsia="zh-CN"/>
        </w:rPr>
        <w:t>沥青烟、苯并[a]芘无</w:t>
      </w:r>
      <w:r>
        <w:rPr>
          <w:rFonts w:hint="default" w:ascii="Times New Roman" w:hAnsi="Times New Roman" w:cs="Times New Roman"/>
          <w:color w:val="auto"/>
          <w:kern w:val="0"/>
          <w:sz w:val="24"/>
          <w:highlight w:val="none"/>
        </w:rPr>
        <w:t>组织排放</w:t>
      </w:r>
      <w:r>
        <w:rPr>
          <w:rFonts w:hint="default" w:ascii="Times New Roman" w:hAnsi="Times New Roman" w:cs="Times New Roman"/>
          <w:color w:val="auto"/>
          <w:kern w:val="0"/>
          <w:sz w:val="24"/>
          <w:highlight w:val="none"/>
          <w:lang w:val="en-US" w:eastAsia="zh-CN"/>
        </w:rPr>
        <w:t>浓度</w:t>
      </w:r>
      <w:r>
        <w:rPr>
          <w:rFonts w:hint="default" w:ascii="Times New Roman" w:hAnsi="Times New Roman" w:cs="Times New Roman"/>
          <w:color w:val="auto"/>
          <w:kern w:val="0"/>
          <w:sz w:val="24"/>
          <w:highlight w:val="none"/>
        </w:rPr>
        <w:t>满足《大气污染物综合排放标准》（GB16297-1996）表2中无组织排放监控浓度限值要求</w:t>
      </w:r>
      <w:r>
        <w:rPr>
          <w:rFonts w:hint="default" w:ascii="Times New Roman" w:hAnsi="Times New Roman" w:cs="Times New Roman"/>
          <w:color w:val="auto"/>
          <w:kern w:val="0"/>
          <w:sz w:val="24"/>
          <w:highlight w:val="none"/>
          <w:lang w:eastAsia="zh-CN"/>
        </w:rPr>
        <w:t>。</w:t>
      </w:r>
    </w:p>
    <w:p w14:paraId="7C79E8E0">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color w:val="auto"/>
          <w:kern w:val="0"/>
          <w:sz w:val="24"/>
          <w:highlight w:val="none"/>
          <w:lang w:val="en-US" w:eastAsia="zh-CN"/>
        </w:rPr>
        <w:t>本项目各</w:t>
      </w:r>
      <w:r>
        <w:rPr>
          <w:rFonts w:hint="default" w:ascii="Times New Roman" w:hAnsi="Times New Roman" w:cs="Times New Roman"/>
          <w:color w:val="auto"/>
          <w:kern w:val="0"/>
          <w:sz w:val="24"/>
          <w:highlight w:val="none"/>
        </w:rPr>
        <w:t>柴油储罐</w:t>
      </w:r>
      <w:r>
        <w:rPr>
          <w:rFonts w:hint="default" w:ascii="Times New Roman" w:hAnsi="Times New Roman" w:cs="Times New Roman"/>
          <w:color w:val="auto"/>
          <w:kern w:val="0"/>
          <w:sz w:val="24"/>
          <w:highlight w:val="none"/>
          <w:lang w:val="en-US" w:eastAsia="zh-CN"/>
        </w:rPr>
        <w:t>均</w:t>
      </w:r>
      <w:r>
        <w:rPr>
          <w:rFonts w:hint="default" w:ascii="Times New Roman" w:hAnsi="Times New Roman" w:cs="Times New Roman"/>
          <w:color w:val="auto"/>
          <w:kern w:val="0"/>
          <w:sz w:val="24"/>
          <w:highlight w:val="none"/>
        </w:rPr>
        <w:t>采用封闭式油罐，柴油采用碳钢材质封闭柴油储罐储存，</w:t>
      </w:r>
      <w:r>
        <w:rPr>
          <w:rFonts w:hint="default" w:ascii="Times New Roman" w:hAnsi="Times New Roman" w:cs="Times New Roman"/>
          <w:color w:val="auto"/>
          <w:kern w:val="0"/>
          <w:sz w:val="24"/>
          <w:highlight w:val="none"/>
          <w:lang w:val="en-US" w:eastAsia="zh-CN"/>
        </w:rPr>
        <w:t>厂界</w:t>
      </w:r>
      <w:r>
        <w:rPr>
          <w:rFonts w:hint="default" w:ascii="Times New Roman" w:hAnsi="Times New Roman" w:cs="Times New Roman"/>
          <w:color w:val="auto"/>
          <w:kern w:val="0"/>
          <w:sz w:val="24"/>
          <w:highlight w:val="none"/>
        </w:rPr>
        <w:t>非甲烷总烃无组织排放浓度满足《大气污染物综合排放标准》（GB16297-1996）表2中无组织排放监控浓度限值要求，非甲烷总烃厂房外监控点处1h平均浓度值和厂房外监控点处任意一次浓度值执行《挥发性有机物无组织排放控制标准》（GB37822-2019)表A.1厂区内VOCs无组织排放限值要求。</w:t>
      </w:r>
      <w:r>
        <w:rPr>
          <w:rFonts w:hint="default" w:ascii="Times New Roman" w:hAnsi="Times New Roman" w:cs="Times New Roman"/>
          <w:snapToGrid w:val="0"/>
          <w:color w:val="auto"/>
          <w:kern w:val="0"/>
          <w:sz w:val="24"/>
          <w:highlight w:val="none"/>
        </w:rPr>
        <w:t>综上所述，在落实污染防治措施的前提下，并保证环保设施正常运行，本项目排放的污染物对评价区域环境空气质量影响较小。</w:t>
      </w:r>
    </w:p>
    <w:p w14:paraId="77610F6F">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441" w:name="_Toc28468"/>
      <w:bookmarkStart w:id="442" w:name="_Toc193460012"/>
      <w:bookmarkStart w:id="443" w:name="_Toc4604"/>
      <w:bookmarkStart w:id="444" w:name="_Toc3560"/>
      <w:bookmarkStart w:id="445" w:name="_Toc192758923"/>
      <w:bookmarkStart w:id="446" w:name="_Toc20674"/>
      <w:bookmarkStart w:id="447" w:name="_Toc24121"/>
      <w:bookmarkStart w:id="448" w:name="_Toc9591"/>
      <w:r>
        <w:rPr>
          <w:rFonts w:hint="default" w:ascii="Times New Roman" w:hAnsi="Times New Roman" w:eastAsia="黑体" w:cs="Times New Roman"/>
          <w:bCs/>
          <w:color w:val="auto"/>
          <w:kern w:val="44"/>
          <w:sz w:val="24"/>
          <w:highlight w:val="none"/>
        </w:rPr>
        <w:t>5.2污染物排放量核算</w:t>
      </w:r>
      <w:bookmarkEnd w:id="441"/>
      <w:bookmarkEnd w:id="442"/>
      <w:bookmarkEnd w:id="443"/>
      <w:bookmarkEnd w:id="444"/>
      <w:bookmarkEnd w:id="445"/>
      <w:bookmarkEnd w:id="446"/>
      <w:bookmarkEnd w:id="447"/>
      <w:bookmarkEnd w:id="448"/>
    </w:p>
    <w:p w14:paraId="6FFCA5B1">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根据《环境影响评价技术导则 大气环境》（HJ2.2-2018）中附录A推荐的估算模式进行计算，由估算模式计算结果可知，本项目排放污染物的最大地面空气质量浓度占标率P</w:t>
      </w:r>
      <w:r>
        <w:rPr>
          <w:rFonts w:hint="default" w:ascii="Times New Roman" w:hAnsi="Times New Roman" w:cs="Times New Roman"/>
          <w:snapToGrid w:val="0"/>
          <w:color w:val="auto"/>
          <w:kern w:val="0"/>
          <w:sz w:val="24"/>
          <w:highlight w:val="none"/>
          <w:vertAlign w:val="subscript"/>
        </w:rPr>
        <w:t>max</w:t>
      </w:r>
      <w:r>
        <w:rPr>
          <w:rFonts w:hint="default" w:ascii="Times New Roman" w:hAnsi="Times New Roman" w:cs="Times New Roman"/>
          <w:snapToGrid w:val="0"/>
          <w:color w:val="auto"/>
          <w:kern w:val="0"/>
          <w:sz w:val="24"/>
          <w:highlight w:val="none"/>
        </w:rPr>
        <w:t>＜10%且P</w:t>
      </w:r>
      <w:r>
        <w:rPr>
          <w:rFonts w:hint="default" w:ascii="Times New Roman" w:hAnsi="Times New Roman" w:cs="Times New Roman"/>
          <w:snapToGrid w:val="0"/>
          <w:color w:val="auto"/>
          <w:kern w:val="0"/>
          <w:sz w:val="24"/>
          <w:highlight w:val="none"/>
          <w:vertAlign w:val="subscript"/>
        </w:rPr>
        <w:t>max</w:t>
      </w:r>
      <w:r>
        <w:rPr>
          <w:rFonts w:hint="default" w:ascii="Times New Roman" w:hAnsi="Times New Roman" w:cs="Times New Roman"/>
          <w:snapToGrid w:val="0"/>
          <w:color w:val="auto"/>
          <w:kern w:val="0"/>
          <w:sz w:val="24"/>
          <w:highlight w:val="none"/>
        </w:rPr>
        <w:t>≥1%。因此，本项目大气环境影响评价等级为二级。根据《环境影响评价技术导则 大气环境》（HJ2.2-2018）中要求，二级评价项目不进行进一步预测与评价，只对污染物排放量进行核算。本项目大气污染物有组织排放量核算表见表5-1，无组织排放量核算表见表5-2，大气污染物</w:t>
      </w:r>
      <w:r>
        <w:rPr>
          <w:rFonts w:hint="default" w:ascii="Times New Roman" w:hAnsi="Times New Roman" w:cs="Times New Roman"/>
          <w:snapToGrid w:val="0"/>
          <w:color w:val="auto"/>
          <w:kern w:val="0"/>
          <w:sz w:val="24"/>
          <w:highlight w:val="none"/>
          <w:lang w:eastAsia="zh-CN"/>
        </w:rPr>
        <w:t>排放量</w:t>
      </w:r>
      <w:r>
        <w:rPr>
          <w:rFonts w:hint="default" w:ascii="Times New Roman" w:hAnsi="Times New Roman" w:cs="Times New Roman"/>
          <w:snapToGrid w:val="0"/>
          <w:color w:val="auto"/>
          <w:kern w:val="0"/>
          <w:sz w:val="24"/>
          <w:highlight w:val="none"/>
        </w:rPr>
        <w:t>核算表见表5-3，污染源非正常排放量核算表见表5-4。</w:t>
      </w:r>
    </w:p>
    <w:p w14:paraId="30576AB1">
      <w:pP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br w:type="page"/>
      </w:r>
    </w:p>
    <w:p w14:paraId="56AB2915">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表5-1大气污染物有组织排放量核算表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1"/>
        <w:gridCol w:w="1507"/>
        <w:gridCol w:w="1700"/>
        <w:gridCol w:w="1554"/>
        <w:gridCol w:w="1420"/>
        <w:gridCol w:w="1471"/>
      </w:tblGrid>
      <w:tr w14:paraId="0C007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Align w:val="center"/>
          </w:tcPr>
          <w:p w14:paraId="5E881A05">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序号</w:t>
            </w:r>
          </w:p>
        </w:tc>
        <w:tc>
          <w:tcPr>
            <w:tcW w:w="884" w:type="pct"/>
            <w:vAlign w:val="center"/>
          </w:tcPr>
          <w:p w14:paraId="6942F80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排放口编号</w:t>
            </w:r>
          </w:p>
        </w:tc>
        <w:tc>
          <w:tcPr>
            <w:tcW w:w="997" w:type="pct"/>
            <w:vAlign w:val="center"/>
          </w:tcPr>
          <w:p w14:paraId="1450A58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污染物</w:t>
            </w:r>
          </w:p>
        </w:tc>
        <w:tc>
          <w:tcPr>
            <w:tcW w:w="911" w:type="pct"/>
            <w:vAlign w:val="center"/>
          </w:tcPr>
          <w:p w14:paraId="25FD698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核算排放浓度（μg/m</w:t>
            </w:r>
            <w:r>
              <w:rPr>
                <w:rFonts w:hint="default" w:ascii="Times New Roman" w:hAnsi="Times New Roman" w:cs="Times New Roman"/>
                <w:snapToGrid w:val="0"/>
                <w:color w:val="auto"/>
                <w:szCs w:val="21"/>
                <w:highlight w:val="none"/>
                <w:vertAlign w:val="superscript"/>
              </w:rPr>
              <w:t>3</w:t>
            </w:r>
            <w:r>
              <w:rPr>
                <w:rFonts w:hint="default" w:ascii="Times New Roman" w:hAnsi="Times New Roman" w:cs="Times New Roman"/>
                <w:snapToGrid w:val="0"/>
                <w:color w:val="auto"/>
                <w:szCs w:val="21"/>
                <w:highlight w:val="none"/>
              </w:rPr>
              <w:t>）</w:t>
            </w:r>
          </w:p>
        </w:tc>
        <w:tc>
          <w:tcPr>
            <w:tcW w:w="833" w:type="pct"/>
            <w:vAlign w:val="center"/>
          </w:tcPr>
          <w:p w14:paraId="24CD8E6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核算排放速率（kg/h）</w:t>
            </w:r>
          </w:p>
        </w:tc>
        <w:tc>
          <w:tcPr>
            <w:tcW w:w="862" w:type="pct"/>
            <w:vAlign w:val="center"/>
          </w:tcPr>
          <w:p w14:paraId="325E1FE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核算年排放量（t/a）</w:t>
            </w:r>
          </w:p>
        </w:tc>
      </w:tr>
      <w:tr w14:paraId="2CA01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000" w:type="pct"/>
            <w:gridSpan w:val="6"/>
            <w:vAlign w:val="center"/>
          </w:tcPr>
          <w:p w14:paraId="3663811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一般排放口</w:t>
            </w:r>
          </w:p>
        </w:tc>
      </w:tr>
      <w:tr w14:paraId="697F3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Merge w:val="restart"/>
            <w:vAlign w:val="center"/>
          </w:tcPr>
          <w:p w14:paraId="2FC61048">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lang w:val="en-US" w:eastAsia="zh-CN"/>
              </w:rPr>
              <w:t>1</w:t>
            </w:r>
          </w:p>
        </w:tc>
        <w:tc>
          <w:tcPr>
            <w:tcW w:w="884" w:type="pct"/>
            <w:vMerge w:val="restart"/>
            <w:vAlign w:val="center"/>
          </w:tcPr>
          <w:p w14:paraId="73FB43BF">
            <w:pPr>
              <w:adjustRightInd w:val="0"/>
              <w:snapToGrid w:val="0"/>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rPr>
              <w:t>排气筒DA00</w:t>
            </w:r>
            <w:r>
              <w:rPr>
                <w:rFonts w:hint="default" w:ascii="Times New Roman" w:hAnsi="Times New Roman" w:cs="Times New Roman"/>
                <w:snapToGrid w:val="0"/>
                <w:color w:val="auto"/>
                <w:kern w:val="0"/>
                <w:szCs w:val="21"/>
                <w:highlight w:val="none"/>
                <w:lang w:val="en-US" w:eastAsia="zh-CN"/>
              </w:rPr>
              <w:t>1</w:t>
            </w:r>
          </w:p>
        </w:tc>
        <w:tc>
          <w:tcPr>
            <w:tcW w:w="997" w:type="pct"/>
            <w:shd w:val="clear" w:color="auto" w:fill="auto"/>
            <w:vAlign w:val="center"/>
          </w:tcPr>
          <w:p w14:paraId="64381A04">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szCs w:val="21"/>
                <w:highlight w:val="none"/>
                <w:lang w:val="en-US" w:eastAsia="zh-CN"/>
              </w:rPr>
              <w:t>颗粒物</w:t>
            </w:r>
          </w:p>
        </w:tc>
        <w:tc>
          <w:tcPr>
            <w:tcW w:w="911" w:type="pct"/>
            <w:shd w:val="clear" w:color="auto" w:fill="auto"/>
            <w:vAlign w:val="center"/>
          </w:tcPr>
          <w:p w14:paraId="44132B31">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25050</w:t>
            </w:r>
          </w:p>
        </w:tc>
        <w:tc>
          <w:tcPr>
            <w:tcW w:w="833" w:type="pct"/>
            <w:shd w:val="clear" w:color="auto" w:fill="auto"/>
            <w:vAlign w:val="center"/>
          </w:tcPr>
          <w:p w14:paraId="558BB994">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0.</w:t>
            </w:r>
            <w:r>
              <w:rPr>
                <w:rFonts w:hint="default" w:ascii="Times New Roman" w:hAnsi="Times New Roman" w:cs="Times New Roman"/>
                <w:snapToGrid w:val="0"/>
                <w:color w:val="auto"/>
                <w:kern w:val="0"/>
                <w:szCs w:val="21"/>
                <w:highlight w:val="none"/>
                <w:lang w:val="en-US" w:eastAsia="zh-CN"/>
              </w:rPr>
              <w:t>33</w:t>
            </w:r>
          </w:p>
        </w:tc>
        <w:tc>
          <w:tcPr>
            <w:tcW w:w="862" w:type="pct"/>
            <w:shd w:val="clear" w:color="auto" w:fill="auto"/>
            <w:vAlign w:val="center"/>
          </w:tcPr>
          <w:p w14:paraId="166BB6DE">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0.</w:t>
            </w:r>
            <w:r>
              <w:rPr>
                <w:rFonts w:hint="default" w:ascii="Times New Roman" w:hAnsi="Times New Roman" w:cs="Times New Roman"/>
                <w:snapToGrid w:val="0"/>
                <w:color w:val="auto"/>
                <w:kern w:val="0"/>
                <w:szCs w:val="21"/>
                <w:highlight w:val="none"/>
                <w:lang w:val="en-US" w:eastAsia="zh-CN"/>
              </w:rPr>
              <w:t>144</w:t>
            </w:r>
          </w:p>
        </w:tc>
      </w:tr>
      <w:tr w14:paraId="6C92A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Merge w:val="continue"/>
            <w:vAlign w:val="center"/>
          </w:tcPr>
          <w:p w14:paraId="143CC1E9">
            <w:pPr>
              <w:adjustRightInd w:val="0"/>
              <w:snapToGrid w:val="0"/>
              <w:jc w:val="center"/>
              <w:rPr>
                <w:rFonts w:hint="default" w:ascii="Times New Roman" w:hAnsi="Times New Roman" w:cs="Times New Roman"/>
                <w:snapToGrid w:val="0"/>
                <w:color w:val="auto"/>
                <w:szCs w:val="21"/>
                <w:highlight w:val="none"/>
                <w:lang w:val="en-US" w:eastAsia="zh-CN"/>
              </w:rPr>
            </w:pPr>
          </w:p>
        </w:tc>
        <w:tc>
          <w:tcPr>
            <w:tcW w:w="884" w:type="pct"/>
            <w:vMerge w:val="continue"/>
            <w:vAlign w:val="center"/>
          </w:tcPr>
          <w:p w14:paraId="23C4014F">
            <w:pPr>
              <w:adjustRightInd w:val="0"/>
              <w:snapToGrid w:val="0"/>
              <w:jc w:val="center"/>
              <w:rPr>
                <w:rFonts w:hint="default" w:ascii="Times New Roman" w:hAnsi="Times New Roman" w:cs="Times New Roman"/>
                <w:snapToGrid w:val="0"/>
                <w:color w:val="auto"/>
                <w:kern w:val="0"/>
                <w:szCs w:val="21"/>
                <w:highlight w:val="none"/>
              </w:rPr>
            </w:pPr>
          </w:p>
        </w:tc>
        <w:tc>
          <w:tcPr>
            <w:tcW w:w="997" w:type="pct"/>
            <w:shd w:val="clear" w:color="auto" w:fill="auto"/>
            <w:vAlign w:val="center"/>
          </w:tcPr>
          <w:p w14:paraId="2B788C45">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rPr>
              <w:t>二氧化硫</w:t>
            </w:r>
          </w:p>
        </w:tc>
        <w:tc>
          <w:tcPr>
            <w:tcW w:w="911" w:type="pct"/>
            <w:shd w:val="clear" w:color="auto" w:fill="auto"/>
            <w:vAlign w:val="center"/>
          </w:tcPr>
          <w:p w14:paraId="45B9C507">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1040</w:t>
            </w:r>
          </w:p>
        </w:tc>
        <w:tc>
          <w:tcPr>
            <w:tcW w:w="833" w:type="pct"/>
            <w:shd w:val="clear" w:color="auto" w:fill="auto"/>
            <w:vAlign w:val="center"/>
          </w:tcPr>
          <w:p w14:paraId="422A72EB">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等线" w:cs="Times New Roman"/>
                <w:color w:val="auto"/>
                <w:highlight w:val="none"/>
                <w:lang w:val="en-US" w:eastAsia="zh-CN"/>
              </w:rPr>
              <w:t>0.014</w:t>
            </w:r>
          </w:p>
        </w:tc>
        <w:tc>
          <w:tcPr>
            <w:tcW w:w="862" w:type="pct"/>
            <w:shd w:val="clear" w:color="auto" w:fill="auto"/>
            <w:vAlign w:val="center"/>
          </w:tcPr>
          <w:p w14:paraId="2295F095">
            <w:pPr>
              <w:adjustRightInd w:val="0"/>
              <w:snapToGrid w:val="0"/>
              <w:jc w:val="center"/>
              <w:rPr>
                <w:rFonts w:hint="default" w:ascii="Times New Roman" w:hAnsi="Times New Roman" w:eastAsia="等线" w:cs="Times New Roman"/>
                <w:snapToGrid w:val="0"/>
                <w:color w:val="auto"/>
                <w:kern w:val="0"/>
                <w:sz w:val="21"/>
                <w:szCs w:val="21"/>
                <w:highlight w:val="none"/>
                <w:lang w:val="en-US" w:eastAsia="zh-CN" w:bidi="ar-SA"/>
              </w:rPr>
            </w:pPr>
            <w:r>
              <w:rPr>
                <w:rFonts w:hint="default" w:ascii="Times New Roman" w:hAnsi="Times New Roman" w:eastAsia="等线" w:cs="Times New Roman"/>
                <w:color w:val="auto"/>
                <w:highlight w:val="none"/>
              </w:rPr>
              <w:t>0.</w:t>
            </w:r>
            <w:r>
              <w:rPr>
                <w:rFonts w:hint="default" w:ascii="Times New Roman" w:hAnsi="Times New Roman" w:eastAsia="等线" w:cs="Times New Roman"/>
                <w:color w:val="auto"/>
                <w:highlight w:val="none"/>
                <w:lang w:val="en-US" w:eastAsia="zh-CN"/>
              </w:rPr>
              <w:t>006</w:t>
            </w:r>
          </w:p>
        </w:tc>
      </w:tr>
      <w:tr w14:paraId="1CECE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Merge w:val="continue"/>
            <w:vAlign w:val="center"/>
          </w:tcPr>
          <w:p w14:paraId="4BB50015">
            <w:pPr>
              <w:adjustRightInd w:val="0"/>
              <w:snapToGrid w:val="0"/>
              <w:jc w:val="center"/>
              <w:rPr>
                <w:rFonts w:hint="default" w:ascii="Times New Roman" w:hAnsi="Times New Roman" w:cs="Times New Roman"/>
                <w:snapToGrid w:val="0"/>
                <w:color w:val="auto"/>
                <w:szCs w:val="21"/>
                <w:highlight w:val="none"/>
              </w:rPr>
            </w:pPr>
          </w:p>
        </w:tc>
        <w:tc>
          <w:tcPr>
            <w:tcW w:w="884" w:type="pct"/>
            <w:vMerge w:val="continue"/>
            <w:vAlign w:val="center"/>
          </w:tcPr>
          <w:p w14:paraId="56FD1D47">
            <w:pPr>
              <w:adjustRightInd w:val="0"/>
              <w:snapToGrid w:val="0"/>
              <w:jc w:val="center"/>
              <w:rPr>
                <w:rFonts w:hint="default" w:ascii="Times New Roman" w:hAnsi="Times New Roman" w:cs="Times New Roman"/>
                <w:snapToGrid w:val="0"/>
                <w:color w:val="auto"/>
                <w:kern w:val="0"/>
                <w:szCs w:val="21"/>
                <w:highlight w:val="none"/>
              </w:rPr>
            </w:pPr>
          </w:p>
        </w:tc>
        <w:tc>
          <w:tcPr>
            <w:tcW w:w="997" w:type="pct"/>
            <w:vAlign w:val="center"/>
          </w:tcPr>
          <w:p w14:paraId="7C68DF8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rPr>
              <w:t>氮氧化物</w:t>
            </w:r>
          </w:p>
        </w:tc>
        <w:tc>
          <w:tcPr>
            <w:tcW w:w="911" w:type="pct"/>
            <w:vAlign w:val="center"/>
          </w:tcPr>
          <w:p w14:paraId="4343643F">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119170</w:t>
            </w:r>
          </w:p>
        </w:tc>
        <w:tc>
          <w:tcPr>
            <w:tcW w:w="833" w:type="pct"/>
            <w:vAlign w:val="center"/>
          </w:tcPr>
          <w:p w14:paraId="163C2930">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1.568</w:t>
            </w:r>
          </w:p>
        </w:tc>
        <w:tc>
          <w:tcPr>
            <w:tcW w:w="862" w:type="pct"/>
            <w:vAlign w:val="center"/>
          </w:tcPr>
          <w:p w14:paraId="7D86CF11">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color w:val="auto"/>
                <w:highlight w:val="none"/>
                <w:lang w:val="en-US" w:eastAsia="zh-CN"/>
              </w:rPr>
              <w:t>0.685</w:t>
            </w:r>
          </w:p>
        </w:tc>
      </w:tr>
      <w:tr w14:paraId="7D1ADE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Merge w:val="restart"/>
            <w:vAlign w:val="center"/>
          </w:tcPr>
          <w:p w14:paraId="5C37AF99">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lang w:val="en-US" w:eastAsia="zh-CN"/>
              </w:rPr>
              <w:t>2</w:t>
            </w:r>
          </w:p>
        </w:tc>
        <w:tc>
          <w:tcPr>
            <w:tcW w:w="884" w:type="pct"/>
            <w:vMerge w:val="restart"/>
            <w:vAlign w:val="center"/>
          </w:tcPr>
          <w:p w14:paraId="0AAB0523">
            <w:pPr>
              <w:adjustRightInd w:val="0"/>
              <w:snapToGrid w:val="0"/>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rPr>
              <w:t>烟囱DA00</w:t>
            </w:r>
            <w:r>
              <w:rPr>
                <w:rFonts w:hint="default" w:ascii="Times New Roman" w:hAnsi="Times New Roman" w:cs="Times New Roman"/>
                <w:snapToGrid w:val="0"/>
                <w:color w:val="auto"/>
                <w:kern w:val="0"/>
                <w:szCs w:val="21"/>
                <w:highlight w:val="none"/>
                <w:lang w:val="en-US" w:eastAsia="zh-CN"/>
              </w:rPr>
              <w:t>2</w:t>
            </w:r>
          </w:p>
        </w:tc>
        <w:tc>
          <w:tcPr>
            <w:tcW w:w="997" w:type="pct"/>
            <w:vAlign w:val="center"/>
          </w:tcPr>
          <w:p w14:paraId="6B9C3F9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颗粒物</w:t>
            </w:r>
          </w:p>
        </w:tc>
        <w:tc>
          <w:tcPr>
            <w:tcW w:w="911" w:type="pct"/>
            <w:vAlign w:val="center"/>
          </w:tcPr>
          <w:p w14:paraId="6439CE0D">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14040</w:t>
            </w:r>
          </w:p>
        </w:tc>
        <w:tc>
          <w:tcPr>
            <w:tcW w:w="833" w:type="pct"/>
            <w:vAlign w:val="center"/>
          </w:tcPr>
          <w:p w14:paraId="68FAEF84">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0.027</w:t>
            </w:r>
          </w:p>
        </w:tc>
        <w:tc>
          <w:tcPr>
            <w:tcW w:w="862" w:type="pct"/>
            <w:vAlign w:val="center"/>
          </w:tcPr>
          <w:p w14:paraId="1E4348FB">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0.012</w:t>
            </w:r>
          </w:p>
        </w:tc>
      </w:tr>
      <w:tr w14:paraId="1B6EA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Merge w:val="continue"/>
            <w:vAlign w:val="center"/>
          </w:tcPr>
          <w:p w14:paraId="28926A8E">
            <w:pPr>
              <w:adjustRightInd w:val="0"/>
              <w:snapToGrid w:val="0"/>
              <w:jc w:val="center"/>
              <w:rPr>
                <w:rFonts w:hint="default" w:ascii="Times New Roman" w:hAnsi="Times New Roman" w:cs="Times New Roman"/>
                <w:snapToGrid w:val="0"/>
                <w:color w:val="auto"/>
                <w:szCs w:val="21"/>
                <w:highlight w:val="none"/>
              </w:rPr>
            </w:pPr>
          </w:p>
        </w:tc>
        <w:tc>
          <w:tcPr>
            <w:tcW w:w="884" w:type="pct"/>
            <w:vMerge w:val="continue"/>
            <w:vAlign w:val="center"/>
          </w:tcPr>
          <w:p w14:paraId="3B5B76ED">
            <w:pPr>
              <w:adjustRightInd w:val="0"/>
              <w:snapToGrid w:val="0"/>
              <w:jc w:val="center"/>
              <w:rPr>
                <w:rFonts w:hint="default" w:ascii="Times New Roman" w:hAnsi="Times New Roman" w:cs="Times New Roman"/>
                <w:snapToGrid w:val="0"/>
                <w:color w:val="auto"/>
                <w:kern w:val="0"/>
                <w:szCs w:val="21"/>
                <w:highlight w:val="none"/>
              </w:rPr>
            </w:pPr>
          </w:p>
        </w:tc>
        <w:tc>
          <w:tcPr>
            <w:tcW w:w="997" w:type="pct"/>
            <w:vAlign w:val="center"/>
          </w:tcPr>
          <w:p w14:paraId="65D543B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rPr>
              <w:t>二氧化硫</w:t>
            </w:r>
          </w:p>
        </w:tc>
        <w:tc>
          <w:tcPr>
            <w:tcW w:w="911" w:type="pct"/>
            <w:vAlign w:val="center"/>
          </w:tcPr>
          <w:p w14:paraId="198455EB">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1170</w:t>
            </w:r>
          </w:p>
        </w:tc>
        <w:tc>
          <w:tcPr>
            <w:tcW w:w="833" w:type="pct"/>
            <w:vAlign w:val="center"/>
          </w:tcPr>
          <w:p w14:paraId="785331B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0.002</w:t>
            </w:r>
          </w:p>
        </w:tc>
        <w:tc>
          <w:tcPr>
            <w:tcW w:w="862" w:type="pct"/>
            <w:vAlign w:val="center"/>
          </w:tcPr>
          <w:p w14:paraId="33F38030">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0.001</w:t>
            </w:r>
          </w:p>
        </w:tc>
      </w:tr>
      <w:tr w14:paraId="07B24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Merge w:val="continue"/>
            <w:vAlign w:val="center"/>
          </w:tcPr>
          <w:p w14:paraId="3BC69382">
            <w:pPr>
              <w:adjustRightInd w:val="0"/>
              <w:snapToGrid w:val="0"/>
              <w:jc w:val="center"/>
              <w:rPr>
                <w:rFonts w:hint="default" w:ascii="Times New Roman" w:hAnsi="Times New Roman" w:cs="Times New Roman"/>
                <w:snapToGrid w:val="0"/>
                <w:color w:val="auto"/>
                <w:szCs w:val="21"/>
                <w:highlight w:val="none"/>
              </w:rPr>
            </w:pPr>
          </w:p>
        </w:tc>
        <w:tc>
          <w:tcPr>
            <w:tcW w:w="884" w:type="pct"/>
            <w:vMerge w:val="continue"/>
            <w:vAlign w:val="center"/>
          </w:tcPr>
          <w:p w14:paraId="188DC598">
            <w:pPr>
              <w:adjustRightInd w:val="0"/>
              <w:snapToGrid w:val="0"/>
              <w:jc w:val="center"/>
              <w:rPr>
                <w:rFonts w:hint="default" w:ascii="Times New Roman" w:hAnsi="Times New Roman" w:cs="Times New Roman"/>
                <w:snapToGrid w:val="0"/>
                <w:color w:val="auto"/>
                <w:kern w:val="0"/>
                <w:szCs w:val="21"/>
                <w:highlight w:val="none"/>
              </w:rPr>
            </w:pPr>
          </w:p>
        </w:tc>
        <w:tc>
          <w:tcPr>
            <w:tcW w:w="997" w:type="pct"/>
            <w:vAlign w:val="center"/>
          </w:tcPr>
          <w:p w14:paraId="129D4F1E">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color w:val="auto"/>
                <w:szCs w:val="21"/>
                <w:highlight w:val="none"/>
              </w:rPr>
              <w:t>氮氧化物</w:t>
            </w:r>
          </w:p>
        </w:tc>
        <w:tc>
          <w:tcPr>
            <w:tcW w:w="911" w:type="pct"/>
            <w:vAlign w:val="center"/>
          </w:tcPr>
          <w:p w14:paraId="6843D959">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119330</w:t>
            </w:r>
          </w:p>
        </w:tc>
        <w:tc>
          <w:tcPr>
            <w:tcW w:w="833" w:type="pct"/>
            <w:vAlign w:val="center"/>
          </w:tcPr>
          <w:p w14:paraId="5D7FB6F1">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0.231</w:t>
            </w:r>
          </w:p>
        </w:tc>
        <w:tc>
          <w:tcPr>
            <w:tcW w:w="862" w:type="pct"/>
            <w:vAlign w:val="center"/>
          </w:tcPr>
          <w:p w14:paraId="20953EC1">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0.102</w:t>
            </w:r>
          </w:p>
        </w:tc>
      </w:tr>
      <w:tr w14:paraId="3BC8CE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510" w:type="pct"/>
            <w:vMerge w:val="restart"/>
            <w:vAlign w:val="center"/>
          </w:tcPr>
          <w:p w14:paraId="1186BB49">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lang w:val="en-US" w:eastAsia="zh-CN"/>
              </w:rPr>
              <w:t>3</w:t>
            </w:r>
          </w:p>
        </w:tc>
        <w:tc>
          <w:tcPr>
            <w:tcW w:w="884" w:type="pct"/>
            <w:vMerge w:val="restart"/>
            <w:vAlign w:val="center"/>
          </w:tcPr>
          <w:p w14:paraId="35A303E1">
            <w:pPr>
              <w:adjustRightInd w:val="0"/>
              <w:snapToGrid w:val="0"/>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rPr>
              <w:t>排气筒DA00</w:t>
            </w:r>
            <w:r>
              <w:rPr>
                <w:rFonts w:hint="default" w:ascii="Times New Roman" w:hAnsi="Times New Roman" w:cs="Times New Roman"/>
                <w:snapToGrid w:val="0"/>
                <w:color w:val="auto"/>
                <w:kern w:val="0"/>
                <w:szCs w:val="21"/>
                <w:highlight w:val="none"/>
                <w:lang w:val="en-US" w:eastAsia="zh-CN"/>
              </w:rPr>
              <w:t>3</w:t>
            </w:r>
          </w:p>
        </w:tc>
        <w:tc>
          <w:tcPr>
            <w:tcW w:w="997" w:type="pct"/>
            <w:shd w:val="clear" w:color="auto" w:fill="auto"/>
            <w:vAlign w:val="center"/>
          </w:tcPr>
          <w:p w14:paraId="0808EB9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沥青烟</w:t>
            </w:r>
          </w:p>
        </w:tc>
        <w:tc>
          <w:tcPr>
            <w:tcW w:w="911" w:type="pct"/>
            <w:vAlign w:val="center"/>
          </w:tcPr>
          <w:p w14:paraId="64175045">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4150</w:t>
            </w:r>
          </w:p>
        </w:tc>
        <w:tc>
          <w:tcPr>
            <w:tcW w:w="833" w:type="pct"/>
            <w:vAlign w:val="center"/>
          </w:tcPr>
          <w:p w14:paraId="61227331">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eastAsia="宋体" w:cs="Times New Roman"/>
                <w:snapToGrid w:val="0"/>
                <w:color w:val="auto"/>
                <w:kern w:val="0"/>
                <w:szCs w:val="21"/>
                <w:highlight w:val="none"/>
                <w:lang w:val="en-US" w:eastAsia="zh-CN"/>
              </w:rPr>
              <w:t>0.083</w:t>
            </w:r>
          </w:p>
        </w:tc>
        <w:tc>
          <w:tcPr>
            <w:tcW w:w="862" w:type="pct"/>
            <w:vAlign w:val="center"/>
          </w:tcPr>
          <w:p w14:paraId="5AE91254">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eastAsia="宋体" w:cs="Times New Roman"/>
                <w:snapToGrid w:val="0"/>
                <w:color w:val="auto"/>
                <w:kern w:val="0"/>
                <w:szCs w:val="21"/>
                <w:highlight w:val="none"/>
                <w:lang w:val="en-US" w:eastAsia="zh-CN"/>
              </w:rPr>
              <w:t>0.099</w:t>
            </w:r>
          </w:p>
        </w:tc>
      </w:tr>
      <w:tr w14:paraId="5DEE3F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10" w:type="pct"/>
            <w:vMerge w:val="continue"/>
            <w:vAlign w:val="center"/>
          </w:tcPr>
          <w:p w14:paraId="38890A48">
            <w:pPr>
              <w:adjustRightInd w:val="0"/>
              <w:snapToGrid w:val="0"/>
              <w:jc w:val="center"/>
              <w:rPr>
                <w:rFonts w:hint="default" w:ascii="Times New Roman" w:hAnsi="Times New Roman" w:cs="Times New Roman"/>
                <w:snapToGrid w:val="0"/>
                <w:color w:val="auto"/>
                <w:szCs w:val="21"/>
                <w:highlight w:val="none"/>
              </w:rPr>
            </w:pPr>
          </w:p>
        </w:tc>
        <w:tc>
          <w:tcPr>
            <w:tcW w:w="884" w:type="pct"/>
            <w:vMerge w:val="continue"/>
            <w:vAlign w:val="center"/>
          </w:tcPr>
          <w:p w14:paraId="57E651F5">
            <w:pPr>
              <w:adjustRightInd w:val="0"/>
              <w:snapToGrid w:val="0"/>
              <w:jc w:val="center"/>
              <w:rPr>
                <w:rFonts w:hint="default" w:ascii="Times New Roman" w:hAnsi="Times New Roman" w:cs="Times New Roman"/>
                <w:snapToGrid w:val="0"/>
                <w:color w:val="auto"/>
                <w:kern w:val="0"/>
                <w:szCs w:val="21"/>
                <w:highlight w:val="none"/>
              </w:rPr>
            </w:pPr>
          </w:p>
        </w:tc>
        <w:tc>
          <w:tcPr>
            <w:tcW w:w="997" w:type="pct"/>
            <w:shd w:val="clear" w:color="auto" w:fill="auto"/>
            <w:vAlign w:val="center"/>
          </w:tcPr>
          <w:p w14:paraId="141E625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苯并[a]芘</w:t>
            </w:r>
          </w:p>
        </w:tc>
        <w:tc>
          <w:tcPr>
            <w:tcW w:w="911" w:type="pct"/>
            <w:vAlign w:val="center"/>
          </w:tcPr>
          <w:p w14:paraId="1B750281">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0.1</w:t>
            </w:r>
          </w:p>
        </w:tc>
        <w:tc>
          <w:tcPr>
            <w:tcW w:w="833" w:type="pct"/>
            <w:vAlign w:val="center"/>
          </w:tcPr>
          <w:p w14:paraId="68FD6D6D">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eastAsia="宋体" w:cs="Times New Roman"/>
                <w:snapToGrid w:val="0"/>
                <w:color w:val="auto"/>
                <w:kern w:val="0"/>
                <w:szCs w:val="21"/>
                <w:highlight w:val="none"/>
                <w:lang w:val="en-US" w:eastAsia="zh-CN"/>
              </w:rPr>
              <w:t>0.00000</w:t>
            </w:r>
            <w:r>
              <w:rPr>
                <w:rFonts w:hint="default" w:ascii="Times New Roman" w:hAnsi="Times New Roman" w:cs="Times New Roman"/>
                <w:snapToGrid w:val="0"/>
                <w:color w:val="auto"/>
                <w:kern w:val="0"/>
                <w:szCs w:val="21"/>
                <w:highlight w:val="none"/>
                <w:lang w:val="en-US" w:eastAsia="zh-CN"/>
              </w:rPr>
              <w:t>2</w:t>
            </w:r>
          </w:p>
        </w:tc>
        <w:tc>
          <w:tcPr>
            <w:tcW w:w="862" w:type="pct"/>
            <w:vAlign w:val="center"/>
          </w:tcPr>
          <w:p w14:paraId="45DDCEF1">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eastAsia="宋体" w:cs="Times New Roman"/>
                <w:snapToGrid w:val="0"/>
                <w:color w:val="auto"/>
                <w:kern w:val="0"/>
                <w:szCs w:val="21"/>
                <w:highlight w:val="none"/>
                <w:lang w:val="en-US" w:eastAsia="zh-CN"/>
              </w:rPr>
              <w:t>0.000002</w:t>
            </w:r>
          </w:p>
        </w:tc>
      </w:tr>
      <w:tr w14:paraId="760A2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Merge w:val="continue"/>
            <w:vAlign w:val="center"/>
          </w:tcPr>
          <w:p w14:paraId="37B7F69D">
            <w:pPr>
              <w:adjustRightInd w:val="0"/>
              <w:snapToGrid w:val="0"/>
              <w:jc w:val="center"/>
              <w:rPr>
                <w:rFonts w:hint="default" w:ascii="Times New Roman" w:hAnsi="Times New Roman" w:cs="Times New Roman"/>
                <w:snapToGrid w:val="0"/>
                <w:color w:val="auto"/>
                <w:szCs w:val="21"/>
                <w:highlight w:val="none"/>
              </w:rPr>
            </w:pPr>
          </w:p>
        </w:tc>
        <w:tc>
          <w:tcPr>
            <w:tcW w:w="884" w:type="pct"/>
            <w:vMerge w:val="continue"/>
            <w:vAlign w:val="center"/>
          </w:tcPr>
          <w:p w14:paraId="3C6C4E4F">
            <w:pPr>
              <w:adjustRightInd w:val="0"/>
              <w:snapToGrid w:val="0"/>
              <w:jc w:val="center"/>
              <w:rPr>
                <w:rFonts w:hint="default" w:ascii="Times New Roman" w:hAnsi="Times New Roman" w:cs="Times New Roman"/>
                <w:snapToGrid w:val="0"/>
                <w:color w:val="auto"/>
                <w:kern w:val="0"/>
                <w:szCs w:val="21"/>
                <w:highlight w:val="none"/>
              </w:rPr>
            </w:pPr>
          </w:p>
        </w:tc>
        <w:tc>
          <w:tcPr>
            <w:tcW w:w="997" w:type="pct"/>
            <w:shd w:val="clear" w:color="auto" w:fill="auto"/>
            <w:vAlign w:val="center"/>
          </w:tcPr>
          <w:p w14:paraId="168ADD15">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非甲烷总烃</w:t>
            </w:r>
          </w:p>
        </w:tc>
        <w:tc>
          <w:tcPr>
            <w:tcW w:w="911" w:type="pct"/>
            <w:vAlign w:val="center"/>
          </w:tcPr>
          <w:p w14:paraId="2F81697E">
            <w:pPr>
              <w:adjustRightInd w:val="0"/>
              <w:snapToGrid w:val="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24.9</w:t>
            </w:r>
          </w:p>
        </w:tc>
        <w:tc>
          <w:tcPr>
            <w:tcW w:w="833" w:type="pct"/>
            <w:vAlign w:val="center"/>
          </w:tcPr>
          <w:p w14:paraId="6A2E4F79">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0.000498</w:t>
            </w:r>
          </w:p>
        </w:tc>
        <w:tc>
          <w:tcPr>
            <w:tcW w:w="862" w:type="pct"/>
            <w:vAlign w:val="center"/>
          </w:tcPr>
          <w:p w14:paraId="6FCD3363">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0.000597</w:t>
            </w:r>
          </w:p>
        </w:tc>
      </w:tr>
      <w:tr w14:paraId="3C77F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restart"/>
            <w:vAlign w:val="center"/>
          </w:tcPr>
          <w:p w14:paraId="79726AD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一般排放口总计</w:t>
            </w:r>
          </w:p>
        </w:tc>
        <w:tc>
          <w:tcPr>
            <w:tcW w:w="2741" w:type="pct"/>
            <w:gridSpan w:val="3"/>
            <w:shd w:val="clear" w:color="auto" w:fill="auto"/>
            <w:vAlign w:val="center"/>
          </w:tcPr>
          <w:p w14:paraId="61AC82AF">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szCs w:val="21"/>
                <w:highlight w:val="none"/>
                <w:lang w:val="en-US" w:eastAsia="zh-CN"/>
              </w:rPr>
              <w:t>颗粒物</w:t>
            </w:r>
          </w:p>
        </w:tc>
        <w:tc>
          <w:tcPr>
            <w:tcW w:w="862" w:type="pct"/>
            <w:vAlign w:val="center"/>
          </w:tcPr>
          <w:p w14:paraId="601FBFC8">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eastAsia="宋体" w:cs="Times New Roman"/>
                <w:snapToGrid w:val="0"/>
                <w:color w:val="auto"/>
                <w:kern w:val="0"/>
                <w:szCs w:val="21"/>
                <w:highlight w:val="none"/>
                <w:lang w:val="en-US" w:eastAsia="zh-CN"/>
              </w:rPr>
              <w:t>0.1</w:t>
            </w:r>
            <w:r>
              <w:rPr>
                <w:rFonts w:hint="default" w:ascii="Times New Roman" w:hAnsi="Times New Roman" w:cs="Times New Roman"/>
                <w:snapToGrid w:val="0"/>
                <w:color w:val="auto"/>
                <w:kern w:val="0"/>
                <w:szCs w:val="21"/>
                <w:highlight w:val="none"/>
                <w:lang w:val="en-US" w:eastAsia="zh-CN"/>
              </w:rPr>
              <w:t>56</w:t>
            </w:r>
          </w:p>
        </w:tc>
      </w:tr>
      <w:tr w14:paraId="0A81DE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continue"/>
            <w:vAlign w:val="center"/>
          </w:tcPr>
          <w:p w14:paraId="0E87CA3F">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shd w:val="clear" w:color="auto" w:fill="auto"/>
            <w:vAlign w:val="center"/>
          </w:tcPr>
          <w:p w14:paraId="1221D736">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rPr>
              <w:t>二氧化硫</w:t>
            </w:r>
          </w:p>
        </w:tc>
        <w:tc>
          <w:tcPr>
            <w:tcW w:w="862" w:type="pct"/>
            <w:vAlign w:val="center"/>
          </w:tcPr>
          <w:p w14:paraId="2902E3BA">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0.007</w:t>
            </w:r>
          </w:p>
        </w:tc>
      </w:tr>
      <w:tr w14:paraId="659A4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continue"/>
            <w:vAlign w:val="center"/>
          </w:tcPr>
          <w:p w14:paraId="7F62AEB7">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shd w:val="clear" w:color="auto" w:fill="auto"/>
            <w:vAlign w:val="center"/>
          </w:tcPr>
          <w:p w14:paraId="78FCE328">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rPr>
              <w:t>氮氧化物</w:t>
            </w:r>
          </w:p>
        </w:tc>
        <w:tc>
          <w:tcPr>
            <w:tcW w:w="862" w:type="pct"/>
            <w:vAlign w:val="center"/>
          </w:tcPr>
          <w:p w14:paraId="7CBB9353">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0.787</w:t>
            </w:r>
          </w:p>
        </w:tc>
      </w:tr>
      <w:tr w14:paraId="54C7B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395" w:type="pct"/>
            <w:gridSpan w:val="2"/>
            <w:vMerge w:val="continue"/>
            <w:vAlign w:val="center"/>
          </w:tcPr>
          <w:p w14:paraId="75F8BAF6">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vAlign w:val="center"/>
          </w:tcPr>
          <w:p w14:paraId="3E161AC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沥青烟</w:t>
            </w:r>
          </w:p>
        </w:tc>
        <w:tc>
          <w:tcPr>
            <w:tcW w:w="862" w:type="pct"/>
            <w:vAlign w:val="center"/>
          </w:tcPr>
          <w:p w14:paraId="7A43E396">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eastAsia="宋体" w:cs="Times New Roman"/>
                <w:snapToGrid w:val="0"/>
                <w:color w:val="auto"/>
                <w:kern w:val="0"/>
                <w:szCs w:val="21"/>
                <w:highlight w:val="none"/>
                <w:lang w:val="en-US" w:eastAsia="zh-CN"/>
              </w:rPr>
              <w:t>0.099</w:t>
            </w:r>
          </w:p>
        </w:tc>
      </w:tr>
      <w:tr w14:paraId="23774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continue"/>
            <w:vAlign w:val="center"/>
          </w:tcPr>
          <w:p w14:paraId="6E39092B">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vAlign w:val="center"/>
          </w:tcPr>
          <w:p w14:paraId="6DAE5CC1">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snapToGrid w:val="0"/>
                <w:color w:val="auto"/>
                <w:szCs w:val="21"/>
                <w:highlight w:val="none"/>
              </w:rPr>
              <w:t>苯并[a]芘</w:t>
            </w:r>
          </w:p>
        </w:tc>
        <w:tc>
          <w:tcPr>
            <w:tcW w:w="1471" w:type="dxa"/>
            <w:vAlign w:val="center"/>
          </w:tcPr>
          <w:p w14:paraId="6C572E85">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eastAsia="宋体" w:cs="Times New Roman"/>
                <w:snapToGrid w:val="0"/>
                <w:color w:val="auto"/>
                <w:kern w:val="0"/>
                <w:szCs w:val="21"/>
                <w:highlight w:val="none"/>
                <w:lang w:val="en-US" w:eastAsia="zh-CN"/>
              </w:rPr>
              <w:t>0.000002</w:t>
            </w:r>
          </w:p>
        </w:tc>
      </w:tr>
      <w:tr w14:paraId="1CFAB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continue"/>
            <w:vAlign w:val="center"/>
          </w:tcPr>
          <w:p w14:paraId="5171F9F8">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vAlign w:val="center"/>
          </w:tcPr>
          <w:p w14:paraId="416FF5DF">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lang w:val="en-US" w:eastAsia="zh-CN"/>
              </w:rPr>
              <w:t>非甲烷总烃</w:t>
            </w:r>
          </w:p>
        </w:tc>
        <w:tc>
          <w:tcPr>
            <w:tcW w:w="1471" w:type="dxa"/>
            <w:vAlign w:val="center"/>
          </w:tcPr>
          <w:p w14:paraId="797E5F47">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0.000597</w:t>
            </w:r>
          </w:p>
        </w:tc>
      </w:tr>
      <w:tr w14:paraId="496A95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restart"/>
            <w:vAlign w:val="center"/>
          </w:tcPr>
          <w:p w14:paraId="6D87298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有组织排放总计</w:t>
            </w:r>
          </w:p>
        </w:tc>
        <w:tc>
          <w:tcPr>
            <w:tcW w:w="2741" w:type="pct"/>
            <w:gridSpan w:val="3"/>
            <w:shd w:val="clear" w:color="auto" w:fill="auto"/>
            <w:vAlign w:val="center"/>
          </w:tcPr>
          <w:p w14:paraId="31B3147D">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snapToGrid w:val="0"/>
                <w:color w:val="auto"/>
                <w:szCs w:val="21"/>
                <w:highlight w:val="none"/>
                <w:lang w:val="en-US" w:eastAsia="zh-CN"/>
              </w:rPr>
              <w:t>颗粒物</w:t>
            </w:r>
          </w:p>
        </w:tc>
        <w:tc>
          <w:tcPr>
            <w:tcW w:w="1471" w:type="dxa"/>
            <w:vAlign w:val="center"/>
          </w:tcPr>
          <w:p w14:paraId="657BA75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eastAsia="宋体" w:cs="Times New Roman"/>
                <w:snapToGrid w:val="0"/>
                <w:color w:val="auto"/>
                <w:kern w:val="0"/>
                <w:szCs w:val="21"/>
                <w:highlight w:val="none"/>
                <w:lang w:val="en-US" w:eastAsia="zh-CN"/>
              </w:rPr>
              <w:t>0.1</w:t>
            </w:r>
            <w:r>
              <w:rPr>
                <w:rFonts w:hint="default" w:ascii="Times New Roman" w:hAnsi="Times New Roman" w:cs="Times New Roman"/>
                <w:snapToGrid w:val="0"/>
                <w:color w:val="auto"/>
                <w:kern w:val="0"/>
                <w:szCs w:val="21"/>
                <w:highlight w:val="none"/>
                <w:lang w:val="en-US" w:eastAsia="zh-CN"/>
              </w:rPr>
              <w:t>56</w:t>
            </w:r>
          </w:p>
        </w:tc>
      </w:tr>
      <w:tr w14:paraId="6F950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continue"/>
            <w:vAlign w:val="center"/>
          </w:tcPr>
          <w:p w14:paraId="6541AA56">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shd w:val="clear" w:color="auto" w:fill="auto"/>
            <w:vAlign w:val="center"/>
          </w:tcPr>
          <w:p w14:paraId="1B550BFC">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rPr>
              <w:t>二氧化硫</w:t>
            </w:r>
          </w:p>
        </w:tc>
        <w:tc>
          <w:tcPr>
            <w:tcW w:w="1471" w:type="dxa"/>
            <w:vAlign w:val="center"/>
          </w:tcPr>
          <w:p w14:paraId="6D3C120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kern w:val="0"/>
                <w:szCs w:val="21"/>
                <w:highlight w:val="none"/>
                <w:lang w:val="en-US" w:eastAsia="zh-CN"/>
              </w:rPr>
              <w:t>0.007</w:t>
            </w:r>
          </w:p>
        </w:tc>
      </w:tr>
      <w:tr w14:paraId="03315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continue"/>
            <w:vAlign w:val="center"/>
          </w:tcPr>
          <w:p w14:paraId="7B153193">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shd w:val="clear" w:color="auto" w:fill="auto"/>
            <w:vAlign w:val="center"/>
          </w:tcPr>
          <w:p w14:paraId="62A93B00">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rPr>
              <w:t>氮氧化物</w:t>
            </w:r>
          </w:p>
        </w:tc>
        <w:tc>
          <w:tcPr>
            <w:tcW w:w="1471" w:type="dxa"/>
            <w:vAlign w:val="center"/>
          </w:tcPr>
          <w:p w14:paraId="4513F66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lang w:val="en-US" w:eastAsia="zh-CN"/>
              </w:rPr>
              <w:t>0.787</w:t>
            </w:r>
          </w:p>
        </w:tc>
      </w:tr>
      <w:tr w14:paraId="191213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continue"/>
            <w:vAlign w:val="center"/>
          </w:tcPr>
          <w:p w14:paraId="68C6C054">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shd w:val="clear" w:color="auto" w:fill="auto"/>
            <w:vAlign w:val="center"/>
          </w:tcPr>
          <w:p w14:paraId="046796F1">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沥青烟</w:t>
            </w:r>
          </w:p>
        </w:tc>
        <w:tc>
          <w:tcPr>
            <w:tcW w:w="1471" w:type="dxa"/>
            <w:vAlign w:val="center"/>
          </w:tcPr>
          <w:p w14:paraId="28A2385C">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lang w:val="en-US" w:eastAsia="zh-CN"/>
              </w:rPr>
              <w:t>0.099</w:t>
            </w:r>
          </w:p>
        </w:tc>
      </w:tr>
      <w:tr w14:paraId="6F3A9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continue"/>
            <w:vAlign w:val="center"/>
          </w:tcPr>
          <w:p w14:paraId="65D3A009">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vAlign w:val="center"/>
          </w:tcPr>
          <w:p w14:paraId="06223D2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snapToGrid w:val="0"/>
                <w:color w:val="auto"/>
                <w:szCs w:val="21"/>
                <w:highlight w:val="none"/>
              </w:rPr>
              <w:t>苯并[a]芘</w:t>
            </w:r>
          </w:p>
        </w:tc>
        <w:tc>
          <w:tcPr>
            <w:tcW w:w="1471" w:type="dxa"/>
            <w:vAlign w:val="center"/>
          </w:tcPr>
          <w:p w14:paraId="438595F2">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lang w:val="en-US" w:eastAsia="zh-CN"/>
              </w:rPr>
              <w:t>0.000002</w:t>
            </w:r>
          </w:p>
        </w:tc>
      </w:tr>
      <w:tr w14:paraId="40E7F9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5" w:type="pct"/>
            <w:gridSpan w:val="2"/>
            <w:vMerge w:val="continue"/>
            <w:vAlign w:val="center"/>
          </w:tcPr>
          <w:p w14:paraId="57ED16B9">
            <w:pPr>
              <w:adjustRightInd w:val="0"/>
              <w:snapToGrid w:val="0"/>
              <w:jc w:val="center"/>
              <w:rPr>
                <w:rFonts w:hint="default" w:ascii="Times New Roman" w:hAnsi="Times New Roman" w:cs="Times New Roman"/>
                <w:snapToGrid w:val="0"/>
                <w:color w:val="auto"/>
                <w:szCs w:val="21"/>
                <w:highlight w:val="none"/>
              </w:rPr>
            </w:pPr>
          </w:p>
        </w:tc>
        <w:tc>
          <w:tcPr>
            <w:tcW w:w="2741" w:type="pct"/>
            <w:gridSpan w:val="3"/>
            <w:vAlign w:val="center"/>
          </w:tcPr>
          <w:p w14:paraId="5EF2E05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非甲烷总烃</w:t>
            </w:r>
          </w:p>
        </w:tc>
        <w:tc>
          <w:tcPr>
            <w:tcW w:w="1471" w:type="dxa"/>
            <w:vAlign w:val="center"/>
          </w:tcPr>
          <w:p w14:paraId="43AA3D3B">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0.000597</w:t>
            </w:r>
          </w:p>
        </w:tc>
      </w:tr>
    </w:tbl>
    <w:p w14:paraId="41A1D6F0">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表5-2大气污染物无组织排放量核算表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491"/>
        <w:gridCol w:w="929"/>
        <w:gridCol w:w="975"/>
        <w:gridCol w:w="1253"/>
        <w:gridCol w:w="1987"/>
        <w:gridCol w:w="1313"/>
        <w:gridCol w:w="1145"/>
      </w:tblGrid>
      <w:tr w14:paraId="0E3211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250" w:type="pct"/>
            <w:vMerge w:val="restart"/>
            <w:vAlign w:val="center"/>
          </w:tcPr>
          <w:p w14:paraId="391E131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序号</w:t>
            </w:r>
          </w:p>
        </w:tc>
        <w:tc>
          <w:tcPr>
            <w:tcW w:w="288" w:type="pct"/>
            <w:vMerge w:val="restart"/>
            <w:vAlign w:val="center"/>
          </w:tcPr>
          <w:p w14:paraId="54A570B6">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排污编号</w:t>
            </w:r>
          </w:p>
        </w:tc>
        <w:tc>
          <w:tcPr>
            <w:tcW w:w="545" w:type="pct"/>
            <w:vMerge w:val="restart"/>
            <w:vAlign w:val="center"/>
          </w:tcPr>
          <w:p w14:paraId="7079DC43">
            <w:pPr>
              <w:adjustRightInd w:val="0"/>
              <w:snapToGrid w:val="0"/>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rPr>
              <w:t>污染</w:t>
            </w:r>
            <w:r>
              <w:rPr>
                <w:rFonts w:hint="default" w:ascii="Times New Roman" w:hAnsi="Times New Roman" w:cs="Times New Roman"/>
                <w:snapToGrid w:val="0"/>
                <w:color w:val="auto"/>
                <w:kern w:val="0"/>
                <w:szCs w:val="21"/>
                <w:highlight w:val="none"/>
                <w:lang w:val="en-US" w:eastAsia="zh-CN"/>
              </w:rPr>
              <w:t>源</w:t>
            </w:r>
          </w:p>
        </w:tc>
        <w:tc>
          <w:tcPr>
            <w:tcW w:w="572" w:type="pct"/>
            <w:vMerge w:val="restart"/>
            <w:vAlign w:val="center"/>
          </w:tcPr>
          <w:p w14:paraId="41F3E5FD">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污染物</w:t>
            </w:r>
          </w:p>
        </w:tc>
        <w:tc>
          <w:tcPr>
            <w:tcW w:w="735" w:type="pct"/>
            <w:vMerge w:val="restart"/>
            <w:vAlign w:val="center"/>
          </w:tcPr>
          <w:p w14:paraId="4DFE40D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主要污染防治措施</w:t>
            </w:r>
          </w:p>
        </w:tc>
        <w:tc>
          <w:tcPr>
            <w:tcW w:w="1936" w:type="pct"/>
            <w:gridSpan w:val="2"/>
            <w:vAlign w:val="center"/>
          </w:tcPr>
          <w:p w14:paraId="5C011E4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国家或地方污染物排放标准</w:t>
            </w:r>
          </w:p>
        </w:tc>
        <w:tc>
          <w:tcPr>
            <w:tcW w:w="672" w:type="pct"/>
            <w:vMerge w:val="restart"/>
            <w:vAlign w:val="center"/>
          </w:tcPr>
          <w:p w14:paraId="0C1B91C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年排放量（t/a）</w:t>
            </w:r>
          </w:p>
        </w:tc>
      </w:tr>
      <w:tr w14:paraId="300B4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250" w:type="pct"/>
            <w:vMerge w:val="continue"/>
            <w:vAlign w:val="center"/>
          </w:tcPr>
          <w:p w14:paraId="6746960F">
            <w:pPr>
              <w:adjustRightInd w:val="0"/>
              <w:snapToGrid w:val="0"/>
              <w:jc w:val="center"/>
              <w:rPr>
                <w:rFonts w:hint="default" w:ascii="Times New Roman" w:hAnsi="Times New Roman" w:cs="Times New Roman"/>
                <w:snapToGrid w:val="0"/>
                <w:color w:val="auto"/>
                <w:kern w:val="0"/>
                <w:szCs w:val="21"/>
                <w:highlight w:val="none"/>
              </w:rPr>
            </w:pPr>
          </w:p>
        </w:tc>
        <w:tc>
          <w:tcPr>
            <w:tcW w:w="288" w:type="pct"/>
            <w:vMerge w:val="continue"/>
            <w:vAlign w:val="center"/>
          </w:tcPr>
          <w:p w14:paraId="016184D8">
            <w:pPr>
              <w:adjustRightInd w:val="0"/>
              <w:snapToGrid w:val="0"/>
              <w:jc w:val="center"/>
              <w:rPr>
                <w:rFonts w:hint="default" w:ascii="Times New Roman" w:hAnsi="Times New Roman" w:cs="Times New Roman"/>
                <w:snapToGrid w:val="0"/>
                <w:color w:val="auto"/>
                <w:kern w:val="0"/>
                <w:szCs w:val="21"/>
                <w:highlight w:val="none"/>
              </w:rPr>
            </w:pPr>
          </w:p>
        </w:tc>
        <w:tc>
          <w:tcPr>
            <w:tcW w:w="545" w:type="pct"/>
            <w:vMerge w:val="continue"/>
            <w:vAlign w:val="center"/>
          </w:tcPr>
          <w:p w14:paraId="6A85C529">
            <w:pPr>
              <w:adjustRightInd w:val="0"/>
              <w:snapToGrid w:val="0"/>
              <w:jc w:val="center"/>
              <w:rPr>
                <w:rFonts w:hint="default" w:ascii="Times New Roman" w:hAnsi="Times New Roman" w:cs="Times New Roman"/>
                <w:snapToGrid w:val="0"/>
                <w:color w:val="auto"/>
                <w:kern w:val="0"/>
                <w:szCs w:val="21"/>
                <w:highlight w:val="none"/>
              </w:rPr>
            </w:pPr>
          </w:p>
        </w:tc>
        <w:tc>
          <w:tcPr>
            <w:tcW w:w="572" w:type="pct"/>
            <w:vMerge w:val="continue"/>
            <w:vAlign w:val="center"/>
          </w:tcPr>
          <w:p w14:paraId="344C157F">
            <w:pPr>
              <w:adjustRightInd w:val="0"/>
              <w:snapToGrid w:val="0"/>
              <w:jc w:val="center"/>
              <w:rPr>
                <w:rFonts w:hint="default" w:ascii="Times New Roman" w:hAnsi="Times New Roman" w:cs="Times New Roman"/>
                <w:snapToGrid w:val="0"/>
                <w:color w:val="auto"/>
                <w:kern w:val="0"/>
                <w:szCs w:val="21"/>
                <w:highlight w:val="none"/>
              </w:rPr>
            </w:pPr>
          </w:p>
        </w:tc>
        <w:tc>
          <w:tcPr>
            <w:tcW w:w="735" w:type="pct"/>
            <w:vMerge w:val="continue"/>
            <w:vAlign w:val="center"/>
          </w:tcPr>
          <w:p w14:paraId="04E25E4B">
            <w:pPr>
              <w:adjustRightInd w:val="0"/>
              <w:snapToGrid w:val="0"/>
              <w:jc w:val="center"/>
              <w:rPr>
                <w:rFonts w:hint="default" w:ascii="Times New Roman" w:hAnsi="Times New Roman" w:cs="Times New Roman"/>
                <w:snapToGrid w:val="0"/>
                <w:color w:val="auto"/>
                <w:kern w:val="0"/>
                <w:szCs w:val="21"/>
                <w:highlight w:val="none"/>
              </w:rPr>
            </w:pPr>
          </w:p>
        </w:tc>
        <w:tc>
          <w:tcPr>
            <w:tcW w:w="1166" w:type="pct"/>
            <w:vAlign w:val="center"/>
          </w:tcPr>
          <w:p w14:paraId="33EDFBD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标准名称</w:t>
            </w:r>
          </w:p>
        </w:tc>
        <w:tc>
          <w:tcPr>
            <w:tcW w:w="770" w:type="pct"/>
            <w:vAlign w:val="center"/>
          </w:tcPr>
          <w:p w14:paraId="27A0706F">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浓度限值</w:t>
            </w:r>
          </w:p>
          <w:p w14:paraId="64525D3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（μg/m</w:t>
            </w:r>
            <w:r>
              <w:rPr>
                <w:rFonts w:hint="default" w:ascii="Times New Roman" w:hAnsi="Times New Roman" w:cs="Times New Roman"/>
                <w:snapToGrid w:val="0"/>
                <w:color w:val="auto"/>
                <w:kern w:val="0"/>
                <w:position w:val="6"/>
                <w:szCs w:val="21"/>
                <w:highlight w:val="none"/>
                <w:vertAlign w:val="superscript"/>
              </w:rPr>
              <w:t>3</w:t>
            </w:r>
            <w:r>
              <w:rPr>
                <w:rFonts w:hint="default" w:ascii="Times New Roman" w:hAnsi="Times New Roman" w:cs="Times New Roman"/>
                <w:snapToGrid w:val="0"/>
                <w:color w:val="auto"/>
                <w:kern w:val="0"/>
                <w:szCs w:val="21"/>
                <w:highlight w:val="none"/>
              </w:rPr>
              <w:t>）</w:t>
            </w:r>
          </w:p>
        </w:tc>
        <w:tc>
          <w:tcPr>
            <w:tcW w:w="672" w:type="pct"/>
            <w:vMerge w:val="continue"/>
            <w:vAlign w:val="center"/>
          </w:tcPr>
          <w:p w14:paraId="65D9BFC3">
            <w:pPr>
              <w:adjustRightInd w:val="0"/>
              <w:snapToGrid w:val="0"/>
              <w:jc w:val="center"/>
              <w:rPr>
                <w:rFonts w:hint="default" w:ascii="Times New Roman" w:hAnsi="Times New Roman" w:cs="Times New Roman"/>
                <w:snapToGrid w:val="0"/>
                <w:color w:val="auto"/>
                <w:kern w:val="0"/>
                <w:szCs w:val="21"/>
                <w:highlight w:val="none"/>
              </w:rPr>
            </w:pPr>
          </w:p>
        </w:tc>
      </w:tr>
      <w:tr w14:paraId="06367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50" w:type="pct"/>
            <w:vMerge w:val="restart"/>
            <w:vAlign w:val="center"/>
          </w:tcPr>
          <w:p w14:paraId="55CC310A">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w:t>
            </w:r>
          </w:p>
        </w:tc>
        <w:tc>
          <w:tcPr>
            <w:tcW w:w="288" w:type="pct"/>
            <w:vMerge w:val="restart"/>
            <w:vAlign w:val="center"/>
          </w:tcPr>
          <w:p w14:paraId="290D630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厂区G1</w:t>
            </w:r>
          </w:p>
        </w:tc>
        <w:tc>
          <w:tcPr>
            <w:tcW w:w="545" w:type="pct"/>
            <w:vAlign w:val="center"/>
          </w:tcPr>
          <w:p w14:paraId="64D5A320">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车辆</w:t>
            </w:r>
          </w:p>
        </w:tc>
        <w:tc>
          <w:tcPr>
            <w:tcW w:w="572" w:type="pct"/>
            <w:vAlign w:val="center"/>
          </w:tcPr>
          <w:p w14:paraId="5AFF5D79">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粉尘</w:t>
            </w:r>
          </w:p>
        </w:tc>
        <w:tc>
          <w:tcPr>
            <w:tcW w:w="735" w:type="pct"/>
            <w:vAlign w:val="center"/>
          </w:tcPr>
          <w:p w14:paraId="67531C1B">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洒水抑尘</w:t>
            </w:r>
          </w:p>
        </w:tc>
        <w:tc>
          <w:tcPr>
            <w:tcW w:w="1166" w:type="pct"/>
            <w:vMerge w:val="restart"/>
            <w:vAlign w:val="center"/>
          </w:tcPr>
          <w:p w14:paraId="6E5DF057">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《大气污染物综合排放标准》（GB16297-1996）</w:t>
            </w:r>
          </w:p>
        </w:tc>
        <w:tc>
          <w:tcPr>
            <w:tcW w:w="770" w:type="pct"/>
            <w:vMerge w:val="restart"/>
            <w:vAlign w:val="center"/>
          </w:tcPr>
          <w:p w14:paraId="49CC929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1000</w:t>
            </w:r>
          </w:p>
        </w:tc>
        <w:tc>
          <w:tcPr>
            <w:tcW w:w="672" w:type="pct"/>
            <w:vAlign w:val="center"/>
          </w:tcPr>
          <w:p w14:paraId="4F02582A">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0.08</w:t>
            </w:r>
          </w:p>
        </w:tc>
      </w:tr>
      <w:tr w14:paraId="0FE26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50" w:type="pct"/>
            <w:vMerge w:val="continue"/>
            <w:vAlign w:val="center"/>
          </w:tcPr>
          <w:p w14:paraId="256A8D3E">
            <w:pPr>
              <w:adjustRightInd w:val="0"/>
              <w:snapToGrid w:val="0"/>
              <w:jc w:val="center"/>
              <w:rPr>
                <w:rFonts w:hint="default" w:ascii="Times New Roman" w:hAnsi="Times New Roman" w:cs="Times New Roman"/>
                <w:snapToGrid w:val="0"/>
                <w:color w:val="auto"/>
                <w:kern w:val="0"/>
                <w:szCs w:val="21"/>
                <w:highlight w:val="none"/>
              </w:rPr>
            </w:pPr>
          </w:p>
        </w:tc>
        <w:tc>
          <w:tcPr>
            <w:tcW w:w="288" w:type="pct"/>
            <w:vMerge w:val="continue"/>
            <w:vAlign w:val="center"/>
          </w:tcPr>
          <w:p w14:paraId="0C8D201B">
            <w:pPr>
              <w:adjustRightInd w:val="0"/>
              <w:snapToGrid w:val="0"/>
              <w:jc w:val="center"/>
              <w:rPr>
                <w:rFonts w:hint="default" w:ascii="Times New Roman" w:hAnsi="Times New Roman" w:cs="Times New Roman"/>
                <w:color w:val="auto"/>
                <w:kern w:val="0"/>
                <w:szCs w:val="21"/>
                <w:highlight w:val="none"/>
              </w:rPr>
            </w:pPr>
          </w:p>
        </w:tc>
        <w:tc>
          <w:tcPr>
            <w:tcW w:w="545" w:type="pct"/>
            <w:vAlign w:val="center"/>
          </w:tcPr>
          <w:p w14:paraId="150EEFF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原料堆场粉尘</w:t>
            </w:r>
          </w:p>
        </w:tc>
        <w:tc>
          <w:tcPr>
            <w:tcW w:w="572" w:type="pct"/>
            <w:vAlign w:val="center"/>
          </w:tcPr>
          <w:p w14:paraId="664AE43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粉尘</w:t>
            </w:r>
          </w:p>
        </w:tc>
        <w:tc>
          <w:tcPr>
            <w:tcW w:w="735" w:type="pct"/>
            <w:vAlign w:val="center"/>
          </w:tcPr>
          <w:p w14:paraId="29BB3AEC">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堆场四周设置防风抑尘网，进行定期</w:t>
            </w:r>
            <w:r>
              <w:rPr>
                <w:rFonts w:hint="default" w:ascii="Times New Roman" w:hAnsi="Times New Roman" w:cs="Times New Roman"/>
                <w:color w:val="auto"/>
                <w:kern w:val="0"/>
                <w:szCs w:val="21"/>
                <w:highlight w:val="none"/>
                <w:lang w:eastAsia="zh-CN"/>
              </w:rPr>
              <w:t>喷淋降尘</w:t>
            </w:r>
            <w:r>
              <w:rPr>
                <w:rFonts w:hint="default" w:ascii="Times New Roman" w:hAnsi="Times New Roman" w:cs="Times New Roman"/>
                <w:color w:val="auto"/>
                <w:kern w:val="0"/>
                <w:szCs w:val="21"/>
                <w:highlight w:val="none"/>
              </w:rPr>
              <w:t>，堆场地面全部硬化</w:t>
            </w:r>
          </w:p>
        </w:tc>
        <w:tc>
          <w:tcPr>
            <w:tcW w:w="1166" w:type="pct"/>
            <w:vMerge w:val="continue"/>
            <w:vAlign w:val="center"/>
          </w:tcPr>
          <w:p w14:paraId="5A42B79E">
            <w:pPr>
              <w:adjustRightInd w:val="0"/>
              <w:snapToGrid w:val="0"/>
              <w:jc w:val="center"/>
              <w:rPr>
                <w:rFonts w:hint="default" w:ascii="Times New Roman" w:hAnsi="Times New Roman" w:cs="Times New Roman"/>
                <w:snapToGrid w:val="0"/>
                <w:color w:val="auto"/>
                <w:kern w:val="0"/>
                <w:szCs w:val="21"/>
                <w:highlight w:val="none"/>
              </w:rPr>
            </w:pPr>
          </w:p>
        </w:tc>
        <w:tc>
          <w:tcPr>
            <w:tcW w:w="770" w:type="pct"/>
            <w:vMerge w:val="continue"/>
            <w:vAlign w:val="center"/>
          </w:tcPr>
          <w:p w14:paraId="255A73AA">
            <w:pPr>
              <w:adjustRightInd w:val="0"/>
              <w:snapToGrid w:val="0"/>
              <w:jc w:val="center"/>
              <w:rPr>
                <w:rFonts w:hint="default" w:ascii="Times New Roman" w:hAnsi="Times New Roman" w:cs="Times New Roman"/>
                <w:snapToGrid w:val="0"/>
                <w:color w:val="auto"/>
                <w:kern w:val="0"/>
                <w:szCs w:val="21"/>
                <w:highlight w:val="none"/>
              </w:rPr>
            </w:pPr>
          </w:p>
        </w:tc>
        <w:tc>
          <w:tcPr>
            <w:tcW w:w="672" w:type="pct"/>
            <w:vAlign w:val="center"/>
          </w:tcPr>
          <w:p w14:paraId="3E5DD0F0">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0.001</w:t>
            </w:r>
          </w:p>
        </w:tc>
      </w:tr>
      <w:tr w14:paraId="1A6E7D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50" w:type="pct"/>
            <w:vMerge w:val="continue"/>
            <w:vAlign w:val="center"/>
          </w:tcPr>
          <w:p w14:paraId="060321C5">
            <w:pPr>
              <w:adjustRightInd w:val="0"/>
              <w:snapToGrid w:val="0"/>
              <w:jc w:val="center"/>
              <w:rPr>
                <w:rFonts w:hint="default" w:ascii="Times New Roman" w:hAnsi="Times New Roman" w:cs="Times New Roman"/>
                <w:snapToGrid w:val="0"/>
                <w:color w:val="auto"/>
                <w:kern w:val="0"/>
                <w:szCs w:val="21"/>
                <w:highlight w:val="none"/>
              </w:rPr>
            </w:pPr>
          </w:p>
        </w:tc>
        <w:tc>
          <w:tcPr>
            <w:tcW w:w="288" w:type="pct"/>
            <w:vMerge w:val="continue"/>
            <w:vAlign w:val="center"/>
          </w:tcPr>
          <w:p w14:paraId="5AA71384">
            <w:pPr>
              <w:adjustRightInd w:val="0"/>
              <w:snapToGrid w:val="0"/>
              <w:jc w:val="center"/>
              <w:rPr>
                <w:rFonts w:hint="default" w:ascii="Times New Roman" w:hAnsi="Times New Roman" w:cs="Times New Roman"/>
                <w:color w:val="auto"/>
                <w:kern w:val="0"/>
                <w:szCs w:val="21"/>
                <w:highlight w:val="none"/>
              </w:rPr>
            </w:pPr>
          </w:p>
        </w:tc>
        <w:tc>
          <w:tcPr>
            <w:tcW w:w="545" w:type="pct"/>
            <w:vAlign w:val="center"/>
          </w:tcPr>
          <w:p w14:paraId="7B6CCCE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冷料上料粉尘</w:t>
            </w:r>
          </w:p>
        </w:tc>
        <w:tc>
          <w:tcPr>
            <w:tcW w:w="572" w:type="pct"/>
            <w:vAlign w:val="center"/>
          </w:tcPr>
          <w:p w14:paraId="2CF79EDD">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0"/>
                <w:szCs w:val="21"/>
                <w:highlight w:val="none"/>
              </w:rPr>
              <w:t>粉尘</w:t>
            </w:r>
          </w:p>
        </w:tc>
        <w:tc>
          <w:tcPr>
            <w:tcW w:w="735" w:type="pct"/>
            <w:vAlign w:val="center"/>
          </w:tcPr>
          <w:p w14:paraId="4C2A371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冷料上料于封闭式沥青混凝土拌合站中进行</w:t>
            </w:r>
          </w:p>
        </w:tc>
        <w:tc>
          <w:tcPr>
            <w:tcW w:w="1166" w:type="pct"/>
            <w:vMerge w:val="continue"/>
            <w:vAlign w:val="center"/>
          </w:tcPr>
          <w:p w14:paraId="2394981E">
            <w:pPr>
              <w:adjustRightInd w:val="0"/>
              <w:snapToGrid w:val="0"/>
              <w:jc w:val="center"/>
              <w:rPr>
                <w:rFonts w:hint="default" w:ascii="Times New Roman" w:hAnsi="Times New Roman" w:cs="Times New Roman"/>
                <w:color w:val="auto"/>
                <w:kern w:val="0"/>
                <w:szCs w:val="21"/>
                <w:highlight w:val="none"/>
              </w:rPr>
            </w:pPr>
          </w:p>
        </w:tc>
        <w:tc>
          <w:tcPr>
            <w:tcW w:w="770" w:type="pct"/>
            <w:vMerge w:val="continue"/>
            <w:vAlign w:val="center"/>
          </w:tcPr>
          <w:p w14:paraId="6D32DAB7">
            <w:pPr>
              <w:adjustRightInd w:val="0"/>
              <w:snapToGrid w:val="0"/>
              <w:jc w:val="center"/>
              <w:rPr>
                <w:rFonts w:hint="default" w:ascii="Times New Roman" w:hAnsi="Times New Roman" w:cs="Times New Roman"/>
                <w:snapToGrid w:val="0"/>
                <w:color w:val="auto"/>
                <w:kern w:val="0"/>
                <w:szCs w:val="21"/>
                <w:highlight w:val="none"/>
              </w:rPr>
            </w:pPr>
          </w:p>
        </w:tc>
        <w:tc>
          <w:tcPr>
            <w:tcW w:w="672" w:type="pct"/>
            <w:vAlign w:val="center"/>
          </w:tcPr>
          <w:p w14:paraId="0F344157">
            <w:pPr>
              <w:adjustRightInd w:val="0"/>
              <w:snapToGri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cs="Times New Roman"/>
                <w:bCs/>
                <w:color w:val="auto"/>
                <w:kern w:val="0"/>
                <w:szCs w:val="21"/>
                <w:highlight w:val="none"/>
                <w:lang w:val="en-US" w:eastAsia="zh-CN"/>
              </w:rPr>
              <w:t>0.02</w:t>
            </w:r>
          </w:p>
        </w:tc>
      </w:tr>
      <w:tr w14:paraId="41BE5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50" w:type="pct"/>
            <w:vMerge w:val="continue"/>
            <w:vAlign w:val="center"/>
          </w:tcPr>
          <w:p w14:paraId="3ADD471E">
            <w:pPr>
              <w:adjustRightInd w:val="0"/>
              <w:snapToGrid w:val="0"/>
              <w:jc w:val="center"/>
              <w:rPr>
                <w:rFonts w:hint="default" w:ascii="Times New Roman" w:hAnsi="Times New Roman" w:cs="Times New Roman"/>
                <w:snapToGrid w:val="0"/>
                <w:color w:val="auto"/>
                <w:kern w:val="0"/>
                <w:szCs w:val="21"/>
                <w:highlight w:val="none"/>
              </w:rPr>
            </w:pPr>
          </w:p>
        </w:tc>
        <w:tc>
          <w:tcPr>
            <w:tcW w:w="288" w:type="pct"/>
            <w:vMerge w:val="continue"/>
            <w:vAlign w:val="center"/>
          </w:tcPr>
          <w:p w14:paraId="73DB7B7B">
            <w:pPr>
              <w:adjustRightInd w:val="0"/>
              <w:snapToGrid w:val="0"/>
              <w:jc w:val="center"/>
              <w:rPr>
                <w:rFonts w:hint="default" w:ascii="Times New Roman" w:hAnsi="Times New Roman" w:cs="Times New Roman"/>
                <w:color w:val="auto"/>
                <w:kern w:val="0"/>
                <w:szCs w:val="21"/>
                <w:highlight w:val="none"/>
              </w:rPr>
            </w:pPr>
          </w:p>
        </w:tc>
        <w:tc>
          <w:tcPr>
            <w:tcW w:w="545" w:type="pct"/>
            <w:vAlign w:val="center"/>
          </w:tcPr>
          <w:p w14:paraId="75B9766D">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矿粉仓</w:t>
            </w:r>
          </w:p>
        </w:tc>
        <w:tc>
          <w:tcPr>
            <w:tcW w:w="572" w:type="pct"/>
            <w:vAlign w:val="center"/>
          </w:tcPr>
          <w:p w14:paraId="7EC342C6">
            <w:pPr>
              <w:adjustRightInd w:val="0"/>
              <w:snapToGrid w:val="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color w:val="auto"/>
                <w:kern w:val="0"/>
                <w:szCs w:val="21"/>
                <w:highlight w:val="none"/>
              </w:rPr>
              <w:t>粉尘</w:t>
            </w:r>
          </w:p>
        </w:tc>
        <w:tc>
          <w:tcPr>
            <w:tcW w:w="735" w:type="pct"/>
            <w:vAlign w:val="center"/>
          </w:tcPr>
          <w:p w14:paraId="41DCBE6A">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布袋除尘器</w:t>
            </w:r>
          </w:p>
        </w:tc>
        <w:tc>
          <w:tcPr>
            <w:tcW w:w="1166" w:type="pct"/>
            <w:vMerge w:val="continue"/>
            <w:vAlign w:val="center"/>
          </w:tcPr>
          <w:p w14:paraId="5DEF8C1C">
            <w:pPr>
              <w:adjustRightInd w:val="0"/>
              <w:snapToGrid w:val="0"/>
              <w:jc w:val="center"/>
              <w:rPr>
                <w:rFonts w:hint="default" w:ascii="Times New Roman" w:hAnsi="Times New Roman" w:cs="Times New Roman"/>
                <w:snapToGrid w:val="0"/>
                <w:color w:val="auto"/>
                <w:kern w:val="0"/>
                <w:szCs w:val="21"/>
                <w:highlight w:val="none"/>
              </w:rPr>
            </w:pPr>
          </w:p>
        </w:tc>
        <w:tc>
          <w:tcPr>
            <w:tcW w:w="770" w:type="pct"/>
            <w:vMerge w:val="continue"/>
            <w:vAlign w:val="center"/>
          </w:tcPr>
          <w:p w14:paraId="0D5CDBE9">
            <w:pPr>
              <w:adjustRightInd w:val="0"/>
              <w:snapToGrid w:val="0"/>
              <w:jc w:val="center"/>
              <w:rPr>
                <w:rFonts w:hint="default" w:ascii="Times New Roman" w:hAnsi="Times New Roman" w:cs="Times New Roman"/>
                <w:snapToGrid w:val="0"/>
                <w:color w:val="auto"/>
                <w:kern w:val="0"/>
                <w:szCs w:val="21"/>
                <w:highlight w:val="none"/>
              </w:rPr>
            </w:pPr>
          </w:p>
        </w:tc>
        <w:tc>
          <w:tcPr>
            <w:tcW w:w="672" w:type="pct"/>
            <w:vAlign w:val="center"/>
          </w:tcPr>
          <w:p w14:paraId="2DA4A0C2">
            <w:pPr>
              <w:adjustRightInd w:val="0"/>
              <w:snapToGri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cs="Times New Roman"/>
                <w:bCs/>
                <w:color w:val="auto"/>
                <w:kern w:val="0"/>
                <w:szCs w:val="21"/>
                <w:highlight w:val="none"/>
                <w:lang w:val="en-US" w:eastAsia="zh-CN"/>
              </w:rPr>
              <w:t>0.0006</w:t>
            </w:r>
          </w:p>
        </w:tc>
      </w:tr>
      <w:tr w14:paraId="214C6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50" w:type="pct"/>
            <w:vMerge w:val="restart"/>
            <w:vAlign w:val="center"/>
          </w:tcPr>
          <w:p w14:paraId="16009160">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w:t>
            </w:r>
          </w:p>
        </w:tc>
        <w:tc>
          <w:tcPr>
            <w:tcW w:w="288" w:type="pct"/>
            <w:vMerge w:val="restart"/>
            <w:vAlign w:val="center"/>
          </w:tcPr>
          <w:p w14:paraId="07A3F5E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厂区G1</w:t>
            </w:r>
          </w:p>
        </w:tc>
        <w:tc>
          <w:tcPr>
            <w:tcW w:w="545" w:type="pct"/>
            <w:vMerge w:val="restart"/>
            <w:vAlign w:val="center"/>
          </w:tcPr>
          <w:p w14:paraId="159A0D37">
            <w:pPr>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沥青罐、沥青加热搅拌</w:t>
            </w:r>
          </w:p>
        </w:tc>
        <w:tc>
          <w:tcPr>
            <w:tcW w:w="572" w:type="pct"/>
            <w:vAlign w:val="center"/>
          </w:tcPr>
          <w:p w14:paraId="57D341DD">
            <w:pPr>
              <w:adjustRightInd w:val="0"/>
              <w:snapToGrid w:val="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沥青烟</w:t>
            </w:r>
          </w:p>
        </w:tc>
        <w:tc>
          <w:tcPr>
            <w:tcW w:w="735" w:type="pct"/>
            <w:vMerge w:val="restart"/>
            <w:vAlign w:val="center"/>
          </w:tcPr>
          <w:p w14:paraId="4AB9A40E">
            <w:pPr>
              <w:adjustRightInd w:val="0"/>
              <w:snapToGrid w:val="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封闭储罐、设备封闭</w:t>
            </w:r>
          </w:p>
        </w:tc>
        <w:tc>
          <w:tcPr>
            <w:tcW w:w="1166" w:type="pct"/>
            <w:vMerge w:val="restart"/>
            <w:vAlign w:val="center"/>
          </w:tcPr>
          <w:p w14:paraId="0723819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《大气污染物综合排放标准》（GB16297-1996）</w:t>
            </w:r>
          </w:p>
        </w:tc>
        <w:tc>
          <w:tcPr>
            <w:tcW w:w="770" w:type="pct"/>
            <w:vAlign w:val="center"/>
          </w:tcPr>
          <w:p w14:paraId="33589FC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szCs w:val="21"/>
                <w:highlight w:val="none"/>
              </w:rPr>
              <w:t>生产设备不得有明显的无组织排放存在</w:t>
            </w:r>
          </w:p>
        </w:tc>
        <w:tc>
          <w:tcPr>
            <w:tcW w:w="672" w:type="pct"/>
            <w:vAlign w:val="center"/>
          </w:tcPr>
          <w:p w14:paraId="46C14EA9">
            <w:pPr>
              <w:adjustRightInd w:val="0"/>
              <w:snapToGri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cs="Times New Roman"/>
                <w:bCs/>
                <w:color w:val="auto"/>
                <w:kern w:val="0"/>
                <w:szCs w:val="21"/>
                <w:highlight w:val="none"/>
                <w:lang w:val="en-US" w:eastAsia="zh-CN"/>
              </w:rPr>
              <w:t>0.0201</w:t>
            </w:r>
          </w:p>
        </w:tc>
      </w:tr>
      <w:tr w14:paraId="187DC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50" w:type="pct"/>
            <w:vMerge w:val="continue"/>
            <w:vAlign w:val="center"/>
          </w:tcPr>
          <w:p w14:paraId="4B212401">
            <w:pPr>
              <w:adjustRightInd w:val="0"/>
              <w:snapToGrid w:val="0"/>
              <w:jc w:val="center"/>
              <w:rPr>
                <w:rFonts w:hint="default" w:ascii="Times New Roman" w:hAnsi="Times New Roman" w:cs="Times New Roman"/>
                <w:snapToGrid w:val="0"/>
                <w:color w:val="auto"/>
                <w:kern w:val="0"/>
                <w:szCs w:val="21"/>
                <w:highlight w:val="none"/>
              </w:rPr>
            </w:pPr>
          </w:p>
        </w:tc>
        <w:tc>
          <w:tcPr>
            <w:tcW w:w="288" w:type="pct"/>
            <w:vMerge w:val="continue"/>
            <w:vAlign w:val="center"/>
          </w:tcPr>
          <w:p w14:paraId="31CAA59C">
            <w:pPr>
              <w:adjustRightInd w:val="0"/>
              <w:snapToGrid w:val="0"/>
              <w:jc w:val="center"/>
              <w:rPr>
                <w:rFonts w:hint="default" w:ascii="Times New Roman" w:hAnsi="Times New Roman" w:cs="Times New Roman"/>
                <w:color w:val="auto"/>
                <w:kern w:val="0"/>
                <w:szCs w:val="21"/>
                <w:highlight w:val="none"/>
              </w:rPr>
            </w:pPr>
          </w:p>
        </w:tc>
        <w:tc>
          <w:tcPr>
            <w:tcW w:w="545" w:type="pct"/>
            <w:vMerge w:val="continue"/>
            <w:vAlign w:val="center"/>
          </w:tcPr>
          <w:p w14:paraId="2D4528EA">
            <w:pPr>
              <w:adjustRightInd w:val="0"/>
              <w:snapToGrid w:val="0"/>
              <w:jc w:val="center"/>
              <w:rPr>
                <w:rFonts w:hint="default" w:ascii="Times New Roman" w:hAnsi="Times New Roman" w:cs="Times New Roman"/>
                <w:color w:val="auto"/>
                <w:kern w:val="0"/>
                <w:szCs w:val="21"/>
                <w:highlight w:val="none"/>
                <w:lang w:val="en-US" w:eastAsia="zh-CN"/>
              </w:rPr>
            </w:pPr>
          </w:p>
        </w:tc>
        <w:tc>
          <w:tcPr>
            <w:tcW w:w="572" w:type="pct"/>
            <w:vAlign w:val="center"/>
          </w:tcPr>
          <w:p w14:paraId="65C95A56">
            <w:pPr>
              <w:adjustRightInd w:val="0"/>
              <w:snapToGrid w:val="0"/>
              <w:jc w:val="center"/>
              <w:rPr>
                <w:rFonts w:hint="default" w:ascii="Times New Roman" w:hAnsi="Times New Roman" w:cs="Times New Roman"/>
                <w:snapToGrid w:val="0"/>
                <w:color w:val="auto"/>
                <w:kern w:val="0"/>
                <w:szCs w:val="21"/>
                <w:highlight w:val="none"/>
                <w:lang w:val="en-US" w:eastAsia="zh-CN"/>
              </w:rPr>
            </w:pPr>
            <w:r>
              <w:rPr>
                <w:rStyle w:val="66"/>
                <w:rFonts w:hint="default" w:ascii="Times New Roman" w:hAnsi="Times New Roman" w:cs="Times New Roman"/>
                <w:color w:val="auto"/>
                <w:sz w:val="21"/>
                <w:szCs w:val="21"/>
                <w:highlight w:val="none"/>
              </w:rPr>
              <w:t>苯并[a]芘</w:t>
            </w:r>
          </w:p>
        </w:tc>
        <w:tc>
          <w:tcPr>
            <w:tcW w:w="735" w:type="pct"/>
            <w:vMerge w:val="continue"/>
            <w:vAlign w:val="center"/>
          </w:tcPr>
          <w:p w14:paraId="05A9CEF9">
            <w:pPr>
              <w:adjustRightInd w:val="0"/>
              <w:snapToGrid w:val="0"/>
              <w:jc w:val="center"/>
              <w:rPr>
                <w:rFonts w:hint="default" w:ascii="Times New Roman" w:hAnsi="Times New Roman" w:cs="Times New Roman"/>
                <w:snapToGrid w:val="0"/>
                <w:color w:val="auto"/>
                <w:kern w:val="0"/>
                <w:szCs w:val="21"/>
                <w:highlight w:val="none"/>
                <w:lang w:val="en-US" w:eastAsia="zh-CN"/>
              </w:rPr>
            </w:pPr>
          </w:p>
        </w:tc>
        <w:tc>
          <w:tcPr>
            <w:tcW w:w="1166" w:type="pct"/>
            <w:vMerge w:val="continue"/>
            <w:vAlign w:val="center"/>
          </w:tcPr>
          <w:p w14:paraId="79055EC5">
            <w:pPr>
              <w:adjustRightInd w:val="0"/>
              <w:snapToGrid w:val="0"/>
              <w:jc w:val="center"/>
              <w:rPr>
                <w:rFonts w:hint="default" w:ascii="Times New Roman" w:hAnsi="Times New Roman" w:cs="Times New Roman"/>
                <w:snapToGrid w:val="0"/>
                <w:color w:val="auto"/>
                <w:kern w:val="0"/>
                <w:szCs w:val="21"/>
                <w:highlight w:val="none"/>
              </w:rPr>
            </w:pPr>
          </w:p>
        </w:tc>
        <w:tc>
          <w:tcPr>
            <w:tcW w:w="770" w:type="pct"/>
            <w:vAlign w:val="center"/>
          </w:tcPr>
          <w:p w14:paraId="63A272B9">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szCs w:val="21"/>
                <w:highlight w:val="none"/>
              </w:rPr>
              <w:t>0.008</w:t>
            </w:r>
          </w:p>
        </w:tc>
        <w:tc>
          <w:tcPr>
            <w:tcW w:w="672" w:type="pct"/>
            <w:vAlign w:val="center"/>
          </w:tcPr>
          <w:p w14:paraId="3363E950">
            <w:pPr>
              <w:adjustRightInd w:val="0"/>
              <w:snapToGri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cs="Times New Roman"/>
                <w:bCs/>
                <w:color w:val="auto"/>
                <w:kern w:val="0"/>
                <w:szCs w:val="21"/>
                <w:highlight w:val="none"/>
                <w:lang w:val="en-US" w:eastAsia="zh-CN"/>
              </w:rPr>
              <w:t>4.02×10</w:t>
            </w:r>
            <w:r>
              <w:rPr>
                <w:rFonts w:hint="default" w:ascii="Times New Roman" w:hAnsi="Times New Roman" w:cs="Times New Roman"/>
                <w:bCs/>
                <w:color w:val="auto"/>
                <w:kern w:val="0"/>
                <w:szCs w:val="21"/>
                <w:highlight w:val="none"/>
                <w:vertAlign w:val="superscript"/>
                <w:lang w:val="en-US" w:eastAsia="zh-CN"/>
              </w:rPr>
              <w:t>-7</w:t>
            </w:r>
          </w:p>
        </w:tc>
      </w:tr>
      <w:tr w14:paraId="142A5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50" w:type="pct"/>
            <w:vMerge w:val="continue"/>
            <w:vAlign w:val="center"/>
          </w:tcPr>
          <w:p w14:paraId="26309B94">
            <w:pPr>
              <w:adjustRightInd w:val="0"/>
              <w:snapToGrid w:val="0"/>
              <w:jc w:val="center"/>
              <w:rPr>
                <w:rFonts w:hint="default" w:ascii="Times New Roman" w:hAnsi="Times New Roman" w:cs="Times New Roman"/>
                <w:snapToGrid w:val="0"/>
                <w:color w:val="auto"/>
                <w:kern w:val="0"/>
                <w:szCs w:val="21"/>
                <w:highlight w:val="none"/>
              </w:rPr>
            </w:pPr>
          </w:p>
        </w:tc>
        <w:tc>
          <w:tcPr>
            <w:tcW w:w="288" w:type="pct"/>
            <w:vMerge w:val="continue"/>
            <w:vAlign w:val="center"/>
          </w:tcPr>
          <w:p w14:paraId="1356121C">
            <w:pPr>
              <w:adjustRightInd w:val="0"/>
              <w:snapToGrid w:val="0"/>
              <w:jc w:val="center"/>
              <w:rPr>
                <w:rFonts w:hint="default" w:ascii="Times New Roman" w:hAnsi="Times New Roman" w:cs="Times New Roman"/>
                <w:color w:val="auto"/>
                <w:kern w:val="0"/>
                <w:szCs w:val="21"/>
                <w:highlight w:val="none"/>
              </w:rPr>
            </w:pPr>
          </w:p>
        </w:tc>
        <w:tc>
          <w:tcPr>
            <w:tcW w:w="545" w:type="pct"/>
            <w:vMerge w:val="continue"/>
            <w:vAlign w:val="center"/>
          </w:tcPr>
          <w:p w14:paraId="1906833B">
            <w:pPr>
              <w:adjustRightInd w:val="0"/>
              <w:snapToGrid w:val="0"/>
              <w:jc w:val="center"/>
              <w:rPr>
                <w:rFonts w:hint="default" w:ascii="Times New Roman" w:hAnsi="Times New Roman" w:cs="Times New Roman"/>
                <w:color w:val="auto"/>
                <w:kern w:val="0"/>
                <w:szCs w:val="21"/>
                <w:highlight w:val="none"/>
                <w:lang w:val="en-US" w:eastAsia="zh-CN"/>
              </w:rPr>
            </w:pPr>
          </w:p>
        </w:tc>
        <w:tc>
          <w:tcPr>
            <w:tcW w:w="572" w:type="pct"/>
            <w:vAlign w:val="center"/>
          </w:tcPr>
          <w:p w14:paraId="70B9BDBB">
            <w:pPr>
              <w:adjustRightInd w:val="0"/>
              <w:snapToGrid w:val="0"/>
              <w:jc w:val="center"/>
              <w:rPr>
                <w:rStyle w:val="66"/>
                <w:rFonts w:hint="default" w:ascii="Times New Roman" w:hAnsi="Times New Roman" w:eastAsia="宋体" w:cs="Times New Roman"/>
                <w:color w:val="auto"/>
                <w:sz w:val="21"/>
                <w:szCs w:val="21"/>
                <w:highlight w:val="none"/>
                <w:lang w:val="en-US" w:eastAsia="zh-CN"/>
              </w:rPr>
            </w:pPr>
            <w:r>
              <w:rPr>
                <w:rStyle w:val="66"/>
                <w:rFonts w:hint="default" w:ascii="Times New Roman" w:hAnsi="Times New Roman" w:cs="Times New Roman"/>
                <w:color w:val="auto"/>
                <w:sz w:val="21"/>
                <w:szCs w:val="21"/>
                <w:highlight w:val="none"/>
                <w:lang w:val="en-US" w:eastAsia="zh-CN"/>
              </w:rPr>
              <w:t>NMHC</w:t>
            </w:r>
          </w:p>
        </w:tc>
        <w:tc>
          <w:tcPr>
            <w:tcW w:w="735" w:type="pct"/>
            <w:vMerge w:val="continue"/>
            <w:vAlign w:val="center"/>
          </w:tcPr>
          <w:p w14:paraId="5DB9D8AF">
            <w:pPr>
              <w:adjustRightInd w:val="0"/>
              <w:snapToGrid w:val="0"/>
              <w:jc w:val="center"/>
              <w:rPr>
                <w:rFonts w:hint="default" w:ascii="Times New Roman" w:hAnsi="Times New Roman" w:cs="Times New Roman"/>
                <w:snapToGrid w:val="0"/>
                <w:color w:val="auto"/>
                <w:kern w:val="0"/>
                <w:szCs w:val="21"/>
                <w:highlight w:val="none"/>
                <w:lang w:val="en-US" w:eastAsia="zh-CN"/>
              </w:rPr>
            </w:pPr>
          </w:p>
        </w:tc>
        <w:tc>
          <w:tcPr>
            <w:tcW w:w="1166" w:type="pct"/>
            <w:vMerge w:val="continue"/>
            <w:vAlign w:val="center"/>
          </w:tcPr>
          <w:p w14:paraId="1AA9505C">
            <w:pPr>
              <w:adjustRightInd w:val="0"/>
              <w:snapToGrid w:val="0"/>
              <w:jc w:val="center"/>
              <w:rPr>
                <w:rFonts w:hint="default" w:ascii="Times New Roman" w:hAnsi="Times New Roman" w:cs="Times New Roman"/>
                <w:snapToGrid w:val="0"/>
                <w:color w:val="auto"/>
                <w:kern w:val="0"/>
                <w:szCs w:val="21"/>
                <w:highlight w:val="none"/>
              </w:rPr>
            </w:pPr>
          </w:p>
        </w:tc>
        <w:tc>
          <w:tcPr>
            <w:tcW w:w="770" w:type="pct"/>
            <w:vAlign w:val="center"/>
          </w:tcPr>
          <w:p w14:paraId="610648A7">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4000</w:t>
            </w:r>
          </w:p>
        </w:tc>
        <w:tc>
          <w:tcPr>
            <w:tcW w:w="672" w:type="pct"/>
            <w:vAlign w:val="center"/>
          </w:tcPr>
          <w:p w14:paraId="47A68C81">
            <w:pPr>
              <w:adjustRightInd w:val="0"/>
              <w:snapToGrid w:val="0"/>
              <w:jc w:val="center"/>
              <w:rPr>
                <w:rFonts w:hint="default" w:ascii="Times New Roman" w:hAnsi="Times New Roman" w:cs="Times New Roman"/>
                <w:bCs/>
                <w:color w:val="auto"/>
                <w:kern w:val="0"/>
                <w:szCs w:val="21"/>
                <w:highlight w:val="none"/>
                <w:lang w:val="en-US" w:eastAsia="zh-CN"/>
              </w:rPr>
            </w:pPr>
            <w:r>
              <w:rPr>
                <w:rFonts w:hint="default" w:ascii="Times New Roman" w:hAnsi="Times New Roman" w:cs="Times New Roman"/>
                <w:bCs/>
                <w:color w:val="auto"/>
                <w:kern w:val="0"/>
                <w:szCs w:val="21"/>
                <w:highlight w:val="none"/>
                <w:lang w:val="en-US" w:eastAsia="zh-CN"/>
              </w:rPr>
              <w:t>0.0001206</w:t>
            </w:r>
          </w:p>
        </w:tc>
      </w:tr>
      <w:tr w14:paraId="1A356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50" w:type="pct"/>
            <w:vMerge w:val="continue"/>
            <w:vAlign w:val="center"/>
          </w:tcPr>
          <w:p w14:paraId="628A4352">
            <w:pPr>
              <w:adjustRightInd w:val="0"/>
              <w:snapToGrid w:val="0"/>
              <w:jc w:val="center"/>
              <w:rPr>
                <w:rFonts w:hint="default" w:ascii="Times New Roman" w:hAnsi="Times New Roman" w:cs="Times New Roman"/>
                <w:snapToGrid w:val="0"/>
                <w:color w:val="auto"/>
                <w:kern w:val="0"/>
                <w:szCs w:val="21"/>
                <w:highlight w:val="none"/>
              </w:rPr>
            </w:pPr>
          </w:p>
        </w:tc>
        <w:tc>
          <w:tcPr>
            <w:tcW w:w="288" w:type="pct"/>
            <w:vMerge w:val="continue"/>
            <w:vAlign w:val="center"/>
          </w:tcPr>
          <w:p w14:paraId="3529BB6C">
            <w:pPr>
              <w:adjustRightInd w:val="0"/>
              <w:snapToGrid w:val="0"/>
              <w:jc w:val="center"/>
              <w:rPr>
                <w:rFonts w:hint="default" w:ascii="Times New Roman" w:hAnsi="Times New Roman" w:cs="Times New Roman"/>
                <w:color w:val="auto"/>
                <w:kern w:val="0"/>
                <w:szCs w:val="21"/>
                <w:highlight w:val="none"/>
              </w:rPr>
            </w:pPr>
          </w:p>
        </w:tc>
        <w:tc>
          <w:tcPr>
            <w:tcW w:w="545" w:type="pct"/>
            <w:vMerge w:val="restart"/>
            <w:vAlign w:val="center"/>
          </w:tcPr>
          <w:p w14:paraId="726547B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柴油储罐呼吸</w:t>
            </w:r>
          </w:p>
        </w:tc>
        <w:tc>
          <w:tcPr>
            <w:tcW w:w="572" w:type="pct"/>
            <w:vMerge w:val="restart"/>
            <w:vAlign w:val="center"/>
          </w:tcPr>
          <w:p w14:paraId="4A259CF8">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NMHC</w:t>
            </w:r>
          </w:p>
        </w:tc>
        <w:tc>
          <w:tcPr>
            <w:tcW w:w="735" w:type="pct"/>
            <w:vMerge w:val="restart"/>
            <w:vAlign w:val="center"/>
          </w:tcPr>
          <w:p w14:paraId="69AF801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采用碳钢材质封闭柴油储罐储存</w:t>
            </w:r>
          </w:p>
        </w:tc>
        <w:tc>
          <w:tcPr>
            <w:tcW w:w="1166" w:type="pct"/>
            <w:vAlign w:val="center"/>
          </w:tcPr>
          <w:p w14:paraId="02E53E30">
            <w:pPr>
              <w:adjustRightInd w:val="0"/>
              <w:snapToGrid w:val="0"/>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color w:val="auto"/>
                <w:kern w:val="0"/>
                <w:szCs w:val="21"/>
                <w:highlight w:val="none"/>
              </w:rPr>
              <w:t>《大气污染物综合排放标准》</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GB16297-1996</w:t>
            </w:r>
            <w:r>
              <w:rPr>
                <w:rFonts w:hint="default" w:ascii="Times New Roman" w:hAnsi="Times New Roman" w:cs="Times New Roman"/>
                <w:color w:val="auto"/>
                <w:kern w:val="0"/>
                <w:szCs w:val="21"/>
                <w:highlight w:val="none"/>
                <w:lang w:val="en-US" w:eastAsia="zh-CN"/>
              </w:rPr>
              <w:t>)</w:t>
            </w:r>
          </w:p>
        </w:tc>
        <w:tc>
          <w:tcPr>
            <w:tcW w:w="770" w:type="pct"/>
            <w:vAlign w:val="center"/>
          </w:tcPr>
          <w:p w14:paraId="2564B3B1">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4000</w:t>
            </w:r>
          </w:p>
        </w:tc>
        <w:tc>
          <w:tcPr>
            <w:tcW w:w="672" w:type="pct"/>
            <w:vMerge w:val="restart"/>
            <w:vAlign w:val="center"/>
          </w:tcPr>
          <w:p w14:paraId="418C7076">
            <w:pPr>
              <w:adjustRightInd w:val="0"/>
              <w:snapToGrid w:val="0"/>
              <w:jc w:val="center"/>
              <w:rPr>
                <w:rFonts w:hint="default" w:ascii="Times New Roman" w:hAnsi="Times New Roman" w:eastAsia="宋体" w:cs="Times New Roman"/>
                <w:bCs/>
                <w:color w:val="auto"/>
                <w:kern w:val="0"/>
                <w:szCs w:val="21"/>
                <w:highlight w:val="none"/>
                <w:lang w:val="en-US" w:eastAsia="zh-CN"/>
              </w:rPr>
            </w:pPr>
            <w:r>
              <w:rPr>
                <w:rFonts w:hint="default" w:ascii="Times New Roman" w:hAnsi="Times New Roman" w:cs="Times New Roman"/>
                <w:bCs/>
                <w:color w:val="auto"/>
                <w:kern w:val="0"/>
                <w:szCs w:val="21"/>
                <w:highlight w:val="none"/>
                <w:lang w:val="en-US" w:eastAsia="zh-CN"/>
              </w:rPr>
              <w:t>0.0006</w:t>
            </w:r>
          </w:p>
        </w:tc>
      </w:tr>
      <w:tr w14:paraId="68C248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250" w:type="pct"/>
            <w:vMerge w:val="continue"/>
            <w:vAlign w:val="center"/>
          </w:tcPr>
          <w:p w14:paraId="2F98364E">
            <w:pPr>
              <w:adjustRightInd w:val="0"/>
              <w:snapToGrid w:val="0"/>
              <w:jc w:val="center"/>
              <w:rPr>
                <w:rFonts w:hint="default" w:ascii="Times New Roman" w:hAnsi="Times New Roman" w:cs="Times New Roman"/>
                <w:color w:val="auto"/>
                <w:kern w:val="0"/>
                <w:sz w:val="24"/>
                <w:szCs w:val="20"/>
                <w:highlight w:val="none"/>
              </w:rPr>
            </w:pPr>
          </w:p>
        </w:tc>
        <w:tc>
          <w:tcPr>
            <w:tcW w:w="288" w:type="pct"/>
            <w:vMerge w:val="continue"/>
            <w:vAlign w:val="center"/>
          </w:tcPr>
          <w:p w14:paraId="42D87D8E">
            <w:pPr>
              <w:adjustRightInd w:val="0"/>
              <w:snapToGrid w:val="0"/>
              <w:jc w:val="center"/>
              <w:rPr>
                <w:rFonts w:hint="default" w:ascii="Times New Roman" w:hAnsi="Times New Roman" w:cs="Times New Roman"/>
                <w:color w:val="auto"/>
                <w:kern w:val="0"/>
                <w:sz w:val="24"/>
                <w:szCs w:val="20"/>
                <w:highlight w:val="none"/>
              </w:rPr>
            </w:pPr>
          </w:p>
        </w:tc>
        <w:tc>
          <w:tcPr>
            <w:tcW w:w="545" w:type="pct"/>
            <w:vMerge w:val="continue"/>
            <w:vAlign w:val="center"/>
          </w:tcPr>
          <w:p w14:paraId="60D88345">
            <w:pPr>
              <w:adjustRightInd w:val="0"/>
              <w:snapToGrid w:val="0"/>
              <w:jc w:val="center"/>
              <w:rPr>
                <w:rFonts w:hint="default" w:ascii="Times New Roman" w:hAnsi="Times New Roman" w:cs="Times New Roman"/>
                <w:color w:val="auto"/>
                <w:kern w:val="0"/>
                <w:sz w:val="24"/>
                <w:szCs w:val="20"/>
                <w:highlight w:val="none"/>
              </w:rPr>
            </w:pPr>
          </w:p>
        </w:tc>
        <w:tc>
          <w:tcPr>
            <w:tcW w:w="572" w:type="pct"/>
            <w:vMerge w:val="continue"/>
            <w:vAlign w:val="center"/>
          </w:tcPr>
          <w:p w14:paraId="04F31ECC">
            <w:pPr>
              <w:adjustRightInd w:val="0"/>
              <w:snapToGrid w:val="0"/>
              <w:jc w:val="center"/>
              <w:rPr>
                <w:rFonts w:hint="default" w:ascii="Times New Roman" w:hAnsi="Times New Roman" w:cs="Times New Roman"/>
                <w:color w:val="auto"/>
                <w:kern w:val="0"/>
                <w:sz w:val="24"/>
                <w:szCs w:val="20"/>
                <w:highlight w:val="none"/>
              </w:rPr>
            </w:pPr>
          </w:p>
        </w:tc>
        <w:tc>
          <w:tcPr>
            <w:tcW w:w="735" w:type="pct"/>
            <w:vMerge w:val="continue"/>
            <w:vAlign w:val="center"/>
          </w:tcPr>
          <w:p w14:paraId="2A517FD8">
            <w:pPr>
              <w:adjustRightInd w:val="0"/>
              <w:snapToGrid w:val="0"/>
              <w:jc w:val="center"/>
              <w:rPr>
                <w:rFonts w:hint="default" w:ascii="Times New Roman" w:hAnsi="Times New Roman" w:cs="Times New Roman"/>
                <w:color w:val="auto"/>
                <w:kern w:val="0"/>
                <w:sz w:val="24"/>
                <w:szCs w:val="20"/>
                <w:highlight w:val="none"/>
              </w:rPr>
            </w:pPr>
          </w:p>
        </w:tc>
        <w:tc>
          <w:tcPr>
            <w:tcW w:w="1166" w:type="pct"/>
            <w:vMerge w:val="restart"/>
            <w:vAlign w:val="center"/>
          </w:tcPr>
          <w:p w14:paraId="05F29027">
            <w:pPr>
              <w:adjustRightInd w:val="0"/>
              <w:snapToGrid w:val="0"/>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rPr>
              <w:t>《挥发性有机物无组织排放控制标准》</w:t>
            </w:r>
            <w:r>
              <w:rPr>
                <w:rFonts w:hint="default" w:ascii="Times New Roman" w:hAnsi="Times New Roman" w:cs="Times New Roman"/>
                <w:snapToGrid w:val="0"/>
                <w:color w:val="auto"/>
                <w:kern w:val="0"/>
                <w:szCs w:val="21"/>
                <w:highlight w:val="none"/>
                <w:lang w:val="en-US" w:eastAsia="zh-CN"/>
              </w:rPr>
              <w:t>(</w:t>
            </w:r>
            <w:r>
              <w:rPr>
                <w:rFonts w:hint="default" w:ascii="Times New Roman" w:hAnsi="Times New Roman" w:cs="Times New Roman"/>
                <w:snapToGrid w:val="0"/>
                <w:color w:val="auto"/>
                <w:kern w:val="0"/>
                <w:szCs w:val="21"/>
                <w:highlight w:val="none"/>
              </w:rPr>
              <w:t>GB37822-2019</w:t>
            </w:r>
            <w:r>
              <w:rPr>
                <w:rFonts w:hint="default" w:ascii="Times New Roman" w:hAnsi="Times New Roman" w:cs="Times New Roman"/>
                <w:snapToGrid w:val="0"/>
                <w:color w:val="auto"/>
                <w:kern w:val="0"/>
                <w:szCs w:val="21"/>
                <w:highlight w:val="none"/>
                <w:lang w:val="en-US" w:eastAsia="zh-CN"/>
              </w:rPr>
              <w:t>)</w:t>
            </w:r>
          </w:p>
        </w:tc>
        <w:tc>
          <w:tcPr>
            <w:tcW w:w="770" w:type="pct"/>
            <w:vAlign w:val="center"/>
          </w:tcPr>
          <w:p w14:paraId="78B14081">
            <w:pPr>
              <w:adjustRightInd w:val="0"/>
              <w:snapToGrid w:val="0"/>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lang w:val="en-US" w:eastAsia="zh-CN"/>
              </w:rPr>
              <w:t>1</w:t>
            </w:r>
            <w:r>
              <w:rPr>
                <w:rFonts w:hint="default" w:ascii="Times New Roman" w:hAnsi="Times New Roman" w:cs="Times New Roman"/>
                <w:snapToGrid w:val="0"/>
                <w:color w:val="auto"/>
                <w:kern w:val="0"/>
                <w:szCs w:val="21"/>
                <w:highlight w:val="none"/>
              </w:rPr>
              <w:t>0000</w:t>
            </w:r>
            <w:r>
              <w:rPr>
                <w:rFonts w:hint="default" w:ascii="Times New Roman" w:hAnsi="Times New Roman" w:cs="Times New Roman"/>
                <w:snapToGrid w:val="0"/>
                <w:color w:val="auto"/>
                <w:kern w:val="0"/>
                <w:szCs w:val="21"/>
                <w:highlight w:val="none"/>
                <w:lang w:eastAsia="zh-CN"/>
              </w:rPr>
              <w:t>（</w:t>
            </w:r>
            <w:r>
              <w:rPr>
                <w:rFonts w:hint="default" w:ascii="Times New Roman" w:hAnsi="Times New Roman" w:cs="Times New Roman"/>
                <w:color w:val="auto"/>
                <w:szCs w:val="21"/>
                <w:highlight w:val="none"/>
              </w:rPr>
              <w:t>监控点处1h平均浓度值</w:t>
            </w:r>
            <w:r>
              <w:rPr>
                <w:rFonts w:hint="default" w:ascii="Times New Roman" w:hAnsi="Times New Roman" w:cs="Times New Roman"/>
                <w:snapToGrid w:val="0"/>
                <w:color w:val="auto"/>
                <w:kern w:val="0"/>
                <w:szCs w:val="21"/>
                <w:highlight w:val="none"/>
                <w:lang w:eastAsia="zh-CN"/>
              </w:rPr>
              <w:t>）</w:t>
            </w:r>
          </w:p>
        </w:tc>
        <w:tc>
          <w:tcPr>
            <w:tcW w:w="672" w:type="pct"/>
            <w:vMerge w:val="continue"/>
            <w:vAlign w:val="center"/>
          </w:tcPr>
          <w:p w14:paraId="5D90ADB0">
            <w:pPr>
              <w:adjustRightInd w:val="0"/>
              <w:snapToGrid w:val="0"/>
              <w:jc w:val="center"/>
              <w:rPr>
                <w:rFonts w:hint="default" w:ascii="Times New Roman" w:hAnsi="Times New Roman" w:cs="Times New Roman"/>
                <w:snapToGrid w:val="0"/>
                <w:color w:val="auto"/>
                <w:kern w:val="0"/>
                <w:szCs w:val="21"/>
                <w:highlight w:val="none"/>
              </w:rPr>
            </w:pPr>
          </w:p>
        </w:tc>
      </w:tr>
      <w:tr w14:paraId="21BF88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250" w:type="pct"/>
            <w:vMerge w:val="continue"/>
            <w:vAlign w:val="center"/>
          </w:tcPr>
          <w:p w14:paraId="536FA0B0">
            <w:pPr>
              <w:adjustRightInd w:val="0"/>
              <w:snapToGrid w:val="0"/>
              <w:jc w:val="center"/>
              <w:rPr>
                <w:rFonts w:hint="default" w:ascii="Times New Roman" w:hAnsi="Times New Roman" w:cs="Times New Roman"/>
                <w:color w:val="auto"/>
                <w:kern w:val="0"/>
                <w:sz w:val="24"/>
                <w:szCs w:val="20"/>
                <w:highlight w:val="none"/>
              </w:rPr>
            </w:pPr>
          </w:p>
        </w:tc>
        <w:tc>
          <w:tcPr>
            <w:tcW w:w="288" w:type="pct"/>
            <w:vMerge w:val="continue"/>
            <w:vAlign w:val="center"/>
          </w:tcPr>
          <w:p w14:paraId="5A095155">
            <w:pPr>
              <w:adjustRightInd w:val="0"/>
              <w:snapToGrid w:val="0"/>
              <w:jc w:val="center"/>
              <w:rPr>
                <w:rFonts w:hint="default" w:ascii="Times New Roman" w:hAnsi="Times New Roman" w:cs="Times New Roman"/>
                <w:color w:val="auto"/>
                <w:kern w:val="0"/>
                <w:sz w:val="24"/>
                <w:szCs w:val="20"/>
                <w:highlight w:val="none"/>
              </w:rPr>
            </w:pPr>
          </w:p>
        </w:tc>
        <w:tc>
          <w:tcPr>
            <w:tcW w:w="545" w:type="pct"/>
            <w:vMerge w:val="continue"/>
            <w:vAlign w:val="center"/>
          </w:tcPr>
          <w:p w14:paraId="7EE6AB89">
            <w:pPr>
              <w:adjustRightInd w:val="0"/>
              <w:snapToGrid w:val="0"/>
              <w:jc w:val="center"/>
              <w:rPr>
                <w:rFonts w:hint="default" w:ascii="Times New Roman" w:hAnsi="Times New Roman" w:cs="Times New Roman"/>
                <w:color w:val="auto"/>
                <w:kern w:val="0"/>
                <w:sz w:val="24"/>
                <w:szCs w:val="20"/>
                <w:highlight w:val="none"/>
              </w:rPr>
            </w:pPr>
          </w:p>
        </w:tc>
        <w:tc>
          <w:tcPr>
            <w:tcW w:w="572" w:type="pct"/>
            <w:vMerge w:val="continue"/>
            <w:vAlign w:val="center"/>
          </w:tcPr>
          <w:p w14:paraId="7A3A3DD0">
            <w:pPr>
              <w:adjustRightInd w:val="0"/>
              <w:snapToGrid w:val="0"/>
              <w:jc w:val="center"/>
              <w:rPr>
                <w:rFonts w:hint="default" w:ascii="Times New Roman" w:hAnsi="Times New Roman" w:cs="Times New Roman"/>
                <w:color w:val="auto"/>
                <w:kern w:val="0"/>
                <w:sz w:val="24"/>
                <w:szCs w:val="20"/>
                <w:highlight w:val="none"/>
              </w:rPr>
            </w:pPr>
          </w:p>
        </w:tc>
        <w:tc>
          <w:tcPr>
            <w:tcW w:w="735" w:type="pct"/>
            <w:vMerge w:val="continue"/>
            <w:vAlign w:val="center"/>
          </w:tcPr>
          <w:p w14:paraId="343C4CB6">
            <w:pPr>
              <w:adjustRightInd w:val="0"/>
              <w:snapToGrid w:val="0"/>
              <w:jc w:val="center"/>
              <w:rPr>
                <w:rFonts w:hint="default" w:ascii="Times New Roman" w:hAnsi="Times New Roman" w:cs="Times New Roman"/>
                <w:color w:val="auto"/>
                <w:kern w:val="0"/>
                <w:sz w:val="24"/>
                <w:szCs w:val="20"/>
                <w:highlight w:val="none"/>
              </w:rPr>
            </w:pPr>
          </w:p>
        </w:tc>
        <w:tc>
          <w:tcPr>
            <w:tcW w:w="1166" w:type="pct"/>
            <w:vMerge w:val="continue"/>
            <w:vAlign w:val="center"/>
          </w:tcPr>
          <w:p w14:paraId="4428307E">
            <w:pPr>
              <w:adjustRightInd w:val="0"/>
              <w:snapToGrid w:val="0"/>
              <w:jc w:val="center"/>
              <w:rPr>
                <w:rFonts w:hint="default" w:ascii="Times New Roman" w:hAnsi="Times New Roman" w:cs="Times New Roman"/>
                <w:snapToGrid w:val="0"/>
                <w:color w:val="auto"/>
                <w:kern w:val="0"/>
                <w:szCs w:val="21"/>
                <w:highlight w:val="none"/>
              </w:rPr>
            </w:pPr>
          </w:p>
        </w:tc>
        <w:tc>
          <w:tcPr>
            <w:tcW w:w="770" w:type="pct"/>
            <w:vAlign w:val="center"/>
          </w:tcPr>
          <w:p w14:paraId="55EA7871">
            <w:pPr>
              <w:adjustRightInd w:val="0"/>
              <w:snapToGrid w:val="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30000（</w:t>
            </w:r>
            <w:r>
              <w:rPr>
                <w:rFonts w:hint="default" w:ascii="Times New Roman" w:hAnsi="Times New Roman" w:cs="Times New Roman"/>
                <w:color w:val="auto"/>
                <w:szCs w:val="21"/>
                <w:highlight w:val="none"/>
              </w:rPr>
              <w:t>监控点处任意一次浓度值</w:t>
            </w:r>
            <w:r>
              <w:rPr>
                <w:rFonts w:hint="default" w:ascii="Times New Roman" w:hAnsi="Times New Roman" w:cs="Times New Roman"/>
                <w:snapToGrid w:val="0"/>
                <w:color w:val="auto"/>
                <w:kern w:val="0"/>
                <w:szCs w:val="21"/>
                <w:highlight w:val="none"/>
                <w:lang w:val="en-US" w:eastAsia="zh-CN"/>
              </w:rPr>
              <w:t>）</w:t>
            </w:r>
          </w:p>
        </w:tc>
        <w:tc>
          <w:tcPr>
            <w:tcW w:w="672" w:type="pct"/>
            <w:vMerge w:val="continue"/>
            <w:vAlign w:val="center"/>
          </w:tcPr>
          <w:p w14:paraId="5E457775">
            <w:pPr>
              <w:adjustRightInd w:val="0"/>
              <w:snapToGrid w:val="0"/>
              <w:jc w:val="center"/>
              <w:rPr>
                <w:rFonts w:hint="default" w:ascii="Times New Roman" w:hAnsi="Times New Roman" w:cs="Times New Roman"/>
                <w:snapToGrid w:val="0"/>
                <w:color w:val="auto"/>
                <w:kern w:val="0"/>
                <w:szCs w:val="21"/>
                <w:highlight w:val="none"/>
              </w:rPr>
            </w:pPr>
          </w:p>
        </w:tc>
      </w:tr>
      <w:tr w14:paraId="6B7B25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000" w:type="pct"/>
            <w:gridSpan w:val="8"/>
            <w:vAlign w:val="center"/>
          </w:tcPr>
          <w:p w14:paraId="5D5D02A4">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无组织排放总计</w:t>
            </w:r>
          </w:p>
        </w:tc>
      </w:tr>
      <w:tr w14:paraId="142BB7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5" w:type="pct"/>
            <w:gridSpan w:val="4"/>
            <w:vMerge w:val="restart"/>
            <w:vAlign w:val="center"/>
          </w:tcPr>
          <w:p w14:paraId="2EDCE34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kern w:val="0"/>
                <w:szCs w:val="21"/>
                <w:highlight w:val="none"/>
              </w:rPr>
              <w:t>无组织排放总计</w:t>
            </w:r>
          </w:p>
        </w:tc>
        <w:tc>
          <w:tcPr>
            <w:tcW w:w="1901" w:type="pct"/>
            <w:gridSpan w:val="2"/>
            <w:vAlign w:val="center"/>
          </w:tcPr>
          <w:p w14:paraId="7735C42E">
            <w:pPr>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color w:val="auto"/>
                <w:kern w:val="0"/>
                <w:szCs w:val="21"/>
                <w:highlight w:val="none"/>
              </w:rPr>
              <w:t>粉尘</w:t>
            </w:r>
          </w:p>
        </w:tc>
        <w:tc>
          <w:tcPr>
            <w:tcW w:w="1442" w:type="pct"/>
            <w:gridSpan w:val="2"/>
            <w:vAlign w:val="center"/>
          </w:tcPr>
          <w:p w14:paraId="65070AD5">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0.1016</w:t>
            </w:r>
          </w:p>
        </w:tc>
      </w:tr>
      <w:tr w14:paraId="426865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5" w:type="pct"/>
            <w:gridSpan w:val="4"/>
            <w:vMerge w:val="continue"/>
            <w:vAlign w:val="center"/>
          </w:tcPr>
          <w:p w14:paraId="354C2CAB">
            <w:pPr>
              <w:adjustRightInd w:val="0"/>
              <w:snapToGrid w:val="0"/>
              <w:jc w:val="center"/>
              <w:rPr>
                <w:rFonts w:hint="default" w:ascii="Times New Roman" w:hAnsi="Times New Roman" w:cs="Times New Roman"/>
                <w:color w:val="auto"/>
                <w:kern w:val="0"/>
                <w:szCs w:val="21"/>
                <w:highlight w:val="none"/>
              </w:rPr>
            </w:pPr>
          </w:p>
        </w:tc>
        <w:tc>
          <w:tcPr>
            <w:tcW w:w="1901" w:type="pct"/>
            <w:gridSpan w:val="2"/>
            <w:vAlign w:val="center"/>
          </w:tcPr>
          <w:p w14:paraId="4B39374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snapToGrid w:val="0"/>
                <w:color w:val="auto"/>
                <w:kern w:val="0"/>
                <w:szCs w:val="21"/>
                <w:highlight w:val="none"/>
                <w:lang w:val="en-US" w:eastAsia="zh-CN"/>
              </w:rPr>
              <w:t>沥青烟</w:t>
            </w:r>
          </w:p>
        </w:tc>
        <w:tc>
          <w:tcPr>
            <w:tcW w:w="1442" w:type="pct"/>
            <w:gridSpan w:val="2"/>
            <w:vAlign w:val="center"/>
          </w:tcPr>
          <w:p w14:paraId="58A293EB">
            <w:pPr>
              <w:adjustRightInd w:val="0"/>
              <w:snapToGrid w:val="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bCs/>
                <w:color w:val="auto"/>
                <w:kern w:val="0"/>
                <w:szCs w:val="21"/>
                <w:highlight w:val="none"/>
                <w:lang w:val="en-US" w:eastAsia="zh-CN"/>
              </w:rPr>
              <w:t>0.0201</w:t>
            </w:r>
          </w:p>
        </w:tc>
      </w:tr>
      <w:tr w14:paraId="35172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5" w:type="pct"/>
            <w:gridSpan w:val="4"/>
            <w:vMerge w:val="continue"/>
            <w:vAlign w:val="center"/>
          </w:tcPr>
          <w:p w14:paraId="4E3EA590">
            <w:pPr>
              <w:adjustRightInd w:val="0"/>
              <w:snapToGrid w:val="0"/>
              <w:jc w:val="center"/>
              <w:rPr>
                <w:rFonts w:hint="default" w:ascii="Times New Roman" w:hAnsi="Times New Roman" w:cs="Times New Roman"/>
                <w:color w:val="auto"/>
                <w:kern w:val="0"/>
                <w:szCs w:val="21"/>
                <w:highlight w:val="none"/>
              </w:rPr>
            </w:pPr>
          </w:p>
        </w:tc>
        <w:tc>
          <w:tcPr>
            <w:tcW w:w="1901" w:type="pct"/>
            <w:gridSpan w:val="2"/>
            <w:vAlign w:val="center"/>
          </w:tcPr>
          <w:p w14:paraId="3139F46F">
            <w:pPr>
              <w:adjustRightInd w:val="0"/>
              <w:snapToGrid w:val="0"/>
              <w:jc w:val="center"/>
              <w:rPr>
                <w:rFonts w:hint="default" w:ascii="Times New Roman" w:hAnsi="Times New Roman" w:cs="Times New Roman"/>
                <w:color w:val="auto"/>
                <w:kern w:val="0"/>
                <w:szCs w:val="21"/>
                <w:highlight w:val="none"/>
              </w:rPr>
            </w:pPr>
            <w:r>
              <w:rPr>
                <w:rStyle w:val="66"/>
                <w:rFonts w:hint="default" w:ascii="Times New Roman" w:hAnsi="Times New Roman" w:cs="Times New Roman"/>
                <w:color w:val="auto"/>
                <w:sz w:val="21"/>
                <w:szCs w:val="21"/>
                <w:highlight w:val="none"/>
              </w:rPr>
              <w:t>苯并[a]芘</w:t>
            </w:r>
          </w:p>
        </w:tc>
        <w:tc>
          <w:tcPr>
            <w:tcW w:w="1442" w:type="pct"/>
            <w:gridSpan w:val="2"/>
            <w:vAlign w:val="center"/>
          </w:tcPr>
          <w:p w14:paraId="6853906E">
            <w:pPr>
              <w:adjustRightInd w:val="0"/>
              <w:snapToGrid w:val="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bCs/>
                <w:color w:val="auto"/>
                <w:kern w:val="0"/>
                <w:szCs w:val="21"/>
                <w:highlight w:val="none"/>
                <w:lang w:val="en-US" w:eastAsia="zh-CN"/>
              </w:rPr>
              <w:t>4.02×10</w:t>
            </w:r>
            <w:r>
              <w:rPr>
                <w:rFonts w:hint="default" w:ascii="Times New Roman" w:hAnsi="Times New Roman" w:cs="Times New Roman"/>
                <w:bCs/>
                <w:color w:val="auto"/>
                <w:kern w:val="0"/>
                <w:szCs w:val="21"/>
                <w:highlight w:val="none"/>
                <w:vertAlign w:val="superscript"/>
                <w:lang w:val="en-US" w:eastAsia="zh-CN"/>
              </w:rPr>
              <w:t>-7</w:t>
            </w:r>
          </w:p>
        </w:tc>
      </w:tr>
      <w:tr w14:paraId="390590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5" w:type="pct"/>
            <w:gridSpan w:val="4"/>
            <w:vMerge w:val="continue"/>
            <w:vAlign w:val="center"/>
          </w:tcPr>
          <w:p w14:paraId="319FA2CE">
            <w:pPr>
              <w:adjustRightInd w:val="0"/>
              <w:snapToGrid w:val="0"/>
              <w:jc w:val="center"/>
              <w:rPr>
                <w:rFonts w:hint="default" w:ascii="Times New Roman" w:hAnsi="Times New Roman" w:cs="Times New Roman"/>
                <w:color w:val="auto"/>
                <w:kern w:val="0"/>
                <w:szCs w:val="21"/>
                <w:highlight w:val="none"/>
              </w:rPr>
            </w:pPr>
          </w:p>
        </w:tc>
        <w:tc>
          <w:tcPr>
            <w:tcW w:w="1901" w:type="pct"/>
            <w:gridSpan w:val="2"/>
            <w:vAlign w:val="center"/>
          </w:tcPr>
          <w:p w14:paraId="4AD48EF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非甲烷总烃</w:t>
            </w:r>
          </w:p>
        </w:tc>
        <w:tc>
          <w:tcPr>
            <w:tcW w:w="1442" w:type="pct"/>
            <w:gridSpan w:val="2"/>
            <w:vAlign w:val="center"/>
          </w:tcPr>
          <w:p w14:paraId="4D3AAE0E">
            <w:pPr>
              <w:adjustRightInd w:val="0"/>
              <w:snapToGrid w:val="0"/>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0.0007206</w:t>
            </w:r>
          </w:p>
        </w:tc>
      </w:tr>
    </w:tbl>
    <w:p w14:paraId="588464C5">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表5-3大气污染物年放量核算表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3177"/>
        <w:gridCol w:w="3601"/>
      </w:tblGrid>
      <w:tr w14:paraId="488C0C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vAlign w:val="center"/>
          </w:tcPr>
          <w:p w14:paraId="05B6C72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序号</w:t>
            </w:r>
          </w:p>
        </w:tc>
        <w:tc>
          <w:tcPr>
            <w:tcW w:w="1864" w:type="pct"/>
            <w:vAlign w:val="center"/>
          </w:tcPr>
          <w:p w14:paraId="52F4199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污染物</w:t>
            </w:r>
          </w:p>
        </w:tc>
        <w:tc>
          <w:tcPr>
            <w:tcW w:w="2113" w:type="pct"/>
            <w:vAlign w:val="center"/>
          </w:tcPr>
          <w:p w14:paraId="48989A7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年排放量（t/a）</w:t>
            </w:r>
          </w:p>
        </w:tc>
      </w:tr>
      <w:tr w14:paraId="0CA4F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vAlign w:val="center"/>
          </w:tcPr>
          <w:p w14:paraId="38439BF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1</w:t>
            </w:r>
          </w:p>
        </w:tc>
        <w:tc>
          <w:tcPr>
            <w:tcW w:w="3177" w:type="dxa"/>
            <w:vAlign w:val="center"/>
          </w:tcPr>
          <w:p w14:paraId="63F807AF">
            <w:pPr>
              <w:keepNext w:val="0"/>
              <w:keepLines w:val="0"/>
              <w:widowControl/>
              <w:suppressLineNumbers w:val="0"/>
              <w:jc w:val="center"/>
              <w:textAlignment w:val="center"/>
              <w:rPr>
                <w:rFonts w:hint="default" w:ascii="Times New Roman" w:hAnsi="Times New Roman" w:cs="Times New Roman"/>
                <w:snapToGrid w:val="0"/>
                <w:color w:val="auto"/>
                <w:szCs w:val="21"/>
                <w:highlight w:val="none"/>
              </w:rPr>
            </w:pPr>
            <w:r>
              <w:rPr>
                <w:rFonts w:hint="default" w:ascii="Times New Roman" w:hAnsi="Times New Roman" w:eastAsia="宋体" w:cs="Times New Roman"/>
                <w:color w:val="auto"/>
                <w:kern w:val="0"/>
                <w:sz w:val="21"/>
                <w:szCs w:val="21"/>
                <w:highlight w:val="none"/>
                <w:lang w:val="en-US" w:eastAsia="zh-CN" w:bidi="ar-SA"/>
              </w:rPr>
              <w:t>颗粒物</w:t>
            </w:r>
          </w:p>
        </w:tc>
        <w:tc>
          <w:tcPr>
            <w:tcW w:w="3601" w:type="dxa"/>
            <w:vAlign w:val="center"/>
          </w:tcPr>
          <w:p w14:paraId="5C5BC9B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0.156</w:t>
            </w:r>
          </w:p>
        </w:tc>
      </w:tr>
      <w:tr w14:paraId="2C1DDA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vAlign w:val="center"/>
          </w:tcPr>
          <w:p w14:paraId="21C09C5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2</w:t>
            </w:r>
          </w:p>
        </w:tc>
        <w:tc>
          <w:tcPr>
            <w:tcW w:w="3177" w:type="dxa"/>
            <w:vAlign w:val="center"/>
          </w:tcPr>
          <w:p w14:paraId="0697A517">
            <w:pPr>
              <w:keepNext w:val="0"/>
              <w:keepLines w:val="0"/>
              <w:widowControl/>
              <w:suppressLineNumbers w:val="0"/>
              <w:jc w:val="center"/>
              <w:textAlignment w:val="center"/>
              <w:rPr>
                <w:rFonts w:hint="default" w:ascii="Times New Roman" w:hAnsi="Times New Roman" w:cs="Times New Roman"/>
                <w:snapToGrid w:val="0"/>
                <w:color w:val="auto"/>
                <w:kern w:val="0"/>
                <w:szCs w:val="21"/>
                <w:highlight w:val="none"/>
              </w:rPr>
            </w:pPr>
            <w:r>
              <w:rPr>
                <w:rFonts w:hint="default" w:ascii="Times New Roman" w:hAnsi="Times New Roman" w:eastAsia="宋体" w:cs="Times New Roman"/>
                <w:color w:val="auto"/>
                <w:kern w:val="0"/>
                <w:sz w:val="21"/>
                <w:szCs w:val="21"/>
                <w:highlight w:val="none"/>
                <w:lang w:val="en-US" w:eastAsia="zh-CN" w:bidi="ar-SA"/>
              </w:rPr>
              <w:t>二氧化硫</w:t>
            </w:r>
          </w:p>
        </w:tc>
        <w:tc>
          <w:tcPr>
            <w:tcW w:w="3601" w:type="dxa"/>
            <w:vAlign w:val="center"/>
          </w:tcPr>
          <w:p w14:paraId="2CD30A2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0.007</w:t>
            </w:r>
          </w:p>
        </w:tc>
      </w:tr>
      <w:tr w14:paraId="1DAECA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vAlign w:val="center"/>
          </w:tcPr>
          <w:p w14:paraId="230F233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3</w:t>
            </w:r>
          </w:p>
        </w:tc>
        <w:tc>
          <w:tcPr>
            <w:tcW w:w="3177" w:type="dxa"/>
            <w:vAlign w:val="center"/>
          </w:tcPr>
          <w:p w14:paraId="79E5DCE8">
            <w:pPr>
              <w:keepNext w:val="0"/>
              <w:keepLines w:val="0"/>
              <w:widowControl/>
              <w:suppressLineNumbers w:val="0"/>
              <w:jc w:val="center"/>
              <w:textAlignment w:val="center"/>
              <w:rPr>
                <w:rFonts w:hint="default" w:ascii="Times New Roman" w:hAnsi="Times New Roman" w:cs="Times New Roman"/>
                <w:snapToGrid w:val="0"/>
                <w:color w:val="auto"/>
                <w:kern w:val="0"/>
                <w:szCs w:val="21"/>
                <w:highlight w:val="none"/>
              </w:rPr>
            </w:pPr>
            <w:r>
              <w:rPr>
                <w:rFonts w:hint="default" w:ascii="Times New Roman" w:hAnsi="Times New Roman" w:eastAsia="宋体" w:cs="Times New Roman"/>
                <w:color w:val="auto"/>
                <w:kern w:val="0"/>
                <w:sz w:val="21"/>
                <w:szCs w:val="21"/>
                <w:highlight w:val="none"/>
                <w:lang w:val="en-US" w:eastAsia="zh-CN" w:bidi="ar-SA"/>
              </w:rPr>
              <w:t>氮氧化物</w:t>
            </w:r>
          </w:p>
        </w:tc>
        <w:tc>
          <w:tcPr>
            <w:tcW w:w="3601" w:type="dxa"/>
            <w:vAlign w:val="center"/>
          </w:tcPr>
          <w:p w14:paraId="5FF247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0.787</w:t>
            </w:r>
          </w:p>
        </w:tc>
      </w:tr>
      <w:tr w14:paraId="79AF9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vAlign w:val="center"/>
          </w:tcPr>
          <w:p w14:paraId="1040B69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4</w:t>
            </w:r>
          </w:p>
        </w:tc>
        <w:tc>
          <w:tcPr>
            <w:tcW w:w="3177" w:type="dxa"/>
            <w:vAlign w:val="center"/>
          </w:tcPr>
          <w:p w14:paraId="0C52C061">
            <w:pPr>
              <w:keepNext w:val="0"/>
              <w:keepLines w:val="0"/>
              <w:widowControl/>
              <w:suppressLineNumbers w:val="0"/>
              <w:jc w:val="center"/>
              <w:textAlignment w:val="center"/>
              <w:rPr>
                <w:rFonts w:hint="default" w:ascii="Times New Roman" w:hAnsi="Times New Roman" w:cs="Times New Roman"/>
                <w:snapToGrid w:val="0"/>
                <w:color w:val="auto"/>
                <w:kern w:val="0"/>
                <w:szCs w:val="21"/>
                <w:highlight w:val="none"/>
              </w:rPr>
            </w:pPr>
            <w:r>
              <w:rPr>
                <w:rFonts w:hint="default" w:ascii="Times New Roman" w:hAnsi="Times New Roman" w:eastAsia="宋体" w:cs="Times New Roman"/>
                <w:color w:val="auto"/>
                <w:kern w:val="0"/>
                <w:sz w:val="21"/>
                <w:szCs w:val="21"/>
                <w:highlight w:val="none"/>
                <w:lang w:val="en-US" w:eastAsia="zh-CN" w:bidi="ar-SA"/>
              </w:rPr>
              <w:t>沥青烟</w:t>
            </w:r>
          </w:p>
        </w:tc>
        <w:tc>
          <w:tcPr>
            <w:tcW w:w="3601" w:type="dxa"/>
            <w:vAlign w:val="center"/>
          </w:tcPr>
          <w:p w14:paraId="4796DAD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0.1191</w:t>
            </w:r>
          </w:p>
        </w:tc>
      </w:tr>
      <w:tr w14:paraId="0046C4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vAlign w:val="center"/>
          </w:tcPr>
          <w:p w14:paraId="7433AF6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w:t>
            </w:r>
          </w:p>
        </w:tc>
        <w:tc>
          <w:tcPr>
            <w:tcW w:w="3177" w:type="dxa"/>
            <w:vAlign w:val="center"/>
          </w:tcPr>
          <w:p w14:paraId="1C52F13A">
            <w:pPr>
              <w:keepNext w:val="0"/>
              <w:keepLines w:val="0"/>
              <w:widowControl/>
              <w:suppressLineNumbers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1"/>
                <w:szCs w:val="21"/>
                <w:highlight w:val="none"/>
                <w:lang w:val="en-US" w:eastAsia="zh-CN" w:bidi="ar-SA"/>
              </w:rPr>
              <w:t>苯并[a]芘</w:t>
            </w:r>
          </w:p>
        </w:tc>
        <w:tc>
          <w:tcPr>
            <w:tcW w:w="3601" w:type="dxa"/>
            <w:vAlign w:val="center"/>
          </w:tcPr>
          <w:p w14:paraId="7F31CC64">
            <w:pPr>
              <w:pStyle w:val="20"/>
              <w:tabs>
                <w:tab w:val="right" w:leader="dot" w:pos="8720"/>
              </w:tabs>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color w:val="auto"/>
                <w:szCs w:val="21"/>
                <w:highlight w:val="none"/>
                <w:lang w:val="en-US" w:eastAsia="zh-CN"/>
              </w:rPr>
              <w:t>2.402</w:t>
            </w:r>
            <w:r>
              <w:rPr>
                <w:rFonts w:hint="default" w:ascii="Times New Roman" w:hAnsi="Times New Roman" w:cs="Times New Roman"/>
                <w:color w:val="auto"/>
                <w:szCs w:val="21"/>
                <w:highlight w:val="none"/>
              </w:rPr>
              <w:t>×10</w:t>
            </w:r>
            <w:r>
              <w:rPr>
                <w:rFonts w:hint="default" w:ascii="Times New Roman" w:hAnsi="Times New Roman" w:cs="Times New Roman"/>
                <w:color w:val="auto"/>
                <w:szCs w:val="21"/>
                <w:highlight w:val="none"/>
                <w:vertAlign w:val="superscript"/>
              </w:rPr>
              <w:t>-</w:t>
            </w:r>
            <w:r>
              <w:rPr>
                <w:rFonts w:hint="default" w:ascii="Times New Roman" w:hAnsi="Times New Roman" w:cs="Times New Roman"/>
                <w:color w:val="auto"/>
                <w:szCs w:val="21"/>
                <w:highlight w:val="none"/>
                <w:vertAlign w:val="superscript"/>
                <w:lang w:val="en-US" w:eastAsia="zh-CN"/>
              </w:rPr>
              <w:t>6</w:t>
            </w:r>
          </w:p>
        </w:tc>
      </w:tr>
      <w:tr w14:paraId="0B5A88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vAlign w:val="center"/>
          </w:tcPr>
          <w:p w14:paraId="18C8300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6</w:t>
            </w:r>
          </w:p>
        </w:tc>
        <w:tc>
          <w:tcPr>
            <w:tcW w:w="3177" w:type="dxa"/>
            <w:vAlign w:val="center"/>
          </w:tcPr>
          <w:p w14:paraId="66052C93">
            <w:pPr>
              <w:keepNext w:val="0"/>
              <w:keepLines w:val="0"/>
              <w:widowControl/>
              <w:suppressLineNumbers w:val="0"/>
              <w:jc w:val="center"/>
              <w:textAlignment w:val="center"/>
              <w:rPr>
                <w:rFonts w:hint="default" w:ascii="Times New Roman" w:hAnsi="Times New Roman" w:cs="Times New Roman"/>
                <w:snapToGrid w:val="0"/>
                <w:color w:val="auto"/>
                <w:kern w:val="0"/>
                <w:szCs w:val="21"/>
                <w:highlight w:val="none"/>
              </w:rPr>
            </w:pPr>
            <w:r>
              <w:rPr>
                <w:rFonts w:hint="default" w:ascii="Times New Roman" w:hAnsi="Times New Roman" w:eastAsia="宋体" w:cs="Times New Roman"/>
                <w:color w:val="auto"/>
                <w:kern w:val="0"/>
                <w:sz w:val="21"/>
                <w:szCs w:val="21"/>
                <w:highlight w:val="none"/>
                <w:lang w:val="en-US" w:eastAsia="zh-CN" w:bidi="ar-SA"/>
              </w:rPr>
              <w:t>NMHC</w:t>
            </w:r>
          </w:p>
        </w:tc>
        <w:tc>
          <w:tcPr>
            <w:tcW w:w="3601" w:type="dxa"/>
            <w:vAlign w:val="center"/>
          </w:tcPr>
          <w:p w14:paraId="1A29414D">
            <w:pPr>
              <w:keepNext w:val="0"/>
              <w:keepLines w:val="0"/>
              <w:widowControl/>
              <w:suppressLineNumbers w:val="0"/>
              <w:jc w:val="center"/>
              <w:textAlignment w:val="center"/>
              <w:rPr>
                <w:rFonts w:hint="default" w:ascii="Times New Roman" w:hAnsi="Times New Roman" w:cs="Times New Roman"/>
                <w:snapToGrid w:val="0"/>
                <w:color w:val="auto"/>
                <w:kern w:val="0"/>
                <w:szCs w:val="21"/>
                <w:highlight w:val="none"/>
                <w:lang w:val="en-US"/>
              </w:rPr>
            </w:pPr>
            <w:r>
              <w:rPr>
                <w:rFonts w:hint="default" w:ascii="Times New Roman" w:hAnsi="Times New Roman" w:eastAsia="宋体" w:cs="Times New Roman"/>
                <w:color w:val="auto"/>
                <w:kern w:val="0"/>
                <w:sz w:val="21"/>
                <w:szCs w:val="21"/>
                <w:highlight w:val="none"/>
                <w:lang w:val="en-US" w:eastAsia="zh-CN" w:bidi="ar-SA"/>
              </w:rPr>
              <w:t>0.00</w:t>
            </w:r>
            <w:r>
              <w:rPr>
                <w:rFonts w:hint="default" w:ascii="Times New Roman" w:hAnsi="Times New Roman" w:cs="Times New Roman"/>
                <w:color w:val="auto"/>
                <w:kern w:val="0"/>
                <w:sz w:val="21"/>
                <w:szCs w:val="21"/>
                <w:highlight w:val="none"/>
                <w:lang w:val="en-US" w:eastAsia="zh-CN" w:bidi="ar-SA"/>
              </w:rPr>
              <w:t>13176</w:t>
            </w:r>
          </w:p>
        </w:tc>
      </w:tr>
      <w:tr w14:paraId="5FB03E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3" w:type="pct"/>
            <w:vAlign w:val="center"/>
          </w:tcPr>
          <w:p w14:paraId="7FCE310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7</w:t>
            </w:r>
          </w:p>
        </w:tc>
        <w:tc>
          <w:tcPr>
            <w:tcW w:w="3177" w:type="dxa"/>
            <w:shd w:val="clear" w:color="auto" w:fill="auto"/>
            <w:vAlign w:val="center"/>
          </w:tcPr>
          <w:p w14:paraId="7E12ACCF">
            <w:pPr>
              <w:keepNext w:val="0"/>
              <w:keepLines w:val="0"/>
              <w:widowControl/>
              <w:suppressLineNumbers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color w:val="auto"/>
                <w:kern w:val="0"/>
                <w:sz w:val="21"/>
                <w:szCs w:val="21"/>
                <w:highlight w:val="none"/>
                <w:lang w:val="en-US" w:eastAsia="zh-CN" w:bidi="ar-SA"/>
              </w:rPr>
              <w:t>粉尘</w:t>
            </w:r>
          </w:p>
        </w:tc>
        <w:tc>
          <w:tcPr>
            <w:tcW w:w="3601" w:type="dxa"/>
            <w:shd w:val="clear" w:color="auto" w:fill="auto"/>
            <w:vAlign w:val="center"/>
          </w:tcPr>
          <w:p w14:paraId="6C80DCC6">
            <w:pPr>
              <w:keepNext w:val="0"/>
              <w:keepLines w:val="0"/>
              <w:widowControl/>
              <w:suppressLineNumbers w:val="0"/>
              <w:jc w:val="center"/>
              <w:textAlignment w:val="center"/>
              <w:rPr>
                <w:rFonts w:hint="default" w:ascii="Times New Roman" w:hAnsi="Times New Roman" w:cs="Times New Roman"/>
                <w:bCs/>
                <w:color w:val="auto"/>
                <w:kern w:val="0"/>
                <w:szCs w:val="21"/>
                <w:highlight w:val="none"/>
                <w:lang w:val="en-US"/>
              </w:rPr>
            </w:pPr>
            <w:r>
              <w:rPr>
                <w:rFonts w:hint="default" w:ascii="Times New Roman" w:hAnsi="Times New Roman" w:cs="Times New Roman"/>
                <w:color w:val="auto"/>
                <w:kern w:val="0"/>
                <w:sz w:val="21"/>
                <w:szCs w:val="21"/>
                <w:highlight w:val="none"/>
                <w:lang w:val="en-US" w:eastAsia="zh-CN" w:bidi="ar-SA"/>
              </w:rPr>
              <w:t>0.1016</w:t>
            </w:r>
          </w:p>
        </w:tc>
      </w:tr>
    </w:tbl>
    <w:p w14:paraId="0347D8ED">
      <w:pP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br w:type="page"/>
      </w:r>
    </w:p>
    <w:p w14:paraId="1EF6BE7C">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表5-4污染源非正常排放量核算表</w:t>
      </w:r>
    </w:p>
    <w:tbl>
      <w:tblPr>
        <w:tblStyle w:val="30"/>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5"/>
        <w:gridCol w:w="650"/>
        <w:gridCol w:w="854"/>
        <w:gridCol w:w="741"/>
        <w:gridCol w:w="1125"/>
        <w:gridCol w:w="788"/>
        <w:gridCol w:w="473"/>
        <w:gridCol w:w="473"/>
        <w:gridCol w:w="1260"/>
        <w:gridCol w:w="947"/>
        <w:gridCol w:w="438"/>
      </w:tblGrid>
      <w:tr w14:paraId="67DE2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vMerge w:val="restart"/>
            <w:vAlign w:val="center"/>
          </w:tcPr>
          <w:p w14:paraId="3BC2721D">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工序/生产线</w:t>
            </w:r>
          </w:p>
        </w:tc>
        <w:tc>
          <w:tcPr>
            <w:tcW w:w="381" w:type="pct"/>
            <w:vMerge w:val="restart"/>
            <w:vAlign w:val="center"/>
          </w:tcPr>
          <w:p w14:paraId="16F52974">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污染源</w:t>
            </w:r>
          </w:p>
        </w:tc>
        <w:tc>
          <w:tcPr>
            <w:tcW w:w="501" w:type="pct"/>
            <w:vMerge w:val="restart"/>
            <w:vAlign w:val="center"/>
          </w:tcPr>
          <w:p w14:paraId="5B2BEC46">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w:t>
            </w:r>
          </w:p>
        </w:tc>
        <w:tc>
          <w:tcPr>
            <w:tcW w:w="1095" w:type="pct"/>
            <w:gridSpan w:val="2"/>
            <w:vAlign w:val="center"/>
          </w:tcPr>
          <w:p w14:paraId="4FD3C5A0">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污染物产生</w:t>
            </w:r>
          </w:p>
        </w:tc>
        <w:tc>
          <w:tcPr>
            <w:tcW w:w="740" w:type="pct"/>
            <w:gridSpan w:val="2"/>
            <w:vAlign w:val="center"/>
          </w:tcPr>
          <w:p w14:paraId="24523948">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治理措施</w:t>
            </w:r>
          </w:p>
        </w:tc>
        <w:tc>
          <w:tcPr>
            <w:tcW w:w="1573" w:type="pct"/>
            <w:gridSpan w:val="3"/>
            <w:vAlign w:val="center"/>
          </w:tcPr>
          <w:p w14:paraId="703C11BD">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w:t>
            </w:r>
          </w:p>
        </w:tc>
        <w:tc>
          <w:tcPr>
            <w:tcW w:w="257" w:type="pct"/>
            <w:vMerge w:val="restart"/>
            <w:vAlign w:val="center"/>
          </w:tcPr>
          <w:p w14:paraId="2972D252">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w:t>
            </w:r>
          </w:p>
          <w:p w14:paraId="64014AFA">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时间</w:t>
            </w:r>
          </w:p>
        </w:tc>
      </w:tr>
      <w:tr w14:paraId="7F94A4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vMerge w:val="continue"/>
            <w:vAlign w:val="center"/>
          </w:tcPr>
          <w:p w14:paraId="3BB54A83">
            <w:pPr>
              <w:jc w:val="center"/>
              <w:rPr>
                <w:rFonts w:hint="default" w:ascii="Times New Roman" w:hAnsi="Times New Roman" w:cs="Times New Roman"/>
                <w:color w:val="auto"/>
                <w:kern w:val="0"/>
                <w:szCs w:val="21"/>
                <w:highlight w:val="none"/>
              </w:rPr>
            </w:pPr>
          </w:p>
        </w:tc>
        <w:tc>
          <w:tcPr>
            <w:tcW w:w="381" w:type="pct"/>
            <w:vMerge w:val="continue"/>
            <w:vAlign w:val="center"/>
          </w:tcPr>
          <w:p w14:paraId="1E04985F">
            <w:pPr>
              <w:jc w:val="center"/>
              <w:rPr>
                <w:rFonts w:hint="default" w:ascii="Times New Roman" w:hAnsi="Times New Roman" w:cs="Times New Roman"/>
                <w:color w:val="auto"/>
                <w:kern w:val="0"/>
                <w:szCs w:val="21"/>
                <w:highlight w:val="none"/>
              </w:rPr>
            </w:pPr>
          </w:p>
        </w:tc>
        <w:tc>
          <w:tcPr>
            <w:tcW w:w="501" w:type="pct"/>
            <w:vMerge w:val="continue"/>
            <w:vAlign w:val="center"/>
          </w:tcPr>
          <w:p w14:paraId="5C147C31">
            <w:pPr>
              <w:jc w:val="center"/>
              <w:rPr>
                <w:rFonts w:hint="default" w:ascii="Times New Roman" w:hAnsi="Times New Roman" w:cs="Times New Roman"/>
                <w:color w:val="auto"/>
                <w:kern w:val="0"/>
                <w:szCs w:val="21"/>
                <w:highlight w:val="none"/>
              </w:rPr>
            </w:pPr>
          </w:p>
        </w:tc>
        <w:tc>
          <w:tcPr>
            <w:tcW w:w="435" w:type="pct"/>
            <w:vAlign w:val="center"/>
          </w:tcPr>
          <w:p w14:paraId="459B84BC">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核算</w:t>
            </w:r>
          </w:p>
          <w:p w14:paraId="0C64F618">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方法</w:t>
            </w:r>
          </w:p>
        </w:tc>
        <w:tc>
          <w:tcPr>
            <w:tcW w:w="660" w:type="pct"/>
            <w:vAlign w:val="center"/>
          </w:tcPr>
          <w:p w14:paraId="7A0FDCFE">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废气产生量kg/h</w:t>
            </w:r>
          </w:p>
        </w:tc>
        <w:tc>
          <w:tcPr>
            <w:tcW w:w="462" w:type="pct"/>
            <w:vAlign w:val="center"/>
          </w:tcPr>
          <w:p w14:paraId="19F9F52C">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工艺</w:t>
            </w:r>
          </w:p>
        </w:tc>
        <w:tc>
          <w:tcPr>
            <w:tcW w:w="277" w:type="pct"/>
            <w:vAlign w:val="center"/>
          </w:tcPr>
          <w:p w14:paraId="67534BBA">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效率</w:t>
            </w:r>
          </w:p>
        </w:tc>
        <w:tc>
          <w:tcPr>
            <w:tcW w:w="277" w:type="pct"/>
            <w:vAlign w:val="center"/>
          </w:tcPr>
          <w:p w14:paraId="1005FFBE">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核算方法</w:t>
            </w:r>
          </w:p>
        </w:tc>
        <w:tc>
          <w:tcPr>
            <w:tcW w:w="739" w:type="pct"/>
            <w:vAlign w:val="center"/>
          </w:tcPr>
          <w:p w14:paraId="128703EA">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排放量</w:t>
            </w:r>
          </w:p>
          <w:p w14:paraId="3D2666A3">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kg/h</w:t>
            </w:r>
          </w:p>
        </w:tc>
        <w:tc>
          <w:tcPr>
            <w:tcW w:w="556" w:type="pct"/>
            <w:tcBorders>
              <w:bottom w:val="single" w:color="000000" w:sz="2" w:space="0"/>
            </w:tcBorders>
            <w:vAlign w:val="center"/>
          </w:tcPr>
          <w:p w14:paraId="5D6A2389">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排放浓度</w:t>
            </w:r>
          </w:p>
          <w:p w14:paraId="78FB5F5B">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c>
          <w:tcPr>
            <w:tcW w:w="257" w:type="pct"/>
            <w:vMerge w:val="continue"/>
            <w:tcBorders>
              <w:bottom w:val="single" w:color="000000" w:sz="2" w:space="0"/>
            </w:tcBorders>
            <w:vAlign w:val="center"/>
          </w:tcPr>
          <w:p w14:paraId="1865655A">
            <w:pPr>
              <w:jc w:val="center"/>
              <w:rPr>
                <w:rFonts w:hint="default" w:ascii="Times New Roman" w:hAnsi="Times New Roman" w:cs="Times New Roman"/>
                <w:color w:val="auto"/>
                <w:kern w:val="0"/>
                <w:szCs w:val="21"/>
                <w:highlight w:val="none"/>
              </w:rPr>
            </w:pPr>
          </w:p>
        </w:tc>
      </w:tr>
      <w:tr w14:paraId="24791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449" w:type="pct"/>
            <w:vAlign w:val="center"/>
          </w:tcPr>
          <w:p w14:paraId="30FFEFF9">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烘干</w:t>
            </w:r>
          </w:p>
        </w:tc>
        <w:tc>
          <w:tcPr>
            <w:tcW w:w="381" w:type="pct"/>
            <w:vAlign w:val="center"/>
          </w:tcPr>
          <w:p w14:paraId="5B48BE95">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szCs w:val="21"/>
                <w:highlight w:val="none"/>
                <w:lang w:bidi="ar"/>
              </w:rPr>
              <w:t>烘干</w:t>
            </w:r>
            <w:r>
              <w:rPr>
                <w:rFonts w:hint="default" w:ascii="Times New Roman" w:hAnsi="Times New Roman" w:cs="Times New Roman"/>
                <w:color w:val="auto"/>
                <w:szCs w:val="21"/>
                <w:highlight w:val="none"/>
                <w:lang w:eastAsia="zh-CN" w:bidi="ar"/>
              </w:rPr>
              <w:t>、</w:t>
            </w:r>
            <w:r>
              <w:rPr>
                <w:rFonts w:hint="default" w:ascii="Times New Roman" w:hAnsi="Times New Roman" w:cs="Times New Roman"/>
                <w:color w:val="auto"/>
                <w:szCs w:val="21"/>
                <w:highlight w:val="none"/>
                <w:lang w:val="en-US" w:eastAsia="zh-CN" w:bidi="ar"/>
              </w:rPr>
              <w:t>主燃烧器</w:t>
            </w:r>
          </w:p>
        </w:tc>
        <w:tc>
          <w:tcPr>
            <w:tcW w:w="501" w:type="pct"/>
            <w:vAlign w:val="center"/>
          </w:tcPr>
          <w:p w14:paraId="4B24FE18">
            <w:pPr>
              <w:widowControl/>
              <w:tabs>
                <w:tab w:val="left" w:pos="146"/>
              </w:tabs>
              <w:adjustRightInd w:val="0"/>
              <w:snapToGrid w:val="0"/>
              <w:jc w:val="center"/>
              <w:textAlignment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粉尘</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混合废气</w:t>
            </w:r>
            <w:r>
              <w:rPr>
                <w:rFonts w:hint="default" w:ascii="Times New Roman" w:hAnsi="Times New Roman" w:cs="Times New Roman"/>
                <w:color w:val="auto"/>
                <w:kern w:val="0"/>
                <w:szCs w:val="21"/>
                <w:highlight w:val="none"/>
                <w:lang w:eastAsia="zh-CN"/>
              </w:rPr>
              <w:t>）</w:t>
            </w:r>
          </w:p>
        </w:tc>
        <w:tc>
          <w:tcPr>
            <w:tcW w:w="435" w:type="pct"/>
            <w:vMerge w:val="restart"/>
            <w:vAlign w:val="center"/>
          </w:tcPr>
          <w:p w14:paraId="64640442">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类比法</w:t>
            </w:r>
          </w:p>
        </w:tc>
        <w:tc>
          <w:tcPr>
            <w:tcW w:w="1125" w:type="dxa"/>
            <w:vAlign w:val="center"/>
          </w:tcPr>
          <w:p w14:paraId="51EDC42C">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54.88</w:t>
            </w:r>
          </w:p>
        </w:tc>
        <w:tc>
          <w:tcPr>
            <w:tcW w:w="462" w:type="pct"/>
            <w:vAlign w:val="center"/>
          </w:tcPr>
          <w:p w14:paraId="29A6FF0F">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除尘器故障</w:t>
            </w:r>
          </w:p>
        </w:tc>
        <w:tc>
          <w:tcPr>
            <w:tcW w:w="277" w:type="pct"/>
            <w:vAlign w:val="center"/>
          </w:tcPr>
          <w:p w14:paraId="751D009E">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70%</w:t>
            </w:r>
          </w:p>
        </w:tc>
        <w:tc>
          <w:tcPr>
            <w:tcW w:w="277" w:type="pct"/>
            <w:vMerge w:val="restart"/>
            <w:vAlign w:val="center"/>
          </w:tcPr>
          <w:p w14:paraId="6A661EA3">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类比法</w:t>
            </w:r>
          </w:p>
        </w:tc>
        <w:tc>
          <w:tcPr>
            <w:tcW w:w="1260" w:type="dxa"/>
            <w:vAlign w:val="center"/>
          </w:tcPr>
          <w:p w14:paraId="53BC3066">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16.465</w:t>
            </w:r>
          </w:p>
        </w:tc>
        <w:tc>
          <w:tcPr>
            <w:tcW w:w="947" w:type="dxa"/>
            <w:tcBorders>
              <w:top w:val="single" w:color="000000" w:sz="2" w:space="0"/>
            </w:tcBorders>
            <w:vAlign w:val="center"/>
          </w:tcPr>
          <w:p w14:paraId="388C7E85">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1251.7</w:t>
            </w:r>
          </w:p>
        </w:tc>
        <w:tc>
          <w:tcPr>
            <w:tcW w:w="257" w:type="pct"/>
            <w:vMerge w:val="restart"/>
            <w:tcBorders>
              <w:top w:val="single" w:color="000000" w:sz="2" w:space="0"/>
            </w:tcBorders>
            <w:vAlign w:val="center"/>
          </w:tcPr>
          <w:p w14:paraId="4011B57C">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1h</w:t>
            </w:r>
          </w:p>
        </w:tc>
      </w:tr>
      <w:tr w14:paraId="076783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449" w:type="pct"/>
            <w:vMerge w:val="restart"/>
            <w:vAlign w:val="center"/>
          </w:tcPr>
          <w:p w14:paraId="6F405251">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加热沥青储罐、出料</w:t>
            </w:r>
          </w:p>
        </w:tc>
        <w:tc>
          <w:tcPr>
            <w:tcW w:w="381" w:type="pct"/>
            <w:vMerge w:val="restart"/>
            <w:vAlign w:val="center"/>
          </w:tcPr>
          <w:p w14:paraId="0A97B162">
            <w:pPr>
              <w:widowControl/>
              <w:tabs>
                <w:tab w:val="left" w:pos="146"/>
              </w:tabs>
              <w:adjustRightInd w:val="0"/>
              <w:snapToGrid w:val="0"/>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沥青罐</w:t>
            </w:r>
          </w:p>
        </w:tc>
        <w:tc>
          <w:tcPr>
            <w:tcW w:w="501" w:type="pct"/>
            <w:vAlign w:val="center"/>
          </w:tcPr>
          <w:p w14:paraId="5BE8C8D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沥青烟</w:t>
            </w:r>
          </w:p>
        </w:tc>
        <w:tc>
          <w:tcPr>
            <w:tcW w:w="435" w:type="pct"/>
            <w:vMerge w:val="continue"/>
            <w:vAlign w:val="center"/>
          </w:tcPr>
          <w:p w14:paraId="5F7B5076">
            <w:pPr>
              <w:jc w:val="center"/>
              <w:rPr>
                <w:rFonts w:hint="default" w:ascii="Times New Roman" w:hAnsi="Times New Roman" w:cs="Times New Roman"/>
                <w:color w:val="auto"/>
                <w:kern w:val="0"/>
                <w:szCs w:val="21"/>
                <w:highlight w:val="none"/>
              </w:rPr>
            </w:pPr>
          </w:p>
        </w:tc>
        <w:tc>
          <w:tcPr>
            <w:tcW w:w="1125" w:type="dxa"/>
            <w:vAlign w:val="center"/>
          </w:tcPr>
          <w:p w14:paraId="208C8B75">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1.658</w:t>
            </w:r>
          </w:p>
        </w:tc>
        <w:tc>
          <w:tcPr>
            <w:tcW w:w="462" w:type="pct"/>
            <w:vMerge w:val="restart"/>
            <w:vAlign w:val="center"/>
          </w:tcPr>
          <w:p w14:paraId="10C1A78B">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lang w:val="en-US" w:eastAsia="zh-CN"/>
              </w:rPr>
              <w:t>电捕焦油器+</w:t>
            </w:r>
            <w:r>
              <w:rPr>
                <w:rFonts w:hint="default" w:ascii="Times New Roman" w:hAnsi="Times New Roman" w:cs="Times New Roman"/>
                <w:color w:val="auto"/>
                <w:highlight w:val="none"/>
              </w:rPr>
              <w:t>活性炭吸附装置</w:t>
            </w:r>
            <w:r>
              <w:rPr>
                <w:rFonts w:hint="default" w:ascii="Times New Roman" w:hAnsi="Times New Roman" w:cs="Times New Roman"/>
                <w:color w:val="auto"/>
                <w:kern w:val="0"/>
                <w:szCs w:val="21"/>
                <w:highlight w:val="none"/>
              </w:rPr>
              <w:t>故障</w:t>
            </w:r>
          </w:p>
        </w:tc>
        <w:tc>
          <w:tcPr>
            <w:tcW w:w="277" w:type="pct"/>
            <w:vMerge w:val="restart"/>
            <w:vAlign w:val="center"/>
          </w:tcPr>
          <w:p w14:paraId="37C55829">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277" w:type="pct"/>
            <w:vMerge w:val="continue"/>
            <w:vAlign w:val="center"/>
          </w:tcPr>
          <w:p w14:paraId="251D799E">
            <w:pPr>
              <w:jc w:val="center"/>
              <w:rPr>
                <w:rFonts w:hint="default" w:ascii="Times New Roman" w:hAnsi="Times New Roman" w:cs="Times New Roman"/>
                <w:color w:val="auto"/>
                <w:kern w:val="0"/>
                <w:szCs w:val="21"/>
                <w:highlight w:val="none"/>
              </w:rPr>
            </w:pPr>
          </w:p>
        </w:tc>
        <w:tc>
          <w:tcPr>
            <w:tcW w:w="1260" w:type="dxa"/>
            <w:vAlign w:val="center"/>
          </w:tcPr>
          <w:p w14:paraId="5E39E9A9">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0.829</w:t>
            </w:r>
          </w:p>
        </w:tc>
        <w:tc>
          <w:tcPr>
            <w:tcW w:w="947" w:type="dxa"/>
            <w:vAlign w:val="center"/>
          </w:tcPr>
          <w:p w14:paraId="06CDB0CA">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41.45</w:t>
            </w:r>
          </w:p>
        </w:tc>
        <w:tc>
          <w:tcPr>
            <w:tcW w:w="257" w:type="pct"/>
            <w:vMerge w:val="continue"/>
            <w:vAlign w:val="center"/>
          </w:tcPr>
          <w:p w14:paraId="75797493">
            <w:pPr>
              <w:jc w:val="center"/>
              <w:rPr>
                <w:rFonts w:hint="default" w:ascii="Times New Roman" w:hAnsi="Times New Roman" w:cs="Times New Roman"/>
                <w:color w:val="auto"/>
                <w:kern w:val="0"/>
                <w:szCs w:val="21"/>
                <w:highlight w:val="none"/>
              </w:rPr>
            </w:pPr>
          </w:p>
        </w:tc>
      </w:tr>
      <w:tr w14:paraId="372AF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449" w:type="pct"/>
            <w:vMerge w:val="continue"/>
            <w:vAlign w:val="center"/>
          </w:tcPr>
          <w:p w14:paraId="547EC67E">
            <w:pPr>
              <w:widowControl/>
              <w:tabs>
                <w:tab w:val="left" w:pos="146"/>
              </w:tabs>
              <w:adjustRightInd w:val="0"/>
              <w:snapToGrid w:val="0"/>
              <w:jc w:val="center"/>
              <w:textAlignment w:val="center"/>
              <w:rPr>
                <w:rFonts w:hint="default" w:ascii="Times New Roman" w:hAnsi="Times New Roman" w:cs="Times New Roman"/>
                <w:color w:val="auto"/>
                <w:szCs w:val="21"/>
                <w:highlight w:val="none"/>
                <w:lang w:bidi="ar"/>
              </w:rPr>
            </w:pPr>
          </w:p>
        </w:tc>
        <w:tc>
          <w:tcPr>
            <w:tcW w:w="381" w:type="pct"/>
            <w:vMerge w:val="continue"/>
            <w:vAlign w:val="center"/>
          </w:tcPr>
          <w:p w14:paraId="6987A28D">
            <w:pPr>
              <w:widowControl/>
              <w:tabs>
                <w:tab w:val="left" w:pos="146"/>
              </w:tabs>
              <w:adjustRightInd w:val="0"/>
              <w:snapToGrid w:val="0"/>
              <w:jc w:val="center"/>
              <w:textAlignment w:val="center"/>
              <w:rPr>
                <w:rFonts w:hint="default" w:ascii="Times New Roman" w:hAnsi="Times New Roman" w:cs="Times New Roman"/>
                <w:color w:val="auto"/>
                <w:szCs w:val="21"/>
                <w:highlight w:val="none"/>
                <w:lang w:bidi="ar"/>
              </w:rPr>
            </w:pPr>
          </w:p>
        </w:tc>
        <w:tc>
          <w:tcPr>
            <w:tcW w:w="501" w:type="pct"/>
            <w:vAlign w:val="center"/>
          </w:tcPr>
          <w:p w14:paraId="0327C6B7">
            <w:pPr>
              <w:adjustRightInd w:val="0"/>
              <w:snapToGrid w:val="0"/>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苯并[a]芘</w:t>
            </w:r>
          </w:p>
        </w:tc>
        <w:tc>
          <w:tcPr>
            <w:tcW w:w="435" w:type="pct"/>
            <w:vMerge w:val="continue"/>
            <w:vAlign w:val="center"/>
          </w:tcPr>
          <w:p w14:paraId="3FF217CE">
            <w:pPr>
              <w:jc w:val="center"/>
              <w:rPr>
                <w:rFonts w:hint="default" w:ascii="Times New Roman" w:hAnsi="Times New Roman" w:cs="Times New Roman"/>
                <w:color w:val="auto"/>
                <w:kern w:val="0"/>
                <w:szCs w:val="21"/>
                <w:highlight w:val="none"/>
              </w:rPr>
            </w:pPr>
          </w:p>
        </w:tc>
        <w:tc>
          <w:tcPr>
            <w:tcW w:w="1125" w:type="dxa"/>
            <w:vAlign w:val="center"/>
          </w:tcPr>
          <w:p w14:paraId="3CEAE575">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0.000033</w:t>
            </w:r>
          </w:p>
        </w:tc>
        <w:tc>
          <w:tcPr>
            <w:tcW w:w="462" w:type="pct"/>
            <w:vMerge w:val="continue"/>
            <w:vAlign w:val="center"/>
          </w:tcPr>
          <w:p w14:paraId="1F258D6A">
            <w:pPr>
              <w:jc w:val="center"/>
              <w:rPr>
                <w:rFonts w:hint="default" w:ascii="Times New Roman" w:hAnsi="Times New Roman" w:cs="Times New Roman"/>
                <w:color w:val="auto"/>
                <w:highlight w:val="none"/>
                <w:lang w:val="en-US" w:eastAsia="zh-CN"/>
              </w:rPr>
            </w:pPr>
          </w:p>
        </w:tc>
        <w:tc>
          <w:tcPr>
            <w:tcW w:w="277" w:type="pct"/>
            <w:vMerge w:val="continue"/>
            <w:vAlign w:val="center"/>
          </w:tcPr>
          <w:p w14:paraId="66AF138B">
            <w:pPr>
              <w:jc w:val="center"/>
              <w:rPr>
                <w:rFonts w:hint="default" w:ascii="Times New Roman" w:hAnsi="Times New Roman" w:cs="Times New Roman"/>
                <w:color w:val="auto"/>
                <w:kern w:val="0"/>
                <w:szCs w:val="21"/>
                <w:highlight w:val="none"/>
              </w:rPr>
            </w:pPr>
          </w:p>
        </w:tc>
        <w:tc>
          <w:tcPr>
            <w:tcW w:w="277" w:type="pct"/>
            <w:vMerge w:val="continue"/>
            <w:vAlign w:val="center"/>
          </w:tcPr>
          <w:p w14:paraId="19921C66">
            <w:pPr>
              <w:jc w:val="center"/>
              <w:rPr>
                <w:rFonts w:hint="default" w:ascii="Times New Roman" w:hAnsi="Times New Roman" w:cs="Times New Roman"/>
                <w:color w:val="auto"/>
                <w:kern w:val="0"/>
                <w:szCs w:val="21"/>
                <w:highlight w:val="none"/>
              </w:rPr>
            </w:pPr>
          </w:p>
        </w:tc>
        <w:tc>
          <w:tcPr>
            <w:tcW w:w="1260" w:type="dxa"/>
            <w:vAlign w:val="center"/>
          </w:tcPr>
          <w:p w14:paraId="5B8682E6">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0.000017</w:t>
            </w:r>
          </w:p>
        </w:tc>
        <w:tc>
          <w:tcPr>
            <w:tcW w:w="947" w:type="dxa"/>
            <w:vAlign w:val="center"/>
          </w:tcPr>
          <w:p w14:paraId="4B134F37">
            <w:pPr>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0.00085</w:t>
            </w:r>
          </w:p>
        </w:tc>
        <w:tc>
          <w:tcPr>
            <w:tcW w:w="257" w:type="pct"/>
            <w:vMerge w:val="continue"/>
            <w:vAlign w:val="center"/>
          </w:tcPr>
          <w:p w14:paraId="274E46D5">
            <w:pPr>
              <w:jc w:val="center"/>
              <w:rPr>
                <w:rFonts w:hint="default" w:ascii="Times New Roman" w:hAnsi="Times New Roman" w:cs="Times New Roman"/>
                <w:color w:val="auto"/>
                <w:kern w:val="0"/>
                <w:szCs w:val="21"/>
                <w:highlight w:val="none"/>
              </w:rPr>
            </w:pPr>
          </w:p>
        </w:tc>
      </w:tr>
      <w:tr w14:paraId="6701B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449" w:type="pct"/>
            <w:vMerge w:val="continue"/>
            <w:vAlign w:val="center"/>
          </w:tcPr>
          <w:p w14:paraId="0F772592">
            <w:pPr>
              <w:adjustRightInd w:val="0"/>
              <w:snapToGrid w:val="0"/>
              <w:jc w:val="center"/>
              <w:rPr>
                <w:rFonts w:hint="default" w:ascii="Times New Roman" w:hAnsi="Times New Roman" w:cs="Times New Roman"/>
                <w:color w:val="auto"/>
                <w:szCs w:val="21"/>
                <w:highlight w:val="none"/>
              </w:rPr>
            </w:pPr>
          </w:p>
        </w:tc>
        <w:tc>
          <w:tcPr>
            <w:tcW w:w="381" w:type="pct"/>
            <w:vMerge w:val="continue"/>
            <w:vAlign w:val="center"/>
          </w:tcPr>
          <w:p w14:paraId="6B8459B6">
            <w:pPr>
              <w:adjustRightInd w:val="0"/>
              <w:snapToGrid w:val="0"/>
              <w:jc w:val="center"/>
              <w:rPr>
                <w:rFonts w:hint="default" w:ascii="Times New Roman" w:hAnsi="Times New Roman" w:cs="Times New Roman"/>
                <w:color w:val="auto"/>
                <w:szCs w:val="21"/>
                <w:highlight w:val="none"/>
              </w:rPr>
            </w:pPr>
          </w:p>
        </w:tc>
        <w:tc>
          <w:tcPr>
            <w:tcW w:w="501" w:type="pct"/>
            <w:vAlign w:val="center"/>
          </w:tcPr>
          <w:p w14:paraId="576EEF1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val="en-US" w:eastAsia="zh-CN" w:bidi="ar"/>
              </w:rPr>
              <w:t>非甲烷总烃</w:t>
            </w:r>
          </w:p>
        </w:tc>
        <w:tc>
          <w:tcPr>
            <w:tcW w:w="435" w:type="pct"/>
            <w:vMerge w:val="continue"/>
            <w:vAlign w:val="center"/>
          </w:tcPr>
          <w:p w14:paraId="22EB3AC7">
            <w:pPr>
              <w:jc w:val="center"/>
              <w:rPr>
                <w:rFonts w:hint="default" w:ascii="Times New Roman" w:hAnsi="Times New Roman" w:cs="Times New Roman"/>
                <w:color w:val="auto"/>
                <w:kern w:val="0"/>
                <w:szCs w:val="21"/>
                <w:highlight w:val="none"/>
              </w:rPr>
            </w:pPr>
          </w:p>
        </w:tc>
        <w:tc>
          <w:tcPr>
            <w:tcW w:w="1125" w:type="dxa"/>
            <w:vAlign w:val="center"/>
          </w:tcPr>
          <w:p w14:paraId="0101FD42">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0.00995</w:t>
            </w:r>
          </w:p>
        </w:tc>
        <w:tc>
          <w:tcPr>
            <w:tcW w:w="462" w:type="pct"/>
            <w:vMerge w:val="continue"/>
            <w:vAlign w:val="center"/>
          </w:tcPr>
          <w:p w14:paraId="633B1405">
            <w:pPr>
              <w:jc w:val="center"/>
              <w:rPr>
                <w:rFonts w:hint="default" w:ascii="Times New Roman" w:hAnsi="Times New Roman" w:cs="Times New Roman"/>
                <w:color w:val="auto"/>
                <w:kern w:val="0"/>
                <w:szCs w:val="21"/>
                <w:highlight w:val="none"/>
              </w:rPr>
            </w:pPr>
          </w:p>
        </w:tc>
        <w:tc>
          <w:tcPr>
            <w:tcW w:w="277" w:type="pct"/>
            <w:vMerge w:val="continue"/>
            <w:vAlign w:val="center"/>
          </w:tcPr>
          <w:p w14:paraId="0B634D16">
            <w:pPr>
              <w:jc w:val="center"/>
              <w:rPr>
                <w:rFonts w:hint="default" w:ascii="Times New Roman" w:hAnsi="Times New Roman" w:cs="Times New Roman"/>
                <w:color w:val="auto"/>
                <w:kern w:val="0"/>
                <w:szCs w:val="21"/>
                <w:highlight w:val="none"/>
              </w:rPr>
            </w:pPr>
          </w:p>
        </w:tc>
        <w:tc>
          <w:tcPr>
            <w:tcW w:w="277" w:type="pct"/>
            <w:vMerge w:val="continue"/>
            <w:vAlign w:val="center"/>
          </w:tcPr>
          <w:p w14:paraId="107BF4E6">
            <w:pPr>
              <w:jc w:val="center"/>
              <w:rPr>
                <w:rFonts w:hint="default" w:ascii="Times New Roman" w:hAnsi="Times New Roman" w:cs="Times New Roman"/>
                <w:color w:val="auto"/>
                <w:kern w:val="0"/>
                <w:szCs w:val="21"/>
                <w:highlight w:val="none"/>
              </w:rPr>
            </w:pPr>
          </w:p>
        </w:tc>
        <w:tc>
          <w:tcPr>
            <w:tcW w:w="1260" w:type="dxa"/>
            <w:vAlign w:val="center"/>
          </w:tcPr>
          <w:p w14:paraId="737E5CFE">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0.004975</w:t>
            </w:r>
          </w:p>
        </w:tc>
        <w:tc>
          <w:tcPr>
            <w:tcW w:w="947" w:type="dxa"/>
            <w:vAlign w:val="center"/>
          </w:tcPr>
          <w:p w14:paraId="19B9253D">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0.2488</w:t>
            </w:r>
          </w:p>
        </w:tc>
        <w:tc>
          <w:tcPr>
            <w:tcW w:w="257" w:type="pct"/>
            <w:vMerge w:val="continue"/>
            <w:vAlign w:val="center"/>
          </w:tcPr>
          <w:p w14:paraId="06F113A7">
            <w:pPr>
              <w:jc w:val="center"/>
              <w:rPr>
                <w:rFonts w:hint="default" w:ascii="Times New Roman" w:hAnsi="Times New Roman" w:cs="Times New Roman"/>
                <w:color w:val="auto"/>
                <w:kern w:val="0"/>
                <w:szCs w:val="21"/>
                <w:highlight w:val="none"/>
              </w:rPr>
            </w:pPr>
          </w:p>
        </w:tc>
      </w:tr>
    </w:tbl>
    <w:p w14:paraId="790F6518">
      <w:pPr>
        <w:pStyle w:val="23"/>
        <w:rPr>
          <w:rFonts w:hint="default" w:ascii="Times New Roman" w:hAnsi="Times New Roman" w:cs="Times New Roman"/>
          <w:color w:val="auto"/>
          <w:highlight w:val="none"/>
        </w:rPr>
      </w:pPr>
    </w:p>
    <w:p w14:paraId="447C929E">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449" w:name="_Toc31206"/>
      <w:bookmarkStart w:id="450" w:name="_Toc10309"/>
      <w:bookmarkStart w:id="451" w:name="_Toc192758924"/>
      <w:bookmarkStart w:id="452" w:name="_Toc30789"/>
      <w:bookmarkStart w:id="453" w:name="_Toc193460013"/>
      <w:bookmarkStart w:id="454" w:name="_Toc23811"/>
      <w:bookmarkStart w:id="455" w:name="_Toc11894"/>
      <w:bookmarkStart w:id="456" w:name="_Toc26337"/>
      <w:r>
        <w:rPr>
          <w:rFonts w:hint="default" w:ascii="Times New Roman" w:hAnsi="Times New Roman" w:eastAsia="黑体" w:cs="Times New Roman"/>
          <w:bCs/>
          <w:color w:val="auto"/>
          <w:kern w:val="44"/>
          <w:sz w:val="24"/>
          <w:highlight w:val="none"/>
        </w:rPr>
        <w:t>5.3环境防护距离</w:t>
      </w:r>
      <w:bookmarkEnd w:id="449"/>
      <w:bookmarkEnd w:id="450"/>
      <w:bookmarkEnd w:id="451"/>
      <w:bookmarkEnd w:id="452"/>
      <w:bookmarkEnd w:id="453"/>
      <w:bookmarkEnd w:id="454"/>
      <w:bookmarkEnd w:id="455"/>
      <w:bookmarkEnd w:id="456"/>
      <w:bookmarkStart w:id="457" w:name="_Hlk10135774"/>
    </w:p>
    <w:bookmarkEnd w:id="457"/>
    <w:p w14:paraId="1FBDED1B">
      <w:pPr>
        <w:adjustRightInd w:val="0"/>
        <w:snapToGrid w:val="0"/>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根据《环境影响评价技术导则 大气环境》（HJ2.2-2018）中“评价等级判定及大气环境影响预测与评价”的要求，以项目排放的所有污染源经估算模型计算，评价工作等级为二级，不进行进一步预测与评价，厂界外污染物短期贡献浓度未超过环境质量短期浓度标准值，项目不设置大气环境防护距离。</w:t>
      </w:r>
    </w:p>
    <w:p w14:paraId="3EF36C42">
      <w:pPr>
        <w:overflowPunct w:val="0"/>
        <w:adjustRightInd w:val="0"/>
        <w:snapToGrid w:val="0"/>
        <w:spacing w:line="500" w:lineRule="exact"/>
        <w:outlineLvl w:val="0"/>
        <w:rPr>
          <w:rFonts w:hint="default" w:ascii="Times New Roman" w:hAnsi="Times New Roman" w:eastAsia="黑体" w:cs="Times New Roman"/>
          <w:bCs/>
          <w:color w:val="auto"/>
          <w:kern w:val="44"/>
          <w:sz w:val="28"/>
          <w:szCs w:val="28"/>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458" w:name="_Toc5619"/>
    </w:p>
    <w:p w14:paraId="79E0FA6D">
      <w:pPr>
        <w:overflowPunct w:val="0"/>
        <w:adjustRightInd w:val="0"/>
        <w:snapToGrid w:val="0"/>
        <w:spacing w:line="500" w:lineRule="exact"/>
        <w:outlineLvl w:val="0"/>
        <w:rPr>
          <w:rFonts w:hint="default" w:ascii="Times New Roman" w:hAnsi="Times New Roman" w:eastAsia="黑体" w:cs="Times New Roman"/>
          <w:bCs/>
          <w:color w:val="auto"/>
          <w:kern w:val="44"/>
          <w:sz w:val="28"/>
          <w:szCs w:val="28"/>
          <w:highlight w:val="none"/>
        </w:rPr>
      </w:pPr>
      <w:bookmarkStart w:id="459" w:name="_Toc192758925"/>
      <w:bookmarkStart w:id="460" w:name="_Toc8823"/>
      <w:bookmarkStart w:id="461" w:name="_Toc6101"/>
      <w:bookmarkStart w:id="462" w:name="_Toc27844"/>
      <w:bookmarkStart w:id="463" w:name="_Toc21670"/>
      <w:bookmarkStart w:id="464" w:name="_Toc5043"/>
      <w:bookmarkStart w:id="465" w:name="_Toc193460014"/>
      <w:r>
        <w:rPr>
          <w:rFonts w:hint="default" w:ascii="Times New Roman" w:hAnsi="Times New Roman" w:eastAsia="黑体" w:cs="Times New Roman"/>
          <w:bCs/>
          <w:color w:val="auto"/>
          <w:kern w:val="44"/>
          <w:sz w:val="28"/>
          <w:szCs w:val="28"/>
          <w:highlight w:val="none"/>
        </w:rPr>
        <w:t>6大气污染防治措施及其可行性论证</w:t>
      </w:r>
      <w:bookmarkEnd w:id="458"/>
      <w:bookmarkEnd w:id="459"/>
      <w:bookmarkEnd w:id="460"/>
      <w:bookmarkEnd w:id="461"/>
      <w:bookmarkEnd w:id="462"/>
      <w:bookmarkEnd w:id="463"/>
      <w:bookmarkEnd w:id="464"/>
      <w:bookmarkEnd w:id="465"/>
    </w:p>
    <w:p w14:paraId="257C49D8">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466" w:name="_Toc16743"/>
      <w:bookmarkStart w:id="467" w:name="_Toc193460015"/>
      <w:bookmarkStart w:id="468" w:name="_Toc21133"/>
      <w:bookmarkStart w:id="469" w:name="_Toc2976"/>
      <w:bookmarkStart w:id="470" w:name="_Toc14708"/>
      <w:bookmarkStart w:id="471" w:name="_Toc26557"/>
      <w:bookmarkStart w:id="472" w:name="_Toc192758926"/>
      <w:bookmarkStart w:id="473" w:name="_Toc31757"/>
      <w:r>
        <w:rPr>
          <w:rFonts w:hint="default" w:ascii="Times New Roman" w:hAnsi="Times New Roman" w:eastAsia="黑体" w:cs="Times New Roman"/>
          <w:bCs/>
          <w:color w:val="auto"/>
          <w:kern w:val="44"/>
          <w:sz w:val="24"/>
          <w:highlight w:val="none"/>
        </w:rPr>
        <w:t>6.1有组织废气污染防治措施及其可行性论证</w:t>
      </w:r>
      <w:bookmarkEnd w:id="466"/>
      <w:bookmarkEnd w:id="467"/>
      <w:bookmarkEnd w:id="468"/>
      <w:bookmarkEnd w:id="469"/>
      <w:bookmarkEnd w:id="470"/>
      <w:bookmarkEnd w:id="471"/>
      <w:bookmarkEnd w:id="472"/>
      <w:bookmarkEnd w:id="473"/>
    </w:p>
    <w:p w14:paraId="15AE41E1">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（1）骨料烘干燃烧器燃油废气</w:t>
      </w:r>
    </w:p>
    <w:p w14:paraId="6E0948CA">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本项目烘干燃烧器</w:t>
      </w:r>
      <w:r>
        <w:rPr>
          <w:rFonts w:hint="default" w:ascii="Times New Roman" w:hAnsi="Times New Roman" w:cs="Times New Roman"/>
          <w:color w:val="auto"/>
          <w:kern w:val="0"/>
          <w:sz w:val="24"/>
          <w:highlight w:val="none"/>
          <w:lang w:val="en-US" w:eastAsia="zh-CN"/>
        </w:rPr>
        <w:t>采用低氮燃烧，燃烧</w:t>
      </w:r>
      <w:r>
        <w:rPr>
          <w:rFonts w:hint="default" w:ascii="Times New Roman" w:hAnsi="Times New Roman" w:cs="Times New Roman"/>
          <w:color w:val="auto"/>
          <w:kern w:val="0"/>
          <w:sz w:val="24"/>
          <w:highlight w:val="none"/>
        </w:rPr>
        <w:t>废气经旋风除尘器（除尘效率40%）+布袋除尘器（除尘效率99%）处理后通过</w:t>
      </w:r>
      <w:r>
        <w:rPr>
          <w:rFonts w:hint="default" w:ascii="Times New Roman" w:hAnsi="Times New Roman" w:cs="Times New Roman"/>
          <w:color w:val="auto"/>
          <w:kern w:val="0"/>
          <w:sz w:val="24"/>
          <w:highlight w:val="none"/>
          <w:lang w:val="en-US" w:eastAsia="zh-CN"/>
        </w:rPr>
        <w:t>15</w:t>
      </w:r>
      <w:r>
        <w:rPr>
          <w:rFonts w:hint="default" w:ascii="Times New Roman" w:hAnsi="Times New Roman" w:cs="Times New Roman"/>
          <w:color w:val="auto"/>
          <w:kern w:val="0"/>
          <w:sz w:val="24"/>
          <w:highlight w:val="none"/>
        </w:rPr>
        <w:t>m高烟囱DA00</w:t>
      </w:r>
      <w:r>
        <w:rPr>
          <w:rFonts w:hint="default" w:ascii="Times New Roman" w:hAnsi="Times New Roman" w:cs="Times New Roman"/>
          <w:color w:val="auto"/>
          <w:kern w:val="0"/>
          <w:sz w:val="24"/>
          <w:highlight w:val="none"/>
          <w:lang w:val="en-US" w:eastAsia="zh-CN"/>
        </w:rPr>
        <w:t>1</w:t>
      </w:r>
      <w:r>
        <w:rPr>
          <w:rFonts w:hint="default" w:ascii="Times New Roman" w:hAnsi="Times New Roman" w:cs="Times New Roman"/>
          <w:color w:val="auto"/>
          <w:kern w:val="0"/>
          <w:sz w:val="24"/>
          <w:highlight w:val="none"/>
        </w:rPr>
        <w:t>排放，骨料加热烘干废气中SO</w:t>
      </w:r>
      <w:r>
        <w:rPr>
          <w:rFonts w:hint="default" w:ascii="Times New Roman" w:hAnsi="Times New Roman" w:cs="Times New Roman"/>
          <w:color w:val="auto"/>
          <w:kern w:val="0"/>
          <w:sz w:val="24"/>
          <w:highlight w:val="none"/>
          <w:vertAlign w:val="subscript"/>
        </w:rPr>
        <w:t>2</w:t>
      </w:r>
      <w:r>
        <w:rPr>
          <w:rFonts w:hint="default" w:ascii="Times New Roman" w:hAnsi="Times New Roman" w:cs="Times New Roman"/>
          <w:color w:val="auto"/>
          <w:kern w:val="0"/>
          <w:sz w:val="24"/>
          <w:highlight w:val="none"/>
        </w:rPr>
        <w:t>、颗粒物、NO</w:t>
      </w:r>
      <w:r>
        <w:rPr>
          <w:rFonts w:hint="default" w:ascii="Times New Roman" w:hAnsi="Times New Roman" w:cs="Times New Roman"/>
          <w:color w:val="auto"/>
          <w:kern w:val="0"/>
          <w:sz w:val="24"/>
          <w:highlight w:val="none"/>
          <w:vertAlign w:val="subscript"/>
        </w:rPr>
        <w:t>X</w:t>
      </w:r>
      <w:r>
        <w:rPr>
          <w:rFonts w:hint="default" w:ascii="Times New Roman" w:hAnsi="Times New Roman" w:cs="Times New Roman"/>
          <w:color w:val="auto"/>
          <w:sz w:val="24"/>
          <w:highlight w:val="none"/>
          <w:lang w:val="en-US" w:eastAsia="zh-CN"/>
        </w:rPr>
        <w:t>执行《工业炉窑 大气污染物排放标准》（GB 9078-1996）；根据《排污许可证申请与核发技术规范 石墨及其他非金属矿物制品制造》（HJ1119—2020），燃烧器执行更严格的排放标准《大气污染物综合排放标准》(GB16297-1996)表2中二级标准；本项目筛分工序废气执行</w:t>
      </w:r>
      <w:r>
        <w:rPr>
          <w:rFonts w:hint="default" w:ascii="Times New Roman" w:hAnsi="Times New Roman" w:cs="Times New Roman"/>
          <w:color w:val="auto"/>
          <w:sz w:val="24"/>
          <w:highlight w:val="none"/>
        </w:rPr>
        <w:t>《大气污染物综合排放标准》（GB16297-1996）表2中二级标准要求</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燃烧废气与筛分工序废气由同一根排气筒（DA001）排放，</w:t>
      </w:r>
      <w:r>
        <w:rPr>
          <w:rFonts w:hint="default" w:ascii="Times New Roman" w:hAnsi="Times New Roman" w:cs="Times New Roman"/>
          <w:b/>
          <w:bCs/>
          <w:color w:val="auto"/>
          <w:sz w:val="24"/>
          <w:highlight w:val="none"/>
          <w:lang w:val="en-US" w:eastAsia="zh-CN"/>
        </w:rPr>
        <w:t>故本项目燃烧器废气及筛分工序废气均执行</w:t>
      </w:r>
      <w:r>
        <w:rPr>
          <w:rFonts w:hint="default" w:ascii="Times New Roman" w:hAnsi="Times New Roman" w:cs="Times New Roman"/>
          <w:b/>
          <w:bCs/>
          <w:color w:val="auto"/>
          <w:sz w:val="24"/>
          <w:highlight w:val="none"/>
        </w:rPr>
        <w:t>《大气污染物综合排放标准》（GB16297-1996）表2中二级标准要求</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烘干筛分工序污染物</w:t>
      </w:r>
      <w:r>
        <w:rPr>
          <w:rFonts w:hint="default" w:ascii="Times New Roman" w:hAnsi="Times New Roman" w:cs="Times New Roman"/>
          <w:color w:val="auto"/>
          <w:kern w:val="0"/>
          <w:sz w:val="24"/>
          <w:highlight w:val="none"/>
        </w:rPr>
        <w:t>排放浓度及排放速率满足《大气污染物综合排放标准》（GB16297-1996）表2中二级标准要求。</w:t>
      </w:r>
    </w:p>
    <w:p w14:paraId="0F02623D">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沥青搅拌系统燃烧器低氮燃烧技术主要为多路错层燃烧、中心分级配氧及气环式雾化，本项目燃烧器配备高效介质雾化燃烧器，可使燃料更均匀燃烧，降低氮氧化物生成，从技术角度看具有很高的效率、省能性能和较低的成本优势；烘干筛分混合废气</w:t>
      </w:r>
      <w:r>
        <w:rPr>
          <w:rFonts w:hint="default" w:ascii="Times New Roman" w:hAnsi="Times New Roman" w:cs="Times New Roman"/>
          <w:color w:val="auto"/>
          <w:kern w:val="0"/>
          <w:sz w:val="24"/>
          <w:highlight w:val="none"/>
        </w:rPr>
        <w:t>采取措施为旋风除尘器（除尘效率40%）+布袋除尘器（除尘效率99%）组合技术，属于《排污许可证申请与核发技术规范 石墨及其他非金属矿物制品制造》（HJ1119-2020）表A.5中的可行性技术。</w:t>
      </w:r>
    </w:p>
    <w:p w14:paraId="729BDC57">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根据《大气污染物综合排放标准》（GB16297-1996），排气筒高度应高出周围200m半径范围的建筑5m以上，本项目烟囱和周围半径200m范围内最高建筑高度为</w:t>
      </w:r>
      <w:r>
        <w:rPr>
          <w:rFonts w:hint="default" w:ascii="Times New Roman" w:hAnsi="Times New Roman" w:cs="Times New Roman"/>
          <w:color w:val="auto"/>
          <w:kern w:val="0"/>
          <w:sz w:val="24"/>
          <w:highlight w:val="none"/>
          <w:lang w:eastAsia="zh-CN"/>
        </w:rPr>
        <w:t>西南侧厂房</w:t>
      </w:r>
      <w:r>
        <w:rPr>
          <w:rFonts w:hint="default" w:ascii="Times New Roman" w:hAnsi="Times New Roman" w:cs="Times New Roman"/>
          <w:color w:val="auto"/>
          <w:kern w:val="0"/>
          <w:sz w:val="24"/>
          <w:highlight w:val="none"/>
        </w:rPr>
        <w:t>，高度为</w:t>
      </w:r>
      <w:r>
        <w:rPr>
          <w:rFonts w:hint="default" w:ascii="Times New Roman" w:hAnsi="Times New Roman" w:cs="Times New Roman"/>
          <w:color w:val="auto"/>
          <w:kern w:val="0"/>
          <w:sz w:val="24"/>
          <w:highlight w:val="none"/>
          <w:lang w:val="en-US" w:eastAsia="zh-CN"/>
        </w:rPr>
        <w:t>7</w:t>
      </w:r>
      <w:r>
        <w:rPr>
          <w:rFonts w:hint="default" w:ascii="Times New Roman" w:hAnsi="Times New Roman" w:cs="Times New Roman"/>
          <w:color w:val="auto"/>
          <w:kern w:val="0"/>
          <w:sz w:val="24"/>
          <w:highlight w:val="none"/>
        </w:rPr>
        <w:t>m，因此本项目</w:t>
      </w:r>
      <w:r>
        <w:rPr>
          <w:rFonts w:hint="default" w:ascii="Times New Roman" w:hAnsi="Times New Roman" w:cs="Times New Roman"/>
          <w:color w:val="auto"/>
          <w:kern w:val="0"/>
          <w:sz w:val="24"/>
          <w:highlight w:val="none"/>
          <w:lang w:val="en-US" w:eastAsia="zh-CN"/>
        </w:rPr>
        <w:t>排气筒</w:t>
      </w:r>
      <w:r>
        <w:rPr>
          <w:rFonts w:hint="default" w:ascii="Times New Roman" w:hAnsi="Times New Roman" w:cs="Times New Roman"/>
          <w:color w:val="auto"/>
          <w:kern w:val="0"/>
          <w:sz w:val="24"/>
          <w:highlight w:val="none"/>
        </w:rPr>
        <w:t>设计高度为</w:t>
      </w:r>
      <w:r>
        <w:rPr>
          <w:rFonts w:hint="default" w:ascii="Times New Roman" w:hAnsi="Times New Roman" w:cs="Times New Roman"/>
          <w:color w:val="auto"/>
          <w:kern w:val="0"/>
          <w:sz w:val="24"/>
          <w:highlight w:val="none"/>
          <w:lang w:val="en-US" w:eastAsia="zh-CN"/>
        </w:rPr>
        <w:t>15</w:t>
      </w:r>
      <w:r>
        <w:rPr>
          <w:rFonts w:hint="default" w:ascii="Times New Roman" w:hAnsi="Times New Roman" w:cs="Times New Roman"/>
          <w:color w:val="auto"/>
          <w:kern w:val="0"/>
          <w:sz w:val="24"/>
          <w:highlight w:val="none"/>
        </w:rPr>
        <w:t>m可行。</w:t>
      </w:r>
    </w:p>
    <w:p w14:paraId="0AB1636B">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rPr>
        <w:t>）加热沥青储罐、搅拌及出料产生的沥青烟气</w:t>
      </w:r>
    </w:p>
    <w:p w14:paraId="03DAC475">
      <w:pPr>
        <w:widowControl/>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沥青烟</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苯并[a]芘及</w:t>
      </w:r>
      <w:r>
        <w:rPr>
          <w:rFonts w:hint="default" w:ascii="Times New Roman" w:hAnsi="Times New Roman" w:cs="Times New Roman"/>
          <w:color w:val="auto"/>
          <w:kern w:val="0"/>
          <w:sz w:val="24"/>
          <w:highlight w:val="none"/>
          <w:lang w:val="en-US" w:eastAsia="zh-CN"/>
        </w:rPr>
        <w:t>非甲烷总烃</w:t>
      </w:r>
      <w:r>
        <w:rPr>
          <w:rFonts w:hint="default" w:ascii="Times New Roman" w:hAnsi="Times New Roman" w:cs="Times New Roman"/>
          <w:color w:val="auto"/>
          <w:kern w:val="0"/>
          <w:sz w:val="24"/>
          <w:highlight w:val="none"/>
        </w:rPr>
        <w:t>经负压抽风废气整体收集系统，沥青储罐通过集气管收集沥青烟气、出料区设置自动升降门及集气管，密闭收集沥青烟气，沥青烟气基本可做到完全收集，沥青烟气通过引风机（设计风量20000m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/h）经负压收集后经负压收集+电捕焦油器+活性炭吸附装置后通过</w:t>
      </w:r>
      <w:r>
        <w:rPr>
          <w:rFonts w:hint="default" w:ascii="Times New Roman" w:hAnsi="Times New Roman" w:cs="Times New Roman"/>
          <w:color w:val="auto"/>
          <w:kern w:val="0"/>
          <w:sz w:val="24"/>
          <w:highlight w:val="none"/>
          <w:lang w:val="en-US" w:eastAsia="zh-CN"/>
        </w:rPr>
        <w:t>15</w:t>
      </w:r>
      <w:r>
        <w:rPr>
          <w:rFonts w:hint="default" w:ascii="Times New Roman" w:hAnsi="Times New Roman" w:cs="Times New Roman"/>
          <w:color w:val="auto"/>
          <w:kern w:val="0"/>
          <w:sz w:val="24"/>
          <w:highlight w:val="none"/>
        </w:rPr>
        <w:t>m烟囱DA00</w:t>
      </w:r>
      <w:r>
        <w:rPr>
          <w:rFonts w:hint="default" w:ascii="Times New Roman" w:hAnsi="Times New Roman" w:cs="Times New Roman"/>
          <w:color w:val="auto"/>
          <w:kern w:val="0"/>
          <w:sz w:val="24"/>
          <w:highlight w:val="none"/>
          <w:lang w:val="en-US" w:eastAsia="zh-CN"/>
        </w:rPr>
        <w:t>3</w:t>
      </w:r>
      <w:r>
        <w:rPr>
          <w:rFonts w:hint="default" w:ascii="Times New Roman" w:hAnsi="Times New Roman" w:cs="Times New Roman"/>
          <w:color w:val="auto"/>
          <w:kern w:val="0"/>
          <w:sz w:val="24"/>
          <w:highlight w:val="none"/>
        </w:rPr>
        <w:t>排放。有组织排放浓度及排放速率满足《大气污染物综合排放标准》（GB16297-1996）表2中二级标准限值。属于《排污许可证申请与核发技术规范 石墨及其他非金属矿物制品制造》（HJ1119-2020）表A.5中的可行性技术。</w:t>
      </w:r>
    </w:p>
    <w:p w14:paraId="72F89A02">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根据《大气污染物综合排放标准》（GB16297-1996），排气筒高度应高出周围200m半径范围的建筑5m以上，本项目</w:t>
      </w:r>
      <w:r>
        <w:rPr>
          <w:rFonts w:hint="default" w:ascii="Times New Roman" w:hAnsi="Times New Roman" w:cs="Times New Roman"/>
          <w:color w:val="auto"/>
          <w:kern w:val="0"/>
          <w:sz w:val="24"/>
          <w:highlight w:val="none"/>
          <w:lang w:val="en-US" w:eastAsia="zh-CN"/>
        </w:rPr>
        <w:t>排气筒周围半径</w:t>
      </w:r>
      <w:r>
        <w:rPr>
          <w:rFonts w:hint="default" w:ascii="Times New Roman" w:hAnsi="Times New Roman" w:cs="Times New Roman"/>
          <w:color w:val="auto"/>
          <w:kern w:val="0"/>
          <w:sz w:val="24"/>
          <w:highlight w:val="none"/>
        </w:rPr>
        <w:t>200m范围内最高建筑高度为</w:t>
      </w:r>
      <w:r>
        <w:rPr>
          <w:rFonts w:hint="default" w:ascii="Times New Roman" w:hAnsi="Times New Roman" w:cs="Times New Roman"/>
          <w:color w:val="auto"/>
          <w:kern w:val="0"/>
          <w:sz w:val="24"/>
          <w:highlight w:val="none"/>
          <w:lang w:eastAsia="zh-CN"/>
        </w:rPr>
        <w:t>西南侧厂房</w:t>
      </w:r>
      <w:r>
        <w:rPr>
          <w:rFonts w:hint="default" w:ascii="Times New Roman" w:hAnsi="Times New Roman" w:cs="Times New Roman"/>
          <w:color w:val="auto"/>
          <w:kern w:val="0"/>
          <w:sz w:val="24"/>
          <w:highlight w:val="none"/>
        </w:rPr>
        <w:t>，高度为</w:t>
      </w:r>
      <w:r>
        <w:rPr>
          <w:rFonts w:hint="default" w:ascii="Times New Roman" w:hAnsi="Times New Roman" w:cs="Times New Roman"/>
          <w:color w:val="auto"/>
          <w:kern w:val="0"/>
          <w:sz w:val="24"/>
          <w:highlight w:val="none"/>
          <w:lang w:val="en-US" w:eastAsia="zh-CN"/>
        </w:rPr>
        <w:t>7</w:t>
      </w:r>
      <w:r>
        <w:rPr>
          <w:rFonts w:hint="default" w:ascii="Times New Roman" w:hAnsi="Times New Roman" w:cs="Times New Roman"/>
          <w:color w:val="auto"/>
          <w:kern w:val="0"/>
          <w:sz w:val="24"/>
          <w:highlight w:val="none"/>
        </w:rPr>
        <w:t>m，因此本项目烟囱设计高度为</w:t>
      </w:r>
      <w:r>
        <w:rPr>
          <w:rFonts w:hint="default" w:ascii="Times New Roman" w:hAnsi="Times New Roman" w:cs="Times New Roman"/>
          <w:color w:val="auto"/>
          <w:kern w:val="0"/>
          <w:sz w:val="24"/>
          <w:highlight w:val="none"/>
          <w:lang w:val="en-US" w:eastAsia="zh-CN"/>
        </w:rPr>
        <w:t>15</w:t>
      </w:r>
      <w:r>
        <w:rPr>
          <w:rFonts w:hint="default" w:ascii="Times New Roman" w:hAnsi="Times New Roman" w:cs="Times New Roman"/>
          <w:color w:val="auto"/>
          <w:kern w:val="0"/>
          <w:sz w:val="24"/>
          <w:highlight w:val="none"/>
        </w:rPr>
        <w:t>m可行。</w:t>
      </w:r>
    </w:p>
    <w:p w14:paraId="3C5B63C5">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3</w:t>
      </w:r>
      <w:r>
        <w:rPr>
          <w:rFonts w:hint="default" w:ascii="Times New Roman" w:hAnsi="Times New Roman" w:cs="Times New Roman"/>
          <w:color w:val="auto"/>
          <w:kern w:val="0"/>
          <w:sz w:val="24"/>
          <w:highlight w:val="none"/>
        </w:rPr>
        <w:t>）导热油炉烟气</w:t>
      </w:r>
    </w:p>
    <w:p w14:paraId="36B68821">
      <w:pPr>
        <w:spacing w:line="500" w:lineRule="exact"/>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导热油炉燃料为低硫的轻质柴油，导热油炉采用低氮燃烧技术并安装自动监测温度系统，使二氧化硫、氮氧化物及颗粒物产生浓度更低。经预测，燃烧烟气中颗粒物、二氧化硫、氮氧化物的排放浓度均满足《锅炉大气污染物排放标准》（GB13271-2014），属于《排污许可证申请与核发技术规范 锅炉》（HJ953-2018）表3中的可行技术。</w:t>
      </w:r>
    </w:p>
    <w:p w14:paraId="5102CA74">
      <w:pPr>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根据《锅炉大气污染物排放标准》（GB13271-2014），燃油锅炉烟囱不低于8m，新建锅炉房的烟囱周围半径200m距离内有建筑物时，其烟囱应高出最高建筑物3m以上，本项目烟囱和周围半径200m范围内最高建筑高度为</w:t>
      </w:r>
      <w:r>
        <w:rPr>
          <w:rFonts w:hint="default" w:ascii="Times New Roman" w:hAnsi="Times New Roman" w:cs="Times New Roman"/>
          <w:color w:val="auto"/>
          <w:kern w:val="0"/>
          <w:sz w:val="24"/>
          <w:highlight w:val="none"/>
          <w:lang w:eastAsia="zh-CN"/>
        </w:rPr>
        <w:t>西南侧厂房</w:t>
      </w:r>
      <w:r>
        <w:rPr>
          <w:rFonts w:hint="default" w:ascii="Times New Roman" w:hAnsi="Times New Roman" w:cs="Times New Roman"/>
          <w:color w:val="auto"/>
          <w:kern w:val="0"/>
          <w:sz w:val="24"/>
          <w:highlight w:val="none"/>
        </w:rPr>
        <w:t>，高度为</w:t>
      </w:r>
      <w:r>
        <w:rPr>
          <w:rFonts w:hint="default" w:ascii="Times New Roman" w:hAnsi="Times New Roman" w:cs="Times New Roman"/>
          <w:color w:val="auto"/>
          <w:kern w:val="0"/>
          <w:sz w:val="24"/>
          <w:highlight w:val="none"/>
          <w:lang w:val="en-US" w:eastAsia="zh-CN"/>
        </w:rPr>
        <w:t>7</w:t>
      </w:r>
      <w:r>
        <w:rPr>
          <w:rFonts w:hint="default" w:ascii="Times New Roman" w:hAnsi="Times New Roman" w:cs="Times New Roman"/>
          <w:color w:val="auto"/>
          <w:kern w:val="0"/>
          <w:sz w:val="24"/>
          <w:highlight w:val="none"/>
        </w:rPr>
        <w:t>m，因此本项目烟囱设计高度为</w:t>
      </w:r>
      <w:r>
        <w:rPr>
          <w:rFonts w:hint="default" w:ascii="Times New Roman" w:hAnsi="Times New Roman" w:cs="Times New Roman"/>
          <w:color w:val="auto"/>
          <w:kern w:val="0"/>
          <w:sz w:val="24"/>
          <w:highlight w:val="none"/>
          <w:lang w:val="en-US" w:eastAsia="zh-CN"/>
        </w:rPr>
        <w:t>10</w:t>
      </w:r>
      <w:r>
        <w:rPr>
          <w:rFonts w:hint="default" w:ascii="Times New Roman" w:hAnsi="Times New Roman" w:cs="Times New Roman"/>
          <w:color w:val="auto"/>
          <w:kern w:val="0"/>
          <w:sz w:val="24"/>
          <w:highlight w:val="none"/>
        </w:rPr>
        <w:t>m可行。</w:t>
      </w:r>
    </w:p>
    <w:p w14:paraId="5DFC35D3">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474" w:name="_Toc27512"/>
      <w:bookmarkStart w:id="475" w:name="_Toc193460016"/>
      <w:bookmarkStart w:id="476" w:name="_Toc192758927"/>
      <w:bookmarkStart w:id="477" w:name="_Toc10686"/>
      <w:r>
        <w:rPr>
          <w:rFonts w:hint="default" w:ascii="Times New Roman" w:hAnsi="Times New Roman" w:eastAsia="黑体" w:cs="Times New Roman"/>
          <w:bCs/>
          <w:color w:val="auto"/>
          <w:kern w:val="44"/>
          <w:sz w:val="24"/>
          <w:highlight w:val="none"/>
        </w:rPr>
        <w:t>6.2无组织排放废气防治措施及其可行性论证</w:t>
      </w:r>
      <w:bookmarkEnd w:id="474"/>
      <w:bookmarkEnd w:id="475"/>
      <w:bookmarkEnd w:id="476"/>
      <w:bookmarkEnd w:id="477"/>
    </w:p>
    <w:p w14:paraId="49985737">
      <w:pPr>
        <w:tabs>
          <w:tab w:val="left" w:pos="2700"/>
        </w:tabs>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（1）原料运输产生的粉尘</w:t>
      </w:r>
    </w:p>
    <w:p w14:paraId="4DE3F1AD">
      <w:pPr>
        <w:tabs>
          <w:tab w:val="left" w:pos="2700"/>
        </w:tabs>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本项目车辆运输过程会产生无组织粉尘。本项目运输车辆运输过程中减速慢行，厂区定期洒水抑尘</w:t>
      </w:r>
      <w:r>
        <w:rPr>
          <w:rFonts w:hint="default" w:ascii="Times New Roman" w:hAnsi="Times New Roman" w:cs="Times New Roman"/>
          <w:color w:val="auto"/>
          <w:kern w:val="0"/>
          <w:sz w:val="24"/>
          <w:highlight w:val="none"/>
        </w:rPr>
        <w:t>，采取上述措施后粉尘对外环境影响较小，采取措施可行。</w:t>
      </w:r>
    </w:p>
    <w:p w14:paraId="2E7ABFF5">
      <w:pPr>
        <w:tabs>
          <w:tab w:val="left" w:pos="2700"/>
        </w:tabs>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（2）原料、产品堆场粉尘</w:t>
      </w:r>
    </w:p>
    <w:p w14:paraId="2730500E">
      <w:pPr>
        <w:tabs>
          <w:tab w:val="left" w:pos="2700"/>
        </w:tabs>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本项目原料外购进场到指定堆场装卸和堆存时会产生无组织粉尘。本项目堆场四周设置防风抑尘网高4.5m，总长度约</w:t>
      </w:r>
      <w:r>
        <w:rPr>
          <w:rFonts w:hint="default"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rPr>
        <w:t>00m，安装喷淋装置进行定期</w:t>
      </w:r>
      <w:r>
        <w:rPr>
          <w:rFonts w:hint="default" w:ascii="Times New Roman" w:hAnsi="Times New Roman" w:cs="Times New Roman"/>
          <w:color w:val="auto"/>
          <w:kern w:val="0"/>
          <w:sz w:val="24"/>
          <w:highlight w:val="none"/>
          <w:lang w:eastAsia="zh-CN"/>
        </w:rPr>
        <w:t>喷淋降尘</w:t>
      </w:r>
      <w:r>
        <w:rPr>
          <w:rFonts w:hint="default" w:ascii="Times New Roman" w:hAnsi="Times New Roman" w:cs="Times New Roman"/>
          <w:color w:val="auto"/>
          <w:kern w:val="0"/>
          <w:sz w:val="24"/>
          <w:highlight w:val="none"/>
        </w:rPr>
        <w:t>，采取上述措施后粉尘对外环境影响较小，措施可行。</w:t>
      </w:r>
    </w:p>
    <w:p w14:paraId="539FE6B0">
      <w:pPr>
        <w:tabs>
          <w:tab w:val="left" w:pos="2700"/>
        </w:tabs>
        <w:adjustRightInd w:val="0"/>
        <w:snapToGrid w:val="0"/>
        <w:spacing w:line="500" w:lineRule="exact"/>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kern w:val="0"/>
          <w:sz w:val="24"/>
          <w:highlight w:val="none"/>
        </w:rPr>
        <w:t>（3）</w:t>
      </w:r>
      <w:r>
        <w:rPr>
          <w:rFonts w:hint="default" w:ascii="Times New Roman" w:hAnsi="Times New Roman" w:cs="Times New Roman"/>
          <w:color w:val="auto"/>
          <w:kern w:val="0"/>
          <w:sz w:val="24"/>
          <w:highlight w:val="none"/>
          <w:lang w:val="en-US" w:eastAsia="zh-CN"/>
        </w:rPr>
        <w:t>矿粉仓</w:t>
      </w:r>
    </w:p>
    <w:p w14:paraId="4FFFA693">
      <w:pPr>
        <w:tabs>
          <w:tab w:val="left" w:pos="2700"/>
        </w:tabs>
        <w:adjustRightInd w:val="0"/>
        <w:snapToGrid w:val="0"/>
        <w:spacing w:line="500" w:lineRule="exact"/>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本项目矿粉装卸时会产生一定量的粉尘，矿粉仓为密闭筒仓，废气经自带布袋除尘器处理后高空排放</w:t>
      </w:r>
      <w:r>
        <w:rPr>
          <w:rFonts w:hint="default" w:ascii="Times New Roman" w:hAnsi="Times New Roman" w:cs="Times New Roman"/>
          <w:color w:val="auto"/>
          <w:kern w:val="0"/>
          <w:sz w:val="24"/>
          <w:highlight w:val="none"/>
        </w:rPr>
        <w:t>，采取上述措施后粉尘对外环境影响较小，措施可行</w:t>
      </w:r>
      <w:r>
        <w:rPr>
          <w:rFonts w:hint="default" w:ascii="Times New Roman" w:hAnsi="Times New Roman" w:cs="Times New Roman"/>
          <w:color w:val="auto"/>
          <w:kern w:val="0"/>
          <w:sz w:val="24"/>
          <w:highlight w:val="none"/>
          <w:lang w:val="en-US" w:eastAsia="zh-CN"/>
        </w:rPr>
        <w:t>。</w:t>
      </w:r>
    </w:p>
    <w:p w14:paraId="2A9AF16E">
      <w:pPr>
        <w:tabs>
          <w:tab w:val="left" w:pos="2700"/>
        </w:tabs>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冷料上料和输送粉尘</w:t>
      </w:r>
    </w:p>
    <w:p w14:paraId="7063489F">
      <w:pPr>
        <w:tabs>
          <w:tab w:val="left" w:pos="2700"/>
        </w:tabs>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本项目冷料通过铲车、封闭皮带输送至烘干筒，过程中会产生一定量的粉尘。冷料上料于封闭</w:t>
      </w:r>
      <w:r>
        <w:rPr>
          <w:rFonts w:hint="default" w:ascii="Times New Roman" w:hAnsi="Times New Roman" w:cs="Times New Roman"/>
          <w:color w:val="auto"/>
          <w:kern w:val="0"/>
          <w:sz w:val="24"/>
          <w:highlight w:val="none"/>
          <w:lang w:val="en-US" w:eastAsia="zh-CN"/>
        </w:rPr>
        <w:t>骨料仓</w:t>
      </w:r>
      <w:r>
        <w:rPr>
          <w:rFonts w:hint="default" w:ascii="Times New Roman" w:hAnsi="Times New Roman" w:cs="Times New Roman"/>
          <w:color w:val="auto"/>
          <w:kern w:val="0"/>
          <w:sz w:val="24"/>
          <w:highlight w:val="none"/>
        </w:rPr>
        <w:t>中进行，采取上述措施后粉尘对外环境影响较小，措施可行</w:t>
      </w:r>
      <w:r>
        <w:rPr>
          <w:rFonts w:hint="default" w:ascii="Times New Roman" w:hAnsi="Times New Roman" w:cs="Times New Roman"/>
          <w:color w:val="auto"/>
          <w:sz w:val="24"/>
          <w:highlight w:val="none"/>
        </w:rPr>
        <w:t>。</w:t>
      </w:r>
    </w:p>
    <w:p w14:paraId="55D68BE4">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478" w:name="_Toc192758928"/>
      <w:bookmarkStart w:id="479" w:name="_Toc7686"/>
      <w:bookmarkStart w:id="480" w:name="_Toc193460017"/>
      <w:bookmarkStart w:id="481" w:name="_Toc29071"/>
      <w:bookmarkStart w:id="482" w:name="_Toc1843"/>
      <w:bookmarkStart w:id="483" w:name="_Toc13832"/>
      <w:r>
        <w:rPr>
          <w:rFonts w:hint="default" w:ascii="Times New Roman" w:hAnsi="Times New Roman" w:eastAsia="黑体" w:cs="Times New Roman"/>
          <w:bCs/>
          <w:color w:val="auto"/>
          <w:kern w:val="44"/>
          <w:sz w:val="24"/>
          <w:highlight w:val="none"/>
        </w:rPr>
        <w:t>6.3排气筒高度合理性分析</w:t>
      </w:r>
      <w:bookmarkEnd w:id="478"/>
      <w:bookmarkEnd w:id="479"/>
      <w:bookmarkEnd w:id="480"/>
      <w:bookmarkEnd w:id="481"/>
      <w:bookmarkEnd w:id="482"/>
      <w:bookmarkEnd w:id="483"/>
    </w:p>
    <w:p w14:paraId="582CEA30">
      <w:pPr>
        <w:numPr>
          <w:ilvl w:val="0"/>
          <w:numId w:val="11"/>
        </w:numPr>
        <w:tabs>
          <w:tab w:val="left" w:pos="2700"/>
        </w:tabs>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排气筒DA001</w:t>
      </w:r>
    </w:p>
    <w:p w14:paraId="0E461464">
      <w:pPr>
        <w:tabs>
          <w:tab w:val="left" w:pos="2700"/>
        </w:tabs>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根据《大气污染物综合排放标准》（GB16297-1996），排气筒高度应高出周围200m半径范围的建筑5m以上，</w:t>
      </w:r>
      <w:r>
        <w:rPr>
          <w:rFonts w:hint="default" w:ascii="Times New Roman" w:hAnsi="Times New Roman" w:cs="Times New Roman"/>
          <w:color w:val="auto"/>
          <w:kern w:val="0"/>
          <w:sz w:val="24"/>
          <w:highlight w:val="none"/>
        </w:rPr>
        <w:t>本项目</w:t>
      </w:r>
      <w:r>
        <w:rPr>
          <w:rFonts w:hint="default" w:ascii="Times New Roman" w:hAnsi="Times New Roman" w:cs="Times New Roman"/>
          <w:color w:val="auto"/>
          <w:kern w:val="0"/>
          <w:sz w:val="24"/>
          <w:highlight w:val="none"/>
          <w:lang w:val="en-US" w:eastAsia="zh-CN"/>
        </w:rPr>
        <w:t>排气筒周围半径</w:t>
      </w:r>
      <w:r>
        <w:rPr>
          <w:rFonts w:hint="default" w:ascii="Times New Roman" w:hAnsi="Times New Roman" w:cs="Times New Roman"/>
          <w:color w:val="auto"/>
          <w:kern w:val="0"/>
          <w:sz w:val="24"/>
          <w:highlight w:val="none"/>
        </w:rPr>
        <w:t>200m范围内最高建筑高度为</w:t>
      </w:r>
      <w:r>
        <w:rPr>
          <w:rFonts w:hint="default" w:ascii="Times New Roman" w:hAnsi="Times New Roman" w:cs="Times New Roman"/>
          <w:color w:val="auto"/>
          <w:kern w:val="0"/>
          <w:sz w:val="24"/>
          <w:highlight w:val="none"/>
          <w:lang w:eastAsia="zh-CN"/>
        </w:rPr>
        <w:t>西南侧厂房</w:t>
      </w:r>
      <w:r>
        <w:rPr>
          <w:rFonts w:hint="default" w:ascii="Times New Roman" w:hAnsi="Times New Roman" w:cs="Times New Roman"/>
          <w:color w:val="auto"/>
          <w:kern w:val="0"/>
          <w:sz w:val="24"/>
          <w:highlight w:val="none"/>
        </w:rPr>
        <w:t>，高度为</w:t>
      </w:r>
      <w:r>
        <w:rPr>
          <w:rFonts w:hint="default" w:ascii="Times New Roman" w:hAnsi="Times New Roman" w:cs="Times New Roman"/>
          <w:color w:val="auto"/>
          <w:kern w:val="0"/>
          <w:sz w:val="24"/>
          <w:highlight w:val="none"/>
          <w:lang w:val="en-US" w:eastAsia="zh-CN"/>
        </w:rPr>
        <w:t>7</w:t>
      </w:r>
      <w:r>
        <w:rPr>
          <w:rFonts w:hint="default" w:ascii="Times New Roman" w:hAnsi="Times New Roman" w:cs="Times New Roman"/>
          <w:color w:val="auto"/>
          <w:kern w:val="0"/>
          <w:sz w:val="24"/>
          <w:highlight w:val="none"/>
        </w:rPr>
        <w:t>m</w:t>
      </w:r>
      <w:r>
        <w:rPr>
          <w:rFonts w:hint="default" w:ascii="Times New Roman" w:hAnsi="Times New Roman" w:cs="Times New Roman"/>
          <w:color w:val="auto"/>
          <w:sz w:val="24"/>
          <w:highlight w:val="none"/>
        </w:rPr>
        <w:t>，因此本项目烟囱设计高度为</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m可行。</w:t>
      </w:r>
    </w:p>
    <w:p w14:paraId="7BD42492">
      <w:pPr>
        <w:numPr>
          <w:ilvl w:val="0"/>
          <w:numId w:val="11"/>
        </w:numPr>
        <w:tabs>
          <w:tab w:val="left" w:pos="2700"/>
        </w:tabs>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排气筒DA002</w:t>
      </w:r>
    </w:p>
    <w:p w14:paraId="6538EC1E">
      <w:pPr>
        <w:adjustRightInd w:val="0"/>
        <w:snapToGrid w:val="0"/>
        <w:spacing w:line="500" w:lineRule="exact"/>
        <w:ind w:firstLine="480" w:firstLineChars="200"/>
        <w:jc w:val="left"/>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根据《锅炉大气污染物排放标准》（GB13271-2014），燃油锅炉烟囱不低于8m，新建锅炉房的烟囱周围半径200m距离内有建筑物时，其烟囱应高出最高建筑物3m以上，</w:t>
      </w:r>
      <w:r>
        <w:rPr>
          <w:rFonts w:hint="default" w:ascii="Times New Roman" w:hAnsi="Times New Roman" w:cs="Times New Roman"/>
          <w:color w:val="auto"/>
          <w:kern w:val="0"/>
          <w:sz w:val="24"/>
          <w:highlight w:val="none"/>
        </w:rPr>
        <w:t>本项目</w:t>
      </w:r>
      <w:r>
        <w:rPr>
          <w:rFonts w:hint="default" w:ascii="Times New Roman" w:hAnsi="Times New Roman" w:cs="Times New Roman"/>
          <w:color w:val="auto"/>
          <w:kern w:val="0"/>
          <w:sz w:val="24"/>
          <w:highlight w:val="none"/>
          <w:lang w:val="en-US" w:eastAsia="zh-CN"/>
        </w:rPr>
        <w:t>烟囱周围半径</w:t>
      </w:r>
      <w:r>
        <w:rPr>
          <w:rFonts w:hint="default" w:ascii="Times New Roman" w:hAnsi="Times New Roman" w:cs="Times New Roman"/>
          <w:color w:val="auto"/>
          <w:kern w:val="0"/>
          <w:sz w:val="24"/>
          <w:highlight w:val="none"/>
        </w:rPr>
        <w:t>200m范围内最高建筑高度为</w:t>
      </w:r>
      <w:r>
        <w:rPr>
          <w:rFonts w:hint="default" w:ascii="Times New Roman" w:hAnsi="Times New Roman" w:cs="Times New Roman"/>
          <w:color w:val="auto"/>
          <w:kern w:val="0"/>
          <w:sz w:val="24"/>
          <w:highlight w:val="none"/>
          <w:lang w:eastAsia="zh-CN"/>
        </w:rPr>
        <w:t>西南侧厂房</w:t>
      </w:r>
      <w:r>
        <w:rPr>
          <w:rFonts w:hint="default" w:ascii="Times New Roman" w:hAnsi="Times New Roman" w:cs="Times New Roman"/>
          <w:color w:val="auto"/>
          <w:kern w:val="0"/>
          <w:sz w:val="24"/>
          <w:highlight w:val="none"/>
        </w:rPr>
        <w:t>，高度为</w:t>
      </w:r>
      <w:r>
        <w:rPr>
          <w:rFonts w:hint="default" w:ascii="Times New Roman" w:hAnsi="Times New Roman" w:cs="Times New Roman"/>
          <w:color w:val="auto"/>
          <w:kern w:val="0"/>
          <w:sz w:val="24"/>
          <w:highlight w:val="none"/>
          <w:lang w:val="en-US" w:eastAsia="zh-CN"/>
        </w:rPr>
        <w:t>7</w:t>
      </w:r>
      <w:r>
        <w:rPr>
          <w:rFonts w:hint="default" w:ascii="Times New Roman" w:hAnsi="Times New Roman" w:cs="Times New Roman"/>
          <w:color w:val="auto"/>
          <w:kern w:val="0"/>
          <w:sz w:val="24"/>
          <w:highlight w:val="none"/>
        </w:rPr>
        <w:t>m</w:t>
      </w:r>
      <w:r>
        <w:rPr>
          <w:rFonts w:hint="default" w:ascii="Times New Roman" w:hAnsi="Times New Roman" w:cs="Times New Roman"/>
          <w:color w:val="auto"/>
          <w:kern w:val="0"/>
          <w:sz w:val="24"/>
          <w:szCs w:val="20"/>
          <w:highlight w:val="none"/>
        </w:rPr>
        <w:t>，因此本项目烟囱设计高度为</w:t>
      </w:r>
      <w:r>
        <w:rPr>
          <w:rFonts w:hint="default" w:ascii="Times New Roman" w:hAnsi="Times New Roman" w:cs="Times New Roman"/>
          <w:color w:val="auto"/>
          <w:kern w:val="0"/>
          <w:sz w:val="24"/>
          <w:szCs w:val="20"/>
          <w:highlight w:val="none"/>
          <w:lang w:val="en-US" w:eastAsia="zh-CN"/>
        </w:rPr>
        <w:t>10m</w:t>
      </w:r>
      <w:r>
        <w:rPr>
          <w:rFonts w:hint="default" w:ascii="Times New Roman" w:hAnsi="Times New Roman" w:cs="Times New Roman"/>
          <w:color w:val="auto"/>
          <w:kern w:val="0"/>
          <w:sz w:val="24"/>
          <w:szCs w:val="20"/>
          <w:highlight w:val="none"/>
        </w:rPr>
        <w:t>可行。</w:t>
      </w:r>
    </w:p>
    <w:p w14:paraId="6727ABA3">
      <w:pPr>
        <w:adjustRightInd w:val="0"/>
        <w:snapToGrid w:val="0"/>
        <w:spacing w:line="500" w:lineRule="exact"/>
        <w:ind w:firstLine="480" w:firstLineChars="200"/>
        <w:jc w:val="left"/>
        <w:rPr>
          <w:rFonts w:hint="default" w:ascii="Times New Roman" w:hAnsi="Times New Roman" w:eastAsia="宋体" w:cs="Times New Roman"/>
          <w:color w:val="auto"/>
          <w:kern w:val="0"/>
          <w:sz w:val="18"/>
          <w:szCs w:val="20"/>
          <w:highlight w:val="none"/>
          <w:lang w:eastAsia="zh-CN"/>
        </w:rPr>
      </w:pPr>
      <w:r>
        <w:rPr>
          <w:rFonts w:hint="default" w:ascii="Times New Roman" w:hAnsi="Times New Roman" w:cs="Times New Roman"/>
          <w:color w:val="auto"/>
          <w:kern w:val="0"/>
          <w:sz w:val="24"/>
          <w:szCs w:val="20"/>
          <w:highlight w:val="none"/>
        </w:rPr>
        <w:t>（</w:t>
      </w:r>
      <w:r>
        <w:rPr>
          <w:rFonts w:hint="default" w:ascii="Times New Roman" w:hAnsi="Times New Roman" w:cs="Times New Roman"/>
          <w:color w:val="auto"/>
          <w:kern w:val="0"/>
          <w:sz w:val="24"/>
          <w:szCs w:val="20"/>
          <w:highlight w:val="none"/>
          <w:lang w:val="en-US" w:eastAsia="zh-CN"/>
        </w:rPr>
        <w:t>3</w:t>
      </w:r>
      <w:r>
        <w:rPr>
          <w:rFonts w:hint="default" w:ascii="Times New Roman" w:hAnsi="Times New Roman" w:cs="Times New Roman"/>
          <w:color w:val="auto"/>
          <w:kern w:val="0"/>
          <w:sz w:val="24"/>
          <w:szCs w:val="20"/>
          <w:highlight w:val="none"/>
        </w:rPr>
        <w:t>）排气筒DA00</w:t>
      </w:r>
      <w:r>
        <w:rPr>
          <w:rFonts w:hint="default" w:ascii="Times New Roman" w:hAnsi="Times New Roman" w:cs="Times New Roman"/>
          <w:color w:val="auto"/>
          <w:kern w:val="0"/>
          <w:sz w:val="24"/>
          <w:szCs w:val="20"/>
          <w:highlight w:val="none"/>
          <w:lang w:val="en-US" w:eastAsia="zh-CN"/>
        </w:rPr>
        <w:t>3</w:t>
      </w:r>
    </w:p>
    <w:p w14:paraId="5FC0BE10">
      <w:pPr>
        <w:adjustRightInd w:val="0"/>
        <w:snapToGrid w:val="0"/>
        <w:spacing w:line="500" w:lineRule="exact"/>
        <w:ind w:firstLine="480" w:firstLineChars="200"/>
        <w:jc w:val="left"/>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根据《大气污染物综合排放标准》（GB16297-1996），排气筒高度应高出周围200m半径范围的建筑5m以上，</w:t>
      </w:r>
      <w:r>
        <w:rPr>
          <w:rFonts w:hint="default" w:ascii="Times New Roman" w:hAnsi="Times New Roman" w:cs="Times New Roman"/>
          <w:color w:val="auto"/>
          <w:kern w:val="0"/>
          <w:sz w:val="24"/>
          <w:highlight w:val="none"/>
        </w:rPr>
        <w:t>本项目</w:t>
      </w:r>
      <w:r>
        <w:rPr>
          <w:rFonts w:hint="default" w:ascii="Times New Roman" w:hAnsi="Times New Roman" w:cs="Times New Roman"/>
          <w:color w:val="auto"/>
          <w:kern w:val="0"/>
          <w:sz w:val="24"/>
          <w:highlight w:val="none"/>
          <w:lang w:val="en-US" w:eastAsia="zh-CN"/>
        </w:rPr>
        <w:t>排气筒周围半径</w:t>
      </w:r>
      <w:r>
        <w:rPr>
          <w:rFonts w:hint="default" w:ascii="Times New Roman" w:hAnsi="Times New Roman" w:cs="Times New Roman"/>
          <w:color w:val="auto"/>
          <w:kern w:val="0"/>
          <w:sz w:val="24"/>
          <w:highlight w:val="none"/>
        </w:rPr>
        <w:t>200m范围内最高建筑高度为</w:t>
      </w:r>
      <w:r>
        <w:rPr>
          <w:rFonts w:hint="default" w:ascii="Times New Roman" w:hAnsi="Times New Roman" w:cs="Times New Roman"/>
          <w:color w:val="auto"/>
          <w:kern w:val="0"/>
          <w:sz w:val="24"/>
          <w:highlight w:val="none"/>
          <w:lang w:eastAsia="zh-CN"/>
        </w:rPr>
        <w:t>西南侧厂房</w:t>
      </w:r>
      <w:r>
        <w:rPr>
          <w:rFonts w:hint="default" w:ascii="Times New Roman" w:hAnsi="Times New Roman" w:cs="Times New Roman"/>
          <w:color w:val="auto"/>
          <w:kern w:val="0"/>
          <w:sz w:val="24"/>
          <w:highlight w:val="none"/>
        </w:rPr>
        <w:t>，高度为</w:t>
      </w:r>
      <w:r>
        <w:rPr>
          <w:rFonts w:hint="default" w:ascii="Times New Roman" w:hAnsi="Times New Roman" w:cs="Times New Roman"/>
          <w:color w:val="auto"/>
          <w:kern w:val="0"/>
          <w:sz w:val="24"/>
          <w:highlight w:val="none"/>
          <w:lang w:val="en-US" w:eastAsia="zh-CN"/>
        </w:rPr>
        <w:t>7</w:t>
      </w:r>
      <w:r>
        <w:rPr>
          <w:rFonts w:hint="default" w:ascii="Times New Roman" w:hAnsi="Times New Roman" w:cs="Times New Roman"/>
          <w:color w:val="auto"/>
          <w:kern w:val="0"/>
          <w:sz w:val="24"/>
          <w:highlight w:val="none"/>
        </w:rPr>
        <w:t>m</w:t>
      </w:r>
      <w:r>
        <w:rPr>
          <w:rFonts w:hint="default" w:ascii="Times New Roman" w:hAnsi="Times New Roman" w:cs="Times New Roman"/>
          <w:color w:val="auto"/>
          <w:kern w:val="0"/>
          <w:sz w:val="24"/>
          <w:szCs w:val="20"/>
          <w:highlight w:val="none"/>
        </w:rPr>
        <w:t>，因此本项目烟囱设计高度为</w:t>
      </w:r>
      <w:r>
        <w:rPr>
          <w:rFonts w:hint="default" w:ascii="Times New Roman" w:hAnsi="Times New Roman" w:cs="Times New Roman"/>
          <w:color w:val="auto"/>
          <w:kern w:val="0"/>
          <w:sz w:val="24"/>
          <w:szCs w:val="20"/>
          <w:highlight w:val="none"/>
          <w:lang w:val="en-US" w:eastAsia="zh-CN"/>
        </w:rPr>
        <w:t>15</w:t>
      </w:r>
      <w:r>
        <w:rPr>
          <w:rFonts w:hint="default" w:ascii="Times New Roman" w:hAnsi="Times New Roman" w:cs="Times New Roman"/>
          <w:color w:val="auto"/>
          <w:kern w:val="0"/>
          <w:sz w:val="24"/>
          <w:szCs w:val="20"/>
          <w:highlight w:val="none"/>
        </w:rPr>
        <w:t>m可行。</w:t>
      </w:r>
    </w:p>
    <w:p w14:paraId="51217621">
      <w:pPr>
        <w:adjustRightInd w:val="0"/>
        <w:snapToGrid w:val="0"/>
        <w:spacing w:line="500" w:lineRule="exact"/>
        <w:jc w:val="center"/>
        <w:rPr>
          <w:rFonts w:hint="default" w:ascii="Times New Roman" w:hAnsi="Times New Roman" w:cs="Times New Roman"/>
          <w:color w:val="auto"/>
          <w:kern w:val="0"/>
          <w:sz w:val="18"/>
          <w:szCs w:val="20"/>
          <w:highlight w:val="none"/>
        </w:rPr>
      </w:pPr>
    </w:p>
    <w:p w14:paraId="1F66C28A">
      <w:pPr>
        <w:adjustRightInd w:val="0"/>
        <w:snapToGrid w:val="0"/>
        <w:spacing w:line="500" w:lineRule="exact"/>
        <w:jc w:val="center"/>
        <w:rPr>
          <w:rFonts w:hint="default" w:ascii="Times New Roman" w:hAnsi="Times New Roman" w:cs="Times New Roman"/>
          <w:color w:val="auto"/>
          <w:kern w:val="0"/>
          <w:sz w:val="18"/>
          <w:szCs w:val="20"/>
          <w:highlight w:val="none"/>
        </w:rPr>
      </w:pPr>
    </w:p>
    <w:p w14:paraId="15A9C097">
      <w:pPr>
        <w:adjustRightInd w:val="0"/>
        <w:snapToGrid w:val="0"/>
        <w:spacing w:line="500" w:lineRule="exact"/>
        <w:jc w:val="center"/>
        <w:rPr>
          <w:rFonts w:hint="default" w:ascii="Times New Roman" w:hAnsi="Times New Roman" w:cs="Times New Roman"/>
          <w:color w:val="auto"/>
          <w:kern w:val="0"/>
          <w:sz w:val="18"/>
          <w:szCs w:val="20"/>
          <w:highlight w:val="none"/>
        </w:rPr>
      </w:pPr>
    </w:p>
    <w:p w14:paraId="1C41FC67">
      <w:pPr>
        <w:adjustRightInd w:val="0"/>
        <w:snapToGrid w:val="0"/>
        <w:spacing w:line="500" w:lineRule="exact"/>
        <w:jc w:val="center"/>
        <w:rPr>
          <w:rFonts w:hint="default" w:ascii="Times New Roman" w:hAnsi="Times New Roman" w:cs="Times New Roman"/>
          <w:color w:val="auto"/>
          <w:kern w:val="0"/>
          <w:sz w:val="18"/>
          <w:szCs w:val="20"/>
          <w:highlight w:val="none"/>
        </w:rPr>
      </w:pPr>
    </w:p>
    <w:p w14:paraId="3F066B15">
      <w:pPr>
        <w:adjustRightInd w:val="0"/>
        <w:snapToGrid w:val="0"/>
        <w:spacing w:line="500" w:lineRule="exact"/>
        <w:jc w:val="center"/>
        <w:rPr>
          <w:rFonts w:hint="default" w:ascii="Times New Roman" w:hAnsi="Times New Roman" w:cs="Times New Roman"/>
          <w:color w:val="auto"/>
          <w:kern w:val="0"/>
          <w:sz w:val="18"/>
          <w:szCs w:val="20"/>
          <w:highlight w:val="none"/>
        </w:rPr>
      </w:pPr>
    </w:p>
    <w:p w14:paraId="6B63019B">
      <w:pPr>
        <w:adjustRightInd w:val="0"/>
        <w:snapToGrid w:val="0"/>
        <w:spacing w:line="500" w:lineRule="exact"/>
        <w:jc w:val="center"/>
        <w:rPr>
          <w:rFonts w:hint="default" w:ascii="Times New Roman" w:hAnsi="Times New Roman" w:cs="Times New Roman"/>
          <w:color w:val="auto"/>
          <w:kern w:val="0"/>
          <w:sz w:val="18"/>
          <w:szCs w:val="20"/>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05972BF">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8"/>
          <w:szCs w:val="28"/>
          <w:highlight w:val="none"/>
        </w:rPr>
      </w:pPr>
      <w:bookmarkStart w:id="484" w:name="_Toc7605"/>
      <w:bookmarkStart w:id="485" w:name="_Toc19658"/>
      <w:bookmarkStart w:id="486" w:name="_Toc29787"/>
      <w:bookmarkStart w:id="487" w:name="_Toc1180"/>
      <w:bookmarkStart w:id="488" w:name="_Toc193460018"/>
      <w:bookmarkStart w:id="489" w:name="_Toc2022"/>
      <w:bookmarkStart w:id="490" w:name="_Toc31105"/>
      <w:bookmarkStart w:id="491" w:name="_Toc192758929"/>
      <w:r>
        <w:rPr>
          <w:rFonts w:hint="default" w:ascii="Times New Roman" w:hAnsi="Times New Roman" w:eastAsia="黑体" w:cs="Times New Roman"/>
          <w:bCs/>
          <w:color w:val="auto"/>
          <w:kern w:val="44"/>
          <w:sz w:val="28"/>
          <w:szCs w:val="28"/>
          <w:highlight w:val="none"/>
        </w:rPr>
        <w:t>7环境管理与监测</w:t>
      </w:r>
      <w:bookmarkEnd w:id="484"/>
      <w:bookmarkEnd w:id="485"/>
      <w:bookmarkEnd w:id="486"/>
      <w:bookmarkEnd w:id="487"/>
      <w:bookmarkEnd w:id="488"/>
      <w:bookmarkEnd w:id="489"/>
      <w:bookmarkEnd w:id="490"/>
      <w:bookmarkEnd w:id="491"/>
    </w:p>
    <w:p w14:paraId="64892104">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492" w:name="_Toc32275"/>
      <w:bookmarkStart w:id="493" w:name="_Toc8290"/>
      <w:bookmarkStart w:id="494" w:name="_Toc2871"/>
      <w:bookmarkStart w:id="495" w:name="_Toc378"/>
      <w:bookmarkStart w:id="496" w:name="_Toc21370"/>
      <w:bookmarkStart w:id="497" w:name="_Toc192758930"/>
      <w:bookmarkStart w:id="498" w:name="_Toc5648"/>
      <w:bookmarkStart w:id="499" w:name="_Toc193460019"/>
      <w:r>
        <w:rPr>
          <w:rFonts w:hint="default" w:ascii="Times New Roman" w:hAnsi="Times New Roman" w:eastAsia="黑体" w:cs="Times New Roman"/>
          <w:bCs/>
          <w:color w:val="auto"/>
          <w:kern w:val="44"/>
          <w:sz w:val="24"/>
          <w:highlight w:val="none"/>
        </w:rPr>
        <w:t>7.1环境管理</w:t>
      </w:r>
      <w:bookmarkEnd w:id="492"/>
      <w:bookmarkEnd w:id="493"/>
      <w:bookmarkEnd w:id="494"/>
      <w:bookmarkEnd w:id="495"/>
      <w:bookmarkEnd w:id="496"/>
      <w:bookmarkEnd w:id="497"/>
      <w:bookmarkEnd w:id="498"/>
      <w:bookmarkEnd w:id="499"/>
    </w:p>
    <w:p w14:paraId="5092C4D7">
      <w:pPr>
        <w:widowControl/>
        <w:adjustRightInd w:val="0"/>
        <w:snapToGrid w:val="0"/>
        <w:spacing w:line="500" w:lineRule="atLeas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环境管理是企业管理的一项重要内容。加强环境监督管理力度，是实现环境、生产、经济协调发展和走可持续发展道路的重要保证。为了最大限度地减轻施工作业及生产工艺过程中对环境的影响，确保工厂环保安全高效的生产，建立科学有效的环境管理体制，落实各项环保和安全措施显得尤为重要。通过建立环境管理体系，提高员工环保意识、规范企业管理、推行清洁生产，实现污染控制，保护环境质量，以实现环境效益、社会效益、经济效益的统一。</w:t>
      </w:r>
    </w:p>
    <w:p w14:paraId="14F50E96">
      <w:pPr>
        <w:widowControl/>
        <w:adjustRightInd w:val="0"/>
        <w:snapToGrid w:val="0"/>
        <w:spacing w:line="500" w:lineRule="atLeas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①根据国家环保政策、标准及环境监测要求，制定该项目运行期环保管理规章制度、各种污染物排放控制指标；</w:t>
      </w:r>
    </w:p>
    <w:p w14:paraId="7B01A52D">
      <w:pPr>
        <w:widowControl/>
        <w:adjustRightInd w:val="0"/>
        <w:snapToGrid w:val="0"/>
        <w:spacing w:line="500" w:lineRule="atLeas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②负责该项目内所有环保设施的日常运行管理，保障各环保设施的正常运行，并对环保设施的改进提出积极的建议；</w:t>
      </w:r>
    </w:p>
    <w:p w14:paraId="622245B3">
      <w:pPr>
        <w:widowControl/>
        <w:adjustRightInd w:val="0"/>
        <w:snapToGrid w:val="0"/>
        <w:spacing w:line="500" w:lineRule="atLeas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③负责该项目运行期环境监测工作，及时掌握该项目污染状况，整理监测数据，建立污染源档案；</w:t>
      </w:r>
    </w:p>
    <w:p w14:paraId="0C1248EB">
      <w:pPr>
        <w:widowControl/>
        <w:adjustRightInd w:val="0"/>
        <w:snapToGrid w:val="0"/>
        <w:spacing w:line="500" w:lineRule="atLeas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④项目运行期的环境管理由安全环保部承担；负责该项目内所有环保设施的日常运行管理，保障各环保设施的正常运行，并对环保设施的改进提出积极的建议；</w:t>
      </w:r>
    </w:p>
    <w:p w14:paraId="4CB624E4">
      <w:pPr>
        <w:widowControl/>
        <w:adjustRightInd w:val="0"/>
        <w:snapToGrid w:val="0"/>
        <w:spacing w:line="500" w:lineRule="atLeas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⑤负责对职工进行环保宣传教育工作，检查、监督各单位环保制度的执行情况；</w:t>
      </w:r>
    </w:p>
    <w:p w14:paraId="5414752B">
      <w:pPr>
        <w:widowControl/>
        <w:adjustRightInd w:val="0"/>
        <w:snapToGrid w:val="0"/>
        <w:spacing w:line="500" w:lineRule="atLeas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⑥建立健全环境档案管理与保密制度、污染防治设施设计技术改进及运行资料、污染源调查技术档案、环境监测及评价资料、项目平面图等。</w:t>
      </w:r>
    </w:p>
    <w:p w14:paraId="0454CC6B">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500" w:name="_Toc193460020"/>
      <w:bookmarkStart w:id="501" w:name="_Toc27513"/>
      <w:bookmarkStart w:id="502" w:name="_Toc12167"/>
      <w:bookmarkStart w:id="503" w:name="_Toc16655"/>
      <w:bookmarkStart w:id="504" w:name="_Toc9543"/>
      <w:bookmarkStart w:id="505" w:name="_Toc3027"/>
      <w:bookmarkStart w:id="506" w:name="_Toc14402"/>
      <w:bookmarkStart w:id="507" w:name="_Toc192758931"/>
      <w:r>
        <w:rPr>
          <w:rFonts w:hint="default" w:ascii="Times New Roman" w:hAnsi="Times New Roman" w:eastAsia="黑体" w:cs="Times New Roman"/>
          <w:bCs/>
          <w:color w:val="auto"/>
          <w:kern w:val="44"/>
          <w:sz w:val="24"/>
          <w:highlight w:val="none"/>
        </w:rPr>
        <w:t>7.2监测计划</w:t>
      </w:r>
      <w:bookmarkEnd w:id="500"/>
      <w:bookmarkEnd w:id="501"/>
      <w:bookmarkEnd w:id="502"/>
      <w:bookmarkEnd w:id="503"/>
      <w:bookmarkEnd w:id="504"/>
      <w:bookmarkEnd w:id="505"/>
      <w:bookmarkEnd w:id="506"/>
      <w:bookmarkEnd w:id="507"/>
    </w:p>
    <w:p w14:paraId="06DE645A">
      <w:pPr>
        <w:adjustRightInd w:val="0"/>
        <w:snapToGrid w:val="0"/>
        <w:spacing w:line="500" w:lineRule="exact"/>
        <w:ind w:firstLine="480" w:firstLineChars="200"/>
        <w:textAlignment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根据《排污许可证申请与核发技术规范 石墨及其他非金属矿物制品制造》（HJ119-2020）、《排污单位自行监测技术指南 总则》（HJ819-2017）及《排污单位自行监测技术指南 火力发电及锅炉》（HJ820-2017）要求，确定本项目废气监测计划，监测计划见下表。</w:t>
      </w:r>
    </w:p>
    <w:p w14:paraId="568CD22B">
      <w:pPr>
        <w:widowControl/>
        <w:adjustRightInd w:val="0"/>
        <w:snapToGrid w:val="0"/>
        <w:spacing w:line="400" w:lineRule="exact"/>
        <w:ind w:left="420" w:leftChars="200" w:firstLine="420" w:firstLineChars="200"/>
        <w:jc w:val="center"/>
        <w:rPr>
          <w:rFonts w:hint="default" w:ascii="Times New Roman" w:hAnsi="Times New Roman" w:eastAsia="黑体" w:cs="Times New Roman"/>
          <w:color w:val="auto"/>
          <w:kern w:val="0"/>
          <w:highlight w:val="none"/>
        </w:rPr>
      </w:pPr>
    </w:p>
    <w:p w14:paraId="02E3DBD0">
      <w:pPr>
        <w:widowControl/>
        <w:adjustRightInd w:val="0"/>
        <w:snapToGrid w:val="0"/>
        <w:spacing w:line="400" w:lineRule="exact"/>
        <w:ind w:left="420" w:leftChars="200" w:firstLine="420" w:firstLineChars="200"/>
        <w:jc w:val="center"/>
        <w:rPr>
          <w:rFonts w:hint="default" w:ascii="Times New Roman" w:hAnsi="Times New Roman" w:eastAsia="黑体" w:cs="Times New Roman"/>
          <w:color w:val="auto"/>
          <w:kern w:val="0"/>
          <w:highlight w:val="none"/>
        </w:rPr>
      </w:pPr>
    </w:p>
    <w:p w14:paraId="0D699C5E">
      <w:pPr>
        <w:autoSpaceDE w:val="0"/>
        <w:autoSpaceDN w:val="0"/>
        <w:spacing w:line="500" w:lineRule="exact"/>
        <w:ind w:firstLine="482"/>
        <w:contextualSpacing/>
        <w:jc w:val="center"/>
        <w:rPr>
          <w:rFonts w:hint="default" w:ascii="Times New Roman" w:hAnsi="Times New Roman" w:eastAsia="黑体" w:cs="Times New Roman"/>
          <w:color w:val="auto"/>
          <w:kern w:val="0"/>
          <w:sz w:val="24"/>
          <w:szCs w:val="20"/>
          <w:highlight w:val="none"/>
        </w:rPr>
      </w:pPr>
      <w:r>
        <w:rPr>
          <w:rFonts w:hint="default" w:ascii="Times New Roman" w:hAnsi="Times New Roman" w:eastAsia="黑体" w:cs="Times New Roman"/>
          <w:color w:val="auto"/>
          <w:kern w:val="0"/>
          <w:sz w:val="24"/>
          <w:szCs w:val="20"/>
          <w:highlight w:val="none"/>
        </w:rPr>
        <w:t>表7-1 大气污染源监测计划一览表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44"/>
        <w:gridCol w:w="744"/>
        <w:gridCol w:w="1141"/>
        <w:gridCol w:w="1131"/>
        <w:gridCol w:w="1775"/>
        <w:gridCol w:w="3168"/>
      </w:tblGrid>
      <w:tr w14:paraId="47745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55" w:type="pct"/>
            <w:gridSpan w:val="2"/>
            <w:vAlign w:val="center"/>
          </w:tcPr>
          <w:p w14:paraId="11E66D5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环境要素</w:t>
            </w:r>
          </w:p>
        </w:tc>
        <w:tc>
          <w:tcPr>
            <w:tcW w:w="687" w:type="pct"/>
            <w:vAlign w:val="center"/>
          </w:tcPr>
          <w:p w14:paraId="01D4B19F">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监测项目</w:t>
            </w:r>
          </w:p>
        </w:tc>
        <w:tc>
          <w:tcPr>
            <w:tcW w:w="681" w:type="pct"/>
            <w:vAlign w:val="center"/>
          </w:tcPr>
          <w:p w14:paraId="16B65CAF">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监测点</w:t>
            </w:r>
          </w:p>
        </w:tc>
        <w:tc>
          <w:tcPr>
            <w:tcW w:w="1068" w:type="pct"/>
            <w:vAlign w:val="center"/>
          </w:tcPr>
          <w:p w14:paraId="37A687B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监测时间及频率</w:t>
            </w:r>
          </w:p>
        </w:tc>
        <w:tc>
          <w:tcPr>
            <w:tcW w:w="1907" w:type="pct"/>
            <w:vAlign w:val="center"/>
          </w:tcPr>
          <w:p w14:paraId="6863CCB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执行排放标准</w:t>
            </w:r>
          </w:p>
        </w:tc>
      </w:tr>
      <w:tr w14:paraId="0BBFB7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restart"/>
            <w:tcBorders>
              <w:top w:val="single" w:color="000000" w:sz="2" w:space="0"/>
            </w:tcBorders>
            <w:vAlign w:val="center"/>
          </w:tcPr>
          <w:p w14:paraId="7A0CBBA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448" w:type="pct"/>
            <w:vMerge w:val="restart"/>
            <w:tcBorders>
              <w:top w:val="single" w:color="000000" w:sz="2" w:space="0"/>
            </w:tcBorders>
            <w:vAlign w:val="center"/>
          </w:tcPr>
          <w:p w14:paraId="0684E2B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烘干</w:t>
            </w:r>
          </w:p>
        </w:tc>
        <w:tc>
          <w:tcPr>
            <w:tcW w:w="687" w:type="pct"/>
            <w:vAlign w:val="center"/>
          </w:tcPr>
          <w:p w14:paraId="58265069">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二氧化硫</w:t>
            </w:r>
          </w:p>
        </w:tc>
        <w:tc>
          <w:tcPr>
            <w:tcW w:w="681" w:type="pct"/>
            <w:vMerge w:val="restart"/>
            <w:vAlign w:val="center"/>
          </w:tcPr>
          <w:p w14:paraId="507E56C6">
            <w:pPr>
              <w:pStyle w:val="74"/>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DA00</w:t>
            </w:r>
            <w:r>
              <w:rPr>
                <w:rFonts w:hint="default" w:ascii="Times New Roman" w:hAnsi="Times New Roman" w:cs="Times New Roman"/>
                <w:color w:val="auto"/>
                <w:szCs w:val="21"/>
                <w:highlight w:val="none"/>
                <w:lang w:val="en-US" w:eastAsia="zh-CN"/>
              </w:rPr>
              <w:t>1</w:t>
            </w:r>
          </w:p>
        </w:tc>
        <w:tc>
          <w:tcPr>
            <w:tcW w:w="1068" w:type="pct"/>
            <w:vMerge w:val="restart"/>
            <w:vAlign w:val="center"/>
          </w:tcPr>
          <w:p w14:paraId="3BF2B445">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1次/半年</w:t>
            </w:r>
          </w:p>
        </w:tc>
        <w:tc>
          <w:tcPr>
            <w:tcW w:w="1907" w:type="pct"/>
            <w:vMerge w:val="restart"/>
            <w:vAlign w:val="center"/>
          </w:tcPr>
          <w:p w14:paraId="74F8820C">
            <w:pPr>
              <w:tabs>
                <w:tab w:val="left" w:pos="2700"/>
              </w:tabs>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《大气污染物综合排放标准》（GB16297-1996）表2中二级标准要求。</w:t>
            </w:r>
          </w:p>
        </w:tc>
      </w:tr>
      <w:tr w14:paraId="35806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501A5F29">
            <w:pPr>
              <w:pStyle w:val="74"/>
              <w:rPr>
                <w:rFonts w:hint="default" w:ascii="Times New Roman" w:hAnsi="Times New Roman" w:cs="Times New Roman"/>
                <w:color w:val="auto"/>
                <w:szCs w:val="21"/>
                <w:highlight w:val="none"/>
              </w:rPr>
            </w:pPr>
          </w:p>
        </w:tc>
        <w:tc>
          <w:tcPr>
            <w:tcW w:w="448" w:type="pct"/>
            <w:vMerge w:val="continue"/>
            <w:vAlign w:val="center"/>
          </w:tcPr>
          <w:p w14:paraId="2758383A">
            <w:pPr>
              <w:pStyle w:val="74"/>
              <w:rPr>
                <w:rFonts w:hint="default" w:ascii="Times New Roman" w:hAnsi="Times New Roman" w:cs="Times New Roman"/>
                <w:color w:val="auto"/>
                <w:szCs w:val="21"/>
                <w:highlight w:val="none"/>
              </w:rPr>
            </w:pPr>
          </w:p>
        </w:tc>
        <w:tc>
          <w:tcPr>
            <w:tcW w:w="687" w:type="pct"/>
            <w:vAlign w:val="center"/>
          </w:tcPr>
          <w:p w14:paraId="41B2CFC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氮氧化物</w:t>
            </w:r>
          </w:p>
        </w:tc>
        <w:tc>
          <w:tcPr>
            <w:tcW w:w="681" w:type="pct"/>
            <w:vMerge w:val="continue"/>
            <w:vAlign w:val="center"/>
          </w:tcPr>
          <w:p w14:paraId="5D82B13E">
            <w:pPr>
              <w:pStyle w:val="74"/>
              <w:rPr>
                <w:rFonts w:hint="default" w:ascii="Times New Roman" w:hAnsi="Times New Roman" w:cs="Times New Roman"/>
                <w:color w:val="auto"/>
                <w:szCs w:val="21"/>
                <w:highlight w:val="none"/>
              </w:rPr>
            </w:pPr>
          </w:p>
        </w:tc>
        <w:tc>
          <w:tcPr>
            <w:tcW w:w="1068" w:type="pct"/>
            <w:vMerge w:val="continue"/>
            <w:vAlign w:val="center"/>
          </w:tcPr>
          <w:p w14:paraId="5E949BC4">
            <w:pPr>
              <w:pStyle w:val="74"/>
              <w:rPr>
                <w:rFonts w:hint="default" w:ascii="Times New Roman" w:hAnsi="Times New Roman" w:cs="Times New Roman"/>
                <w:color w:val="auto"/>
                <w:szCs w:val="21"/>
                <w:highlight w:val="none"/>
              </w:rPr>
            </w:pPr>
          </w:p>
        </w:tc>
        <w:tc>
          <w:tcPr>
            <w:tcW w:w="1907" w:type="pct"/>
            <w:vMerge w:val="continue"/>
            <w:vAlign w:val="center"/>
          </w:tcPr>
          <w:p w14:paraId="592E81FD">
            <w:pPr>
              <w:tabs>
                <w:tab w:val="left" w:pos="2700"/>
              </w:tabs>
              <w:adjustRightInd w:val="0"/>
              <w:snapToGrid w:val="0"/>
              <w:rPr>
                <w:rFonts w:hint="default" w:ascii="Times New Roman" w:hAnsi="Times New Roman" w:cs="Times New Roman"/>
                <w:color w:val="auto"/>
                <w:szCs w:val="21"/>
                <w:highlight w:val="none"/>
              </w:rPr>
            </w:pPr>
          </w:p>
        </w:tc>
      </w:tr>
      <w:tr w14:paraId="10A21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6BF1E310">
            <w:pPr>
              <w:pStyle w:val="74"/>
              <w:rPr>
                <w:rFonts w:hint="default" w:ascii="Times New Roman" w:hAnsi="Times New Roman" w:cs="Times New Roman"/>
                <w:color w:val="auto"/>
                <w:szCs w:val="21"/>
                <w:highlight w:val="none"/>
              </w:rPr>
            </w:pPr>
          </w:p>
        </w:tc>
        <w:tc>
          <w:tcPr>
            <w:tcW w:w="448" w:type="pct"/>
            <w:vMerge w:val="continue"/>
            <w:vAlign w:val="center"/>
          </w:tcPr>
          <w:p w14:paraId="6722757D">
            <w:pPr>
              <w:pStyle w:val="74"/>
              <w:rPr>
                <w:rFonts w:hint="default" w:ascii="Times New Roman" w:hAnsi="Times New Roman" w:cs="Times New Roman"/>
                <w:color w:val="auto"/>
                <w:szCs w:val="21"/>
                <w:highlight w:val="none"/>
              </w:rPr>
            </w:pPr>
          </w:p>
        </w:tc>
        <w:tc>
          <w:tcPr>
            <w:tcW w:w="687" w:type="pct"/>
            <w:vAlign w:val="center"/>
          </w:tcPr>
          <w:p w14:paraId="60AD422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681" w:type="pct"/>
            <w:vMerge w:val="continue"/>
            <w:vAlign w:val="center"/>
          </w:tcPr>
          <w:p w14:paraId="05108EB2">
            <w:pPr>
              <w:pStyle w:val="74"/>
              <w:rPr>
                <w:rFonts w:hint="default" w:ascii="Times New Roman" w:hAnsi="Times New Roman" w:cs="Times New Roman"/>
                <w:color w:val="auto"/>
                <w:szCs w:val="21"/>
                <w:highlight w:val="none"/>
              </w:rPr>
            </w:pPr>
          </w:p>
        </w:tc>
        <w:tc>
          <w:tcPr>
            <w:tcW w:w="1068" w:type="pct"/>
            <w:vMerge w:val="continue"/>
            <w:vAlign w:val="center"/>
          </w:tcPr>
          <w:p w14:paraId="312C95F6">
            <w:pPr>
              <w:pStyle w:val="74"/>
              <w:rPr>
                <w:rFonts w:hint="default" w:ascii="Times New Roman" w:hAnsi="Times New Roman" w:cs="Times New Roman"/>
                <w:color w:val="auto"/>
                <w:szCs w:val="21"/>
                <w:highlight w:val="none"/>
              </w:rPr>
            </w:pPr>
          </w:p>
        </w:tc>
        <w:tc>
          <w:tcPr>
            <w:tcW w:w="1907" w:type="pct"/>
            <w:vMerge w:val="continue"/>
            <w:vAlign w:val="center"/>
          </w:tcPr>
          <w:p w14:paraId="22AFDDA4">
            <w:pPr>
              <w:pStyle w:val="74"/>
              <w:rPr>
                <w:rFonts w:hint="default" w:ascii="Times New Roman" w:hAnsi="Times New Roman" w:cs="Times New Roman"/>
                <w:color w:val="auto"/>
                <w:szCs w:val="21"/>
                <w:highlight w:val="none"/>
              </w:rPr>
            </w:pPr>
          </w:p>
        </w:tc>
      </w:tr>
      <w:tr w14:paraId="1194B6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19FB38DD">
            <w:pPr>
              <w:pStyle w:val="74"/>
              <w:rPr>
                <w:rFonts w:hint="default" w:ascii="Times New Roman" w:hAnsi="Times New Roman" w:cs="Times New Roman"/>
                <w:color w:val="auto"/>
                <w:szCs w:val="21"/>
                <w:highlight w:val="none"/>
              </w:rPr>
            </w:pPr>
          </w:p>
        </w:tc>
        <w:tc>
          <w:tcPr>
            <w:tcW w:w="448" w:type="pct"/>
            <w:vMerge w:val="restart"/>
            <w:vAlign w:val="center"/>
          </w:tcPr>
          <w:p w14:paraId="0C9CFBDB">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导热油炉废气</w:t>
            </w:r>
          </w:p>
        </w:tc>
        <w:tc>
          <w:tcPr>
            <w:tcW w:w="687" w:type="pct"/>
            <w:vAlign w:val="center"/>
          </w:tcPr>
          <w:p w14:paraId="3FEF186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二氧化硫</w:t>
            </w:r>
          </w:p>
        </w:tc>
        <w:tc>
          <w:tcPr>
            <w:tcW w:w="681" w:type="pct"/>
            <w:vMerge w:val="restart"/>
            <w:vAlign w:val="center"/>
          </w:tcPr>
          <w:p w14:paraId="5566F938">
            <w:pPr>
              <w:pStyle w:val="74"/>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DA00</w:t>
            </w:r>
            <w:r>
              <w:rPr>
                <w:rFonts w:hint="default" w:ascii="Times New Roman" w:hAnsi="Times New Roman" w:cs="Times New Roman"/>
                <w:color w:val="auto"/>
                <w:szCs w:val="21"/>
                <w:highlight w:val="none"/>
                <w:lang w:val="en-US" w:eastAsia="zh-CN"/>
              </w:rPr>
              <w:t>2</w:t>
            </w:r>
          </w:p>
        </w:tc>
        <w:tc>
          <w:tcPr>
            <w:tcW w:w="1068" w:type="pct"/>
            <w:vMerge w:val="restart"/>
            <w:vAlign w:val="center"/>
          </w:tcPr>
          <w:p w14:paraId="66DD14A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1次/月</w:t>
            </w:r>
          </w:p>
        </w:tc>
        <w:tc>
          <w:tcPr>
            <w:tcW w:w="1907" w:type="pct"/>
            <w:vMerge w:val="restart"/>
            <w:vAlign w:val="center"/>
          </w:tcPr>
          <w:p w14:paraId="56933174">
            <w:pPr>
              <w:pStyle w:val="74"/>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《锅炉大气污染物排放标准》（GB13271-2014）表2新建锅炉大气污染物排放限值中燃油锅炉排放限值</w:t>
            </w:r>
          </w:p>
        </w:tc>
      </w:tr>
      <w:tr w14:paraId="38823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1A06DD46">
            <w:pPr>
              <w:pStyle w:val="74"/>
              <w:rPr>
                <w:rFonts w:hint="default" w:ascii="Times New Roman" w:hAnsi="Times New Roman" w:cs="Times New Roman"/>
                <w:color w:val="auto"/>
                <w:szCs w:val="21"/>
                <w:highlight w:val="none"/>
              </w:rPr>
            </w:pPr>
          </w:p>
        </w:tc>
        <w:tc>
          <w:tcPr>
            <w:tcW w:w="448" w:type="pct"/>
            <w:vMerge w:val="continue"/>
            <w:vAlign w:val="center"/>
          </w:tcPr>
          <w:p w14:paraId="4C695BA2">
            <w:pPr>
              <w:pStyle w:val="74"/>
              <w:rPr>
                <w:rFonts w:hint="default" w:ascii="Times New Roman" w:hAnsi="Times New Roman" w:cs="Times New Roman"/>
                <w:color w:val="auto"/>
                <w:szCs w:val="21"/>
                <w:highlight w:val="none"/>
              </w:rPr>
            </w:pPr>
          </w:p>
        </w:tc>
        <w:tc>
          <w:tcPr>
            <w:tcW w:w="687" w:type="pct"/>
            <w:vAlign w:val="center"/>
          </w:tcPr>
          <w:p w14:paraId="247D9E5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氮氧化物</w:t>
            </w:r>
          </w:p>
        </w:tc>
        <w:tc>
          <w:tcPr>
            <w:tcW w:w="681" w:type="pct"/>
            <w:vMerge w:val="continue"/>
            <w:vAlign w:val="center"/>
          </w:tcPr>
          <w:p w14:paraId="4F4458E1">
            <w:pPr>
              <w:pStyle w:val="74"/>
              <w:rPr>
                <w:rFonts w:hint="default" w:ascii="Times New Roman" w:hAnsi="Times New Roman" w:cs="Times New Roman"/>
                <w:color w:val="auto"/>
                <w:szCs w:val="21"/>
                <w:highlight w:val="none"/>
              </w:rPr>
            </w:pPr>
          </w:p>
        </w:tc>
        <w:tc>
          <w:tcPr>
            <w:tcW w:w="1068" w:type="pct"/>
            <w:vMerge w:val="continue"/>
            <w:vAlign w:val="center"/>
          </w:tcPr>
          <w:p w14:paraId="388522B4">
            <w:pPr>
              <w:pStyle w:val="74"/>
              <w:rPr>
                <w:rFonts w:hint="default" w:ascii="Times New Roman" w:hAnsi="Times New Roman" w:cs="Times New Roman"/>
                <w:color w:val="auto"/>
                <w:szCs w:val="21"/>
                <w:highlight w:val="none"/>
              </w:rPr>
            </w:pPr>
          </w:p>
        </w:tc>
        <w:tc>
          <w:tcPr>
            <w:tcW w:w="1907" w:type="pct"/>
            <w:vMerge w:val="continue"/>
            <w:vAlign w:val="center"/>
          </w:tcPr>
          <w:p w14:paraId="1581504E">
            <w:pPr>
              <w:pStyle w:val="74"/>
              <w:rPr>
                <w:rFonts w:hint="default" w:ascii="Times New Roman" w:hAnsi="Times New Roman" w:cs="Times New Roman"/>
                <w:color w:val="auto"/>
                <w:szCs w:val="21"/>
                <w:highlight w:val="none"/>
              </w:rPr>
            </w:pPr>
          </w:p>
        </w:tc>
      </w:tr>
      <w:tr w14:paraId="282812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12301A55">
            <w:pPr>
              <w:pStyle w:val="74"/>
              <w:rPr>
                <w:rFonts w:hint="default" w:ascii="Times New Roman" w:hAnsi="Times New Roman" w:cs="Times New Roman"/>
                <w:color w:val="auto"/>
                <w:szCs w:val="21"/>
                <w:highlight w:val="none"/>
              </w:rPr>
            </w:pPr>
          </w:p>
        </w:tc>
        <w:tc>
          <w:tcPr>
            <w:tcW w:w="448" w:type="pct"/>
            <w:vMerge w:val="continue"/>
            <w:vAlign w:val="center"/>
          </w:tcPr>
          <w:p w14:paraId="186102A5">
            <w:pPr>
              <w:pStyle w:val="74"/>
              <w:rPr>
                <w:rFonts w:hint="default" w:ascii="Times New Roman" w:hAnsi="Times New Roman" w:cs="Times New Roman"/>
                <w:color w:val="auto"/>
                <w:szCs w:val="21"/>
                <w:highlight w:val="none"/>
              </w:rPr>
            </w:pPr>
          </w:p>
        </w:tc>
        <w:tc>
          <w:tcPr>
            <w:tcW w:w="687" w:type="pct"/>
            <w:vAlign w:val="center"/>
          </w:tcPr>
          <w:p w14:paraId="6E2F61E7">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681" w:type="pct"/>
            <w:vMerge w:val="continue"/>
            <w:vAlign w:val="center"/>
          </w:tcPr>
          <w:p w14:paraId="62287723">
            <w:pPr>
              <w:pStyle w:val="74"/>
              <w:rPr>
                <w:rFonts w:hint="default" w:ascii="Times New Roman" w:hAnsi="Times New Roman" w:cs="Times New Roman"/>
                <w:color w:val="auto"/>
                <w:szCs w:val="21"/>
                <w:highlight w:val="none"/>
              </w:rPr>
            </w:pPr>
          </w:p>
        </w:tc>
        <w:tc>
          <w:tcPr>
            <w:tcW w:w="1068" w:type="pct"/>
            <w:vMerge w:val="continue"/>
            <w:vAlign w:val="center"/>
          </w:tcPr>
          <w:p w14:paraId="4FF25046">
            <w:pPr>
              <w:pStyle w:val="74"/>
              <w:rPr>
                <w:rFonts w:hint="default" w:ascii="Times New Roman" w:hAnsi="Times New Roman" w:cs="Times New Roman"/>
                <w:color w:val="auto"/>
                <w:szCs w:val="21"/>
                <w:highlight w:val="none"/>
              </w:rPr>
            </w:pPr>
          </w:p>
        </w:tc>
        <w:tc>
          <w:tcPr>
            <w:tcW w:w="1907" w:type="pct"/>
            <w:vMerge w:val="continue"/>
            <w:vAlign w:val="center"/>
          </w:tcPr>
          <w:p w14:paraId="48814A54">
            <w:pPr>
              <w:pStyle w:val="74"/>
              <w:rPr>
                <w:rFonts w:hint="default" w:ascii="Times New Roman" w:hAnsi="Times New Roman" w:cs="Times New Roman"/>
                <w:color w:val="auto"/>
                <w:szCs w:val="21"/>
                <w:highlight w:val="none"/>
              </w:rPr>
            </w:pPr>
          </w:p>
        </w:tc>
      </w:tr>
      <w:tr w14:paraId="468863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1745288E">
            <w:pPr>
              <w:pStyle w:val="74"/>
              <w:rPr>
                <w:rFonts w:hint="default" w:ascii="Times New Roman" w:hAnsi="Times New Roman" w:cs="Times New Roman"/>
                <w:color w:val="auto"/>
                <w:szCs w:val="21"/>
                <w:highlight w:val="none"/>
              </w:rPr>
            </w:pPr>
          </w:p>
        </w:tc>
        <w:tc>
          <w:tcPr>
            <w:tcW w:w="448" w:type="pct"/>
            <w:vMerge w:val="continue"/>
            <w:vAlign w:val="center"/>
          </w:tcPr>
          <w:p w14:paraId="06361182">
            <w:pPr>
              <w:pStyle w:val="74"/>
              <w:rPr>
                <w:rFonts w:hint="default" w:ascii="Times New Roman" w:hAnsi="Times New Roman" w:cs="Times New Roman"/>
                <w:color w:val="auto"/>
                <w:szCs w:val="21"/>
                <w:highlight w:val="none"/>
              </w:rPr>
            </w:pPr>
          </w:p>
        </w:tc>
        <w:tc>
          <w:tcPr>
            <w:tcW w:w="687" w:type="pct"/>
            <w:vAlign w:val="center"/>
          </w:tcPr>
          <w:p w14:paraId="3B10D280">
            <w:pPr>
              <w:pStyle w:val="7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烟气黑度</w:t>
            </w:r>
          </w:p>
        </w:tc>
        <w:tc>
          <w:tcPr>
            <w:tcW w:w="681" w:type="pct"/>
            <w:vMerge w:val="continue"/>
            <w:vAlign w:val="center"/>
          </w:tcPr>
          <w:p w14:paraId="2EC3BBCE">
            <w:pPr>
              <w:pStyle w:val="74"/>
              <w:rPr>
                <w:rFonts w:hint="default" w:ascii="Times New Roman" w:hAnsi="Times New Roman" w:cs="Times New Roman"/>
                <w:color w:val="auto"/>
                <w:szCs w:val="21"/>
                <w:highlight w:val="none"/>
              </w:rPr>
            </w:pPr>
          </w:p>
        </w:tc>
        <w:tc>
          <w:tcPr>
            <w:tcW w:w="1068" w:type="pct"/>
            <w:vMerge w:val="continue"/>
            <w:vAlign w:val="center"/>
          </w:tcPr>
          <w:p w14:paraId="7363ADED">
            <w:pPr>
              <w:pStyle w:val="74"/>
              <w:rPr>
                <w:rFonts w:hint="default" w:ascii="Times New Roman" w:hAnsi="Times New Roman" w:cs="Times New Roman"/>
                <w:color w:val="auto"/>
                <w:szCs w:val="21"/>
                <w:highlight w:val="none"/>
              </w:rPr>
            </w:pPr>
          </w:p>
        </w:tc>
        <w:tc>
          <w:tcPr>
            <w:tcW w:w="1907" w:type="pct"/>
            <w:vMerge w:val="continue"/>
            <w:vAlign w:val="center"/>
          </w:tcPr>
          <w:p w14:paraId="6B3AF3D8">
            <w:pPr>
              <w:pStyle w:val="74"/>
              <w:rPr>
                <w:rFonts w:hint="default" w:ascii="Times New Roman" w:hAnsi="Times New Roman" w:cs="Times New Roman"/>
                <w:color w:val="auto"/>
                <w:szCs w:val="21"/>
                <w:highlight w:val="none"/>
              </w:rPr>
            </w:pPr>
          </w:p>
        </w:tc>
      </w:tr>
      <w:tr w14:paraId="301E4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7B63E4D2">
            <w:pPr>
              <w:pStyle w:val="74"/>
              <w:rPr>
                <w:rFonts w:hint="default" w:ascii="Times New Roman" w:hAnsi="Times New Roman" w:cs="Times New Roman"/>
                <w:color w:val="auto"/>
                <w:szCs w:val="21"/>
                <w:highlight w:val="none"/>
              </w:rPr>
            </w:pPr>
          </w:p>
        </w:tc>
        <w:tc>
          <w:tcPr>
            <w:tcW w:w="448" w:type="pct"/>
            <w:vMerge w:val="restart"/>
            <w:vAlign w:val="center"/>
          </w:tcPr>
          <w:p w14:paraId="2E98EC4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沥青烟气</w:t>
            </w:r>
          </w:p>
        </w:tc>
        <w:tc>
          <w:tcPr>
            <w:tcW w:w="687" w:type="pct"/>
            <w:vAlign w:val="center"/>
          </w:tcPr>
          <w:p w14:paraId="531A0F3F">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苯并[a]芘</w:t>
            </w:r>
          </w:p>
        </w:tc>
        <w:tc>
          <w:tcPr>
            <w:tcW w:w="681" w:type="pct"/>
            <w:vMerge w:val="restart"/>
            <w:vAlign w:val="center"/>
          </w:tcPr>
          <w:p w14:paraId="318A5574">
            <w:pPr>
              <w:pStyle w:val="74"/>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DA00</w:t>
            </w:r>
            <w:r>
              <w:rPr>
                <w:rFonts w:hint="default" w:ascii="Times New Roman" w:hAnsi="Times New Roman" w:cs="Times New Roman"/>
                <w:color w:val="auto"/>
                <w:szCs w:val="21"/>
                <w:highlight w:val="none"/>
                <w:lang w:val="en-US" w:eastAsia="zh-CN"/>
              </w:rPr>
              <w:t>3</w:t>
            </w:r>
          </w:p>
        </w:tc>
        <w:tc>
          <w:tcPr>
            <w:tcW w:w="1068" w:type="pct"/>
            <w:vMerge w:val="restart"/>
            <w:vAlign w:val="center"/>
          </w:tcPr>
          <w:p w14:paraId="06D4C936">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1次/年</w:t>
            </w:r>
          </w:p>
        </w:tc>
        <w:tc>
          <w:tcPr>
            <w:tcW w:w="1907" w:type="pct"/>
            <w:vMerge w:val="restart"/>
            <w:vAlign w:val="center"/>
          </w:tcPr>
          <w:p w14:paraId="3A0EF27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《大气污染物综合排放标准》（GB16297-1996）表2中二级标准</w:t>
            </w:r>
          </w:p>
        </w:tc>
      </w:tr>
      <w:tr w14:paraId="1FFC9D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5F95A542">
            <w:pPr>
              <w:pStyle w:val="74"/>
              <w:rPr>
                <w:rFonts w:hint="default" w:ascii="Times New Roman" w:hAnsi="Times New Roman" w:cs="Times New Roman"/>
                <w:color w:val="auto"/>
                <w:szCs w:val="21"/>
                <w:highlight w:val="none"/>
              </w:rPr>
            </w:pPr>
          </w:p>
        </w:tc>
        <w:tc>
          <w:tcPr>
            <w:tcW w:w="448" w:type="pct"/>
            <w:vMerge w:val="continue"/>
            <w:vAlign w:val="center"/>
          </w:tcPr>
          <w:p w14:paraId="16B68B36">
            <w:pPr>
              <w:pStyle w:val="74"/>
              <w:rPr>
                <w:rFonts w:hint="default" w:ascii="Times New Roman" w:hAnsi="Times New Roman" w:cs="Times New Roman"/>
                <w:color w:val="auto"/>
                <w:szCs w:val="21"/>
                <w:highlight w:val="none"/>
              </w:rPr>
            </w:pPr>
          </w:p>
        </w:tc>
        <w:tc>
          <w:tcPr>
            <w:tcW w:w="687" w:type="pct"/>
            <w:vAlign w:val="center"/>
          </w:tcPr>
          <w:p w14:paraId="01C0F452">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沥青烟</w:t>
            </w:r>
          </w:p>
        </w:tc>
        <w:tc>
          <w:tcPr>
            <w:tcW w:w="681" w:type="pct"/>
            <w:vMerge w:val="continue"/>
            <w:vAlign w:val="center"/>
          </w:tcPr>
          <w:p w14:paraId="4C7C09A6">
            <w:pPr>
              <w:pStyle w:val="74"/>
              <w:rPr>
                <w:rFonts w:hint="default" w:ascii="Times New Roman" w:hAnsi="Times New Roman" w:cs="Times New Roman"/>
                <w:color w:val="auto"/>
                <w:szCs w:val="21"/>
                <w:highlight w:val="none"/>
              </w:rPr>
            </w:pPr>
          </w:p>
        </w:tc>
        <w:tc>
          <w:tcPr>
            <w:tcW w:w="1068" w:type="pct"/>
            <w:vMerge w:val="continue"/>
            <w:vAlign w:val="center"/>
          </w:tcPr>
          <w:p w14:paraId="0E082542">
            <w:pPr>
              <w:pStyle w:val="74"/>
              <w:rPr>
                <w:rFonts w:hint="default" w:ascii="Times New Roman" w:hAnsi="Times New Roman" w:cs="Times New Roman"/>
                <w:color w:val="auto"/>
                <w:szCs w:val="21"/>
                <w:highlight w:val="none"/>
              </w:rPr>
            </w:pPr>
          </w:p>
        </w:tc>
        <w:tc>
          <w:tcPr>
            <w:tcW w:w="1907" w:type="pct"/>
            <w:vMerge w:val="continue"/>
            <w:vAlign w:val="center"/>
          </w:tcPr>
          <w:p w14:paraId="31620CCC">
            <w:pPr>
              <w:pStyle w:val="74"/>
              <w:rPr>
                <w:rFonts w:hint="default" w:ascii="Times New Roman" w:hAnsi="Times New Roman" w:cs="Times New Roman"/>
                <w:color w:val="auto"/>
                <w:szCs w:val="21"/>
                <w:highlight w:val="none"/>
              </w:rPr>
            </w:pPr>
          </w:p>
        </w:tc>
      </w:tr>
      <w:tr w14:paraId="28DC8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766BBA60">
            <w:pPr>
              <w:pStyle w:val="74"/>
              <w:rPr>
                <w:rFonts w:hint="default" w:ascii="Times New Roman" w:hAnsi="Times New Roman" w:cs="Times New Roman"/>
                <w:color w:val="auto"/>
                <w:szCs w:val="21"/>
                <w:highlight w:val="none"/>
              </w:rPr>
            </w:pPr>
          </w:p>
        </w:tc>
        <w:tc>
          <w:tcPr>
            <w:tcW w:w="448" w:type="pct"/>
            <w:vMerge w:val="continue"/>
            <w:vAlign w:val="center"/>
          </w:tcPr>
          <w:p w14:paraId="71339F6B">
            <w:pPr>
              <w:pStyle w:val="74"/>
              <w:rPr>
                <w:rFonts w:hint="default" w:ascii="Times New Roman" w:hAnsi="Times New Roman" w:cs="Times New Roman"/>
                <w:color w:val="auto"/>
                <w:szCs w:val="21"/>
                <w:highlight w:val="none"/>
              </w:rPr>
            </w:pPr>
          </w:p>
        </w:tc>
        <w:tc>
          <w:tcPr>
            <w:tcW w:w="687" w:type="pct"/>
            <w:vAlign w:val="center"/>
          </w:tcPr>
          <w:p w14:paraId="4F4D9FCE">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非甲烷总烃</w:t>
            </w:r>
          </w:p>
        </w:tc>
        <w:tc>
          <w:tcPr>
            <w:tcW w:w="681" w:type="pct"/>
            <w:vMerge w:val="continue"/>
            <w:vAlign w:val="center"/>
          </w:tcPr>
          <w:p w14:paraId="17E0FD95">
            <w:pPr>
              <w:pStyle w:val="74"/>
              <w:rPr>
                <w:rFonts w:hint="default" w:ascii="Times New Roman" w:hAnsi="Times New Roman" w:cs="Times New Roman"/>
                <w:color w:val="auto"/>
                <w:szCs w:val="21"/>
                <w:highlight w:val="none"/>
              </w:rPr>
            </w:pPr>
          </w:p>
        </w:tc>
        <w:tc>
          <w:tcPr>
            <w:tcW w:w="1068" w:type="pct"/>
            <w:vMerge w:val="continue"/>
            <w:vAlign w:val="center"/>
          </w:tcPr>
          <w:p w14:paraId="1B82D19D">
            <w:pPr>
              <w:pStyle w:val="74"/>
              <w:rPr>
                <w:rFonts w:hint="default" w:ascii="Times New Roman" w:hAnsi="Times New Roman" w:cs="Times New Roman"/>
                <w:color w:val="auto"/>
                <w:szCs w:val="21"/>
                <w:highlight w:val="none"/>
              </w:rPr>
            </w:pPr>
          </w:p>
        </w:tc>
        <w:tc>
          <w:tcPr>
            <w:tcW w:w="1907" w:type="pct"/>
            <w:vMerge w:val="continue"/>
            <w:vAlign w:val="center"/>
          </w:tcPr>
          <w:p w14:paraId="6A6537B5">
            <w:pPr>
              <w:pStyle w:val="74"/>
              <w:rPr>
                <w:rFonts w:hint="default" w:ascii="Times New Roman" w:hAnsi="Times New Roman" w:cs="Times New Roman"/>
                <w:color w:val="auto"/>
                <w:szCs w:val="21"/>
                <w:highlight w:val="none"/>
              </w:rPr>
            </w:pPr>
          </w:p>
        </w:tc>
      </w:tr>
      <w:tr w14:paraId="68791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6D4A9704">
            <w:pPr>
              <w:pStyle w:val="74"/>
              <w:rPr>
                <w:rFonts w:hint="default" w:ascii="Times New Roman" w:hAnsi="Times New Roman" w:cs="Times New Roman"/>
                <w:color w:val="auto"/>
                <w:szCs w:val="21"/>
                <w:highlight w:val="none"/>
              </w:rPr>
            </w:pPr>
          </w:p>
        </w:tc>
        <w:tc>
          <w:tcPr>
            <w:tcW w:w="448" w:type="pct"/>
            <w:vMerge w:val="restart"/>
            <w:vAlign w:val="center"/>
          </w:tcPr>
          <w:p w14:paraId="5F784871">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无组织废气</w:t>
            </w:r>
          </w:p>
        </w:tc>
        <w:tc>
          <w:tcPr>
            <w:tcW w:w="687" w:type="pct"/>
            <w:vAlign w:val="center"/>
          </w:tcPr>
          <w:p w14:paraId="71AD036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颗粒物、苯并[a]芘、沥青烟、非甲烷总烃</w:t>
            </w:r>
          </w:p>
        </w:tc>
        <w:tc>
          <w:tcPr>
            <w:tcW w:w="681" w:type="pct"/>
            <w:vAlign w:val="center"/>
          </w:tcPr>
          <w:p w14:paraId="124B77C5">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厂界</w:t>
            </w:r>
          </w:p>
        </w:tc>
        <w:tc>
          <w:tcPr>
            <w:tcW w:w="1068" w:type="pct"/>
            <w:vAlign w:val="center"/>
          </w:tcPr>
          <w:p w14:paraId="52AEA560">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1次/年</w:t>
            </w:r>
          </w:p>
        </w:tc>
        <w:tc>
          <w:tcPr>
            <w:tcW w:w="1907" w:type="pct"/>
            <w:vAlign w:val="center"/>
          </w:tcPr>
          <w:p w14:paraId="19B9343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《大气污染物综合排放标准》（GB16297-1996）表2中无组织排放监控浓度限值</w:t>
            </w:r>
          </w:p>
        </w:tc>
      </w:tr>
      <w:tr w14:paraId="512D7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07" w:type="pct"/>
            <w:vMerge w:val="continue"/>
            <w:vAlign w:val="center"/>
          </w:tcPr>
          <w:p w14:paraId="745CF8EB">
            <w:pPr>
              <w:pStyle w:val="74"/>
              <w:rPr>
                <w:rFonts w:hint="default" w:ascii="Times New Roman" w:hAnsi="Times New Roman" w:cs="Times New Roman"/>
                <w:color w:val="auto"/>
                <w:szCs w:val="21"/>
                <w:highlight w:val="none"/>
              </w:rPr>
            </w:pPr>
          </w:p>
        </w:tc>
        <w:tc>
          <w:tcPr>
            <w:tcW w:w="448" w:type="pct"/>
            <w:vMerge w:val="continue"/>
            <w:vAlign w:val="center"/>
          </w:tcPr>
          <w:p w14:paraId="292002A1">
            <w:pPr>
              <w:pStyle w:val="74"/>
              <w:rPr>
                <w:rFonts w:hint="default" w:ascii="Times New Roman" w:hAnsi="Times New Roman" w:cs="Times New Roman"/>
                <w:color w:val="auto"/>
                <w:szCs w:val="21"/>
                <w:highlight w:val="none"/>
              </w:rPr>
            </w:pPr>
          </w:p>
        </w:tc>
        <w:tc>
          <w:tcPr>
            <w:tcW w:w="687" w:type="pct"/>
            <w:vAlign w:val="center"/>
          </w:tcPr>
          <w:p w14:paraId="7452E0DA">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非甲烷总烃</w:t>
            </w:r>
          </w:p>
        </w:tc>
        <w:tc>
          <w:tcPr>
            <w:tcW w:w="681" w:type="pct"/>
            <w:vAlign w:val="center"/>
          </w:tcPr>
          <w:p w14:paraId="639A8A63">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厂区内</w:t>
            </w:r>
          </w:p>
        </w:tc>
        <w:tc>
          <w:tcPr>
            <w:tcW w:w="1068" w:type="pct"/>
            <w:vAlign w:val="center"/>
          </w:tcPr>
          <w:p w14:paraId="34AF6640">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shd w:val="clear" w:color="auto" w:fill="FFFFFF"/>
              </w:rPr>
              <w:t>1次/年</w:t>
            </w:r>
          </w:p>
        </w:tc>
        <w:tc>
          <w:tcPr>
            <w:tcW w:w="1907" w:type="pct"/>
            <w:vAlign w:val="center"/>
          </w:tcPr>
          <w:p w14:paraId="180EA55D">
            <w:pPr>
              <w:pStyle w:val="7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eastAsia="zh-CN"/>
              </w:rPr>
              <w:t>挥发性有机物无组织排放控制标准</w:t>
            </w:r>
            <w:r>
              <w:rPr>
                <w:rFonts w:hint="default" w:ascii="Times New Roman" w:hAnsi="Times New Roman" w:cs="Times New Roman"/>
                <w:color w:val="auto"/>
                <w:szCs w:val="21"/>
                <w:highlight w:val="none"/>
              </w:rPr>
              <w:t>》（GB37822-2019）中表A.1无组织排放限值</w:t>
            </w:r>
          </w:p>
        </w:tc>
      </w:tr>
    </w:tbl>
    <w:p w14:paraId="0AA09D09">
      <w:pPr>
        <w:adjustRightInd w:val="0"/>
        <w:snapToGrid w:val="0"/>
        <w:spacing w:line="500" w:lineRule="exact"/>
        <w:ind w:firstLine="480" w:firstLineChars="200"/>
        <w:jc w:val="center"/>
        <w:rPr>
          <w:rFonts w:hint="default" w:ascii="Times New Roman" w:hAnsi="Times New Roman" w:cs="Times New Roman"/>
          <w:color w:val="auto"/>
          <w:kern w:val="0"/>
          <w:sz w:val="24"/>
          <w:szCs w:val="20"/>
          <w:highlight w:val="none"/>
        </w:rPr>
      </w:pPr>
    </w:p>
    <w:p w14:paraId="04A22134">
      <w:pPr>
        <w:adjustRightInd w:val="0"/>
        <w:snapToGrid w:val="0"/>
        <w:spacing w:line="500" w:lineRule="exact"/>
        <w:ind w:firstLine="480" w:firstLineChars="200"/>
        <w:jc w:val="center"/>
        <w:rPr>
          <w:rFonts w:hint="default" w:ascii="Times New Roman" w:hAnsi="Times New Roman" w:cs="Times New Roman"/>
          <w:color w:val="auto"/>
          <w:kern w:val="0"/>
          <w:sz w:val="24"/>
          <w:szCs w:val="20"/>
          <w:highlight w:val="none"/>
        </w:rPr>
      </w:pPr>
    </w:p>
    <w:p w14:paraId="50DF5918">
      <w:pPr>
        <w:spacing w:line="360" w:lineRule="auto"/>
        <w:ind w:firstLine="480" w:firstLineChars="200"/>
        <w:rPr>
          <w:rFonts w:hint="default" w:ascii="Times New Roman" w:hAnsi="Times New Roman" w:cs="Times New Roman"/>
          <w:color w:val="auto"/>
          <w:sz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4DE3297">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8"/>
          <w:szCs w:val="28"/>
          <w:highlight w:val="none"/>
        </w:rPr>
      </w:pPr>
      <w:bookmarkStart w:id="508" w:name="_Toc25030"/>
      <w:bookmarkStart w:id="509" w:name="_Toc17925"/>
      <w:bookmarkStart w:id="510" w:name="_Toc14772"/>
      <w:bookmarkStart w:id="511" w:name="_Toc24912"/>
      <w:bookmarkStart w:id="512" w:name="_Toc192758932"/>
      <w:bookmarkStart w:id="513" w:name="_Toc32444"/>
      <w:bookmarkStart w:id="514" w:name="_Toc25011"/>
      <w:bookmarkStart w:id="515" w:name="_Toc193460021"/>
      <w:r>
        <w:rPr>
          <w:rFonts w:hint="default" w:ascii="Times New Roman" w:hAnsi="Times New Roman" w:eastAsia="黑体" w:cs="Times New Roman"/>
          <w:bCs/>
          <w:color w:val="auto"/>
          <w:kern w:val="44"/>
          <w:sz w:val="28"/>
          <w:szCs w:val="28"/>
          <w:highlight w:val="none"/>
        </w:rPr>
        <w:t>8大气环境影响评价结论与建议</w:t>
      </w:r>
      <w:bookmarkEnd w:id="508"/>
      <w:bookmarkEnd w:id="509"/>
      <w:bookmarkEnd w:id="510"/>
      <w:bookmarkEnd w:id="511"/>
      <w:bookmarkEnd w:id="512"/>
      <w:bookmarkEnd w:id="513"/>
      <w:bookmarkEnd w:id="514"/>
      <w:bookmarkEnd w:id="515"/>
    </w:p>
    <w:p w14:paraId="01276F06">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516" w:name="_Toc193460022"/>
      <w:bookmarkStart w:id="517" w:name="_Toc32042"/>
      <w:bookmarkStart w:id="518" w:name="_Toc4848"/>
      <w:bookmarkStart w:id="519" w:name="_Toc9113"/>
      <w:bookmarkStart w:id="520" w:name="_Toc14899"/>
      <w:bookmarkStart w:id="521" w:name="_Toc192758933"/>
      <w:bookmarkStart w:id="522" w:name="_Toc28505"/>
      <w:bookmarkStart w:id="523" w:name="_Toc19092"/>
      <w:r>
        <w:rPr>
          <w:rFonts w:hint="default" w:ascii="Times New Roman" w:hAnsi="Times New Roman" w:eastAsia="黑体" w:cs="Times New Roman"/>
          <w:bCs/>
          <w:color w:val="auto"/>
          <w:kern w:val="44"/>
          <w:sz w:val="24"/>
          <w:highlight w:val="none"/>
        </w:rPr>
        <w:t>8.1结论</w:t>
      </w:r>
      <w:bookmarkEnd w:id="516"/>
      <w:bookmarkEnd w:id="517"/>
      <w:bookmarkEnd w:id="518"/>
      <w:bookmarkEnd w:id="519"/>
      <w:bookmarkEnd w:id="520"/>
      <w:bookmarkEnd w:id="521"/>
      <w:bookmarkEnd w:id="522"/>
      <w:bookmarkEnd w:id="523"/>
      <w:bookmarkStart w:id="524" w:name="_Toc359"/>
    </w:p>
    <w:p w14:paraId="260933EA">
      <w:pPr>
        <w:spacing w:line="500" w:lineRule="exact"/>
        <w:ind w:firstLine="480" w:firstLineChars="200"/>
        <w:rPr>
          <w:rFonts w:hint="default" w:ascii="Times New Roman" w:hAnsi="Times New Roman" w:cs="Times New Roman"/>
          <w:color w:val="auto"/>
          <w:sz w:val="24"/>
          <w:highlight w:val="none"/>
        </w:rPr>
      </w:pPr>
      <w:bookmarkStart w:id="525" w:name="_Toc10750"/>
      <w:r>
        <w:rPr>
          <w:rFonts w:hint="default" w:ascii="Times New Roman" w:hAnsi="Times New Roman" w:cs="Times New Roman"/>
          <w:color w:val="auto"/>
          <w:sz w:val="24"/>
          <w:highlight w:val="none"/>
        </w:rPr>
        <w:t>本项目运营期间主要污染物为粉尘、沥青烟、苯并[a]芘、SO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、NOx、烟尘、非甲烷总烃。污染物排放对周围环境和敏感目标将造成一定影响，本报告针对性的提出了营运期各种污染防治措施。</w:t>
      </w:r>
      <w:bookmarkEnd w:id="524"/>
      <w:bookmarkEnd w:id="525"/>
    </w:p>
    <w:p w14:paraId="1E357685">
      <w:pPr>
        <w:spacing w:line="500" w:lineRule="exact"/>
        <w:ind w:firstLine="480" w:firstLineChars="200"/>
        <w:rPr>
          <w:rFonts w:hint="default" w:ascii="Times New Roman" w:hAnsi="Times New Roman" w:cs="Times New Roman"/>
          <w:color w:val="auto"/>
          <w:sz w:val="24"/>
          <w:highlight w:val="none"/>
        </w:rPr>
      </w:pPr>
      <w:bookmarkStart w:id="526" w:name="_Toc1969"/>
      <w:bookmarkStart w:id="527" w:name="_Toc28888"/>
      <w:r>
        <w:rPr>
          <w:rFonts w:hint="default" w:ascii="Times New Roman" w:hAnsi="Times New Roman" w:cs="Times New Roman"/>
          <w:color w:val="auto"/>
          <w:sz w:val="24"/>
          <w:highlight w:val="none"/>
        </w:rPr>
        <w:t>本项目所在区域为达标区。通过污染源源强计算和污染影响预测分析结果可知，在认真落实报告中提出的处理措施的基础上，对评价区域的环境敏感目标的影响轻微，不会对评价</w:t>
      </w:r>
      <w:r>
        <w:rPr>
          <w:rFonts w:hint="default" w:ascii="Times New Roman" w:hAnsi="Times New Roman" w:cs="Times New Roman"/>
          <w:color w:val="auto"/>
          <w:sz w:val="24"/>
          <w:highlight w:val="none"/>
          <w:lang w:eastAsia="zh-CN"/>
        </w:rPr>
        <w:t>区域</w:t>
      </w:r>
      <w:r>
        <w:rPr>
          <w:rFonts w:hint="default" w:ascii="Times New Roman" w:hAnsi="Times New Roman" w:cs="Times New Roman"/>
          <w:color w:val="auto"/>
          <w:sz w:val="24"/>
          <w:highlight w:val="none"/>
        </w:rPr>
        <w:t>环境质量现状造成明显影响。经估算模式计算，正常排放情况下，污染物最大地面空气质量占标率Pmax为9.5496%。由此可见，本次预测因子区域小时最大落地浓度均可满足《环境空气质量标准》（GB3095-2012）及其修改单二级标准要求。</w:t>
      </w:r>
      <w:bookmarkEnd w:id="526"/>
      <w:bookmarkEnd w:id="527"/>
    </w:p>
    <w:p w14:paraId="05FBEF92">
      <w:pPr>
        <w:spacing w:line="500" w:lineRule="exact"/>
        <w:ind w:firstLine="480" w:firstLineChars="200"/>
        <w:rPr>
          <w:rFonts w:hint="default" w:ascii="Times New Roman" w:hAnsi="Times New Roman" w:cs="Times New Roman"/>
          <w:color w:val="auto"/>
          <w:sz w:val="24"/>
          <w:highlight w:val="none"/>
        </w:rPr>
      </w:pPr>
      <w:bookmarkStart w:id="528" w:name="_Toc31728"/>
      <w:bookmarkStart w:id="529" w:name="_Toc9011"/>
      <w:r>
        <w:rPr>
          <w:rFonts w:hint="default" w:ascii="Times New Roman" w:hAnsi="Times New Roman" w:cs="Times New Roman"/>
          <w:color w:val="auto"/>
          <w:sz w:val="24"/>
          <w:highlight w:val="none"/>
        </w:rPr>
        <w:t>因此，可认为本项目运营期废气正常排放时，对环境影响可以接受。项目非正常排放情况下，将造成评价范围内各污染物的最大地面小时浓度贡献值均有所增加，但均没有出现超标现象。运营期间，项目需做好废气的有效收集与净化处理，确保废气稳定达标排放。本项目所有污染物对厂界外贡献浓度均未超过质量标准，无需设置大气环境防护距离。</w:t>
      </w:r>
      <w:bookmarkEnd w:id="528"/>
      <w:bookmarkEnd w:id="529"/>
    </w:p>
    <w:p w14:paraId="2BA6D107">
      <w:pPr>
        <w:spacing w:line="500" w:lineRule="exact"/>
        <w:ind w:firstLine="480" w:firstLineChars="200"/>
        <w:rPr>
          <w:rFonts w:hint="default" w:ascii="Times New Roman" w:hAnsi="Times New Roman" w:cs="Times New Roman"/>
          <w:bCs/>
          <w:snapToGrid w:val="0"/>
          <w:color w:val="auto"/>
          <w:kern w:val="0"/>
          <w:sz w:val="24"/>
          <w:highlight w:val="none"/>
        </w:rPr>
      </w:pPr>
      <w:bookmarkStart w:id="530" w:name="_Toc5338"/>
      <w:bookmarkStart w:id="531" w:name="_Toc21837"/>
      <w:r>
        <w:rPr>
          <w:rFonts w:hint="default" w:ascii="Times New Roman" w:hAnsi="Times New Roman" w:cs="Times New Roman"/>
          <w:color w:val="auto"/>
          <w:sz w:val="24"/>
          <w:highlight w:val="none"/>
        </w:rPr>
        <w:t>综合以上分析，建设单位必须严格遵守“三同时”的管理规定，落实本报告中所提出的废气治理措施和建议，确保废气治理设施正常使用和运行，做到达标排放。在落实各项环保措施的基础上，从环境保护角度而言，该项目的大气影响程度是可以接受的。</w:t>
      </w:r>
      <w:bookmarkEnd w:id="530"/>
      <w:bookmarkEnd w:id="531"/>
    </w:p>
    <w:p w14:paraId="2F9D418B">
      <w:pPr>
        <w:overflowPunct w:val="0"/>
        <w:adjustRightInd w:val="0"/>
        <w:snapToGrid w:val="0"/>
        <w:spacing w:line="500" w:lineRule="exact"/>
        <w:ind w:left="432" w:hanging="432"/>
        <w:outlineLvl w:val="0"/>
        <w:rPr>
          <w:rFonts w:hint="default" w:ascii="Times New Roman" w:hAnsi="Times New Roman" w:eastAsia="黑体" w:cs="Times New Roman"/>
          <w:bCs/>
          <w:color w:val="auto"/>
          <w:kern w:val="44"/>
          <w:sz w:val="24"/>
          <w:highlight w:val="none"/>
        </w:rPr>
      </w:pPr>
      <w:bookmarkStart w:id="532" w:name="_Toc5123"/>
      <w:bookmarkStart w:id="533" w:name="_Toc192758934"/>
      <w:bookmarkStart w:id="534" w:name="_Toc8004"/>
      <w:bookmarkStart w:id="535" w:name="_Toc23976"/>
      <w:bookmarkStart w:id="536" w:name="_Toc20391"/>
      <w:bookmarkStart w:id="537" w:name="_Toc3443"/>
      <w:bookmarkStart w:id="538" w:name="_Toc27375"/>
      <w:bookmarkStart w:id="539" w:name="_Toc193460023"/>
      <w:r>
        <w:rPr>
          <w:rFonts w:hint="default" w:ascii="Times New Roman" w:hAnsi="Times New Roman" w:eastAsia="黑体" w:cs="Times New Roman"/>
          <w:bCs/>
          <w:color w:val="auto"/>
          <w:kern w:val="44"/>
          <w:sz w:val="24"/>
          <w:highlight w:val="none"/>
        </w:rPr>
        <w:t>8.2建议</w:t>
      </w:r>
      <w:bookmarkEnd w:id="532"/>
      <w:bookmarkEnd w:id="533"/>
      <w:bookmarkEnd w:id="534"/>
      <w:bookmarkEnd w:id="535"/>
      <w:bookmarkEnd w:id="536"/>
      <w:bookmarkEnd w:id="537"/>
      <w:bookmarkEnd w:id="538"/>
      <w:bookmarkEnd w:id="539"/>
    </w:p>
    <w:p w14:paraId="7FD5864D">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（1）定期对各类环保设备进行维修，确保其正常有效运转。</w:t>
      </w:r>
    </w:p>
    <w:p w14:paraId="35115E46">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（2）严格执行建设项目“三同时”制度，落实环保防治措施，确保环保资金及时到位。</w:t>
      </w:r>
    </w:p>
    <w:p w14:paraId="346318B3">
      <w:pPr>
        <w:adjustRightInd w:val="0"/>
        <w:snapToGrid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（3）认真执行国家及黑龙江有关项目建设的环保法律、法规，落实专人负责环保工作。</w:t>
      </w:r>
    </w:p>
    <w:p w14:paraId="1D0C016D">
      <w:pPr>
        <w:overflowPunct w:val="0"/>
        <w:adjustRightInd w:val="0"/>
        <w:snapToGrid w:val="0"/>
        <w:spacing w:line="500" w:lineRule="exact"/>
        <w:outlineLvl w:val="0"/>
        <w:rPr>
          <w:rFonts w:hint="default" w:ascii="Times New Roman" w:hAnsi="Times New Roman" w:eastAsia="黑体" w:cs="Times New Roman"/>
          <w:bCs/>
          <w:color w:val="auto"/>
          <w:kern w:val="44"/>
          <w:sz w:val="28"/>
          <w:szCs w:val="28"/>
          <w:highlight w:val="none"/>
        </w:rPr>
      </w:pPr>
      <w:bookmarkStart w:id="540" w:name="_Toc17390"/>
      <w:bookmarkStart w:id="541" w:name="_Toc19224"/>
      <w:bookmarkStart w:id="542" w:name="_Toc10781"/>
      <w:bookmarkStart w:id="543" w:name="_Toc192758935"/>
      <w:bookmarkStart w:id="544" w:name="_Toc10424"/>
      <w:bookmarkStart w:id="545" w:name="_Toc546"/>
      <w:bookmarkStart w:id="546" w:name="_Toc193460024"/>
      <w:bookmarkStart w:id="547" w:name="_Toc18531"/>
      <w:r>
        <w:rPr>
          <w:rFonts w:hint="default" w:ascii="Times New Roman" w:hAnsi="Times New Roman" w:eastAsia="黑体" w:cs="Times New Roman"/>
          <w:bCs/>
          <w:color w:val="auto"/>
          <w:kern w:val="44"/>
          <w:sz w:val="28"/>
          <w:szCs w:val="28"/>
          <w:highlight w:val="none"/>
        </w:rPr>
        <w:t>附表</w:t>
      </w:r>
      <w:bookmarkEnd w:id="540"/>
      <w:bookmarkEnd w:id="541"/>
      <w:bookmarkEnd w:id="542"/>
      <w:bookmarkEnd w:id="543"/>
      <w:bookmarkEnd w:id="544"/>
      <w:bookmarkEnd w:id="545"/>
      <w:bookmarkEnd w:id="546"/>
      <w:bookmarkEnd w:id="547"/>
    </w:p>
    <w:p w14:paraId="502D2685">
      <w:pPr>
        <w:overflowPunct w:val="0"/>
        <w:adjustRightInd w:val="0"/>
        <w:snapToGrid w:val="0"/>
        <w:spacing w:line="500" w:lineRule="exact"/>
        <w:ind w:left="12" w:leftChars="-200" w:hanging="432"/>
        <w:outlineLvl w:val="0"/>
        <w:rPr>
          <w:rFonts w:hint="default" w:ascii="Times New Roman" w:hAnsi="Times New Roman" w:eastAsia="黑体" w:cs="Times New Roman"/>
          <w:bCs/>
          <w:color w:val="auto"/>
          <w:kern w:val="44"/>
          <w:sz w:val="24"/>
          <w:highlight w:val="none"/>
        </w:rPr>
      </w:pPr>
      <w:bookmarkStart w:id="548" w:name="_Toc10031"/>
      <w:bookmarkStart w:id="549" w:name="_Toc10249"/>
      <w:bookmarkStart w:id="550" w:name="_Toc7527"/>
      <w:bookmarkStart w:id="551" w:name="_Toc192758936"/>
      <w:bookmarkStart w:id="552" w:name="_Toc25814"/>
      <w:bookmarkStart w:id="553" w:name="_Toc3477"/>
      <w:bookmarkStart w:id="554" w:name="_Toc3241"/>
      <w:bookmarkStart w:id="555" w:name="_Toc193460025"/>
      <w:r>
        <w:rPr>
          <w:rFonts w:hint="default" w:ascii="Times New Roman" w:hAnsi="Times New Roman" w:eastAsia="黑体" w:cs="Times New Roman"/>
          <w:bCs/>
          <w:color w:val="auto"/>
          <w:kern w:val="44"/>
          <w:sz w:val="24"/>
          <w:highlight w:val="none"/>
        </w:rPr>
        <w:t>附表1</w:t>
      </w:r>
      <w:bookmarkStart w:id="556" w:name="_Toc82354460"/>
      <w:r>
        <w:rPr>
          <w:rFonts w:hint="default" w:ascii="Times New Roman" w:hAnsi="Times New Roman" w:eastAsia="黑体" w:cs="Times New Roman"/>
          <w:bCs/>
          <w:color w:val="auto"/>
          <w:kern w:val="44"/>
          <w:sz w:val="24"/>
          <w:highlight w:val="none"/>
        </w:rPr>
        <w:t>建设项目大气环境影响评价自查表</w:t>
      </w:r>
      <w:bookmarkEnd w:id="548"/>
      <w:bookmarkEnd w:id="549"/>
      <w:bookmarkEnd w:id="550"/>
      <w:bookmarkEnd w:id="551"/>
      <w:bookmarkEnd w:id="552"/>
      <w:bookmarkEnd w:id="553"/>
      <w:bookmarkEnd w:id="554"/>
      <w:bookmarkEnd w:id="555"/>
      <w:bookmarkEnd w:id="556"/>
      <w:bookmarkStart w:id="557" w:name="_Hlk1725722"/>
    </w:p>
    <w:bookmarkEnd w:id="557"/>
    <w:tbl>
      <w:tblPr>
        <w:tblStyle w:val="30"/>
        <w:tblW w:w="600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8"/>
        <w:gridCol w:w="2204"/>
        <w:gridCol w:w="880"/>
        <w:gridCol w:w="314"/>
        <w:gridCol w:w="543"/>
        <w:gridCol w:w="190"/>
        <w:gridCol w:w="485"/>
        <w:gridCol w:w="251"/>
        <w:gridCol w:w="106"/>
        <w:gridCol w:w="185"/>
        <w:gridCol w:w="960"/>
        <w:gridCol w:w="51"/>
        <w:gridCol w:w="65"/>
        <w:gridCol w:w="545"/>
        <w:gridCol w:w="373"/>
        <w:gridCol w:w="296"/>
        <w:gridCol w:w="104"/>
        <w:gridCol w:w="800"/>
        <w:gridCol w:w="458"/>
        <w:gridCol w:w="77"/>
        <w:gridCol w:w="1030"/>
      </w:tblGrid>
      <w:tr w14:paraId="29F966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162" w:type="dxa"/>
            <w:gridSpan w:val="2"/>
            <w:vAlign w:val="center"/>
          </w:tcPr>
          <w:p w14:paraId="4C3A2360">
            <w:pPr>
              <w:adjustRightInd w:val="0"/>
              <w:snapToGrid w:val="0"/>
              <w:jc w:val="center"/>
              <w:rPr>
                <w:rFonts w:hint="default" w:ascii="Times New Roman" w:hAnsi="Times New Roman" w:eastAsia="仿宋_GB2312" w:cs="Times New Roman"/>
                <w:snapToGrid w:val="0"/>
                <w:color w:val="auto"/>
                <w:szCs w:val="21"/>
                <w:highlight w:val="none"/>
              </w:rPr>
            </w:pPr>
            <w:r>
              <w:rPr>
                <w:rFonts w:hint="default" w:ascii="Times New Roman" w:hAnsi="Times New Roman" w:cs="Times New Roman"/>
                <w:snapToGrid w:val="0"/>
                <w:color w:val="auto"/>
                <w:szCs w:val="21"/>
                <w:highlight w:val="none"/>
              </w:rPr>
              <w:t>工作内容</w:t>
            </w:r>
          </w:p>
        </w:tc>
        <w:tc>
          <w:tcPr>
            <w:tcW w:w="7713" w:type="dxa"/>
            <w:gridSpan w:val="19"/>
            <w:vAlign w:val="center"/>
          </w:tcPr>
          <w:p w14:paraId="25B6232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自查项目</w:t>
            </w:r>
          </w:p>
        </w:tc>
      </w:tr>
      <w:tr w14:paraId="61AF1F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restart"/>
            <w:vAlign w:val="center"/>
          </w:tcPr>
          <w:p w14:paraId="57D7AAD5">
            <w:pPr>
              <w:adjustRightInd w:val="0"/>
              <w:snapToGrid w:val="0"/>
              <w:jc w:val="center"/>
              <w:rPr>
                <w:rFonts w:hint="default" w:ascii="Times New Roman" w:hAnsi="Times New Roman" w:eastAsia="仿宋_GB2312" w:cs="Times New Roman"/>
                <w:snapToGrid w:val="0"/>
                <w:color w:val="auto"/>
                <w:szCs w:val="21"/>
                <w:highlight w:val="none"/>
              </w:rPr>
            </w:pPr>
            <w:r>
              <w:rPr>
                <w:rFonts w:hint="default" w:ascii="Times New Roman" w:hAnsi="Times New Roman" w:cs="Times New Roman"/>
                <w:snapToGrid w:val="0"/>
                <w:color w:val="auto"/>
                <w:szCs w:val="21"/>
                <w:highlight w:val="none"/>
              </w:rPr>
              <w:t>评价等级与范围</w:t>
            </w:r>
          </w:p>
        </w:tc>
        <w:tc>
          <w:tcPr>
            <w:tcW w:w="2204" w:type="dxa"/>
            <w:vAlign w:val="center"/>
          </w:tcPr>
          <w:p w14:paraId="5F97FC9E">
            <w:pPr>
              <w:adjustRightInd w:val="0"/>
              <w:snapToGrid w:val="0"/>
              <w:jc w:val="center"/>
              <w:rPr>
                <w:rFonts w:hint="default" w:ascii="Times New Roman" w:hAnsi="Times New Roman" w:eastAsia="仿宋_GB2312" w:cs="Times New Roman"/>
                <w:snapToGrid w:val="0"/>
                <w:color w:val="auto"/>
                <w:szCs w:val="21"/>
                <w:highlight w:val="none"/>
              </w:rPr>
            </w:pPr>
            <w:r>
              <w:rPr>
                <w:rFonts w:hint="default" w:ascii="Times New Roman" w:hAnsi="Times New Roman" w:cs="Times New Roman"/>
                <w:snapToGrid w:val="0"/>
                <w:color w:val="auto"/>
                <w:szCs w:val="21"/>
                <w:highlight w:val="none"/>
              </w:rPr>
              <w:t>评价等级</w:t>
            </w:r>
          </w:p>
        </w:tc>
        <w:tc>
          <w:tcPr>
            <w:tcW w:w="2769" w:type="dxa"/>
            <w:gridSpan w:val="7"/>
            <w:vAlign w:val="center"/>
          </w:tcPr>
          <w:p w14:paraId="0352D81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一级□</w:t>
            </w:r>
          </w:p>
        </w:tc>
        <w:tc>
          <w:tcPr>
            <w:tcW w:w="3379" w:type="dxa"/>
            <w:gridSpan w:val="9"/>
            <w:vAlign w:val="center"/>
          </w:tcPr>
          <w:p w14:paraId="51EDCE7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二级√</w:t>
            </w:r>
          </w:p>
        </w:tc>
        <w:tc>
          <w:tcPr>
            <w:tcW w:w="1565" w:type="dxa"/>
            <w:gridSpan w:val="3"/>
            <w:vAlign w:val="center"/>
          </w:tcPr>
          <w:p w14:paraId="27823E6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三级□</w:t>
            </w:r>
          </w:p>
        </w:tc>
      </w:tr>
      <w:tr w14:paraId="745B57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1E1C2D0B">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009D865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评价范围</w:t>
            </w:r>
          </w:p>
        </w:tc>
        <w:tc>
          <w:tcPr>
            <w:tcW w:w="2769" w:type="dxa"/>
            <w:gridSpan w:val="7"/>
            <w:vAlign w:val="center"/>
          </w:tcPr>
          <w:p w14:paraId="692F546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边长=50km□</w:t>
            </w:r>
          </w:p>
        </w:tc>
        <w:tc>
          <w:tcPr>
            <w:tcW w:w="3379" w:type="dxa"/>
            <w:gridSpan w:val="9"/>
            <w:vAlign w:val="center"/>
          </w:tcPr>
          <w:p w14:paraId="7E52476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边长=5~50km□</w:t>
            </w:r>
          </w:p>
        </w:tc>
        <w:tc>
          <w:tcPr>
            <w:tcW w:w="1565" w:type="dxa"/>
            <w:gridSpan w:val="3"/>
            <w:vAlign w:val="center"/>
          </w:tcPr>
          <w:p w14:paraId="3DBC66C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边长=5km√</w:t>
            </w:r>
          </w:p>
        </w:tc>
      </w:tr>
      <w:tr w14:paraId="03F728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restart"/>
            <w:vAlign w:val="center"/>
          </w:tcPr>
          <w:p w14:paraId="1A160C0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w:t>
            </w:r>
          </w:p>
          <w:p w14:paraId="02692B8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因子</w:t>
            </w:r>
          </w:p>
        </w:tc>
        <w:tc>
          <w:tcPr>
            <w:tcW w:w="2204" w:type="dxa"/>
            <w:vAlign w:val="center"/>
          </w:tcPr>
          <w:p w14:paraId="3E8AAF98">
            <w:pPr>
              <w:adjustRightInd w:val="0"/>
              <w:snapToGrid w:val="0"/>
              <w:jc w:val="center"/>
              <w:rPr>
                <w:rFonts w:hint="default" w:ascii="Times New Roman" w:hAnsi="Times New Roman" w:cs="Times New Roman"/>
                <w:snapToGrid w:val="0"/>
                <w:color w:val="auto"/>
                <w:szCs w:val="21"/>
                <w:highlight w:val="none"/>
                <w:vertAlign w:val="subscript"/>
              </w:rPr>
            </w:pPr>
            <w:r>
              <w:rPr>
                <w:rFonts w:hint="default" w:ascii="Times New Roman" w:hAnsi="Times New Roman" w:cs="Times New Roman"/>
                <w:snapToGrid w:val="0"/>
                <w:color w:val="auto"/>
                <w:szCs w:val="21"/>
                <w:highlight w:val="none"/>
              </w:rPr>
              <w:t>SO</w:t>
            </w:r>
            <w:r>
              <w:rPr>
                <w:rFonts w:hint="default" w:ascii="Times New Roman" w:hAnsi="Times New Roman" w:cs="Times New Roman"/>
                <w:snapToGrid w:val="0"/>
                <w:color w:val="auto"/>
                <w:szCs w:val="21"/>
                <w:highlight w:val="none"/>
                <w:vertAlign w:val="subscript"/>
              </w:rPr>
              <w:t>2</w:t>
            </w:r>
            <w:r>
              <w:rPr>
                <w:rFonts w:hint="default" w:ascii="Times New Roman" w:hAnsi="Times New Roman" w:cs="Times New Roman"/>
                <w:snapToGrid w:val="0"/>
                <w:color w:val="auto"/>
                <w:szCs w:val="21"/>
                <w:highlight w:val="none"/>
              </w:rPr>
              <w:t>+NOx</w:t>
            </w:r>
          </w:p>
        </w:tc>
        <w:tc>
          <w:tcPr>
            <w:tcW w:w="2769" w:type="dxa"/>
            <w:gridSpan w:val="7"/>
            <w:vAlign w:val="center"/>
          </w:tcPr>
          <w:p w14:paraId="04B0628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≥2000t/a□</w:t>
            </w:r>
          </w:p>
        </w:tc>
        <w:tc>
          <w:tcPr>
            <w:tcW w:w="3379" w:type="dxa"/>
            <w:gridSpan w:val="9"/>
            <w:vAlign w:val="center"/>
          </w:tcPr>
          <w:p w14:paraId="35FA254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500~2000t/a□</w:t>
            </w:r>
          </w:p>
        </w:tc>
        <w:tc>
          <w:tcPr>
            <w:tcW w:w="1565" w:type="dxa"/>
            <w:gridSpan w:val="3"/>
            <w:vAlign w:val="center"/>
          </w:tcPr>
          <w:p w14:paraId="4EE6B47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＜500t/a√</w:t>
            </w:r>
          </w:p>
        </w:tc>
      </w:tr>
      <w:tr w14:paraId="7CD7F8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7CFA9902">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3BF458D8">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评价因子</w:t>
            </w:r>
          </w:p>
        </w:tc>
        <w:tc>
          <w:tcPr>
            <w:tcW w:w="4575" w:type="dxa"/>
            <w:gridSpan w:val="12"/>
            <w:vAlign w:val="center"/>
          </w:tcPr>
          <w:p w14:paraId="2D2D136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基本污染物（SO</w:t>
            </w:r>
            <w:r>
              <w:rPr>
                <w:rFonts w:hint="default" w:ascii="Times New Roman" w:hAnsi="Times New Roman" w:cs="Times New Roman"/>
                <w:snapToGrid w:val="0"/>
                <w:color w:val="auto"/>
                <w:szCs w:val="21"/>
                <w:highlight w:val="none"/>
                <w:vertAlign w:val="subscript"/>
              </w:rPr>
              <w:t>2</w:t>
            </w:r>
            <w:r>
              <w:rPr>
                <w:rFonts w:hint="default" w:ascii="Times New Roman" w:hAnsi="Times New Roman" w:cs="Times New Roman"/>
                <w:snapToGrid w:val="0"/>
                <w:color w:val="auto"/>
                <w:szCs w:val="21"/>
                <w:highlight w:val="none"/>
              </w:rPr>
              <w:t>、NO</w:t>
            </w:r>
            <w:r>
              <w:rPr>
                <w:rFonts w:hint="default" w:ascii="Times New Roman" w:hAnsi="Times New Roman" w:cs="Times New Roman"/>
                <w:snapToGrid w:val="0"/>
                <w:color w:val="auto"/>
                <w:szCs w:val="21"/>
                <w:highlight w:val="none"/>
                <w:vertAlign w:val="subscript"/>
              </w:rPr>
              <w:t>2</w:t>
            </w:r>
            <w:r>
              <w:rPr>
                <w:rFonts w:hint="default" w:ascii="Times New Roman" w:hAnsi="Times New Roman" w:cs="Times New Roman"/>
                <w:snapToGrid w:val="0"/>
                <w:color w:val="auto"/>
                <w:szCs w:val="21"/>
                <w:highlight w:val="none"/>
              </w:rPr>
              <w:t>、PM</w:t>
            </w:r>
            <w:r>
              <w:rPr>
                <w:rFonts w:hint="default" w:ascii="Times New Roman" w:hAnsi="Times New Roman" w:cs="Times New Roman"/>
                <w:snapToGrid w:val="0"/>
                <w:color w:val="auto"/>
                <w:szCs w:val="21"/>
                <w:highlight w:val="none"/>
                <w:vertAlign w:val="subscript"/>
              </w:rPr>
              <w:t>10</w:t>
            </w:r>
            <w:r>
              <w:rPr>
                <w:rFonts w:hint="default" w:ascii="Times New Roman" w:hAnsi="Times New Roman" w:cs="Times New Roman"/>
                <w:snapToGrid w:val="0"/>
                <w:color w:val="auto"/>
                <w:szCs w:val="21"/>
                <w:highlight w:val="none"/>
              </w:rPr>
              <w:t>、PM</w:t>
            </w:r>
            <w:r>
              <w:rPr>
                <w:rFonts w:hint="default" w:ascii="Times New Roman" w:hAnsi="Times New Roman" w:cs="Times New Roman"/>
                <w:snapToGrid w:val="0"/>
                <w:color w:val="auto"/>
                <w:szCs w:val="21"/>
                <w:highlight w:val="none"/>
                <w:vertAlign w:val="subscript"/>
              </w:rPr>
              <w:t>2.5</w:t>
            </w:r>
            <w:r>
              <w:rPr>
                <w:rFonts w:hint="default" w:ascii="Times New Roman" w:hAnsi="Times New Roman" w:cs="Times New Roman"/>
                <w:snapToGrid w:val="0"/>
                <w:color w:val="auto"/>
                <w:szCs w:val="21"/>
                <w:highlight w:val="none"/>
              </w:rPr>
              <w:t>、O</w:t>
            </w:r>
            <w:r>
              <w:rPr>
                <w:rFonts w:hint="default" w:ascii="Times New Roman" w:hAnsi="Times New Roman" w:cs="Times New Roman"/>
                <w:snapToGrid w:val="0"/>
                <w:color w:val="auto"/>
                <w:szCs w:val="21"/>
                <w:highlight w:val="none"/>
                <w:vertAlign w:val="subscript"/>
              </w:rPr>
              <w:t>3</w:t>
            </w:r>
            <w:r>
              <w:rPr>
                <w:rFonts w:hint="default" w:ascii="Times New Roman" w:hAnsi="Times New Roman" w:cs="Times New Roman"/>
                <w:snapToGrid w:val="0"/>
                <w:color w:val="auto"/>
                <w:szCs w:val="21"/>
                <w:highlight w:val="none"/>
              </w:rPr>
              <w:t>、CO）其他污染物（TSP、苯并[a]芘</w:t>
            </w:r>
            <w:r>
              <w:rPr>
                <w:rFonts w:hint="default" w:ascii="Times New Roman" w:hAnsi="Times New Roman" w:cs="Times New Roman"/>
                <w:snapToGrid w:val="0"/>
                <w:color w:val="auto"/>
                <w:szCs w:val="21"/>
                <w:highlight w:val="none"/>
                <w:lang w:eastAsia="zh-CN"/>
              </w:rPr>
              <w:t>、</w:t>
            </w:r>
            <w:r>
              <w:rPr>
                <w:rFonts w:hint="default" w:ascii="Times New Roman" w:hAnsi="Times New Roman" w:cs="Times New Roman"/>
                <w:snapToGrid w:val="0"/>
                <w:color w:val="auto"/>
                <w:szCs w:val="21"/>
                <w:highlight w:val="none"/>
                <w:lang w:val="en-US" w:eastAsia="zh-CN"/>
              </w:rPr>
              <w:t>非甲烷总烃</w:t>
            </w:r>
            <w:r>
              <w:rPr>
                <w:rFonts w:hint="default" w:ascii="Times New Roman" w:hAnsi="Times New Roman" w:cs="Times New Roman"/>
                <w:snapToGrid w:val="0"/>
                <w:color w:val="auto"/>
                <w:szCs w:val="21"/>
                <w:highlight w:val="none"/>
              </w:rPr>
              <w:t>）</w:t>
            </w:r>
          </w:p>
        </w:tc>
        <w:tc>
          <w:tcPr>
            <w:tcW w:w="3138" w:type="dxa"/>
            <w:gridSpan w:val="7"/>
            <w:vAlign w:val="center"/>
          </w:tcPr>
          <w:p w14:paraId="1146138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包括二次PM</w:t>
            </w:r>
            <w:r>
              <w:rPr>
                <w:rFonts w:hint="default" w:ascii="Times New Roman" w:hAnsi="Times New Roman" w:cs="Times New Roman"/>
                <w:snapToGrid w:val="0"/>
                <w:color w:val="auto"/>
                <w:szCs w:val="21"/>
                <w:highlight w:val="none"/>
                <w:vertAlign w:val="subscript"/>
              </w:rPr>
              <w:t>2.5</w:t>
            </w:r>
            <w:r>
              <w:rPr>
                <w:rFonts w:hint="default" w:ascii="Times New Roman" w:hAnsi="Times New Roman" w:cs="Times New Roman"/>
                <w:snapToGrid w:val="0"/>
                <w:color w:val="auto"/>
                <w:szCs w:val="21"/>
                <w:highlight w:val="none"/>
              </w:rPr>
              <w:t>□</w:t>
            </w:r>
          </w:p>
          <w:p w14:paraId="5232D9D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不包括PM</w:t>
            </w:r>
            <w:r>
              <w:rPr>
                <w:rFonts w:hint="default" w:ascii="Times New Roman" w:hAnsi="Times New Roman" w:cs="Times New Roman"/>
                <w:snapToGrid w:val="0"/>
                <w:color w:val="auto"/>
                <w:szCs w:val="21"/>
                <w:highlight w:val="none"/>
                <w:vertAlign w:val="subscript"/>
              </w:rPr>
              <w:t>2.5</w:t>
            </w:r>
            <w:r>
              <w:rPr>
                <w:rFonts w:hint="default" w:ascii="Times New Roman" w:hAnsi="Times New Roman" w:cs="Times New Roman"/>
                <w:snapToGrid w:val="0"/>
                <w:color w:val="auto"/>
                <w:szCs w:val="21"/>
                <w:highlight w:val="none"/>
              </w:rPr>
              <w:t>√</w:t>
            </w:r>
          </w:p>
        </w:tc>
      </w:tr>
      <w:tr w14:paraId="2F2490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Align w:val="center"/>
          </w:tcPr>
          <w:p w14:paraId="3C76705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w:t>
            </w:r>
          </w:p>
          <w:p w14:paraId="095D085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标准</w:t>
            </w:r>
          </w:p>
        </w:tc>
        <w:tc>
          <w:tcPr>
            <w:tcW w:w="2204" w:type="dxa"/>
            <w:vAlign w:val="center"/>
          </w:tcPr>
          <w:p w14:paraId="61D88FE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评价标准</w:t>
            </w:r>
          </w:p>
        </w:tc>
        <w:tc>
          <w:tcPr>
            <w:tcW w:w="2412" w:type="dxa"/>
            <w:gridSpan w:val="5"/>
            <w:vAlign w:val="center"/>
          </w:tcPr>
          <w:p w14:paraId="4DBCAE0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国家标准√</w:t>
            </w:r>
          </w:p>
        </w:tc>
        <w:tc>
          <w:tcPr>
            <w:tcW w:w="2163" w:type="dxa"/>
            <w:gridSpan w:val="7"/>
            <w:vAlign w:val="center"/>
          </w:tcPr>
          <w:p w14:paraId="49DCF89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地方标准□</w:t>
            </w:r>
          </w:p>
        </w:tc>
        <w:tc>
          <w:tcPr>
            <w:tcW w:w="1573" w:type="dxa"/>
            <w:gridSpan w:val="4"/>
            <w:vAlign w:val="center"/>
          </w:tcPr>
          <w:p w14:paraId="07646F6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附录D□</w:t>
            </w:r>
          </w:p>
        </w:tc>
        <w:tc>
          <w:tcPr>
            <w:tcW w:w="1565" w:type="dxa"/>
            <w:gridSpan w:val="3"/>
            <w:vAlign w:val="center"/>
          </w:tcPr>
          <w:p w14:paraId="4979A47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其他标准√</w:t>
            </w:r>
          </w:p>
        </w:tc>
      </w:tr>
      <w:tr w14:paraId="4A9423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restart"/>
            <w:vAlign w:val="center"/>
          </w:tcPr>
          <w:p w14:paraId="1CDE30B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现状</w:t>
            </w:r>
          </w:p>
          <w:p w14:paraId="1FC5EB1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w:t>
            </w:r>
          </w:p>
        </w:tc>
        <w:tc>
          <w:tcPr>
            <w:tcW w:w="2204" w:type="dxa"/>
            <w:vAlign w:val="center"/>
          </w:tcPr>
          <w:p w14:paraId="4CFC454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评价功能区</w:t>
            </w:r>
          </w:p>
        </w:tc>
        <w:tc>
          <w:tcPr>
            <w:tcW w:w="2412" w:type="dxa"/>
            <w:gridSpan w:val="5"/>
            <w:vAlign w:val="center"/>
          </w:tcPr>
          <w:p w14:paraId="252C4B3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一类区□</w:t>
            </w:r>
          </w:p>
        </w:tc>
        <w:tc>
          <w:tcPr>
            <w:tcW w:w="2536" w:type="dxa"/>
            <w:gridSpan w:val="8"/>
            <w:vAlign w:val="center"/>
          </w:tcPr>
          <w:p w14:paraId="34705B6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二类区√</w:t>
            </w:r>
          </w:p>
        </w:tc>
        <w:tc>
          <w:tcPr>
            <w:tcW w:w="2765" w:type="dxa"/>
            <w:gridSpan w:val="6"/>
            <w:vAlign w:val="center"/>
          </w:tcPr>
          <w:p w14:paraId="55BEE4A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一类和二类区□</w:t>
            </w:r>
          </w:p>
        </w:tc>
      </w:tr>
      <w:tr w14:paraId="3421F1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29F60ACE">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1F97DCF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评价基准年</w:t>
            </w:r>
          </w:p>
        </w:tc>
        <w:tc>
          <w:tcPr>
            <w:tcW w:w="7713" w:type="dxa"/>
            <w:gridSpan w:val="19"/>
            <w:vAlign w:val="center"/>
          </w:tcPr>
          <w:p w14:paraId="742A154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（202</w:t>
            </w:r>
            <w:r>
              <w:rPr>
                <w:rFonts w:hint="default" w:ascii="Times New Roman" w:hAnsi="Times New Roman" w:cs="Times New Roman"/>
                <w:snapToGrid w:val="0"/>
                <w:color w:val="auto"/>
                <w:szCs w:val="21"/>
                <w:highlight w:val="none"/>
                <w:lang w:val="en-US" w:eastAsia="zh-CN"/>
              </w:rPr>
              <w:t>4</w:t>
            </w:r>
            <w:r>
              <w:rPr>
                <w:rFonts w:hint="default" w:ascii="Times New Roman" w:hAnsi="Times New Roman" w:cs="Times New Roman"/>
                <w:snapToGrid w:val="0"/>
                <w:color w:val="auto"/>
                <w:szCs w:val="21"/>
                <w:highlight w:val="none"/>
              </w:rPr>
              <w:t>）年</w:t>
            </w:r>
          </w:p>
        </w:tc>
      </w:tr>
      <w:tr w14:paraId="4F2599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360364E7">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16DD138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环境空气质量现状调查数据来源</w:t>
            </w:r>
          </w:p>
        </w:tc>
        <w:tc>
          <w:tcPr>
            <w:tcW w:w="2412" w:type="dxa"/>
            <w:gridSpan w:val="5"/>
            <w:vAlign w:val="center"/>
          </w:tcPr>
          <w:p w14:paraId="076C8B9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长期例行监测数据□</w:t>
            </w:r>
          </w:p>
        </w:tc>
        <w:tc>
          <w:tcPr>
            <w:tcW w:w="2536" w:type="dxa"/>
            <w:gridSpan w:val="8"/>
            <w:vAlign w:val="center"/>
          </w:tcPr>
          <w:p w14:paraId="1E1C3EF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主管部门发布的数据√</w:t>
            </w:r>
          </w:p>
        </w:tc>
        <w:tc>
          <w:tcPr>
            <w:tcW w:w="2765" w:type="dxa"/>
            <w:gridSpan w:val="6"/>
            <w:vAlign w:val="center"/>
          </w:tcPr>
          <w:p w14:paraId="35F89AB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现状补充监测√</w:t>
            </w:r>
          </w:p>
        </w:tc>
      </w:tr>
      <w:tr w14:paraId="415510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00E14F07">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1969C5D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现状评价</w:t>
            </w:r>
          </w:p>
        </w:tc>
        <w:tc>
          <w:tcPr>
            <w:tcW w:w="4575" w:type="dxa"/>
            <w:gridSpan w:val="12"/>
            <w:vAlign w:val="center"/>
          </w:tcPr>
          <w:p w14:paraId="553C7C4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达标区√</w:t>
            </w:r>
          </w:p>
        </w:tc>
        <w:tc>
          <w:tcPr>
            <w:tcW w:w="3138" w:type="dxa"/>
            <w:gridSpan w:val="7"/>
            <w:vAlign w:val="center"/>
          </w:tcPr>
          <w:p w14:paraId="07E9310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不达标区□</w:t>
            </w:r>
          </w:p>
        </w:tc>
      </w:tr>
      <w:tr w14:paraId="440670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Align w:val="center"/>
          </w:tcPr>
          <w:p w14:paraId="110F78C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污染源调查</w:t>
            </w:r>
          </w:p>
        </w:tc>
        <w:tc>
          <w:tcPr>
            <w:tcW w:w="2204" w:type="dxa"/>
            <w:vAlign w:val="center"/>
          </w:tcPr>
          <w:p w14:paraId="6EA02B4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调查内容</w:t>
            </w:r>
          </w:p>
        </w:tc>
        <w:tc>
          <w:tcPr>
            <w:tcW w:w="2412" w:type="dxa"/>
            <w:gridSpan w:val="5"/>
            <w:vAlign w:val="center"/>
          </w:tcPr>
          <w:p w14:paraId="249BF22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本项目正常排放√</w:t>
            </w:r>
          </w:p>
          <w:p w14:paraId="4AA5F6B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本项目非正常排放源√</w:t>
            </w:r>
          </w:p>
        </w:tc>
        <w:tc>
          <w:tcPr>
            <w:tcW w:w="2163" w:type="dxa"/>
            <w:gridSpan w:val="7"/>
            <w:vAlign w:val="center"/>
          </w:tcPr>
          <w:p w14:paraId="58C84195">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现有污染源□</w:t>
            </w:r>
          </w:p>
          <w:p w14:paraId="494A9DA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拟替代的污染源□</w:t>
            </w:r>
          </w:p>
        </w:tc>
        <w:tc>
          <w:tcPr>
            <w:tcW w:w="1573" w:type="dxa"/>
            <w:gridSpan w:val="4"/>
            <w:vAlign w:val="center"/>
          </w:tcPr>
          <w:p w14:paraId="5D15792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其他在建、拟建项目污染源□</w:t>
            </w:r>
          </w:p>
        </w:tc>
        <w:tc>
          <w:tcPr>
            <w:tcW w:w="1565" w:type="dxa"/>
            <w:gridSpan w:val="3"/>
            <w:vAlign w:val="center"/>
          </w:tcPr>
          <w:p w14:paraId="4171E875">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区域污染源□</w:t>
            </w:r>
          </w:p>
        </w:tc>
      </w:tr>
      <w:tr w14:paraId="07394E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restart"/>
            <w:vAlign w:val="center"/>
          </w:tcPr>
          <w:p w14:paraId="59C855F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大气环境影响预测与评价</w:t>
            </w:r>
          </w:p>
        </w:tc>
        <w:tc>
          <w:tcPr>
            <w:tcW w:w="2204" w:type="dxa"/>
            <w:vAlign w:val="center"/>
          </w:tcPr>
          <w:p w14:paraId="166355A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预测模型</w:t>
            </w:r>
          </w:p>
        </w:tc>
        <w:tc>
          <w:tcPr>
            <w:tcW w:w="1194" w:type="dxa"/>
            <w:gridSpan w:val="2"/>
            <w:vAlign w:val="center"/>
          </w:tcPr>
          <w:p w14:paraId="4233D803">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rPr>
              <w:t>AERMOD</w:t>
            </w:r>
            <w:r>
              <w:rPr>
                <w:rFonts w:hint="default" w:ascii="Times New Roman" w:hAnsi="Times New Roman" w:cs="Times New Roman"/>
                <w:snapToGrid w:val="0"/>
                <w:color w:val="auto"/>
                <w:szCs w:val="21"/>
                <w:highlight w:val="none"/>
                <w:lang w:eastAsia="zh-CN"/>
              </w:rPr>
              <w:t>□</w:t>
            </w:r>
          </w:p>
        </w:tc>
        <w:tc>
          <w:tcPr>
            <w:tcW w:w="733" w:type="dxa"/>
            <w:gridSpan w:val="2"/>
            <w:vAlign w:val="center"/>
          </w:tcPr>
          <w:p w14:paraId="17A3ED19">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ADMS□</w:t>
            </w:r>
          </w:p>
        </w:tc>
        <w:tc>
          <w:tcPr>
            <w:tcW w:w="1027" w:type="dxa"/>
            <w:gridSpan w:val="4"/>
            <w:vAlign w:val="center"/>
          </w:tcPr>
          <w:p w14:paraId="6ADBC00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AUSTAL2000□</w:t>
            </w:r>
          </w:p>
        </w:tc>
        <w:tc>
          <w:tcPr>
            <w:tcW w:w="1621" w:type="dxa"/>
            <w:gridSpan w:val="4"/>
            <w:vAlign w:val="center"/>
          </w:tcPr>
          <w:p w14:paraId="5104A9EF">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rPr>
              <w:t>ENMSS/AEDT</w:t>
            </w:r>
            <w:r>
              <w:rPr>
                <w:rFonts w:hint="default" w:ascii="Times New Roman" w:hAnsi="Times New Roman" w:cs="Times New Roman"/>
                <w:snapToGrid w:val="0"/>
                <w:color w:val="auto"/>
                <w:szCs w:val="21"/>
                <w:highlight w:val="none"/>
                <w:lang w:eastAsia="zh-CN"/>
              </w:rPr>
              <w:t>□</w:t>
            </w:r>
          </w:p>
        </w:tc>
        <w:tc>
          <w:tcPr>
            <w:tcW w:w="773" w:type="dxa"/>
            <w:gridSpan w:val="3"/>
            <w:vAlign w:val="center"/>
          </w:tcPr>
          <w:p w14:paraId="689491D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CALPUFF□</w:t>
            </w:r>
          </w:p>
        </w:tc>
        <w:tc>
          <w:tcPr>
            <w:tcW w:w="1335" w:type="dxa"/>
            <w:gridSpan w:val="3"/>
            <w:vAlign w:val="center"/>
          </w:tcPr>
          <w:p w14:paraId="4C60679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网格模型□</w:t>
            </w:r>
          </w:p>
        </w:tc>
        <w:tc>
          <w:tcPr>
            <w:tcW w:w="1030" w:type="dxa"/>
            <w:vAlign w:val="center"/>
          </w:tcPr>
          <w:p w14:paraId="32ECAAB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其他□</w:t>
            </w:r>
          </w:p>
        </w:tc>
      </w:tr>
      <w:tr w14:paraId="3A83F9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4A81E712">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5F69ACD5">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预测范围</w:t>
            </w:r>
          </w:p>
        </w:tc>
        <w:tc>
          <w:tcPr>
            <w:tcW w:w="2769" w:type="dxa"/>
            <w:gridSpan w:val="7"/>
            <w:vAlign w:val="center"/>
          </w:tcPr>
          <w:p w14:paraId="15F6FBC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边长=50km□</w:t>
            </w:r>
          </w:p>
        </w:tc>
        <w:tc>
          <w:tcPr>
            <w:tcW w:w="3379" w:type="dxa"/>
            <w:gridSpan w:val="9"/>
            <w:vAlign w:val="center"/>
          </w:tcPr>
          <w:p w14:paraId="63428BB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边长=5~50km□</w:t>
            </w:r>
          </w:p>
        </w:tc>
        <w:tc>
          <w:tcPr>
            <w:tcW w:w="1565" w:type="dxa"/>
            <w:gridSpan w:val="3"/>
            <w:vAlign w:val="center"/>
          </w:tcPr>
          <w:p w14:paraId="226AFEF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边长=5km□</w:t>
            </w:r>
          </w:p>
        </w:tc>
      </w:tr>
      <w:tr w14:paraId="186CFD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68148751">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5BE3E24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预测因子</w:t>
            </w:r>
          </w:p>
        </w:tc>
        <w:tc>
          <w:tcPr>
            <w:tcW w:w="3914" w:type="dxa"/>
            <w:gridSpan w:val="9"/>
            <w:vAlign w:val="center"/>
          </w:tcPr>
          <w:p w14:paraId="5323102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预测因子（       ）</w:t>
            </w:r>
          </w:p>
        </w:tc>
        <w:tc>
          <w:tcPr>
            <w:tcW w:w="3799" w:type="dxa"/>
            <w:gridSpan w:val="10"/>
            <w:vAlign w:val="center"/>
          </w:tcPr>
          <w:p w14:paraId="14E24A6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包括二次PM</w:t>
            </w:r>
            <w:r>
              <w:rPr>
                <w:rFonts w:hint="default" w:ascii="Times New Roman" w:hAnsi="Times New Roman" w:cs="Times New Roman"/>
                <w:snapToGrid w:val="0"/>
                <w:color w:val="auto"/>
                <w:szCs w:val="21"/>
                <w:highlight w:val="none"/>
                <w:vertAlign w:val="subscript"/>
              </w:rPr>
              <w:t>2.5</w:t>
            </w:r>
            <w:r>
              <w:rPr>
                <w:rFonts w:hint="default" w:ascii="Times New Roman" w:hAnsi="Times New Roman" w:cs="Times New Roman"/>
                <w:snapToGrid w:val="0"/>
                <w:color w:val="auto"/>
                <w:szCs w:val="21"/>
                <w:highlight w:val="none"/>
              </w:rPr>
              <w:t>□不包括PM</w:t>
            </w:r>
            <w:r>
              <w:rPr>
                <w:rFonts w:hint="default" w:ascii="Times New Roman" w:hAnsi="Times New Roman" w:cs="Times New Roman"/>
                <w:snapToGrid w:val="0"/>
                <w:color w:val="auto"/>
                <w:szCs w:val="21"/>
                <w:highlight w:val="none"/>
                <w:vertAlign w:val="subscript"/>
              </w:rPr>
              <w:t>2.5</w:t>
            </w:r>
            <w:r>
              <w:rPr>
                <w:rFonts w:hint="default" w:ascii="Times New Roman" w:hAnsi="Times New Roman" w:cs="Times New Roman"/>
                <w:snapToGrid w:val="0"/>
                <w:color w:val="auto"/>
                <w:szCs w:val="21"/>
                <w:highlight w:val="none"/>
              </w:rPr>
              <w:t>□</w:t>
            </w:r>
          </w:p>
        </w:tc>
      </w:tr>
      <w:tr w14:paraId="0221B6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2FDADB31">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0024B15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正常排放短期浓度贡献值</w:t>
            </w:r>
          </w:p>
        </w:tc>
        <w:tc>
          <w:tcPr>
            <w:tcW w:w="3914" w:type="dxa"/>
            <w:gridSpan w:val="9"/>
            <w:vAlign w:val="center"/>
          </w:tcPr>
          <w:p w14:paraId="1F4E08E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本项目</w:t>
            </w:r>
            <w:r>
              <w:rPr>
                <w:rFonts w:hint="default" w:ascii="Times New Roman" w:hAnsi="Times New Roman" w:cs="Times New Roman"/>
                <w:snapToGrid w:val="0"/>
                <w:color w:val="auto"/>
                <w:szCs w:val="21"/>
                <w:highlight w:val="none"/>
              </w:rPr>
              <w:t>最大占标率≤100%□</w:t>
            </w:r>
          </w:p>
        </w:tc>
        <w:tc>
          <w:tcPr>
            <w:tcW w:w="3799" w:type="dxa"/>
            <w:gridSpan w:val="10"/>
            <w:vAlign w:val="center"/>
          </w:tcPr>
          <w:p w14:paraId="0B39D02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本项目</w:t>
            </w:r>
            <w:r>
              <w:rPr>
                <w:rFonts w:hint="default" w:ascii="Times New Roman" w:hAnsi="Times New Roman" w:cs="Times New Roman"/>
                <w:snapToGrid w:val="0"/>
                <w:color w:val="auto"/>
                <w:szCs w:val="21"/>
                <w:highlight w:val="none"/>
              </w:rPr>
              <w:t>最大占标率＞100%□</w:t>
            </w:r>
          </w:p>
        </w:tc>
      </w:tr>
      <w:tr w14:paraId="14059A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7E440B15">
            <w:pPr>
              <w:adjustRightInd w:val="0"/>
              <w:snapToGrid w:val="0"/>
              <w:jc w:val="center"/>
              <w:rPr>
                <w:rFonts w:hint="default" w:ascii="Times New Roman" w:hAnsi="Times New Roman" w:cs="Times New Roman"/>
                <w:snapToGrid w:val="0"/>
                <w:color w:val="auto"/>
                <w:szCs w:val="21"/>
                <w:highlight w:val="none"/>
              </w:rPr>
            </w:pPr>
          </w:p>
        </w:tc>
        <w:tc>
          <w:tcPr>
            <w:tcW w:w="2204" w:type="dxa"/>
            <w:vMerge w:val="restart"/>
            <w:vAlign w:val="center"/>
          </w:tcPr>
          <w:p w14:paraId="0CDC355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正常排放年均浓度贡献值</w:t>
            </w:r>
          </w:p>
        </w:tc>
        <w:tc>
          <w:tcPr>
            <w:tcW w:w="2663" w:type="dxa"/>
            <w:gridSpan w:val="6"/>
            <w:vAlign w:val="center"/>
          </w:tcPr>
          <w:p w14:paraId="4FA8515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一类区</w:t>
            </w:r>
          </w:p>
        </w:tc>
        <w:tc>
          <w:tcPr>
            <w:tcW w:w="2685" w:type="dxa"/>
            <w:gridSpan w:val="9"/>
            <w:vAlign w:val="center"/>
          </w:tcPr>
          <w:p w14:paraId="60AFF0B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本项目</w:t>
            </w:r>
            <w:r>
              <w:rPr>
                <w:rFonts w:hint="default" w:ascii="Times New Roman" w:hAnsi="Times New Roman" w:cs="Times New Roman"/>
                <w:snapToGrid w:val="0"/>
                <w:color w:val="auto"/>
                <w:szCs w:val="21"/>
                <w:highlight w:val="none"/>
              </w:rPr>
              <w:t>最大占标率≤10%□</w:t>
            </w:r>
          </w:p>
        </w:tc>
        <w:tc>
          <w:tcPr>
            <w:tcW w:w="2365" w:type="dxa"/>
            <w:gridSpan w:val="4"/>
            <w:vAlign w:val="center"/>
          </w:tcPr>
          <w:p w14:paraId="416B9852">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本项目</w:t>
            </w:r>
            <w:r>
              <w:rPr>
                <w:rFonts w:hint="default" w:ascii="Times New Roman" w:hAnsi="Times New Roman" w:cs="Times New Roman"/>
                <w:snapToGrid w:val="0"/>
                <w:color w:val="auto"/>
                <w:szCs w:val="21"/>
                <w:highlight w:val="none"/>
              </w:rPr>
              <w:t>最大占标率＞10%□</w:t>
            </w:r>
          </w:p>
        </w:tc>
      </w:tr>
      <w:tr w14:paraId="26A1A9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112304A3">
            <w:pPr>
              <w:adjustRightInd w:val="0"/>
              <w:snapToGrid w:val="0"/>
              <w:jc w:val="center"/>
              <w:rPr>
                <w:rFonts w:hint="default" w:ascii="Times New Roman" w:hAnsi="Times New Roman" w:cs="Times New Roman"/>
                <w:snapToGrid w:val="0"/>
                <w:color w:val="auto"/>
                <w:szCs w:val="21"/>
                <w:highlight w:val="none"/>
              </w:rPr>
            </w:pPr>
          </w:p>
        </w:tc>
        <w:tc>
          <w:tcPr>
            <w:tcW w:w="2204" w:type="dxa"/>
            <w:vMerge w:val="continue"/>
            <w:vAlign w:val="center"/>
          </w:tcPr>
          <w:p w14:paraId="43CA7E98">
            <w:pPr>
              <w:adjustRightInd w:val="0"/>
              <w:snapToGrid w:val="0"/>
              <w:jc w:val="center"/>
              <w:rPr>
                <w:rFonts w:hint="default" w:ascii="Times New Roman" w:hAnsi="Times New Roman" w:cs="Times New Roman"/>
                <w:snapToGrid w:val="0"/>
                <w:color w:val="auto"/>
                <w:szCs w:val="21"/>
                <w:highlight w:val="none"/>
              </w:rPr>
            </w:pPr>
          </w:p>
        </w:tc>
        <w:tc>
          <w:tcPr>
            <w:tcW w:w="2663" w:type="dxa"/>
            <w:gridSpan w:val="6"/>
            <w:vAlign w:val="center"/>
          </w:tcPr>
          <w:p w14:paraId="490DE60B">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二类区</w:t>
            </w:r>
          </w:p>
        </w:tc>
        <w:tc>
          <w:tcPr>
            <w:tcW w:w="2685" w:type="dxa"/>
            <w:gridSpan w:val="9"/>
            <w:vAlign w:val="center"/>
          </w:tcPr>
          <w:p w14:paraId="568AD7E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本项目</w:t>
            </w:r>
            <w:r>
              <w:rPr>
                <w:rFonts w:hint="default" w:ascii="Times New Roman" w:hAnsi="Times New Roman" w:cs="Times New Roman"/>
                <w:snapToGrid w:val="0"/>
                <w:color w:val="auto"/>
                <w:szCs w:val="21"/>
                <w:highlight w:val="none"/>
              </w:rPr>
              <w:t>最大占标率≤30%□</w:t>
            </w:r>
          </w:p>
        </w:tc>
        <w:tc>
          <w:tcPr>
            <w:tcW w:w="2365" w:type="dxa"/>
            <w:gridSpan w:val="4"/>
            <w:vAlign w:val="center"/>
          </w:tcPr>
          <w:p w14:paraId="06E3151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本项目</w:t>
            </w:r>
            <w:r>
              <w:rPr>
                <w:rFonts w:hint="default" w:ascii="Times New Roman" w:hAnsi="Times New Roman" w:cs="Times New Roman"/>
                <w:snapToGrid w:val="0"/>
                <w:color w:val="auto"/>
                <w:szCs w:val="21"/>
                <w:highlight w:val="none"/>
              </w:rPr>
              <w:t>最大占标率＞30%□</w:t>
            </w:r>
          </w:p>
        </w:tc>
      </w:tr>
      <w:tr w14:paraId="358598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47B2E418">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5DBE4A5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非正常排放1h浓度贡献值</w:t>
            </w:r>
          </w:p>
        </w:tc>
        <w:tc>
          <w:tcPr>
            <w:tcW w:w="2663" w:type="dxa"/>
            <w:gridSpan w:val="6"/>
            <w:vAlign w:val="center"/>
          </w:tcPr>
          <w:p w14:paraId="4219228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非正常持续时长（）h</w:t>
            </w:r>
          </w:p>
        </w:tc>
        <w:tc>
          <w:tcPr>
            <w:tcW w:w="2685" w:type="dxa"/>
            <w:gridSpan w:val="9"/>
            <w:vAlign w:val="center"/>
          </w:tcPr>
          <w:p w14:paraId="3FF67EC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非正常</w:t>
            </w:r>
            <w:r>
              <w:rPr>
                <w:rFonts w:hint="default" w:ascii="Times New Roman" w:hAnsi="Times New Roman" w:cs="Times New Roman"/>
                <w:snapToGrid w:val="0"/>
                <w:color w:val="auto"/>
                <w:szCs w:val="21"/>
                <w:highlight w:val="none"/>
              </w:rPr>
              <w:t>占标率≤100%□</w:t>
            </w:r>
          </w:p>
        </w:tc>
        <w:tc>
          <w:tcPr>
            <w:tcW w:w="2365" w:type="dxa"/>
            <w:gridSpan w:val="4"/>
            <w:vAlign w:val="center"/>
          </w:tcPr>
          <w:p w14:paraId="1B90B72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非正常</w:t>
            </w:r>
            <w:r>
              <w:rPr>
                <w:rFonts w:hint="default" w:ascii="Times New Roman" w:hAnsi="Times New Roman" w:cs="Times New Roman"/>
                <w:snapToGrid w:val="0"/>
                <w:color w:val="auto"/>
                <w:szCs w:val="21"/>
                <w:highlight w:val="none"/>
              </w:rPr>
              <w:t>占标率＞100%□</w:t>
            </w:r>
          </w:p>
        </w:tc>
      </w:tr>
      <w:tr w14:paraId="3D2E6C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03DCAD54">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519C4A5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保证率日平均浓度和年平均跌价值</w:t>
            </w:r>
          </w:p>
        </w:tc>
        <w:tc>
          <w:tcPr>
            <w:tcW w:w="4575" w:type="dxa"/>
            <w:gridSpan w:val="12"/>
            <w:vAlign w:val="center"/>
          </w:tcPr>
          <w:p w14:paraId="24C2E98C">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叠加</w:t>
            </w:r>
            <w:r>
              <w:rPr>
                <w:rFonts w:hint="default" w:ascii="Times New Roman" w:hAnsi="Times New Roman" w:cs="Times New Roman"/>
                <w:snapToGrid w:val="0"/>
                <w:color w:val="auto"/>
                <w:szCs w:val="21"/>
                <w:highlight w:val="none"/>
              </w:rPr>
              <w:t>达标□</w:t>
            </w:r>
          </w:p>
        </w:tc>
        <w:tc>
          <w:tcPr>
            <w:tcW w:w="3138" w:type="dxa"/>
            <w:gridSpan w:val="7"/>
            <w:vAlign w:val="center"/>
          </w:tcPr>
          <w:p w14:paraId="7B3EF5D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C</w:t>
            </w:r>
            <w:r>
              <w:rPr>
                <w:rFonts w:hint="default" w:ascii="Times New Roman" w:hAnsi="Times New Roman" w:cs="Times New Roman"/>
                <w:snapToGrid w:val="0"/>
                <w:color w:val="auto"/>
                <w:szCs w:val="21"/>
                <w:highlight w:val="none"/>
                <w:vertAlign w:val="subscript"/>
              </w:rPr>
              <w:t>叠加</w:t>
            </w:r>
            <w:r>
              <w:rPr>
                <w:rFonts w:hint="default" w:ascii="Times New Roman" w:hAnsi="Times New Roman" w:cs="Times New Roman"/>
                <w:snapToGrid w:val="0"/>
                <w:color w:val="auto"/>
                <w:szCs w:val="21"/>
                <w:highlight w:val="none"/>
              </w:rPr>
              <w:t>不达标□</w:t>
            </w:r>
          </w:p>
        </w:tc>
      </w:tr>
      <w:tr w14:paraId="46AB97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144A0A93">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7DD66C22">
            <w:pPr>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区域环境质量的正态变化情况</w:t>
            </w:r>
          </w:p>
        </w:tc>
        <w:tc>
          <w:tcPr>
            <w:tcW w:w="4575" w:type="dxa"/>
            <w:gridSpan w:val="12"/>
            <w:vAlign w:val="center"/>
          </w:tcPr>
          <w:p w14:paraId="7CB7880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K≤-20%</w:t>
            </w:r>
          </w:p>
        </w:tc>
        <w:tc>
          <w:tcPr>
            <w:tcW w:w="3138" w:type="dxa"/>
            <w:gridSpan w:val="7"/>
            <w:vAlign w:val="center"/>
          </w:tcPr>
          <w:p w14:paraId="181A52E1">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K＞-20%</w:t>
            </w:r>
          </w:p>
        </w:tc>
      </w:tr>
      <w:tr w14:paraId="39BFEF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restart"/>
            <w:vAlign w:val="center"/>
          </w:tcPr>
          <w:p w14:paraId="17658BA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环境监测计划</w:t>
            </w:r>
          </w:p>
        </w:tc>
        <w:tc>
          <w:tcPr>
            <w:tcW w:w="2204" w:type="dxa"/>
            <w:vAlign w:val="center"/>
          </w:tcPr>
          <w:p w14:paraId="0D4EB34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污染源监测</w:t>
            </w:r>
          </w:p>
        </w:tc>
        <w:tc>
          <w:tcPr>
            <w:tcW w:w="2412" w:type="dxa"/>
            <w:gridSpan w:val="5"/>
            <w:vAlign w:val="center"/>
          </w:tcPr>
          <w:p w14:paraId="50BB7B5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监测因子：（SO</w:t>
            </w:r>
            <w:r>
              <w:rPr>
                <w:rFonts w:hint="default" w:ascii="Times New Roman" w:hAnsi="Times New Roman" w:cs="Times New Roman"/>
                <w:snapToGrid w:val="0"/>
                <w:color w:val="auto"/>
                <w:szCs w:val="21"/>
                <w:highlight w:val="none"/>
                <w:vertAlign w:val="subscript"/>
              </w:rPr>
              <w:t>2</w:t>
            </w:r>
            <w:r>
              <w:rPr>
                <w:rFonts w:hint="default" w:ascii="Times New Roman" w:hAnsi="Times New Roman" w:cs="Times New Roman"/>
                <w:snapToGrid w:val="0"/>
                <w:color w:val="auto"/>
                <w:szCs w:val="21"/>
                <w:highlight w:val="none"/>
              </w:rPr>
              <w:t>、NO</w:t>
            </w:r>
            <w:r>
              <w:rPr>
                <w:rFonts w:hint="default" w:ascii="Times New Roman" w:hAnsi="Times New Roman" w:cs="Times New Roman"/>
                <w:snapToGrid w:val="0"/>
                <w:color w:val="auto"/>
                <w:szCs w:val="21"/>
                <w:highlight w:val="none"/>
                <w:vertAlign w:val="subscript"/>
              </w:rPr>
              <w:t>X</w:t>
            </w:r>
            <w:r>
              <w:rPr>
                <w:rFonts w:hint="default" w:ascii="Times New Roman" w:hAnsi="Times New Roman" w:cs="Times New Roman"/>
                <w:snapToGrid w:val="0"/>
                <w:color w:val="auto"/>
                <w:szCs w:val="21"/>
                <w:highlight w:val="none"/>
              </w:rPr>
              <w:t>、烟尘、林格曼黑度、苯并[a]芘、沥青烟、TSP、非甲烷总烃）</w:t>
            </w:r>
          </w:p>
        </w:tc>
        <w:tc>
          <w:tcPr>
            <w:tcW w:w="3736" w:type="dxa"/>
            <w:gridSpan w:val="11"/>
            <w:vAlign w:val="center"/>
          </w:tcPr>
          <w:p w14:paraId="6BE2443A">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有组织废气监测（SO</w:t>
            </w:r>
            <w:r>
              <w:rPr>
                <w:rFonts w:hint="default" w:ascii="Times New Roman" w:hAnsi="Times New Roman" w:cs="Times New Roman"/>
                <w:snapToGrid w:val="0"/>
                <w:color w:val="auto"/>
                <w:szCs w:val="21"/>
                <w:highlight w:val="none"/>
                <w:vertAlign w:val="subscript"/>
              </w:rPr>
              <w:t>2</w:t>
            </w:r>
            <w:r>
              <w:rPr>
                <w:rFonts w:hint="default" w:ascii="Times New Roman" w:hAnsi="Times New Roman" w:cs="Times New Roman"/>
                <w:snapToGrid w:val="0"/>
                <w:color w:val="auto"/>
                <w:szCs w:val="21"/>
                <w:highlight w:val="none"/>
              </w:rPr>
              <w:t>、NO</w:t>
            </w:r>
            <w:r>
              <w:rPr>
                <w:rFonts w:hint="default" w:ascii="Times New Roman" w:hAnsi="Times New Roman" w:cs="Times New Roman"/>
                <w:snapToGrid w:val="0"/>
                <w:color w:val="auto"/>
                <w:szCs w:val="21"/>
                <w:highlight w:val="none"/>
                <w:vertAlign w:val="subscript"/>
              </w:rPr>
              <w:t>X</w:t>
            </w:r>
            <w:r>
              <w:rPr>
                <w:rFonts w:hint="default" w:ascii="Times New Roman" w:hAnsi="Times New Roman" w:cs="Times New Roman"/>
                <w:snapToGrid w:val="0"/>
                <w:color w:val="auto"/>
                <w:szCs w:val="21"/>
                <w:highlight w:val="none"/>
              </w:rPr>
              <w:t>、</w:t>
            </w:r>
            <w:r>
              <w:rPr>
                <w:rFonts w:hint="default" w:ascii="Times New Roman" w:hAnsi="Times New Roman" w:cs="Times New Roman"/>
                <w:snapToGrid w:val="0"/>
                <w:color w:val="auto"/>
                <w:szCs w:val="21"/>
                <w:highlight w:val="none"/>
                <w:lang w:val="en-US" w:eastAsia="zh-CN"/>
              </w:rPr>
              <w:t>颗粒物</w:t>
            </w:r>
            <w:r>
              <w:rPr>
                <w:rFonts w:hint="default" w:ascii="Times New Roman" w:hAnsi="Times New Roman" w:cs="Times New Roman"/>
                <w:snapToGrid w:val="0"/>
                <w:color w:val="auto"/>
                <w:szCs w:val="21"/>
                <w:highlight w:val="none"/>
              </w:rPr>
              <w:t>、林格曼黑度、苯并[a]芘、沥青烟）</w:t>
            </w:r>
          </w:p>
          <w:p w14:paraId="1690B75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无组织废气监测（TSP、苯并[a]芘、沥青烟、非甲烷总烃）</w:t>
            </w:r>
          </w:p>
        </w:tc>
        <w:tc>
          <w:tcPr>
            <w:tcW w:w="1565" w:type="dxa"/>
            <w:gridSpan w:val="3"/>
            <w:vAlign w:val="center"/>
          </w:tcPr>
          <w:p w14:paraId="1079E99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无监测□</w:t>
            </w:r>
          </w:p>
        </w:tc>
      </w:tr>
      <w:tr w14:paraId="231610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387EDEC8">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15E9D496">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环境质量监测</w:t>
            </w:r>
          </w:p>
        </w:tc>
        <w:tc>
          <w:tcPr>
            <w:tcW w:w="2412" w:type="dxa"/>
            <w:gridSpan w:val="5"/>
            <w:vAlign w:val="center"/>
          </w:tcPr>
          <w:p w14:paraId="18945A4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监测因子：（   ）</w:t>
            </w:r>
          </w:p>
        </w:tc>
        <w:tc>
          <w:tcPr>
            <w:tcW w:w="3736" w:type="dxa"/>
            <w:gridSpan w:val="11"/>
            <w:vAlign w:val="center"/>
          </w:tcPr>
          <w:p w14:paraId="19C0BCB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监测点位（  ）</w:t>
            </w:r>
          </w:p>
        </w:tc>
        <w:tc>
          <w:tcPr>
            <w:tcW w:w="1565" w:type="dxa"/>
            <w:gridSpan w:val="3"/>
            <w:vAlign w:val="center"/>
          </w:tcPr>
          <w:p w14:paraId="2D03A560">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无监测√</w:t>
            </w:r>
          </w:p>
        </w:tc>
      </w:tr>
      <w:tr w14:paraId="4749D3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restart"/>
            <w:vAlign w:val="center"/>
          </w:tcPr>
          <w:p w14:paraId="5E8566D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评价</w:t>
            </w:r>
          </w:p>
          <w:p w14:paraId="1111412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结论</w:t>
            </w:r>
          </w:p>
        </w:tc>
        <w:tc>
          <w:tcPr>
            <w:tcW w:w="2204" w:type="dxa"/>
            <w:vAlign w:val="center"/>
          </w:tcPr>
          <w:p w14:paraId="09E3BD3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环境影响</w:t>
            </w:r>
          </w:p>
        </w:tc>
        <w:tc>
          <w:tcPr>
            <w:tcW w:w="3965" w:type="dxa"/>
            <w:gridSpan w:val="10"/>
            <w:vAlign w:val="center"/>
          </w:tcPr>
          <w:p w14:paraId="487F3DFF">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可以接受√</w:t>
            </w:r>
          </w:p>
        </w:tc>
        <w:tc>
          <w:tcPr>
            <w:tcW w:w="3748" w:type="dxa"/>
            <w:gridSpan w:val="9"/>
            <w:vAlign w:val="center"/>
          </w:tcPr>
          <w:p w14:paraId="11C41627">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不可以接受□</w:t>
            </w:r>
          </w:p>
        </w:tc>
      </w:tr>
      <w:tr w14:paraId="0136AA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dxa"/>
            <w:vMerge w:val="continue"/>
            <w:vAlign w:val="center"/>
          </w:tcPr>
          <w:p w14:paraId="317BB9B3">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4D503BA4">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大气环境防护距离</w:t>
            </w:r>
          </w:p>
        </w:tc>
        <w:tc>
          <w:tcPr>
            <w:tcW w:w="7713" w:type="dxa"/>
            <w:gridSpan w:val="19"/>
            <w:vAlign w:val="center"/>
          </w:tcPr>
          <w:p w14:paraId="6F90641E">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距（）厂界最远（）m</w:t>
            </w:r>
          </w:p>
        </w:tc>
      </w:tr>
      <w:tr w14:paraId="66A575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958" w:type="dxa"/>
            <w:vMerge w:val="continue"/>
            <w:vAlign w:val="center"/>
          </w:tcPr>
          <w:p w14:paraId="06E54C68">
            <w:pPr>
              <w:adjustRightInd w:val="0"/>
              <w:snapToGrid w:val="0"/>
              <w:jc w:val="center"/>
              <w:rPr>
                <w:rFonts w:hint="default" w:ascii="Times New Roman" w:hAnsi="Times New Roman" w:cs="Times New Roman"/>
                <w:snapToGrid w:val="0"/>
                <w:color w:val="auto"/>
                <w:szCs w:val="21"/>
                <w:highlight w:val="none"/>
              </w:rPr>
            </w:pPr>
          </w:p>
        </w:tc>
        <w:tc>
          <w:tcPr>
            <w:tcW w:w="2204" w:type="dxa"/>
            <w:vAlign w:val="center"/>
          </w:tcPr>
          <w:p w14:paraId="5DFFAAA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污染源年排放量t/a</w:t>
            </w:r>
          </w:p>
        </w:tc>
        <w:tc>
          <w:tcPr>
            <w:tcW w:w="880" w:type="dxa"/>
            <w:vAlign w:val="center"/>
          </w:tcPr>
          <w:p w14:paraId="3E7B8A78">
            <w:pPr>
              <w:adjustRightInd w:val="0"/>
              <w:snapToGrid w:val="0"/>
              <w:jc w:val="center"/>
              <w:rPr>
                <w:rFonts w:hint="default" w:ascii="Times New Roman" w:hAnsi="Times New Roman" w:cs="Times New Roman"/>
                <w:snapToGrid w:val="0"/>
                <w:color w:val="auto"/>
                <w:szCs w:val="21"/>
                <w:highlight w:val="none"/>
                <w:vertAlign w:val="subscript"/>
              </w:rPr>
            </w:pPr>
            <w:r>
              <w:rPr>
                <w:rFonts w:hint="default" w:ascii="Times New Roman" w:hAnsi="Times New Roman" w:cs="Times New Roman"/>
                <w:snapToGrid w:val="0"/>
                <w:color w:val="auto"/>
                <w:szCs w:val="21"/>
                <w:highlight w:val="none"/>
              </w:rPr>
              <w:t>SO</w:t>
            </w:r>
            <w:r>
              <w:rPr>
                <w:rFonts w:hint="default" w:ascii="Times New Roman" w:hAnsi="Times New Roman" w:cs="Times New Roman"/>
                <w:snapToGrid w:val="0"/>
                <w:color w:val="auto"/>
                <w:szCs w:val="21"/>
                <w:highlight w:val="none"/>
                <w:vertAlign w:val="subscript"/>
              </w:rPr>
              <w:t>2</w:t>
            </w:r>
          </w:p>
          <w:p w14:paraId="5DB81118">
            <w:pPr>
              <w:adjustRightInd w:val="0"/>
              <w:snapToGrid w:val="0"/>
              <w:jc w:val="center"/>
              <w:rPr>
                <w:rFonts w:hint="default" w:ascii="Times New Roman" w:hAnsi="Times New Roman" w:eastAsia="宋体" w:cs="Times New Roman"/>
                <w:snapToGrid w:val="0"/>
                <w:color w:val="auto"/>
                <w:szCs w:val="21"/>
                <w:highlight w:val="none"/>
                <w:vertAlign w:val="subscript"/>
                <w:lang w:eastAsia="zh-CN"/>
              </w:rPr>
            </w:pPr>
            <w:r>
              <w:rPr>
                <w:rFonts w:hint="default" w:ascii="Times New Roman" w:hAnsi="Times New Roman" w:cs="Times New Roman"/>
                <w:snapToGrid w:val="0"/>
                <w:color w:val="auto"/>
                <w:szCs w:val="21"/>
                <w:highlight w:val="none"/>
                <w:lang w:val="en-US" w:eastAsia="zh-CN"/>
              </w:rPr>
              <w:t>(</w:t>
            </w:r>
            <w:r>
              <w:rPr>
                <w:rFonts w:hint="default" w:ascii="Times New Roman" w:hAnsi="Times New Roman" w:cs="Times New Roman"/>
                <w:snapToGrid w:val="0"/>
                <w:color w:val="auto"/>
                <w:kern w:val="0"/>
                <w:szCs w:val="21"/>
                <w:highlight w:val="none"/>
                <w:lang w:val="en-US" w:eastAsia="zh-CN"/>
              </w:rPr>
              <w:t>0.007</w:t>
            </w:r>
            <w:r>
              <w:rPr>
                <w:rFonts w:hint="default" w:ascii="Times New Roman" w:hAnsi="Times New Roman" w:cs="Times New Roman"/>
                <w:snapToGrid w:val="0"/>
                <w:color w:val="auto"/>
                <w:szCs w:val="21"/>
                <w:highlight w:val="none"/>
                <w:lang w:val="en-US" w:eastAsia="zh-CN"/>
              </w:rPr>
              <w:t>)</w:t>
            </w:r>
          </w:p>
        </w:tc>
        <w:tc>
          <w:tcPr>
            <w:tcW w:w="857" w:type="dxa"/>
            <w:gridSpan w:val="2"/>
            <w:vAlign w:val="center"/>
          </w:tcPr>
          <w:p w14:paraId="457E940A">
            <w:pPr>
              <w:adjustRightInd w:val="0"/>
              <w:snapToGrid w:val="0"/>
              <w:jc w:val="center"/>
              <w:rPr>
                <w:rFonts w:hint="default" w:ascii="Times New Roman" w:hAnsi="Times New Roman" w:cs="Times New Roman"/>
                <w:snapToGrid w:val="0"/>
                <w:color w:val="auto"/>
                <w:szCs w:val="21"/>
                <w:highlight w:val="none"/>
                <w:vertAlign w:val="subscript"/>
              </w:rPr>
            </w:pPr>
            <w:r>
              <w:rPr>
                <w:rFonts w:hint="default" w:ascii="Times New Roman" w:hAnsi="Times New Roman" w:cs="Times New Roman"/>
                <w:snapToGrid w:val="0"/>
                <w:color w:val="auto"/>
                <w:szCs w:val="21"/>
                <w:highlight w:val="none"/>
              </w:rPr>
              <w:t>NO</w:t>
            </w:r>
            <w:r>
              <w:rPr>
                <w:rFonts w:hint="default" w:ascii="Times New Roman" w:hAnsi="Times New Roman" w:cs="Times New Roman"/>
                <w:snapToGrid w:val="0"/>
                <w:color w:val="auto"/>
                <w:szCs w:val="21"/>
                <w:highlight w:val="none"/>
                <w:vertAlign w:val="subscript"/>
              </w:rPr>
              <w:t>X</w:t>
            </w:r>
          </w:p>
          <w:p w14:paraId="6DBA97A1">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lang w:val="en-US" w:eastAsia="zh-CN"/>
              </w:rPr>
              <w:t>(0.787)</w:t>
            </w:r>
          </w:p>
        </w:tc>
        <w:tc>
          <w:tcPr>
            <w:tcW w:w="1032" w:type="dxa"/>
            <w:gridSpan w:val="4"/>
            <w:vAlign w:val="center"/>
          </w:tcPr>
          <w:p w14:paraId="02DEF9CE">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rPr>
              <w:t>颗粒物</w:t>
            </w:r>
            <w:r>
              <w:rPr>
                <w:rFonts w:hint="default" w:ascii="Times New Roman" w:hAnsi="Times New Roman" w:cs="Times New Roman"/>
                <w:snapToGrid w:val="0"/>
                <w:color w:val="auto"/>
                <w:szCs w:val="21"/>
                <w:highlight w:val="none"/>
                <w:lang w:val="en-US" w:eastAsia="zh-CN"/>
              </w:rPr>
              <w:t>(</w:t>
            </w:r>
            <w:r>
              <w:rPr>
                <w:rFonts w:hint="default" w:ascii="Times New Roman" w:hAnsi="Times New Roman" w:cs="Times New Roman"/>
                <w:snapToGrid w:val="0"/>
                <w:color w:val="auto"/>
                <w:szCs w:val="21"/>
                <w:highlight w:val="none"/>
              </w:rPr>
              <w:t>0.</w:t>
            </w:r>
            <w:r>
              <w:rPr>
                <w:rFonts w:hint="default" w:ascii="Times New Roman" w:hAnsi="Times New Roman" w:cs="Times New Roman"/>
                <w:snapToGrid w:val="0"/>
                <w:color w:val="auto"/>
                <w:szCs w:val="21"/>
                <w:highlight w:val="none"/>
                <w:lang w:val="en-US" w:eastAsia="zh-CN"/>
              </w:rPr>
              <w:t>156)</w:t>
            </w:r>
          </w:p>
        </w:tc>
        <w:tc>
          <w:tcPr>
            <w:tcW w:w="1261" w:type="dxa"/>
            <w:gridSpan w:val="4"/>
            <w:vAlign w:val="center"/>
          </w:tcPr>
          <w:p w14:paraId="29C9AFE5">
            <w:pPr>
              <w:adjustRightInd w:val="0"/>
              <w:snapToGrid w:val="0"/>
              <w:jc w:val="center"/>
              <w:rPr>
                <w:rFonts w:hint="default" w:ascii="Times New Roman" w:hAnsi="Times New Roman"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lang w:val="en-US" w:eastAsia="zh-CN"/>
              </w:rPr>
              <w:t>NMHC</w:t>
            </w:r>
          </w:p>
          <w:p w14:paraId="18DC1793">
            <w:pPr>
              <w:adjustRightInd w:val="0"/>
              <w:snapToGrid w:val="0"/>
              <w:jc w:val="center"/>
              <w:rPr>
                <w:rFonts w:hint="default" w:ascii="Times New Roman" w:hAnsi="Times New Roman" w:eastAsia="宋体" w:cs="Times New Roman"/>
                <w:snapToGrid w:val="0"/>
                <w:color w:val="auto"/>
                <w:szCs w:val="21"/>
                <w:highlight w:val="none"/>
                <w:vertAlign w:val="subscript"/>
                <w:lang w:eastAsia="zh-CN"/>
              </w:rPr>
            </w:pPr>
            <w:r>
              <w:rPr>
                <w:rFonts w:hint="default" w:ascii="Times New Roman" w:hAnsi="Times New Roman" w:cs="Times New Roman"/>
                <w:snapToGrid w:val="0"/>
                <w:color w:val="auto"/>
                <w:szCs w:val="21"/>
                <w:highlight w:val="none"/>
                <w:lang w:val="en-US" w:eastAsia="zh-CN"/>
              </w:rPr>
              <w:t>(</w:t>
            </w:r>
            <w:r>
              <w:rPr>
                <w:rFonts w:hint="default" w:ascii="Times New Roman" w:hAnsi="Times New Roman" w:cs="Times New Roman"/>
                <w:snapToGrid w:val="0"/>
                <w:color w:val="auto"/>
                <w:szCs w:val="21"/>
                <w:highlight w:val="none"/>
              </w:rPr>
              <w:t>0.</w:t>
            </w:r>
            <w:r>
              <w:rPr>
                <w:rFonts w:hint="default" w:ascii="Times New Roman" w:hAnsi="Times New Roman" w:cs="Times New Roman"/>
                <w:snapToGrid w:val="0"/>
                <w:color w:val="auto"/>
                <w:szCs w:val="21"/>
                <w:highlight w:val="none"/>
                <w:lang w:val="en-US" w:eastAsia="zh-CN"/>
              </w:rPr>
              <w:t>0013176)</w:t>
            </w:r>
          </w:p>
        </w:tc>
        <w:tc>
          <w:tcPr>
            <w:tcW w:w="1214" w:type="dxa"/>
            <w:gridSpan w:val="3"/>
            <w:vAlign w:val="center"/>
          </w:tcPr>
          <w:p w14:paraId="06376CED">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沥青烟（</w:t>
            </w:r>
            <w:r>
              <w:rPr>
                <w:rFonts w:hint="default" w:ascii="Times New Roman" w:hAnsi="Times New Roman" w:cs="Times New Roman"/>
                <w:snapToGrid w:val="0"/>
                <w:color w:val="auto"/>
                <w:szCs w:val="21"/>
                <w:highlight w:val="none"/>
                <w:lang w:val="en-US" w:eastAsia="zh-CN"/>
              </w:rPr>
              <w:t>0.1191</w:t>
            </w:r>
            <w:r>
              <w:rPr>
                <w:rFonts w:hint="default" w:ascii="Times New Roman" w:hAnsi="Times New Roman" w:cs="Times New Roman"/>
                <w:snapToGrid w:val="0"/>
                <w:color w:val="auto"/>
                <w:szCs w:val="21"/>
                <w:highlight w:val="none"/>
              </w:rPr>
              <w:t>）</w:t>
            </w:r>
          </w:p>
        </w:tc>
        <w:tc>
          <w:tcPr>
            <w:tcW w:w="1362" w:type="dxa"/>
            <w:gridSpan w:val="3"/>
            <w:tcBorders>
              <w:right w:val="single" w:color="000000" w:sz="2" w:space="0"/>
            </w:tcBorders>
            <w:vAlign w:val="center"/>
          </w:tcPr>
          <w:p w14:paraId="3FB21B8C">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rPr>
              <w:t>苯并[a]芘</w:t>
            </w:r>
            <w:r>
              <w:rPr>
                <w:rFonts w:hint="default" w:ascii="Times New Roman" w:hAnsi="Times New Roman" w:cs="Times New Roman"/>
                <w:snapToGrid w:val="0"/>
                <w:color w:val="auto"/>
                <w:szCs w:val="21"/>
                <w:highlight w:val="none"/>
                <w:lang w:val="en-US" w:eastAsia="zh-CN"/>
              </w:rPr>
              <w:t>(2.402</w:t>
            </w:r>
            <w:r>
              <w:rPr>
                <w:rFonts w:hint="default" w:ascii="Times New Roman" w:hAnsi="Times New Roman" w:cs="Times New Roman"/>
                <w:snapToGrid w:val="0"/>
                <w:color w:val="auto"/>
                <w:szCs w:val="21"/>
                <w:highlight w:val="none"/>
              </w:rPr>
              <w:t>×10</w:t>
            </w:r>
            <w:r>
              <w:rPr>
                <w:rFonts w:hint="default" w:ascii="Times New Roman" w:hAnsi="Times New Roman" w:cs="Times New Roman"/>
                <w:snapToGrid w:val="0"/>
                <w:color w:val="auto"/>
                <w:szCs w:val="21"/>
                <w:highlight w:val="none"/>
                <w:vertAlign w:val="superscript"/>
              </w:rPr>
              <w:t>-</w:t>
            </w:r>
            <w:r>
              <w:rPr>
                <w:rFonts w:hint="default" w:ascii="Times New Roman" w:hAnsi="Times New Roman" w:cs="Times New Roman"/>
                <w:snapToGrid w:val="0"/>
                <w:color w:val="auto"/>
                <w:szCs w:val="21"/>
                <w:highlight w:val="none"/>
                <w:vertAlign w:val="superscript"/>
                <w:lang w:val="en-US" w:eastAsia="zh-CN"/>
              </w:rPr>
              <w:t>6</w:t>
            </w:r>
            <w:r>
              <w:rPr>
                <w:rFonts w:hint="default" w:ascii="Times New Roman" w:hAnsi="Times New Roman" w:cs="Times New Roman"/>
                <w:snapToGrid w:val="0"/>
                <w:color w:val="auto"/>
                <w:szCs w:val="21"/>
                <w:highlight w:val="none"/>
                <w:lang w:val="en-US" w:eastAsia="zh-CN"/>
              </w:rPr>
              <w:t>)</w:t>
            </w:r>
          </w:p>
        </w:tc>
        <w:tc>
          <w:tcPr>
            <w:tcW w:w="1107" w:type="dxa"/>
            <w:gridSpan w:val="2"/>
            <w:tcBorders>
              <w:left w:val="single" w:color="000000" w:sz="2" w:space="0"/>
            </w:tcBorders>
            <w:vAlign w:val="center"/>
          </w:tcPr>
          <w:p w14:paraId="43DF0D16">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lang w:val="en-US" w:eastAsia="zh-CN"/>
              </w:rPr>
              <w:t>粉尘(0.1016)</w:t>
            </w:r>
          </w:p>
        </w:tc>
      </w:tr>
      <w:tr w14:paraId="619776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75" w:type="dxa"/>
            <w:gridSpan w:val="21"/>
            <w:vAlign w:val="center"/>
          </w:tcPr>
          <w:p w14:paraId="74B9BE83">
            <w:pPr>
              <w:adjustRightInd w:val="0"/>
              <w:snapToGrid w:val="0"/>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注：“□”为勾选项，填“√”；“（  ）”为内容填写项</w:t>
            </w:r>
          </w:p>
        </w:tc>
      </w:tr>
    </w:tbl>
    <w:p w14:paraId="71B1ABA5">
      <w:pPr>
        <w:pStyle w:val="25"/>
        <w:adjustRightInd w:val="0"/>
        <w:snapToGrid w:val="0"/>
        <w:spacing w:before="0" w:beforeAutospacing="0" w:after="0" w:afterAutospacing="0"/>
        <w:outlineLvl w:val="0"/>
        <w:rPr>
          <w:rFonts w:hint="default" w:ascii="Times New Roman" w:hAnsi="Times New Roman" w:cs="Times New Roman"/>
          <w:color w:val="auto"/>
          <w:highlight w:val="none"/>
        </w:rPr>
      </w:pP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华文行楷">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auto"/>
    <w:pitch w:val="default"/>
    <w:sig w:usb0="00000000" w:usb1="00000000" w:usb2="0000003F" w:usb3="00000000" w:csb0="601F00FF" w:csb1="FFFF0000"/>
  </w:font>
  <w:font w:name="等线">
    <w:panose1 w:val="02010600030101010101"/>
    <w:charset w:val="86"/>
    <w:family w:val="auto"/>
    <w:pitch w:val="default"/>
    <w:sig w:usb0="A00002BF" w:usb1="38CF7CFA" w:usb2="00000016" w:usb3="00000000" w:csb0="0004000F" w:csb1="00000000"/>
  </w:font>
  <w:font w:name="Wingdings 2">
    <w:altName w:val="Wingdings"/>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8802B9">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1F4EF6">
    <w:pPr>
      <w:pStyle w:val="19"/>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52020221" name="文本框 20520202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C7CBE0">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CfUduNAIAAGcEAAAOAAAAAAAAAAEAIAAAAB8BAABkcnMvZTJvRG9jLnhtbFBL&#10;BQYAAAAABgAGAFkBAADFBQAAAAA=&#10;">
              <v:fill on="f" focussize="0,0"/>
              <v:stroke on="f" weight="0.5pt"/>
              <v:imagedata o:title=""/>
              <o:lock v:ext="edit" aspectratio="f"/>
              <v:textbox inset="0mm,0mm,0mm,0mm" style="mso-fit-shape-to-text:t;">
                <w:txbxContent>
                  <w:p w14:paraId="38C7CBE0">
                    <w:pPr>
                      <w:pStyle w:val="19"/>
                    </w:pPr>
                    <w:r>
                      <w:fldChar w:fldCharType="begin"/>
                    </w:r>
                    <w:r>
                      <w:instrText xml:space="preserve"> PAGE  \* MERGEFORMAT </w:instrText>
                    </w:r>
                    <w:r>
                      <w:fldChar w:fldCharType="separate"/>
                    </w:r>
                    <w:r>
                      <w:t>1</w:t>
                    </w:r>
                    <w:r>
                      <w:fldChar w:fldCharType="end"/>
                    </w:r>
                  </w:p>
                </w:txbxContent>
              </v:textbox>
            </v:shape>
          </w:pict>
        </mc:Fallback>
      </mc:AlternateContent>
    </w:r>
    <w:sdt>
      <w:sdtPr>
        <w:id w:val="-1776943259"/>
      </w:sdtP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79FB26">
    <w:pPr>
      <w:pStyle w:val="1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207687">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60207687">
                    <w:pPr>
                      <w:pStyle w:val="19"/>
                    </w:pPr>
                    <w:r>
                      <w:fldChar w:fldCharType="begin"/>
                    </w:r>
                    <w:r>
                      <w:instrText xml:space="preserve"> PAGE  \* MERGEFORMAT </w:instrText>
                    </w:r>
                    <w:r>
                      <w:fldChar w:fldCharType="separate"/>
                    </w:r>
                    <w:r>
                      <w:t>1</w:t>
                    </w:r>
                    <w:r>
                      <w:fldChar w:fldCharType="end"/>
                    </w:r>
                  </w:p>
                </w:txbxContent>
              </v:textbox>
            </v:shape>
          </w:pict>
        </mc:Fallback>
      </mc:AlternateContent>
    </w:r>
    <w:sdt>
      <w:sdtPr>
        <w:id w:val="42567988"/>
      </w:sdtP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73790F">
    <w:pPr>
      <w:pStyle w:val="19"/>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D7ED77">
                          <w:pPr>
                            <w:pStyle w:val="19"/>
                          </w:pPr>
                          <w:r>
                            <w:fldChar w:fldCharType="begin"/>
                          </w:r>
                          <w:r>
                            <w:instrText xml:space="preserve"> PAGE  \* MERGEFORMAT </w:instrText>
                          </w:r>
                          <w:r>
                            <w:fldChar w:fldCharType="separate"/>
                          </w:r>
                          <w:r>
                            <w:t>61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duMM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o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uduMMtAgAAVwQAAA4AAAAAAAAAAQAgAAAAHwEAAGRycy9lMm9Eb2MueG1sUEsFBgAAAAAG&#10;AAYAWQEAAL4FAAAAAA==&#10;">
              <v:fill on="f" focussize="0,0"/>
              <v:stroke on="f" weight="0.5pt"/>
              <v:imagedata o:title=""/>
              <o:lock v:ext="edit" aspectratio="f"/>
              <v:textbox inset="0mm,0mm,0mm,0mm" style="mso-fit-shape-to-text:t;">
                <w:txbxContent>
                  <w:p w14:paraId="5AD7ED77">
                    <w:pPr>
                      <w:pStyle w:val="19"/>
                    </w:pPr>
                    <w:r>
                      <w:fldChar w:fldCharType="begin"/>
                    </w:r>
                    <w:r>
                      <w:instrText xml:space="preserve"> PAGE  \* MERGEFORMAT </w:instrText>
                    </w:r>
                    <w:r>
                      <w:fldChar w:fldCharType="separate"/>
                    </w:r>
                    <w:r>
                      <w:t>61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CA8123">
    <w:pPr>
      <w:pStyle w:val="19"/>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CC8120">
                          <w:pPr>
                            <w:pStyle w:val="19"/>
                          </w:pPr>
                          <w:r>
                            <w:fldChar w:fldCharType="begin"/>
                          </w:r>
                          <w:r>
                            <w:instrText xml:space="preserve"> PAGE  \* MERGEFORMAT </w:instrText>
                          </w:r>
                          <w:r>
                            <w:fldChar w:fldCharType="separate"/>
                          </w:r>
                          <w:r>
                            <w:t>63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J7cdktAgAAV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J7cdktAgAAVwQAAA4AAAAAAAAAAQAgAAAAHwEAAGRycy9lMm9Eb2MueG1sUEsFBgAAAAAG&#10;AAYAWQEAAL4FAAAAAA==&#10;">
              <v:fill on="f" focussize="0,0"/>
              <v:stroke on="f" weight="0.5pt"/>
              <v:imagedata o:title=""/>
              <o:lock v:ext="edit" aspectratio="f"/>
              <v:textbox inset="0mm,0mm,0mm,0mm" style="mso-fit-shape-to-text:t;">
                <w:txbxContent>
                  <w:p w14:paraId="4ACC8120">
                    <w:pPr>
                      <w:pStyle w:val="19"/>
                    </w:pPr>
                    <w:r>
                      <w:fldChar w:fldCharType="begin"/>
                    </w:r>
                    <w:r>
                      <w:instrText xml:space="preserve"> PAGE  \* MERGEFORMAT </w:instrText>
                    </w:r>
                    <w:r>
                      <w:fldChar w:fldCharType="separate"/>
                    </w:r>
                    <w:r>
                      <w:t>63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9FC2C2">
    <w:pPr>
      <w:pStyle w:val="19"/>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C8457B">
                          <w:pPr>
                            <w:pStyle w:val="19"/>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o2IpktAgAAV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o2IpktAgAAVwQAAA4AAAAAAAAAAQAgAAAAHwEAAGRycy9lMm9Eb2MueG1sUEsFBgAAAAAG&#10;AAYAWQEAAL4FAAAAAA==&#10;">
              <v:fill on="f" focussize="0,0"/>
              <v:stroke on="f" weight="0.5pt"/>
              <v:imagedata o:title=""/>
              <o:lock v:ext="edit" aspectratio="f"/>
              <v:textbox inset="0mm,0mm,0mm,0mm" style="mso-fit-shape-to-text:t;">
                <w:txbxContent>
                  <w:p w14:paraId="56C8457B">
                    <w:pPr>
                      <w:pStyle w:val="19"/>
                    </w:pPr>
                    <w:r>
                      <w:fldChar w:fldCharType="begin"/>
                    </w:r>
                    <w:r>
                      <w:instrText xml:space="preserve"> PAGE  \* MERGEFORMAT </w:instrText>
                    </w:r>
                    <w:r>
                      <w:fldChar w:fldCharType="separate"/>
                    </w:r>
                    <w:r>
                      <w:t>69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C08C34">
    <w:pPr>
      <w:pStyle w:val="19"/>
      <w:jc w:val="both"/>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57B1897">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LQHfExAgAAZQ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C0B3xMQIAAGUEAAAOAAAAAAAAAAEAIAAAAB8BAABkcnMvZTJvRG9jLnhtbFBLBQYA&#10;AAAABgAGAFkBAADCBQAAAAA=&#10;">
              <v:fill on="f" focussize="0,0"/>
              <v:stroke on="f" weight="0.5pt"/>
              <v:imagedata o:title=""/>
              <o:lock v:ext="edit" aspectratio="f"/>
              <v:textbox inset="0mm,0mm,0mm,0mm" style="mso-fit-shape-to-text:t;">
                <w:txbxContent>
                  <w:p w14:paraId="457B1897">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024DAA">
    <w:pPr>
      <w:pStyle w:val="19"/>
      <w:jc w:val="both"/>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7C1A127">
                          <w:pPr>
                            <w:pStyle w:val="20"/>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g5X+sxAgAAZQ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IOV/rMQIAAGUEAAAOAAAAAAAAAAEAIAAAAB8BAABkcnMvZTJvRG9jLnhtbFBLBQYA&#10;AAAABgAGAFkBAADCBQAAAAA=&#10;">
              <v:fill on="f" focussize="0,0"/>
              <v:stroke on="f" weight="0.5pt"/>
              <v:imagedata o:title=""/>
              <o:lock v:ext="edit" aspectratio="f"/>
              <v:textbox inset="0mm,0mm,0mm,0mm" style="mso-fit-shape-to-text:t;">
                <w:txbxContent>
                  <w:p w14:paraId="17C1A127">
                    <w:pPr>
                      <w:pStyle w:val="20"/>
                    </w:pPr>
                    <w:r>
                      <w:fldChar w:fldCharType="begin"/>
                    </w:r>
                    <w:r>
                      <w:instrText xml:space="preserve"> PAGE  \* MERGEFORMAT </w:instrText>
                    </w:r>
                    <w:r>
                      <w:fldChar w:fldCharType="separate"/>
                    </w:r>
                    <w:r>
                      <w:t>9</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4A74EE5"/>
    <w:multiLevelType w:val="singleLevel"/>
    <w:tmpl w:val="B4A74EE5"/>
    <w:lvl w:ilvl="0" w:tentative="0">
      <w:start w:val="1"/>
      <w:numFmt w:val="decimal"/>
      <w:suff w:val="nothing"/>
      <w:lvlText w:val="（%1）"/>
      <w:lvlJc w:val="left"/>
    </w:lvl>
  </w:abstractNum>
  <w:abstractNum w:abstractNumId="1">
    <w:nsid w:val="D2C96FB4"/>
    <w:multiLevelType w:val="singleLevel"/>
    <w:tmpl w:val="D2C96FB4"/>
    <w:lvl w:ilvl="0" w:tentative="0">
      <w:start w:val="1"/>
      <w:numFmt w:val="chineseCounting"/>
      <w:suff w:val="nothing"/>
      <w:lvlText w:val="%1、"/>
      <w:lvlJc w:val="left"/>
      <w:rPr>
        <w:rFonts w:hint="eastAsia"/>
      </w:rPr>
    </w:lvl>
  </w:abstractNum>
  <w:abstractNum w:abstractNumId="2">
    <w:nsid w:val="DFE6A77A"/>
    <w:multiLevelType w:val="singleLevel"/>
    <w:tmpl w:val="DFE6A77A"/>
    <w:lvl w:ilvl="0" w:tentative="0">
      <w:start w:val="1"/>
      <w:numFmt w:val="decimal"/>
      <w:suff w:val="nothing"/>
      <w:lvlText w:val="%1、"/>
      <w:lvlJc w:val="left"/>
    </w:lvl>
  </w:abstractNum>
  <w:abstractNum w:abstractNumId="3">
    <w:nsid w:val="E33E4644"/>
    <w:multiLevelType w:val="singleLevel"/>
    <w:tmpl w:val="E33E4644"/>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4">
    <w:nsid w:val="E445BBC6"/>
    <w:multiLevelType w:val="singleLevel"/>
    <w:tmpl w:val="E445BBC6"/>
    <w:lvl w:ilvl="0" w:tentative="0">
      <w:start w:val="1"/>
      <w:numFmt w:val="chineseCounting"/>
      <w:suff w:val="nothing"/>
      <w:lvlText w:val="（%1）"/>
      <w:lvlJc w:val="left"/>
      <w:rPr>
        <w:rFonts w:hint="eastAsia"/>
      </w:rPr>
    </w:lvl>
  </w:abstractNum>
  <w:abstractNum w:abstractNumId="5">
    <w:nsid w:val="E76911CE"/>
    <w:multiLevelType w:val="singleLevel"/>
    <w:tmpl w:val="E76911CE"/>
    <w:lvl w:ilvl="0" w:tentative="0">
      <w:start w:val="1"/>
      <w:numFmt w:val="decimal"/>
      <w:suff w:val="nothing"/>
      <w:lvlText w:val="%1、"/>
      <w:lvlJc w:val="left"/>
    </w:lvl>
  </w:abstractNum>
  <w:abstractNum w:abstractNumId="6">
    <w:nsid w:val="21E1BF6A"/>
    <w:multiLevelType w:val="singleLevel"/>
    <w:tmpl w:val="21E1BF6A"/>
    <w:lvl w:ilvl="0" w:tentative="0">
      <w:start w:val="1"/>
      <w:numFmt w:val="decimal"/>
      <w:suff w:val="nothing"/>
      <w:lvlText w:val="（%1）"/>
      <w:lvlJc w:val="left"/>
    </w:lvl>
  </w:abstractNum>
  <w:abstractNum w:abstractNumId="7">
    <w:nsid w:val="24A3161B"/>
    <w:multiLevelType w:val="singleLevel"/>
    <w:tmpl w:val="24A3161B"/>
    <w:lvl w:ilvl="0" w:tentative="0">
      <w:start w:val="1"/>
      <w:numFmt w:val="decimal"/>
      <w:suff w:val="nothing"/>
      <w:lvlText w:val="%1、"/>
      <w:lvlJc w:val="left"/>
    </w:lvl>
  </w:abstractNum>
  <w:abstractNum w:abstractNumId="8">
    <w:nsid w:val="4A34086B"/>
    <w:multiLevelType w:val="singleLevel"/>
    <w:tmpl w:val="4A34086B"/>
    <w:lvl w:ilvl="0" w:tentative="0">
      <w:start w:val="1"/>
      <w:numFmt w:val="decimal"/>
      <w:suff w:val="nothing"/>
      <w:lvlText w:val="%1、"/>
      <w:lvlJc w:val="left"/>
    </w:lvl>
  </w:abstractNum>
  <w:abstractNum w:abstractNumId="9">
    <w:nsid w:val="6BD9E34B"/>
    <w:multiLevelType w:val="singleLevel"/>
    <w:tmpl w:val="6BD9E34B"/>
    <w:lvl w:ilvl="0" w:tentative="0">
      <w:start w:val="2"/>
      <w:numFmt w:val="decimal"/>
      <w:suff w:val="nothing"/>
      <w:lvlText w:val="（%1）"/>
      <w:lvlJc w:val="left"/>
      <w:pPr>
        <w:ind w:left="-60"/>
      </w:pPr>
    </w:lvl>
  </w:abstractNum>
  <w:abstractNum w:abstractNumId="10">
    <w:nsid w:val="76040A64"/>
    <w:multiLevelType w:val="singleLevel"/>
    <w:tmpl w:val="76040A64"/>
    <w:lvl w:ilvl="0" w:tentative="0">
      <w:start w:val="2"/>
      <w:numFmt w:val="decimal"/>
      <w:suff w:val="nothing"/>
      <w:lvlText w:val="%1、"/>
      <w:lvlJc w:val="left"/>
    </w:lvl>
  </w:abstractNum>
  <w:num w:numId="1">
    <w:abstractNumId w:val="3"/>
  </w:num>
  <w:num w:numId="2">
    <w:abstractNumId w:val="2"/>
  </w:num>
  <w:num w:numId="3">
    <w:abstractNumId w:val="10"/>
  </w:num>
  <w:num w:numId="4">
    <w:abstractNumId w:val="9"/>
  </w:num>
  <w:num w:numId="5">
    <w:abstractNumId w:val="1"/>
  </w:num>
  <w:num w:numId="6">
    <w:abstractNumId w:val="7"/>
  </w:num>
  <w:num w:numId="7">
    <w:abstractNumId w:val="4"/>
  </w:num>
  <w:num w:numId="8">
    <w:abstractNumId w:val="8"/>
  </w:num>
  <w:num w:numId="9">
    <w:abstractNumId w:val="5"/>
  </w:num>
  <w:num w:numId="10">
    <w:abstractNumId w:val="0"/>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NhNTJiOGIwNDkzYmU2NzYzOWRiMjA4OWMyZjIzYzAifQ=="/>
  </w:docVars>
  <w:rsids>
    <w:rsidRoot w:val="00A14947"/>
    <w:rsid w:val="000000F3"/>
    <w:rsid w:val="000007D9"/>
    <w:rsid w:val="00000DFE"/>
    <w:rsid w:val="00001148"/>
    <w:rsid w:val="00001232"/>
    <w:rsid w:val="00001987"/>
    <w:rsid w:val="00002801"/>
    <w:rsid w:val="00003206"/>
    <w:rsid w:val="000040B8"/>
    <w:rsid w:val="000042EB"/>
    <w:rsid w:val="000058D0"/>
    <w:rsid w:val="00005DE6"/>
    <w:rsid w:val="000060B3"/>
    <w:rsid w:val="0000693F"/>
    <w:rsid w:val="00007C6F"/>
    <w:rsid w:val="00010049"/>
    <w:rsid w:val="00010B88"/>
    <w:rsid w:val="00010DA9"/>
    <w:rsid w:val="00011341"/>
    <w:rsid w:val="00011650"/>
    <w:rsid w:val="00012601"/>
    <w:rsid w:val="000148F2"/>
    <w:rsid w:val="00021065"/>
    <w:rsid w:val="00021B78"/>
    <w:rsid w:val="000226C1"/>
    <w:rsid w:val="0002277E"/>
    <w:rsid w:val="00022A43"/>
    <w:rsid w:val="00022B9A"/>
    <w:rsid w:val="00022F93"/>
    <w:rsid w:val="000230BD"/>
    <w:rsid w:val="000236EA"/>
    <w:rsid w:val="00024764"/>
    <w:rsid w:val="000254A8"/>
    <w:rsid w:val="0002590C"/>
    <w:rsid w:val="00026709"/>
    <w:rsid w:val="00026F5C"/>
    <w:rsid w:val="00027792"/>
    <w:rsid w:val="000278D5"/>
    <w:rsid w:val="0003019B"/>
    <w:rsid w:val="0003103C"/>
    <w:rsid w:val="000315BA"/>
    <w:rsid w:val="00032177"/>
    <w:rsid w:val="00032507"/>
    <w:rsid w:val="0003273B"/>
    <w:rsid w:val="00032D86"/>
    <w:rsid w:val="00035979"/>
    <w:rsid w:val="00035F07"/>
    <w:rsid w:val="000375CF"/>
    <w:rsid w:val="00037CA8"/>
    <w:rsid w:val="0004014C"/>
    <w:rsid w:val="000407E0"/>
    <w:rsid w:val="00040876"/>
    <w:rsid w:val="00042E76"/>
    <w:rsid w:val="0004364B"/>
    <w:rsid w:val="00043A5F"/>
    <w:rsid w:val="00043C04"/>
    <w:rsid w:val="00044AFF"/>
    <w:rsid w:val="00045B75"/>
    <w:rsid w:val="00045BB7"/>
    <w:rsid w:val="00047E0C"/>
    <w:rsid w:val="00050EFE"/>
    <w:rsid w:val="000511C4"/>
    <w:rsid w:val="000512A7"/>
    <w:rsid w:val="000516BB"/>
    <w:rsid w:val="00051CAC"/>
    <w:rsid w:val="00052129"/>
    <w:rsid w:val="00052271"/>
    <w:rsid w:val="00052650"/>
    <w:rsid w:val="0005485C"/>
    <w:rsid w:val="00055171"/>
    <w:rsid w:val="000562CF"/>
    <w:rsid w:val="00056D18"/>
    <w:rsid w:val="00056E4D"/>
    <w:rsid w:val="00057491"/>
    <w:rsid w:val="00057B8E"/>
    <w:rsid w:val="00057D62"/>
    <w:rsid w:val="000606B1"/>
    <w:rsid w:val="00061B1F"/>
    <w:rsid w:val="000624FD"/>
    <w:rsid w:val="00062B88"/>
    <w:rsid w:val="00062B92"/>
    <w:rsid w:val="000633B2"/>
    <w:rsid w:val="0006370F"/>
    <w:rsid w:val="000657EE"/>
    <w:rsid w:val="00065DB5"/>
    <w:rsid w:val="00065E77"/>
    <w:rsid w:val="00066FD0"/>
    <w:rsid w:val="00067816"/>
    <w:rsid w:val="00067941"/>
    <w:rsid w:val="00067F69"/>
    <w:rsid w:val="00070D6C"/>
    <w:rsid w:val="000715D3"/>
    <w:rsid w:val="00072254"/>
    <w:rsid w:val="000733C4"/>
    <w:rsid w:val="000736B5"/>
    <w:rsid w:val="00073A0B"/>
    <w:rsid w:val="00074783"/>
    <w:rsid w:val="0007563B"/>
    <w:rsid w:val="000760B6"/>
    <w:rsid w:val="00076BA3"/>
    <w:rsid w:val="0008059D"/>
    <w:rsid w:val="0008070B"/>
    <w:rsid w:val="000810AC"/>
    <w:rsid w:val="00081949"/>
    <w:rsid w:val="00081A02"/>
    <w:rsid w:val="00081DB7"/>
    <w:rsid w:val="00082231"/>
    <w:rsid w:val="000825C3"/>
    <w:rsid w:val="0008310E"/>
    <w:rsid w:val="00084515"/>
    <w:rsid w:val="000849A8"/>
    <w:rsid w:val="00084BB1"/>
    <w:rsid w:val="00084EBB"/>
    <w:rsid w:val="00084F41"/>
    <w:rsid w:val="00085489"/>
    <w:rsid w:val="0008579D"/>
    <w:rsid w:val="00085B92"/>
    <w:rsid w:val="000867F2"/>
    <w:rsid w:val="00092D38"/>
    <w:rsid w:val="0009377B"/>
    <w:rsid w:val="00095038"/>
    <w:rsid w:val="000951D5"/>
    <w:rsid w:val="00097464"/>
    <w:rsid w:val="000A0007"/>
    <w:rsid w:val="000A095E"/>
    <w:rsid w:val="000A0ACF"/>
    <w:rsid w:val="000A1529"/>
    <w:rsid w:val="000A20C9"/>
    <w:rsid w:val="000A26FF"/>
    <w:rsid w:val="000A2D01"/>
    <w:rsid w:val="000A324D"/>
    <w:rsid w:val="000A3F3A"/>
    <w:rsid w:val="000A53FD"/>
    <w:rsid w:val="000A5467"/>
    <w:rsid w:val="000A57AA"/>
    <w:rsid w:val="000A6CF4"/>
    <w:rsid w:val="000A7339"/>
    <w:rsid w:val="000A742D"/>
    <w:rsid w:val="000A751C"/>
    <w:rsid w:val="000B058F"/>
    <w:rsid w:val="000B2DF9"/>
    <w:rsid w:val="000B3184"/>
    <w:rsid w:val="000B333B"/>
    <w:rsid w:val="000B3373"/>
    <w:rsid w:val="000B34E9"/>
    <w:rsid w:val="000B4467"/>
    <w:rsid w:val="000B494B"/>
    <w:rsid w:val="000B4DB9"/>
    <w:rsid w:val="000B505E"/>
    <w:rsid w:val="000B6647"/>
    <w:rsid w:val="000B7EE7"/>
    <w:rsid w:val="000C00B4"/>
    <w:rsid w:val="000C0305"/>
    <w:rsid w:val="000C09AC"/>
    <w:rsid w:val="000C32E4"/>
    <w:rsid w:val="000C3737"/>
    <w:rsid w:val="000C505B"/>
    <w:rsid w:val="000C507B"/>
    <w:rsid w:val="000C554C"/>
    <w:rsid w:val="000C6EC7"/>
    <w:rsid w:val="000C6FBB"/>
    <w:rsid w:val="000C767F"/>
    <w:rsid w:val="000C79FB"/>
    <w:rsid w:val="000D0150"/>
    <w:rsid w:val="000D1703"/>
    <w:rsid w:val="000D1D4A"/>
    <w:rsid w:val="000D2A4C"/>
    <w:rsid w:val="000D2E67"/>
    <w:rsid w:val="000D335B"/>
    <w:rsid w:val="000D3908"/>
    <w:rsid w:val="000D4579"/>
    <w:rsid w:val="000D559E"/>
    <w:rsid w:val="000D5A44"/>
    <w:rsid w:val="000D7211"/>
    <w:rsid w:val="000D7832"/>
    <w:rsid w:val="000E02A7"/>
    <w:rsid w:val="000E0332"/>
    <w:rsid w:val="000E0D8B"/>
    <w:rsid w:val="000E1047"/>
    <w:rsid w:val="000E2113"/>
    <w:rsid w:val="000E25F2"/>
    <w:rsid w:val="000E3917"/>
    <w:rsid w:val="000E3ED2"/>
    <w:rsid w:val="000E47E6"/>
    <w:rsid w:val="000E7631"/>
    <w:rsid w:val="000E7D2C"/>
    <w:rsid w:val="000E7D42"/>
    <w:rsid w:val="000F0A20"/>
    <w:rsid w:val="000F199A"/>
    <w:rsid w:val="000F3286"/>
    <w:rsid w:val="000F3370"/>
    <w:rsid w:val="000F41A4"/>
    <w:rsid w:val="000F4C0D"/>
    <w:rsid w:val="000F6010"/>
    <w:rsid w:val="000F6063"/>
    <w:rsid w:val="000F71AD"/>
    <w:rsid w:val="000F7A96"/>
    <w:rsid w:val="001004AD"/>
    <w:rsid w:val="001004DA"/>
    <w:rsid w:val="00100520"/>
    <w:rsid w:val="00103BB2"/>
    <w:rsid w:val="00103C0C"/>
    <w:rsid w:val="0010440A"/>
    <w:rsid w:val="0010642D"/>
    <w:rsid w:val="00106AAC"/>
    <w:rsid w:val="001070B7"/>
    <w:rsid w:val="001070F4"/>
    <w:rsid w:val="00107104"/>
    <w:rsid w:val="00107DE6"/>
    <w:rsid w:val="00111CE5"/>
    <w:rsid w:val="00112143"/>
    <w:rsid w:val="0011251A"/>
    <w:rsid w:val="00113309"/>
    <w:rsid w:val="00113707"/>
    <w:rsid w:val="00113FB4"/>
    <w:rsid w:val="00114974"/>
    <w:rsid w:val="00114CE6"/>
    <w:rsid w:val="00114E0B"/>
    <w:rsid w:val="001153A6"/>
    <w:rsid w:val="0011581E"/>
    <w:rsid w:val="00116A59"/>
    <w:rsid w:val="00117241"/>
    <w:rsid w:val="00121FBF"/>
    <w:rsid w:val="001222F2"/>
    <w:rsid w:val="00122884"/>
    <w:rsid w:val="001232C3"/>
    <w:rsid w:val="00123538"/>
    <w:rsid w:val="00123DED"/>
    <w:rsid w:val="001256F7"/>
    <w:rsid w:val="00126D26"/>
    <w:rsid w:val="0013016D"/>
    <w:rsid w:val="00130685"/>
    <w:rsid w:val="00130D3C"/>
    <w:rsid w:val="00130E33"/>
    <w:rsid w:val="00130F4F"/>
    <w:rsid w:val="00131057"/>
    <w:rsid w:val="00131615"/>
    <w:rsid w:val="00131F42"/>
    <w:rsid w:val="00133BB8"/>
    <w:rsid w:val="00133C8A"/>
    <w:rsid w:val="0013415B"/>
    <w:rsid w:val="001347B4"/>
    <w:rsid w:val="00135369"/>
    <w:rsid w:val="001357F1"/>
    <w:rsid w:val="00135AC9"/>
    <w:rsid w:val="00136FFD"/>
    <w:rsid w:val="0013795A"/>
    <w:rsid w:val="00137B2D"/>
    <w:rsid w:val="001408AC"/>
    <w:rsid w:val="00140EE6"/>
    <w:rsid w:val="00140FA8"/>
    <w:rsid w:val="00142363"/>
    <w:rsid w:val="00142845"/>
    <w:rsid w:val="00142956"/>
    <w:rsid w:val="00142EFB"/>
    <w:rsid w:val="00142FEB"/>
    <w:rsid w:val="00143129"/>
    <w:rsid w:val="00143436"/>
    <w:rsid w:val="00143718"/>
    <w:rsid w:val="00143A2D"/>
    <w:rsid w:val="00145167"/>
    <w:rsid w:val="00145A41"/>
    <w:rsid w:val="00145CD4"/>
    <w:rsid w:val="00146204"/>
    <w:rsid w:val="00146F48"/>
    <w:rsid w:val="001474A8"/>
    <w:rsid w:val="00147B9B"/>
    <w:rsid w:val="00151675"/>
    <w:rsid w:val="00152FEA"/>
    <w:rsid w:val="0015461C"/>
    <w:rsid w:val="00154EFF"/>
    <w:rsid w:val="00154F60"/>
    <w:rsid w:val="00155049"/>
    <w:rsid w:val="00155103"/>
    <w:rsid w:val="001552C2"/>
    <w:rsid w:val="00156504"/>
    <w:rsid w:val="00156BB4"/>
    <w:rsid w:val="00157435"/>
    <w:rsid w:val="00157B0B"/>
    <w:rsid w:val="00160A7C"/>
    <w:rsid w:val="0016117F"/>
    <w:rsid w:val="001614CA"/>
    <w:rsid w:val="0016160C"/>
    <w:rsid w:val="001622C5"/>
    <w:rsid w:val="00162381"/>
    <w:rsid w:val="001624D3"/>
    <w:rsid w:val="00163997"/>
    <w:rsid w:val="001702B1"/>
    <w:rsid w:val="00170664"/>
    <w:rsid w:val="00173195"/>
    <w:rsid w:val="00174C62"/>
    <w:rsid w:val="0017504D"/>
    <w:rsid w:val="00175261"/>
    <w:rsid w:val="00175C37"/>
    <w:rsid w:val="0017671A"/>
    <w:rsid w:val="00177422"/>
    <w:rsid w:val="00177D09"/>
    <w:rsid w:val="00177D34"/>
    <w:rsid w:val="00183116"/>
    <w:rsid w:val="001836A8"/>
    <w:rsid w:val="001843CE"/>
    <w:rsid w:val="0018455B"/>
    <w:rsid w:val="00184590"/>
    <w:rsid w:val="001852F2"/>
    <w:rsid w:val="001853E6"/>
    <w:rsid w:val="00185C33"/>
    <w:rsid w:val="00186957"/>
    <w:rsid w:val="00186B60"/>
    <w:rsid w:val="001870D1"/>
    <w:rsid w:val="00187196"/>
    <w:rsid w:val="0018781E"/>
    <w:rsid w:val="00187C5D"/>
    <w:rsid w:val="00190016"/>
    <w:rsid w:val="001902B4"/>
    <w:rsid w:val="001905A5"/>
    <w:rsid w:val="00190623"/>
    <w:rsid w:val="0019069F"/>
    <w:rsid w:val="001914A5"/>
    <w:rsid w:val="00192472"/>
    <w:rsid w:val="0019262D"/>
    <w:rsid w:val="001927B8"/>
    <w:rsid w:val="0019355D"/>
    <w:rsid w:val="00193836"/>
    <w:rsid w:val="00194950"/>
    <w:rsid w:val="00194F76"/>
    <w:rsid w:val="00195354"/>
    <w:rsid w:val="00196180"/>
    <w:rsid w:val="0019648C"/>
    <w:rsid w:val="00196715"/>
    <w:rsid w:val="001969CC"/>
    <w:rsid w:val="00197034"/>
    <w:rsid w:val="00197A10"/>
    <w:rsid w:val="00197F23"/>
    <w:rsid w:val="001A1498"/>
    <w:rsid w:val="001A1AA2"/>
    <w:rsid w:val="001A1B35"/>
    <w:rsid w:val="001A2B13"/>
    <w:rsid w:val="001A2D3F"/>
    <w:rsid w:val="001A3453"/>
    <w:rsid w:val="001A48A2"/>
    <w:rsid w:val="001A5CD6"/>
    <w:rsid w:val="001A5F3C"/>
    <w:rsid w:val="001A63AA"/>
    <w:rsid w:val="001A6F61"/>
    <w:rsid w:val="001A714E"/>
    <w:rsid w:val="001A7608"/>
    <w:rsid w:val="001B024E"/>
    <w:rsid w:val="001B03A1"/>
    <w:rsid w:val="001B061E"/>
    <w:rsid w:val="001B1677"/>
    <w:rsid w:val="001B1E60"/>
    <w:rsid w:val="001B20AD"/>
    <w:rsid w:val="001B30DB"/>
    <w:rsid w:val="001B4A06"/>
    <w:rsid w:val="001B64C6"/>
    <w:rsid w:val="001B72B8"/>
    <w:rsid w:val="001B75C2"/>
    <w:rsid w:val="001B78B2"/>
    <w:rsid w:val="001C0D14"/>
    <w:rsid w:val="001C1005"/>
    <w:rsid w:val="001C1496"/>
    <w:rsid w:val="001C240D"/>
    <w:rsid w:val="001C2695"/>
    <w:rsid w:val="001C2AA9"/>
    <w:rsid w:val="001C2BC9"/>
    <w:rsid w:val="001C4058"/>
    <w:rsid w:val="001C514F"/>
    <w:rsid w:val="001C5BAA"/>
    <w:rsid w:val="001C5F4D"/>
    <w:rsid w:val="001C65AE"/>
    <w:rsid w:val="001C69B3"/>
    <w:rsid w:val="001C6F8C"/>
    <w:rsid w:val="001D0342"/>
    <w:rsid w:val="001D03E4"/>
    <w:rsid w:val="001D18C5"/>
    <w:rsid w:val="001D1912"/>
    <w:rsid w:val="001D1DE1"/>
    <w:rsid w:val="001D248C"/>
    <w:rsid w:val="001D2B96"/>
    <w:rsid w:val="001D36FE"/>
    <w:rsid w:val="001D38D7"/>
    <w:rsid w:val="001D46FC"/>
    <w:rsid w:val="001D5595"/>
    <w:rsid w:val="001D5E21"/>
    <w:rsid w:val="001D63EE"/>
    <w:rsid w:val="001D66CD"/>
    <w:rsid w:val="001D7470"/>
    <w:rsid w:val="001D7874"/>
    <w:rsid w:val="001D7891"/>
    <w:rsid w:val="001D7F22"/>
    <w:rsid w:val="001E069A"/>
    <w:rsid w:val="001E1060"/>
    <w:rsid w:val="001E13CD"/>
    <w:rsid w:val="001E1804"/>
    <w:rsid w:val="001E1DFC"/>
    <w:rsid w:val="001E1EFA"/>
    <w:rsid w:val="001E2E63"/>
    <w:rsid w:val="001E44D7"/>
    <w:rsid w:val="001E46BA"/>
    <w:rsid w:val="001E4C31"/>
    <w:rsid w:val="001E511B"/>
    <w:rsid w:val="001E5349"/>
    <w:rsid w:val="001E5B00"/>
    <w:rsid w:val="001E66A1"/>
    <w:rsid w:val="001E680F"/>
    <w:rsid w:val="001E6A70"/>
    <w:rsid w:val="001E6B80"/>
    <w:rsid w:val="001F0D0E"/>
    <w:rsid w:val="001F0F17"/>
    <w:rsid w:val="001F1A40"/>
    <w:rsid w:val="001F2594"/>
    <w:rsid w:val="001F2F5A"/>
    <w:rsid w:val="001F3275"/>
    <w:rsid w:val="001F3347"/>
    <w:rsid w:val="001F3C48"/>
    <w:rsid w:val="001F3F84"/>
    <w:rsid w:val="001F4378"/>
    <w:rsid w:val="001F45E1"/>
    <w:rsid w:val="001F47E6"/>
    <w:rsid w:val="001F55B3"/>
    <w:rsid w:val="001F56EA"/>
    <w:rsid w:val="001F59CB"/>
    <w:rsid w:val="001F5C19"/>
    <w:rsid w:val="001F62F9"/>
    <w:rsid w:val="001F6577"/>
    <w:rsid w:val="001F69E4"/>
    <w:rsid w:val="001F6D7C"/>
    <w:rsid w:val="001F7E8C"/>
    <w:rsid w:val="002013AC"/>
    <w:rsid w:val="0020183F"/>
    <w:rsid w:val="00201884"/>
    <w:rsid w:val="002020E1"/>
    <w:rsid w:val="002022E9"/>
    <w:rsid w:val="00202D1E"/>
    <w:rsid w:val="00202FE9"/>
    <w:rsid w:val="00203793"/>
    <w:rsid w:val="00203FF7"/>
    <w:rsid w:val="002044FC"/>
    <w:rsid w:val="002048CA"/>
    <w:rsid w:val="00204B21"/>
    <w:rsid w:val="00205225"/>
    <w:rsid w:val="00206CB8"/>
    <w:rsid w:val="00206EE1"/>
    <w:rsid w:val="00207CD7"/>
    <w:rsid w:val="002104EC"/>
    <w:rsid w:val="00210678"/>
    <w:rsid w:val="00211F68"/>
    <w:rsid w:val="002125B4"/>
    <w:rsid w:val="00213B82"/>
    <w:rsid w:val="002155B8"/>
    <w:rsid w:val="00216827"/>
    <w:rsid w:val="00217349"/>
    <w:rsid w:val="00217A13"/>
    <w:rsid w:val="00220585"/>
    <w:rsid w:val="00220D0D"/>
    <w:rsid w:val="002211C6"/>
    <w:rsid w:val="00221E78"/>
    <w:rsid w:val="002226F3"/>
    <w:rsid w:val="002232F2"/>
    <w:rsid w:val="002237AC"/>
    <w:rsid w:val="00223DF8"/>
    <w:rsid w:val="00223F7C"/>
    <w:rsid w:val="00224839"/>
    <w:rsid w:val="002249B2"/>
    <w:rsid w:val="00224C92"/>
    <w:rsid w:val="00225362"/>
    <w:rsid w:val="002253E0"/>
    <w:rsid w:val="00225C00"/>
    <w:rsid w:val="00226574"/>
    <w:rsid w:val="002265D4"/>
    <w:rsid w:val="00226951"/>
    <w:rsid w:val="0022719E"/>
    <w:rsid w:val="0022781E"/>
    <w:rsid w:val="002278EC"/>
    <w:rsid w:val="002307EA"/>
    <w:rsid w:val="00230A5B"/>
    <w:rsid w:val="00231F7C"/>
    <w:rsid w:val="00232063"/>
    <w:rsid w:val="002320D8"/>
    <w:rsid w:val="002327EF"/>
    <w:rsid w:val="0023280E"/>
    <w:rsid w:val="002330B3"/>
    <w:rsid w:val="00233BDE"/>
    <w:rsid w:val="0023499E"/>
    <w:rsid w:val="00235DB9"/>
    <w:rsid w:val="0023633D"/>
    <w:rsid w:val="002371F6"/>
    <w:rsid w:val="0023750D"/>
    <w:rsid w:val="00237574"/>
    <w:rsid w:val="002377D1"/>
    <w:rsid w:val="00241519"/>
    <w:rsid w:val="002416FA"/>
    <w:rsid w:val="00241A7D"/>
    <w:rsid w:val="0024290E"/>
    <w:rsid w:val="0024355A"/>
    <w:rsid w:val="002446D6"/>
    <w:rsid w:val="00244CB6"/>
    <w:rsid w:val="002453BA"/>
    <w:rsid w:val="00245AA6"/>
    <w:rsid w:val="00245B99"/>
    <w:rsid w:val="002467F5"/>
    <w:rsid w:val="00246B6A"/>
    <w:rsid w:val="00247400"/>
    <w:rsid w:val="00247AC8"/>
    <w:rsid w:val="002506BC"/>
    <w:rsid w:val="00251266"/>
    <w:rsid w:val="00251F8D"/>
    <w:rsid w:val="002528C7"/>
    <w:rsid w:val="00254345"/>
    <w:rsid w:val="00254768"/>
    <w:rsid w:val="002547DD"/>
    <w:rsid w:val="00254A24"/>
    <w:rsid w:val="00254FA5"/>
    <w:rsid w:val="00255A17"/>
    <w:rsid w:val="00255ADF"/>
    <w:rsid w:val="00255AF5"/>
    <w:rsid w:val="00256306"/>
    <w:rsid w:val="00256446"/>
    <w:rsid w:val="002600F8"/>
    <w:rsid w:val="0026012A"/>
    <w:rsid w:val="002606E8"/>
    <w:rsid w:val="002611D4"/>
    <w:rsid w:val="00261AF4"/>
    <w:rsid w:val="0026401A"/>
    <w:rsid w:val="00264557"/>
    <w:rsid w:val="002649EC"/>
    <w:rsid w:val="0026565F"/>
    <w:rsid w:val="00266B0F"/>
    <w:rsid w:val="00267835"/>
    <w:rsid w:val="002702D7"/>
    <w:rsid w:val="00270525"/>
    <w:rsid w:val="002707C1"/>
    <w:rsid w:val="00270F88"/>
    <w:rsid w:val="00271810"/>
    <w:rsid w:val="002721F1"/>
    <w:rsid w:val="002722BF"/>
    <w:rsid w:val="002751CA"/>
    <w:rsid w:val="00275B66"/>
    <w:rsid w:val="00276954"/>
    <w:rsid w:val="002805AB"/>
    <w:rsid w:val="00281060"/>
    <w:rsid w:val="0028137F"/>
    <w:rsid w:val="00281A34"/>
    <w:rsid w:val="0028407F"/>
    <w:rsid w:val="00284204"/>
    <w:rsid w:val="002844A8"/>
    <w:rsid w:val="00285463"/>
    <w:rsid w:val="002865FA"/>
    <w:rsid w:val="002869DE"/>
    <w:rsid w:val="00286FDE"/>
    <w:rsid w:val="00287327"/>
    <w:rsid w:val="00287768"/>
    <w:rsid w:val="0029054D"/>
    <w:rsid w:val="00291773"/>
    <w:rsid w:val="00291ACB"/>
    <w:rsid w:val="0029320F"/>
    <w:rsid w:val="00293360"/>
    <w:rsid w:val="00294CF5"/>
    <w:rsid w:val="00295000"/>
    <w:rsid w:val="00295C99"/>
    <w:rsid w:val="00296D74"/>
    <w:rsid w:val="0029720F"/>
    <w:rsid w:val="00297F08"/>
    <w:rsid w:val="002A168C"/>
    <w:rsid w:val="002A17A8"/>
    <w:rsid w:val="002A2982"/>
    <w:rsid w:val="002A2FB2"/>
    <w:rsid w:val="002A3DC7"/>
    <w:rsid w:val="002A452D"/>
    <w:rsid w:val="002A733B"/>
    <w:rsid w:val="002A79D8"/>
    <w:rsid w:val="002A7C26"/>
    <w:rsid w:val="002A7FA5"/>
    <w:rsid w:val="002B0C2E"/>
    <w:rsid w:val="002B1F44"/>
    <w:rsid w:val="002B2221"/>
    <w:rsid w:val="002B391E"/>
    <w:rsid w:val="002B3AD0"/>
    <w:rsid w:val="002B4482"/>
    <w:rsid w:val="002B4780"/>
    <w:rsid w:val="002B4806"/>
    <w:rsid w:val="002B49E2"/>
    <w:rsid w:val="002B517F"/>
    <w:rsid w:val="002B5264"/>
    <w:rsid w:val="002B52E2"/>
    <w:rsid w:val="002B570C"/>
    <w:rsid w:val="002B67FA"/>
    <w:rsid w:val="002B7059"/>
    <w:rsid w:val="002B7B00"/>
    <w:rsid w:val="002B7C44"/>
    <w:rsid w:val="002C057A"/>
    <w:rsid w:val="002C06C8"/>
    <w:rsid w:val="002C0847"/>
    <w:rsid w:val="002C0E86"/>
    <w:rsid w:val="002C1236"/>
    <w:rsid w:val="002C1622"/>
    <w:rsid w:val="002C189C"/>
    <w:rsid w:val="002C2988"/>
    <w:rsid w:val="002C2B17"/>
    <w:rsid w:val="002C4337"/>
    <w:rsid w:val="002C4C00"/>
    <w:rsid w:val="002C4E37"/>
    <w:rsid w:val="002C5AA1"/>
    <w:rsid w:val="002C5B07"/>
    <w:rsid w:val="002C62BD"/>
    <w:rsid w:val="002C6A3B"/>
    <w:rsid w:val="002C7C15"/>
    <w:rsid w:val="002D0593"/>
    <w:rsid w:val="002D05E6"/>
    <w:rsid w:val="002D07A1"/>
    <w:rsid w:val="002D2A6A"/>
    <w:rsid w:val="002D3DD0"/>
    <w:rsid w:val="002D3E74"/>
    <w:rsid w:val="002D423E"/>
    <w:rsid w:val="002D4961"/>
    <w:rsid w:val="002D577D"/>
    <w:rsid w:val="002D5AE8"/>
    <w:rsid w:val="002D5DA9"/>
    <w:rsid w:val="002D5F0C"/>
    <w:rsid w:val="002D696D"/>
    <w:rsid w:val="002D70C9"/>
    <w:rsid w:val="002D7F29"/>
    <w:rsid w:val="002D7FFC"/>
    <w:rsid w:val="002E0C47"/>
    <w:rsid w:val="002E0D89"/>
    <w:rsid w:val="002E1F3A"/>
    <w:rsid w:val="002E298A"/>
    <w:rsid w:val="002E2B3F"/>
    <w:rsid w:val="002E3989"/>
    <w:rsid w:val="002E43F5"/>
    <w:rsid w:val="002E4D53"/>
    <w:rsid w:val="002E52F9"/>
    <w:rsid w:val="002E53E5"/>
    <w:rsid w:val="002E769C"/>
    <w:rsid w:val="002F0378"/>
    <w:rsid w:val="002F06F9"/>
    <w:rsid w:val="002F1748"/>
    <w:rsid w:val="002F314A"/>
    <w:rsid w:val="002F3389"/>
    <w:rsid w:val="002F3D2F"/>
    <w:rsid w:val="002F3F9F"/>
    <w:rsid w:val="002F40A8"/>
    <w:rsid w:val="002F4832"/>
    <w:rsid w:val="002F48E2"/>
    <w:rsid w:val="002F4E3E"/>
    <w:rsid w:val="002F50B6"/>
    <w:rsid w:val="002F5129"/>
    <w:rsid w:val="002F52AC"/>
    <w:rsid w:val="002F575C"/>
    <w:rsid w:val="002F583C"/>
    <w:rsid w:val="002F6EFD"/>
    <w:rsid w:val="002F7DF8"/>
    <w:rsid w:val="00301978"/>
    <w:rsid w:val="0030332C"/>
    <w:rsid w:val="003036FA"/>
    <w:rsid w:val="00303754"/>
    <w:rsid w:val="00303A9A"/>
    <w:rsid w:val="0030415C"/>
    <w:rsid w:val="003051C2"/>
    <w:rsid w:val="00305410"/>
    <w:rsid w:val="00311F7C"/>
    <w:rsid w:val="00312296"/>
    <w:rsid w:val="00313A04"/>
    <w:rsid w:val="00314F0E"/>
    <w:rsid w:val="00315B82"/>
    <w:rsid w:val="00316B45"/>
    <w:rsid w:val="00317DC7"/>
    <w:rsid w:val="00317EA6"/>
    <w:rsid w:val="003200D3"/>
    <w:rsid w:val="00321798"/>
    <w:rsid w:val="00321D8E"/>
    <w:rsid w:val="00322382"/>
    <w:rsid w:val="00322508"/>
    <w:rsid w:val="00322B8F"/>
    <w:rsid w:val="0032357E"/>
    <w:rsid w:val="0032398C"/>
    <w:rsid w:val="00323B43"/>
    <w:rsid w:val="0032440D"/>
    <w:rsid w:val="00325928"/>
    <w:rsid w:val="003260E7"/>
    <w:rsid w:val="003263BC"/>
    <w:rsid w:val="00327530"/>
    <w:rsid w:val="0033070D"/>
    <w:rsid w:val="00330B71"/>
    <w:rsid w:val="00331FE1"/>
    <w:rsid w:val="00332848"/>
    <w:rsid w:val="00332863"/>
    <w:rsid w:val="003328E8"/>
    <w:rsid w:val="00333D84"/>
    <w:rsid w:val="00334677"/>
    <w:rsid w:val="00335155"/>
    <w:rsid w:val="00335C3F"/>
    <w:rsid w:val="00336318"/>
    <w:rsid w:val="0033667C"/>
    <w:rsid w:val="0033684D"/>
    <w:rsid w:val="00336BC8"/>
    <w:rsid w:val="0033709A"/>
    <w:rsid w:val="00337203"/>
    <w:rsid w:val="003376A6"/>
    <w:rsid w:val="00337B42"/>
    <w:rsid w:val="00340179"/>
    <w:rsid w:val="0034025C"/>
    <w:rsid w:val="0034044F"/>
    <w:rsid w:val="0034087F"/>
    <w:rsid w:val="00340D6D"/>
    <w:rsid w:val="00341B42"/>
    <w:rsid w:val="00343204"/>
    <w:rsid w:val="0034348F"/>
    <w:rsid w:val="003435C9"/>
    <w:rsid w:val="003452C9"/>
    <w:rsid w:val="00345357"/>
    <w:rsid w:val="00345730"/>
    <w:rsid w:val="00345B40"/>
    <w:rsid w:val="00345E0F"/>
    <w:rsid w:val="00345F8F"/>
    <w:rsid w:val="00346BFD"/>
    <w:rsid w:val="0034705B"/>
    <w:rsid w:val="00347066"/>
    <w:rsid w:val="00347310"/>
    <w:rsid w:val="00347DD8"/>
    <w:rsid w:val="00347FD6"/>
    <w:rsid w:val="0035011E"/>
    <w:rsid w:val="003502E4"/>
    <w:rsid w:val="0035059A"/>
    <w:rsid w:val="00350929"/>
    <w:rsid w:val="00350C3A"/>
    <w:rsid w:val="00352BB0"/>
    <w:rsid w:val="0035309E"/>
    <w:rsid w:val="0035365E"/>
    <w:rsid w:val="00353E38"/>
    <w:rsid w:val="00354681"/>
    <w:rsid w:val="003556B5"/>
    <w:rsid w:val="00356218"/>
    <w:rsid w:val="00356653"/>
    <w:rsid w:val="003570A0"/>
    <w:rsid w:val="0035743F"/>
    <w:rsid w:val="003578C6"/>
    <w:rsid w:val="00357BE2"/>
    <w:rsid w:val="003602B8"/>
    <w:rsid w:val="0036170C"/>
    <w:rsid w:val="00361DCF"/>
    <w:rsid w:val="00361F50"/>
    <w:rsid w:val="003621EA"/>
    <w:rsid w:val="003630DD"/>
    <w:rsid w:val="003667A5"/>
    <w:rsid w:val="003667DC"/>
    <w:rsid w:val="00366E0F"/>
    <w:rsid w:val="00367BDC"/>
    <w:rsid w:val="00370A26"/>
    <w:rsid w:val="00370EA6"/>
    <w:rsid w:val="00371329"/>
    <w:rsid w:val="00371947"/>
    <w:rsid w:val="00371E25"/>
    <w:rsid w:val="0037221C"/>
    <w:rsid w:val="003722C6"/>
    <w:rsid w:val="0037357E"/>
    <w:rsid w:val="0037419C"/>
    <w:rsid w:val="003743DD"/>
    <w:rsid w:val="003747C2"/>
    <w:rsid w:val="00375142"/>
    <w:rsid w:val="00377526"/>
    <w:rsid w:val="0038114C"/>
    <w:rsid w:val="00381A72"/>
    <w:rsid w:val="00381F67"/>
    <w:rsid w:val="00382000"/>
    <w:rsid w:val="0038397C"/>
    <w:rsid w:val="00383F4E"/>
    <w:rsid w:val="003843A1"/>
    <w:rsid w:val="00384676"/>
    <w:rsid w:val="00386684"/>
    <w:rsid w:val="00387EFB"/>
    <w:rsid w:val="00390064"/>
    <w:rsid w:val="003900ED"/>
    <w:rsid w:val="00390857"/>
    <w:rsid w:val="00391715"/>
    <w:rsid w:val="00391E90"/>
    <w:rsid w:val="00392923"/>
    <w:rsid w:val="00392973"/>
    <w:rsid w:val="00393256"/>
    <w:rsid w:val="00394A46"/>
    <w:rsid w:val="00394EF6"/>
    <w:rsid w:val="003973D8"/>
    <w:rsid w:val="00397442"/>
    <w:rsid w:val="00397726"/>
    <w:rsid w:val="00397A05"/>
    <w:rsid w:val="003A0CEB"/>
    <w:rsid w:val="003A0D96"/>
    <w:rsid w:val="003A0DCC"/>
    <w:rsid w:val="003A17C2"/>
    <w:rsid w:val="003A1B58"/>
    <w:rsid w:val="003A2B2A"/>
    <w:rsid w:val="003A3528"/>
    <w:rsid w:val="003A398D"/>
    <w:rsid w:val="003A4BF3"/>
    <w:rsid w:val="003A4EB3"/>
    <w:rsid w:val="003A50B4"/>
    <w:rsid w:val="003A7403"/>
    <w:rsid w:val="003A74D2"/>
    <w:rsid w:val="003B0C6C"/>
    <w:rsid w:val="003B16D2"/>
    <w:rsid w:val="003B1712"/>
    <w:rsid w:val="003B1756"/>
    <w:rsid w:val="003B214A"/>
    <w:rsid w:val="003B277D"/>
    <w:rsid w:val="003B2E47"/>
    <w:rsid w:val="003B3205"/>
    <w:rsid w:val="003B38DE"/>
    <w:rsid w:val="003B420D"/>
    <w:rsid w:val="003B48DA"/>
    <w:rsid w:val="003B5869"/>
    <w:rsid w:val="003B5C3E"/>
    <w:rsid w:val="003B664F"/>
    <w:rsid w:val="003B7CF9"/>
    <w:rsid w:val="003C0AC8"/>
    <w:rsid w:val="003C1C2A"/>
    <w:rsid w:val="003C1DD5"/>
    <w:rsid w:val="003C22B4"/>
    <w:rsid w:val="003C28BC"/>
    <w:rsid w:val="003C375C"/>
    <w:rsid w:val="003C395F"/>
    <w:rsid w:val="003C580A"/>
    <w:rsid w:val="003C5BFD"/>
    <w:rsid w:val="003C5D3D"/>
    <w:rsid w:val="003C6C16"/>
    <w:rsid w:val="003C71A9"/>
    <w:rsid w:val="003C7D56"/>
    <w:rsid w:val="003D0DA0"/>
    <w:rsid w:val="003D0F5A"/>
    <w:rsid w:val="003D11E6"/>
    <w:rsid w:val="003D12E8"/>
    <w:rsid w:val="003D28C2"/>
    <w:rsid w:val="003D3030"/>
    <w:rsid w:val="003D3380"/>
    <w:rsid w:val="003D33BB"/>
    <w:rsid w:val="003D38F3"/>
    <w:rsid w:val="003D3EF6"/>
    <w:rsid w:val="003D4086"/>
    <w:rsid w:val="003D4234"/>
    <w:rsid w:val="003D52FA"/>
    <w:rsid w:val="003D610B"/>
    <w:rsid w:val="003D638C"/>
    <w:rsid w:val="003D6481"/>
    <w:rsid w:val="003D65C4"/>
    <w:rsid w:val="003D6AE8"/>
    <w:rsid w:val="003D6C8E"/>
    <w:rsid w:val="003D6DED"/>
    <w:rsid w:val="003D717D"/>
    <w:rsid w:val="003D794D"/>
    <w:rsid w:val="003E064A"/>
    <w:rsid w:val="003E1EC1"/>
    <w:rsid w:val="003E3058"/>
    <w:rsid w:val="003E42D2"/>
    <w:rsid w:val="003E563D"/>
    <w:rsid w:val="003E6669"/>
    <w:rsid w:val="003E76A9"/>
    <w:rsid w:val="003E7757"/>
    <w:rsid w:val="003F0809"/>
    <w:rsid w:val="003F0A81"/>
    <w:rsid w:val="003F0C11"/>
    <w:rsid w:val="003F28DD"/>
    <w:rsid w:val="003F3354"/>
    <w:rsid w:val="003F39B6"/>
    <w:rsid w:val="003F4301"/>
    <w:rsid w:val="003F496D"/>
    <w:rsid w:val="003F6A8C"/>
    <w:rsid w:val="003F6F6D"/>
    <w:rsid w:val="003F733D"/>
    <w:rsid w:val="003F755C"/>
    <w:rsid w:val="00400ED3"/>
    <w:rsid w:val="004015A3"/>
    <w:rsid w:val="004025DD"/>
    <w:rsid w:val="0040379D"/>
    <w:rsid w:val="00404D4C"/>
    <w:rsid w:val="0040540B"/>
    <w:rsid w:val="004055A2"/>
    <w:rsid w:val="00405CA0"/>
    <w:rsid w:val="00406A2E"/>
    <w:rsid w:val="00406B30"/>
    <w:rsid w:val="00406E06"/>
    <w:rsid w:val="00406E2F"/>
    <w:rsid w:val="00406F01"/>
    <w:rsid w:val="00407BE2"/>
    <w:rsid w:val="00410D6D"/>
    <w:rsid w:val="004117A5"/>
    <w:rsid w:val="00411F34"/>
    <w:rsid w:val="0041260D"/>
    <w:rsid w:val="004130DC"/>
    <w:rsid w:val="0041330A"/>
    <w:rsid w:val="004136EB"/>
    <w:rsid w:val="00413B6F"/>
    <w:rsid w:val="00413CF8"/>
    <w:rsid w:val="004147E4"/>
    <w:rsid w:val="004160F8"/>
    <w:rsid w:val="00416697"/>
    <w:rsid w:val="00416D50"/>
    <w:rsid w:val="00416FD5"/>
    <w:rsid w:val="004175A5"/>
    <w:rsid w:val="00417772"/>
    <w:rsid w:val="004200A9"/>
    <w:rsid w:val="00420E6A"/>
    <w:rsid w:val="00421B07"/>
    <w:rsid w:val="00421E2E"/>
    <w:rsid w:val="00421F65"/>
    <w:rsid w:val="0042202A"/>
    <w:rsid w:val="00422454"/>
    <w:rsid w:val="00423311"/>
    <w:rsid w:val="0042337C"/>
    <w:rsid w:val="0042470C"/>
    <w:rsid w:val="00425A9E"/>
    <w:rsid w:val="004263C1"/>
    <w:rsid w:val="00426D6B"/>
    <w:rsid w:val="00426EBD"/>
    <w:rsid w:val="00430479"/>
    <w:rsid w:val="00430A23"/>
    <w:rsid w:val="0043121A"/>
    <w:rsid w:val="00431853"/>
    <w:rsid w:val="00431E6C"/>
    <w:rsid w:val="004336E3"/>
    <w:rsid w:val="0043399C"/>
    <w:rsid w:val="00433CE7"/>
    <w:rsid w:val="00434442"/>
    <w:rsid w:val="00434D04"/>
    <w:rsid w:val="00434F75"/>
    <w:rsid w:val="00435DCD"/>
    <w:rsid w:val="00435F93"/>
    <w:rsid w:val="0043769C"/>
    <w:rsid w:val="00437FFD"/>
    <w:rsid w:val="00440C32"/>
    <w:rsid w:val="0044163C"/>
    <w:rsid w:val="00442080"/>
    <w:rsid w:val="00442234"/>
    <w:rsid w:val="004429E5"/>
    <w:rsid w:val="00444B06"/>
    <w:rsid w:val="00445EE1"/>
    <w:rsid w:val="00446892"/>
    <w:rsid w:val="004473DD"/>
    <w:rsid w:val="004478A7"/>
    <w:rsid w:val="00447B87"/>
    <w:rsid w:val="004502CE"/>
    <w:rsid w:val="0045115E"/>
    <w:rsid w:val="00451969"/>
    <w:rsid w:val="00451DC9"/>
    <w:rsid w:val="0045214E"/>
    <w:rsid w:val="00452409"/>
    <w:rsid w:val="004524DD"/>
    <w:rsid w:val="00452738"/>
    <w:rsid w:val="00452E14"/>
    <w:rsid w:val="00454034"/>
    <w:rsid w:val="00454E2D"/>
    <w:rsid w:val="00455050"/>
    <w:rsid w:val="004550FC"/>
    <w:rsid w:val="004554C1"/>
    <w:rsid w:val="004558F7"/>
    <w:rsid w:val="00456091"/>
    <w:rsid w:val="0045714F"/>
    <w:rsid w:val="004574DD"/>
    <w:rsid w:val="004579C1"/>
    <w:rsid w:val="00457B1A"/>
    <w:rsid w:val="004602DB"/>
    <w:rsid w:val="0046062A"/>
    <w:rsid w:val="00461598"/>
    <w:rsid w:val="00461741"/>
    <w:rsid w:val="0046257C"/>
    <w:rsid w:val="00462C6A"/>
    <w:rsid w:val="004639E2"/>
    <w:rsid w:val="0046409B"/>
    <w:rsid w:val="00464E19"/>
    <w:rsid w:val="00466321"/>
    <w:rsid w:val="0046662B"/>
    <w:rsid w:val="0047152C"/>
    <w:rsid w:val="004724FD"/>
    <w:rsid w:val="004740C6"/>
    <w:rsid w:val="004751A5"/>
    <w:rsid w:val="00475769"/>
    <w:rsid w:val="0047647A"/>
    <w:rsid w:val="00476853"/>
    <w:rsid w:val="00481061"/>
    <w:rsid w:val="004814E2"/>
    <w:rsid w:val="004816D2"/>
    <w:rsid w:val="0048282A"/>
    <w:rsid w:val="00483907"/>
    <w:rsid w:val="00484201"/>
    <w:rsid w:val="004846A1"/>
    <w:rsid w:val="00484B9B"/>
    <w:rsid w:val="004855F6"/>
    <w:rsid w:val="00485A4B"/>
    <w:rsid w:val="0048661E"/>
    <w:rsid w:val="00486D5F"/>
    <w:rsid w:val="00486D76"/>
    <w:rsid w:val="00490388"/>
    <w:rsid w:val="004912A0"/>
    <w:rsid w:val="00491E31"/>
    <w:rsid w:val="00491FBC"/>
    <w:rsid w:val="004928C4"/>
    <w:rsid w:val="0049301E"/>
    <w:rsid w:val="004931D5"/>
    <w:rsid w:val="004932C8"/>
    <w:rsid w:val="004934FB"/>
    <w:rsid w:val="00494289"/>
    <w:rsid w:val="00494670"/>
    <w:rsid w:val="00496B35"/>
    <w:rsid w:val="004A04F9"/>
    <w:rsid w:val="004A106B"/>
    <w:rsid w:val="004A10EF"/>
    <w:rsid w:val="004A1F50"/>
    <w:rsid w:val="004A231A"/>
    <w:rsid w:val="004A233B"/>
    <w:rsid w:val="004A287D"/>
    <w:rsid w:val="004A298D"/>
    <w:rsid w:val="004A2E31"/>
    <w:rsid w:val="004A3823"/>
    <w:rsid w:val="004A3EDF"/>
    <w:rsid w:val="004A3F76"/>
    <w:rsid w:val="004A534F"/>
    <w:rsid w:val="004A6326"/>
    <w:rsid w:val="004A6CE9"/>
    <w:rsid w:val="004A7347"/>
    <w:rsid w:val="004B04A1"/>
    <w:rsid w:val="004B083A"/>
    <w:rsid w:val="004B1831"/>
    <w:rsid w:val="004B2FA1"/>
    <w:rsid w:val="004B3192"/>
    <w:rsid w:val="004B370B"/>
    <w:rsid w:val="004B4247"/>
    <w:rsid w:val="004B4928"/>
    <w:rsid w:val="004B4ABF"/>
    <w:rsid w:val="004B616D"/>
    <w:rsid w:val="004B6565"/>
    <w:rsid w:val="004B6D1E"/>
    <w:rsid w:val="004B795C"/>
    <w:rsid w:val="004B7DFC"/>
    <w:rsid w:val="004C1108"/>
    <w:rsid w:val="004C3E88"/>
    <w:rsid w:val="004C3EA7"/>
    <w:rsid w:val="004C4685"/>
    <w:rsid w:val="004C4967"/>
    <w:rsid w:val="004C510D"/>
    <w:rsid w:val="004C5E8D"/>
    <w:rsid w:val="004C62BD"/>
    <w:rsid w:val="004C718B"/>
    <w:rsid w:val="004D07F7"/>
    <w:rsid w:val="004D3377"/>
    <w:rsid w:val="004D5EE0"/>
    <w:rsid w:val="004D742C"/>
    <w:rsid w:val="004E05A8"/>
    <w:rsid w:val="004E10FA"/>
    <w:rsid w:val="004E11C3"/>
    <w:rsid w:val="004E1C55"/>
    <w:rsid w:val="004E2695"/>
    <w:rsid w:val="004E2894"/>
    <w:rsid w:val="004E3FA9"/>
    <w:rsid w:val="004E44E6"/>
    <w:rsid w:val="004E4BC4"/>
    <w:rsid w:val="004E6946"/>
    <w:rsid w:val="004E70A7"/>
    <w:rsid w:val="004F067D"/>
    <w:rsid w:val="004F1AD8"/>
    <w:rsid w:val="004F2384"/>
    <w:rsid w:val="004F36B6"/>
    <w:rsid w:val="004F4B43"/>
    <w:rsid w:val="004F57A0"/>
    <w:rsid w:val="004F6203"/>
    <w:rsid w:val="004F6E6B"/>
    <w:rsid w:val="004F7C6F"/>
    <w:rsid w:val="005010E2"/>
    <w:rsid w:val="00502F75"/>
    <w:rsid w:val="005037C1"/>
    <w:rsid w:val="005039CB"/>
    <w:rsid w:val="00503BE4"/>
    <w:rsid w:val="00503CC7"/>
    <w:rsid w:val="00504462"/>
    <w:rsid w:val="00504F25"/>
    <w:rsid w:val="0050558F"/>
    <w:rsid w:val="00505A2E"/>
    <w:rsid w:val="00505D26"/>
    <w:rsid w:val="00505EA4"/>
    <w:rsid w:val="00506286"/>
    <w:rsid w:val="00507311"/>
    <w:rsid w:val="0051014D"/>
    <w:rsid w:val="00510813"/>
    <w:rsid w:val="0051150F"/>
    <w:rsid w:val="00511990"/>
    <w:rsid w:val="00511DE0"/>
    <w:rsid w:val="00513679"/>
    <w:rsid w:val="00513DBF"/>
    <w:rsid w:val="005146EF"/>
    <w:rsid w:val="00514870"/>
    <w:rsid w:val="00514B9B"/>
    <w:rsid w:val="005156E5"/>
    <w:rsid w:val="00515D52"/>
    <w:rsid w:val="00517C38"/>
    <w:rsid w:val="00517F02"/>
    <w:rsid w:val="00520F81"/>
    <w:rsid w:val="005210C0"/>
    <w:rsid w:val="005223CC"/>
    <w:rsid w:val="005230D0"/>
    <w:rsid w:val="005238D6"/>
    <w:rsid w:val="00524022"/>
    <w:rsid w:val="0052407F"/>
    <w:rsid w:val="00524303"/>
    <w:rsid w:val="005248CF"/>
    <w:rsid w:val="0052569D"/>
    <w:rsid w:val="005258A2"/>
    <w:rsid w:val="00526C08"/>
    <w:rsid w:val="005279F1"/>
    <w:rsid w:val="00527B5F"/>
    <w:rsid w:val="00527F43"/>
    <w:rsid w:val="0053069F"/>
    <w:rsid w:val="00530A51"/>
    <w:rsid w:val="005314F7"/>
    <w:rsid w:val="0053276A"/>
    <w:rsid w:val="005332E3"/>
    <w:rsid w:val="005338EA"/>
    <w:rsid w:val="00533B3D"/>
    <w:rsid w:val="00533B76"/>
    <w:rsid w:val="00534453"/>
    <w:rsid w:val="00534588"/>
    <w:rsid w:val="00536BF8"/>
    <w:rsid w:val="00537422"/>
    <w:rsid w:val="005401AE"/>
    <w:rsid w:val="00541492"/>
    <w:rsid w:val="00542185"/>
    <w:rsid w:val="0054225C"/>
    <w:rsid w:val="00542BBB"/>
    <w:rsid w:val="00542E07"/>
    <w:rsid w:val="00543AB8"/>
    <w:rsid w:val="00543DA8"/>
    <w:rsid w:val="00545424"/>
    <w:rsid w:val="005460A2"/>
    <w:rsid w:val="00551FFD"/>
    <w:rsid w:val="0055350B"/>
    <w:rsid w:val="0055368E"/>
    <w:rsid w:val="00553E51"/>
    <w:rsid w:val="00554A7B"/>
    <w:rsid w:val="00554BC3"/>
    <w:rsid w:val="005554C3"/>
    <w:rsid w:val="0055572C"/>
    <w:rsid w:val="005558C0"/>
    <w:rsid w:val="00557286"/>
    <w:rsid w:val="00560353"/>
    <w:rsid w:val="005603B7"/>
    <w:rsid w:val="0056059F"/>
    <w:rsid w:val="0056106A"/>
    <w:rsid w:val="00561946"/>
    <w:rsid w:val="0056333A"/>
    <w:rsid w:val="00563BEB"/>
    <w:rsid w:val="0056452D"/>
    <w:rsid w:val="00564814"/>
    <w:rsid w:val="00564FD7"/>
    <w:rsid w:val="005650F3"/>
    <w:rsid w:val="005672D3"/>
    <w:rsid w:val="00567574"/>
    <w:rsid w:val="00567C17"/>
    <w:rsid w:val="00570A50"/>
    <w:rsid w:val="00571118"/>
    <w:rsid w:val="005720AE"/>
    <w:rsid w:val="00572AF8"/>
    <w:rsid w:val="00572D0B"/>
    <w:rsid w:val="00572ED3"/>
    <w:rsid w:val="0057301A"/>
    <w:rsid w:val="00573825"/>
    <w:rsid w:val="00574D66"/>
    <w:rsid w:val="00574FD6"/>
    <w:rsid w:val="00575229"/>
    <w:rsid w:val="00575461"/>
    <w:rsid w:val="00575C90"/>
    <w:rsid w:val="005760B4"/>
    <w:rsid w:val="00576165"/>
    <w:rsid w:val="00576D5A"/>
    <w:rsid w:val="005817AF"/>
    <w:rsid w:val="005820FE"/>
    <w:rsid w:val="0058263C"/>
    <w:rsid w:val="00584932"/>
    <w:rsid w:val="0058495D"/>
    <w:rsid w:val="00584B86"/>
    <w:rsid w:val="005852C3"/>
    <w:rsid w:val="00585B4F"/>
    <w:rsid w:val="00586A42"/>
    <w:rsid w:val="00586AF9"/>
    <w:rsid w:val="00586DCA"/>
    <w:rsid w:val="00586E5B"/>
    <w:rsid w:val="00587D96"/>
    <w:rsid w:val="005900EE"/>
    <w:rsid w:val="0059089A"/>
    <w:rsid w:val="00590E13"/>
    <w:rsid w:val="00591372"/>
    <w:rsid w:val="005921E4"/>
    <w:rsid w:val="00593107"/>
    <w:rsid w:val="005937AE"/>
    <w:rsid w:val="00593E55"/>
    <w:rsid w:val="00594682"/>
    <w:rsid w:val="00594D77"/>
    <w:rsid w:val="005967ED"/>
    <w:rsid w:val="005969E4"/>
    <w:rsid w:val="0059777B"/>
    <w:rsid w:val="005977DE"/>
    <w:rsid w:val="00597834"/>
    <w:rsid w:val="00597A8C"/>
    <w:rsid w:val="00597B3E"/>
    <w:rsid w:val="005A04F8"/>
    <w:rsid w:val="005A06B7"/>
    <w:rsid w:val="005A1212"/>
    <w:rsid w:val="005A157B"/>
    <w:rsid w:val="005A1759"/>
    <w:rsid w:val="005A2258"/>
    <w:rsid w:val="005A2619"/>
    <w:rsid w:val="005A28C9"/>
    <w:rsid w:val="005A407B"/>
    <w:rsid w:val="005A43B4"/>
    <w:rsid w:val="005A5191"/>
    <w:rsid w:val="005A6355"/>
    <w:rsid w:val="005A64E2"/>
    <w:rsid w:val="005A67B5"/>
    <w:rsid w:val="005A68A7"/>
    <w:rsid w:val="005A752E"/>
    <w:rsid w:val="005A7575"/>
    <w:rsid w:val="005B0348"/>
    <w:rsid w:val="005B132B"/>
    <w:rsid w:val="005B1A40"/>
    <w:rsid w:val="005B1A9D"/>
    <w:rsid w:val="005B1F81"/>
    <w:rsid w:val="005B21A0"/>
    <w:rsid w:val="005B2711"/>
    <w:rsid w:val="005B2A34"/>
    <w:rsid w:val="005B35DE"/>
    <w:rsid w:val="005B4883"/>
    <w:rsid w:val="005B5561"/>
    <w:rsid w:val="005B56D9"/>
    <w:rsid w:val="005B5D8C"/>
    <w:rsid w:val="005B70A6"/>
    <w:rsid w:val="005B77DE"/>
    <w:rsid w:val="005C0024"/>
    <w:rsid w:val="005C0C5B"/>
    <w:rsid w:val="005C109B"/>
    <w:rsid w:val="005C15C4"/>
    <w:rsid w:val="005C2952"/>
    <w:rsid w:val="005C2E7E"/>
    <w:rsid w:val="005C4472"/>
    <w:rsid w:val="005C45F2"/>
    <w:rsid w:val="005C4779"/>
    <w:rsid w:val="005C4EA1"/>
    <w:rsid w:val="005C5054"/>
    <w:rsid w:val="005C568A"/>
    <w:rsid w:val="005C5BC3"/>
    <w:rsid w:val="005C70DF"/>
    <w:rsid w:val="005D0E76"/>
    <w:rsid w:val="005D1EB6"/>
    <w:rsid w:val="005D1F15"/>
    <w:rsid w:val="005D226B"/>
    <w:rsid w:val="005D2596"/>
    <w:rsid w:val="005D36AB"/>
    <w:rsid w:val="005D4117"/>
    <w:rsid w:val="005D52E7"/>
    <w:rsid w:val="005D6AED"/>
    <w:rsid w:val="005D7EAD"/>
    <w:rsid w:val="005E0DD7"/>
    <w:rsid w:val="005E12A0"/>
    <w:rsid w:val="005E1F48"/>
    <w:rsid w:val="005E24F8"/>
    <w:rsid w:val="005E25F3"/>
    <w:rsid w:val="005E2621"/>
    <w:rsid w:val="005E2EC2"/>
    <w:rsid w:val="005E36CB"/>
    <w:rsid w:val="005E3759"/>
    <w:rsid w:val="005E45C4"/>
    <w:rsid w:val="005E5C6E"/>
    <w:rsid w:val="005E6356"/>
    <w:rsid w:val="005E69B7"/>
    <w:rsid w:val="005E789C"/>
    <w:rsid w:val="005F060D"/>
    <w:rsid w:val="005F06A9"/>
    <w:rsid w:val="005F13E6"/>
    <w:rsid w:val="005F1CD2"/>
    <w:rsid w:val="005F1D6C"/>
    <w:rsid w:val="005F2EBF"/>
    <w:rsid w:val="005F386F"/>
    <w:rsid w:val="005F3B68"/>
    <w:rsid w:val="005F3E25"/>
    <w:rsid w:val="005F475B"/>
    <w:rsid w:val="005F4A4C"/>
    <w:rsid w:val="005F4AC6"/>
    <w:rsid w:val="005F4B24"/>
    <w:rsid w:val="005F4C2F"/>
    <w:rsid w:val="005F62C7"/>
    <w:rsid w:val="005F6796"/>
    <w:rsid w:val="005F6CCD"/>
    <w:rsid w:val="0060014F"/>
    <w:rsid w:val="006007B7"/>
    <w:rsid w:val="00600914"/>
    <w:rsid w:val="00601022"/>
    <w:rsid w:val="00603510"/>
    <w:rsid w:val="00603A1C"/>
    <w:rsid w:val="00604716"/>
    <w:rsid w:val="00604FB0"/>
    <w:rsid w:val="006051EF"/>
    <w:rsid w:val="0060539F"/>
    <w:rsid w:val="006101BB"/>
    <w:rsid w:val="006109DE"/>
    <w:rsid w:val="00610B74"/>
    <w:rsid w:val="00610F83"/>
    <w:rsid w:val="00610FAC"/>
    <w:rsid w:val="006116B3"/>
    <w:rsid w:val="00611B5A"/>
    <w:rsid w:val="00611FD5"/>
    <w:rsid w:val="006120CD"/>
    <w:rsid w:val="006126C4"/>
    <w:rsid w:val="00613143"/>
    <w:rsid w:val="006142C5"/>
    <w:rsid w:val="0061441C"/>
    <w:rsid w:val="00616747"/>
    <w:rsid w:val="00617CC3"/>
    <w:rsid w:val="00617DB5"/>
    <w:rsid w:val="00620427"/>
    <w:rsid w:val="00620CD5"/>
    <w:rsid w:val="006211D6"/>
    <w:rsid w:val="00621850"/>
    <w:rsid w:val="00621AC5"/>
    <w:rsid w:val="00622596"/>
    <w:rsid w:val="00622CC2"/>
    <w:rsid w:val="00622E7D"/>
    <w:rsid w:val="00625045"/>
    <w:rsid w:val="006253F5"/>
    <w:rsid w:val="00625A92"/>
    <w:rsid w:val="0062687B"/>
    <w:rsid w:val="00626FA5"/>
    <w:rsid w:val="00627800"/>
    <w:rsid w:val="00630320"/>
    <w:rsid w:val="0063077B"/>
    <w:rsid w:val="00630BA3"/>
    <w:rsid w:val="00630C6B"/>
    <w:rsid w:val="00630CD4"/>
    <w:rsid w:val="00631352"/>
    <w:rsid w:val="00631492"/>
    <w:rsid w:val="00633097"/>
    <w:rsid w:val="00633296"/>
    <w:rsid w:val="006334D9"/>
    <w:rsid w:val="00633EF8"/>
    <w:rsid w:val="00634B67"/>
    <w:rsid w:val="00635A8E"/>
    <w:rsid w:val="00635CA5"/>
    <w:rsid w:val="00635D6D"/>
    <w:rsid w:val="00635D97"/>
    <w:rsid w:val="00636453"/>
    <w:rsid w:val="00636FCE"/>
    <w:rsid w:val="006377A6"/>
    <w:rsid w:val="00637A3D"/>
    <w:rsid w:val="00637E5A"/>
    <w:rsid w:val="0064091F"/>
    <w:rsid w:val="006411EF"/>
    <w:rsid w:val="006436B3"/>
    <w:rsid w:val="00643F0A"/>
    <w:rsid w:val="00645939"/>
    <w:rsid w:val="00645D82"/>
    <w:rsid w:val="00645EC6"/>
    <w:rsid w:val="006460DA"/>
    <w:rsid w:val="006464CE"/>
    <w:rsid w:val="00647308"/>
    <w:rsid w:val="00650170"/>
    <w:rsid w:val="00650E08"/>
    <w:rsid w:val="0065103A"/>
    <w:rsid w:val="00651AFD"/>
    <w:rsid w:val="0065201A"/>
    <w:rsid w:val="0065232B"/>
    <w:rsid w:val="006526A8"/>
    <w:rsid w:val="006537EE"/>
    <w:rsid w:val="006542B7"/>
    <w:rsid w:val="006549A0"/>
    <w:rsid w:val="00655A2C"/>
    <w:rsid w:val="00657B72"/>
    <w:rsid w:val="00657FBD"/>
    <w:rsid w:val="00657FD2"/>
    <w:rsid w:val="0066081C"/>
    <w:rsid w:val="006610C4"/>
    <w:rsid w:val="00661AEC"/>
    <w:rsid w:val="00662CAE"/>
    <w:rsid w:val="006658CA"/>
    <w:rsid w:val="00665B75"/>
    <w:rsid w:val="00666702"/>
    <w:rsid w:val="006674BE"/>
    <w:rsid w:val="00670885"/>
    <w:rsid w:val="00670B94"/>
    <w:rsid w:val="00670CF0"/>
    <w:rsid w:val="00670E04"/>
    <w:rsid w:val="00671527"/>
    <w:rsid w:val="006746FA"/>
    <w:rsid w:val="006748B8"/>
    <w:rsid w:val="006759DB"/>
    <w:rsid w:val="00675A18"/>
    <w:rsid w:val="00675CB4"/>
    <w:rsid w:val="00676844"/>
    <w:rsid w:val="006775C3"/>
    <w:rsid w:val="00680A85"/>
    <w:rsid w:val="00680ECC"/>
    <w:rsid w:val="006812D2"/>
    <w:rsid w:val="00682036"/>
    <w:rsid w:val="006824E3"/>
    <w:rsid w:val="00682946"/>
    <w:rsid w:val="00683CBF"/>
    <w:rsid w:val="00684593"/>
    <w:rsid w:val="00684B32"/>
    <w:rsid w:val="00684E03"/>
    <w:rsid w:val="00685B89"/>
    <w:rsid w:val="0068608A"/>
    <w:rsid w:val="006874CD"/>
    <w:rsid w:val="0068758C"/>
    <w:rsid w:val="00687E8A"/>
    <w:rsid w:val="00690570"/>
    <w:rsid w:val="00690FDD"/>
    <w:rsid w:val="00692250"/>
    <w:rsid w:val="0069237E"/>
    <w:rsid w:val="006924EF"/>
    <w:rsid w:val="0069290A"/>
    <w:rsid w:val="00694524"/>
    <w:rsid w:val="00695755"/>
    <w:rsid w:val="00696233"/>
    <w:rsid w:val="00697230"/>
    <w:rsid w:val="0069775A"/>
    <w:rsid w:val="00697813"/>
    <w:rsid w:val="00697E51"/>
    <w:rsid w:val="006A00AD"/>
    <w:rsid w:val="006A0E4E"/>
    <w:rsid w:val="006A1459"/>
    <w:rsid w:val="006A1606"/>
    <w:rsid w:val="006A18E2"/>
    <w:rsid w:val="006A1D0B"/>
    <w:rsid w:val="006A2001"/>
    <w:rsid w:val="006A2390"/>
    <w:rsid w:val="006A2679"/>
    <w:rsid w:val="006A2B8A"/>
    <w:rsid w:val="006A359A"/>
    <w:rsid w:val="006A3B24"/>
    <w:rsid w:val="006A3C02"/>
    <w:rsid w:val="006A3EE8"/>
    <w:rsid w:val="006A3F0D"/>
    <w:rsid w:val="006A4C3F"/>
    <w:rsid w:val="006A546E"/>
    <w:rsid w:val="006A6FEA"/>
    <w:rsid w:val="006A72BF"/>
    <w:rsid w:val="006A7421"/>
    <w:rsid w:val="006A76E0"/>
    <w:rsid w:val="006A7733"/>
    <w:rsid w:val="006A7AD0"/>
    <w:rsid w:val="006A7CC8"/>
    <w:rsid w:val="006B00C7"/>
    <w:rsid w:val="006B035F"/>
    <w:rsid w:val="006B03F2"/>
    <w:rsid w:val="006B0796"/>
    <w:rsid w:val="006B15ED"/>
    <w:rsid w:val="006B37DC"/>
    <w:rsid w:val="006B4A45"/>
    <w:rsid w:val="006B4F68"/>
    <w:rsid w:val="006B592F"/>
    <w:rsid w:val="006B60E8"/>
    <w:rsid w:val="006B65ED"/>
    <w:rsid w:val="006B6D5A"/>
    <w:rsid w:val="006C0592"/>
    <w:rsid w:val="006C1073"/>
    <w:rsid w:val="006C1EBC"/>
    <w:rsid w:val="006C272E"/>
    <w:rsid w:val="006C4438"/>
    <w:rsid w:val="006C45CE"/>
    <w:rsid w:val="006C5479"/>
    <w:rsid w:val="006C5537"/>
    <w:rsid w:val="006C5A8C"/>
    <w:rsid w:val="006C610E"/>
    <w:rsid w:val="006C61E7"/>
    <w:rsid w:val="006D13B5"/>
    <w:rsid w:val="006D162D"/>
    <w:rsid w:val="006D174D"/>
    <w:rsid w:val="006D2A28"/>
    <w:rsid w:val="006D3520"/>
    <w:rsid w:val="006D4F74"/>
    <w:rsid w:val="006D5A8F"/>
    <w:rsid w:val="006D5B21"/>
    <w:rsid w:val="006D7FFD"/>
    <w:rsid w:val="006E0A0E"/>
    <w:rsid w:val="006E12FF"/>
    <w:rsid w:val="006E13C1"/>
    <w:rsid w:val="006E1ABC"/>
    <w:rsid w:val="006E3488"/>
    <w:rsid w:val="006E3755"/>
    <w:rsid w:val="006E3F16"/>
    <w:rsid w:val="006E423E"/>
    <w:rsid w:val="006E4D9B"/>
    <w:rsid w:val="006E5949"/>
    <w:rsid w:val="006E607E"/>
    <w:rsid w:val="006E6214"/>
    <w:rsid w:val="006E6F6B"/>
    <w:rsid w:val="006E7B8A"/>
    <w:rsid w:val="006F01C8"/>
    <w:rsid w:val="006F02D9"/>
    <w:rsid w:val="006F031B"/>
    <w:rsid w:val="006F0FE1"/>
    <w:rsid w:val="006F1312"/>
    <w:rsid w:val="006F1328"/>
    <w:rsid w:val="006F1A60"/>
    <w:rsid w:val="006F1BBD"/>
    <w:rsid w:val="006F2044"/>
    <w:rsid w:val="006F415E"/>
    <w:rsid w:val="006F4630"/>
    <w:rsid w:val="006F4778"/>
    <w:rsid w:val="006F509F"/>
    <w:rsid w:val="006F564F"/>
    <w:rsid w:val="006F5749"/>
    <w:rsid w:val="006F682C"/>
    <w:rsid w:val="006F7CFD"/>
    <w:rsid w:val="0070045C"/>
    <w:rsid w:val="0070057F"/>
    <w:rsid w:val="00700ED9"/>
    <w:rsid w:val="00703EDA"/>
    <w:rsid w:val="007068DA"/>
    <w:rsid w:val="00706C5D"/>
    <w:rsid w:val="007071EF"/>
    <w:rsid w:val="007072C6"/>
    <w:rsid w:val="00707D90"/>
    <w:rsid w:val="00707F7B"/>
    <w:rsid w:val="00711778"/>
    <w:rsid w:val="007127B9"/>
    <w:rsid w:val="00712AFB"/>
    <w:rsid w:val="00712E66"/>
    <w:rsid w:val="007135E5"/>
    <w:rsid w:val="007148C0"/>
    <w:rsid w:val="0071529D"/>
    <w:rsid w:val="00715569"/>
    <w:rsid w:val="00716DAE"/>
    <w:rsid w:val="00717500"/>
    <w:rsid w:val="00717C94"/>
    <w:rsid w:val="0072000F"/>
    <w:rsid w:val="00720273"/>
    <w:rsid w:val="00720984"/>
    <w:rsid w:val="007211D8"/>
    <w:rsid w:val="00721928"/>
    <w:rsid w:val="0072223D"/>
    <w:rsid w:val="007225A6"/>
    <w:rsid w:val="0072295B"/>
    <w:rsid w:val="00722ACE"/>
    <w:rsid w:val="00723723"/>
    <w:rsid w:val="00723DA6"/>
    <w:rsid w:val="00724097"/>
    <w:rsid w:val="007242AF"/>
    <w:rsid w:val="00724514"/>
    <w:rsid w:val="007246ED"/>
    <w:rsid w:val="007258A8"/>
    <w:rsid w:val="00725A6D"/>
    <w:rsid w:val="007269D1"/>
    <w:rsid w:val="00727A38"/>
    <w:rsid w:val="00731315"/>
    <w:rsid w:val="00731974"/>
    <w:rsid w:val="00732922"/>
    <w:rsid w:val="00733362"/>
    <w:rsid w:val="0073396B"/>
    <w:rsid w:val="00733B72"/>
    <w:rsid w:val="00733C82"/>
    <w:rsid w:val="00733E49"/>
    <w:rsid w:val="00733FF3"/>
    <w:rsid w:val="00734157"/>
    <w:rsid w:val="007343AF"/>
    <w:rsid w:val="00734E23"/>
    <w:rsid w:val="00735700"/>
    <w:rsid w:val="0073575B"/>
    <w:rsid w:val="00735DB8"/>
    <w:rsid w:val="0073614B"/>
    <w:rsid w:val="007370EB"/>
    <w:rsid w:val="007372D6"/>
    <w:rsid w:val="0073735E"/>
    <w:rsid w:val="007377BC"/>
    <w:rsid w:val="00740674"/>
    <w:rsid w:val="0074114D"/>
    <w:rsid w:val="007427B5"/>
    <w:rsid w:val="007427BF"/>
    <w:rsid w:val="00744621"/>
    <w:rsid w:val="0074485E"/>
    <w:rsid w:val="007453B3"/>
    <w:rsid w:val="00745C94"/>
    <w:rsid w:val="00745DAF"/>
    <w:rsid w:val="00746849"/>
    <w:rsid w:val="007469D7"/>
    <w:rsid w:val="00746B13"/>
    <w:rsid w:val="00746FFC"/>
    <w:rsid w:val="007476F3"/>
    <w:rsid w:val="00750ED8"/>
    <w:rsid w:val="0075143B"/>
    <w:rsid w:val="0075162E"/>
    <w:rsid w:val="00752DFC"/>
    <w:rsid w:val="00753C7E"/>
    <w:rsid w:val="00753DA7"/>
    <w:rsid w:val="00754034"/>
    <w:rsid w:val="00754C8F"/>
    <w:rsid w:val="00754E13"/>
    <w:rsid w:val="00755C48"/>
    <w:rsid w:val="007564A6"/>
    <w:rsid w:val="00756556"/>
    <w:rsid w:val="00756994"/>
    <w:rsid w:val="00756C43"/>
    <w:rsid w:val="007572A4"/>
    <w:rsid w:val="0075741A"/>
    <w:rsid w:val="00757A5E"/>
    <w:rsid w:val="00757C53"/>
    <w:rsid w:val="00760E54"/>
    <w:rsid w:val="00760F88"/>
    <w:rsid w:val="007618C4"/>
    <w:rsid w:val="00761A72"/>
    <w:rsid w:val="00761EAE"/>
    <w:rsid w:val="007622BB"/>
    <w:rsid w:val="0076274F"/>
    <w:rsid w:val="00762787"/>
    <w:rsid w:val="007630BD"/>
    <w:rsid w:val="007636AC"/>
    <w:rsid w:val="00764F93"/>
    <w:rsid w:val="00765ADD"/>
    <w:rsid w:val="00766D1D"/>
    <w:rsid w:val="00766D8F"/>
    <w:rsid w:val="00766EB5"/>
    <w:rsid w:val="00766FD6"/>
    <w:rsid w:val="00767980"/>
    <w:rsid w:val="007701AD"/>
    <w:rsid w:val="00770892"/>
    <w:rsid w:val="00770B19"/>
    <w:rsid w:val="00770EB3"/>
    <w:rsid w:val="007718A6"/>
    <w:rsid w:val="0077195D"/>
    <w:rsid w:val="0077212D"/>
    <w:rsid w:val="0077297B"/>
    <w:rsid w:val="007733A7"/>
    <w:rsid w:val="007734EE"/>
    <w:rsid w:val="00773C88"/>
    <w:rsid w:val="00773E7E"/>
    <w:rsid w:val="007744B8"/>
    <w:rsid w:val="00774603"/>
    <w:rsid w:val="0077463F"/>
    <w:rsid w:val="007749AF"/>
    <w:rsid w:val="00774AE1"/>
    <w:rsid w:val="00774AED"/>
    <w:rsid w:val="00774B0B"/>
    <w:rsid w:val="00775058"/>
    <w:rsid w:val="00775161"/>
    <w:rsid w:val="00775395"/>
    <w:rsid w:val="0077569D"/>
    <w:rsid w:val="0077624B"/>
    <w:rsid w:val="00776653"/>
    <w:rsid w:val="00777697"/>
    <w:rsid w:val="0077772B"/>
    <w:rsid w:val="0077794D"/>
    <w:rsid w:val="00780958"/>
    <w:rsid w:val="00781405"/>
    <w:rsid w:val="00781AFB"/>
    <w:rsid w:val="00782F9F"/>
    <w:rsid w:val="00783203"/>
    <w:rsid w:val="007836EA"/>
    <w:rsid w:val="00783AC9"/>
    <w:rsid w:val="00784CDA"/>
    <w:rsid w:val="00785848"/>
    <w:rsid w:val="00785AD2"/>
    <w:rsid w:val="00785CAF"/>
    <w:rsid w:val="007861A6"/>
    <w:rsid w:val="0078732B"/>
    <w:rsid w:val="0078742C"/>
    <w:rsid w:val="0078774C"/>
    <w:rsid w:val="00787FC6"/>
    <w:rsid w:val="007906C4"/>
    <w:rsid w:val="00790B19"/>
    <w:rsid w:val="00790D06"/>
    <w:rsid w:val="00791988"/>
    <w:rsid w:val="00791E1F"/>
    <w:rsid w:val="007928DB"/>
    <w:rsid w:val="0079298A"/>
    <w:rsid w:val="00792D65"/>
    <w:rsid w:val="00793F0F"/>
    <w:rsid w:val="007940EA"/>
    <w:rsid w:val="0079597C"/>
    <w:rsid w:val="007959A6"/>
    <w:rsid w:val="00796178"/>
    <w:rsid w:val="0079647B"/>
    <w:rsid w:val="007967E8"/>
    <w:rsid w:val="00797559"/>
    <w:rsid w:val="00797848"/>
    <w:rsid w:val="007A0D15"/>
    <w:rsid w:val="007A140D"/>
    <w:rsid w:val="007A19BF"/>
    <w:rsid w:val="007A2170"/>
    <w:rsid w:val="007A22BF"/>
    <w:rsid w:val="007A22FA"/>
    <w:rsid w:val="007A28FE"/>
    <w:rsid w:val="007A32F0"/>
    <w:rsid w:val="007A3323"/>
    <w:rsid w:val="007A39B9"/>
    <w:rsid w:val="007A4313"/>
    <w:rsid w:val="007A45F8"/>
    <w:rsid w:val="007A46BA"/>
    <w:rsid w:val="007A486D"/>
    <w:rsid w:val="007A4B20"/>
    <w:rsid w:val="007A4B2F"/>
    <w:rsid w:val="007A6C3B"/>
    <w:rsid w:val="007A7704"/>
    <w:rsid w:val="007A7B56"/>
    <w:rsid w:val="007B06D6"/>
    <w:rsid w:val="007B0716"/>
    <w:rsid w:val="007B073A"/>
    <w:rsid w:val="007B09BB"/>
    <w:rsid w:val="007B0C8A"/>
    <w:rsid w:val="007B16AD"/>
    <w:rsid w:val="007B22D4"/>
    <w:rsid w:val="007B3F10"/>
    <w:rsid w:val="007B4CB1"/>
    <w:rsid w:val="007B662E"/>
    <w:rsid w:val="007B683A"/>
    <w:rsid w:val="007B72B8"/>
    <w:rsid w:val="007B7A58"/>
    <w:rsid w:val="007B7F5B"/>
    <w:rsid w:val="007C0505"/>
    <w:rsid w:val="007C0A11"/>
    <w:rsid w:val="007C0E86"/>
    <w:rsid w:val="007C1771"/>
    <w:rsid w:val="007C197F"/>
    <w:rsid w:val="007C21B5"/>
    <w:rsid w:val="007C22A7"/>
    <w:rsid w:val="007C2DA6"/>
    <w:rsid w:val="007C3E76"/>
    <w:rsid w:val="007C47E9"/>
    <w:rsid w:val="007C49F7"/>
    <w:rsid w:val="007C53BA"/>
    <w:rsid w:val="007C5456"/>
    <w:rsid w:val="007C5AB5"/>
    <w:rsid w:val="007C5CEE"/>
    <w:rsid w:val="007C7EED"/>
    <w:rsid w:val="007D111E"/>
    <w:rsid w:val="007D2E6B"/>
    <w:rsid w:val="007D2F4C"/>
    <w:rsid w:val="007D317C"/>
    <w:rsid w:val="007D34E3"/>
    <w:rsid w:val="007D36BB"/>
    <w:rsid w:val="007D40F5"/>
    <w:rsid w:val="007D431A"/>
    <w:rsid w:val="007D4A97"/>
    <w:rsid w:val="007D4B70"/>
    <w:rsid w:val="007D5A7E"/>
    <w:rsid w:val="007D6CAF"/>
    <w:rsid w:val="007D7603"/>
    <w:rsid w:val="007D7876"/>
    <w:rsid w:val="007D78A7"/>
    <w:rsid w:val="007E27AB"/>
    <w:rsid w:val="007E3737"/>
    <w:rsid w:val="007E4256"/>
    <w:rsid w:val="007E4626"/>
    <w:rsid w:val="007E4B18"/>
    <w:rsid w:val="007E4BD2"/>
    <w:rsid w:val="007E52AC"/>
    <w:rsid w:val="007E549A"/>
    <w:rsid w:val="007E55FF"/>
    <w:rsid w:val="007E588B"/>
    <w:rsid w:val="007E5AD7"/>
    <w:rsid w:val="007E5DD3"/>
    <w:rsid w:val="007E608B"/>
    <w:rsid w:val="007E6BBF"/>
    <w:rsid w:val="007E6E78"/>
    <w:rsid w:val="007E76DA"/>
    <w:rsid w:val="007E7801"/>
    <w:rsid w:val="007E7BD2"/>
    <w:rsid w:val="007E7BE5"/>
    <w:rsid w:val="007E7C9A"/>
    <w:rsid w:val="007F0405"/>
    <w:rsid w:val="007F13FF"/>
    <w:rsid w:val="007F18BD"/>
    <w:rsid w:val="007F1A65"/>
    <w:rsid w:val="007F333E"/>
    <w:rsid w:val="007F386E"/>
    <w:rsid w:val="007F4599"/>
    <w:rsid w:val="007F4E19"/>
    <w:rsid w:val="007F5AC3"/>
    <w:rsid w:val="007F5ED1"/>
    <w:rsid w:val="007F6B69"/>
    <w:rsid w:val="007F77EA"/>
    <w:rsid w:val="007F7B57"/>
    <w:rsid w:val="007F7BCD"/>
    <w:rsid w:val="007F7CCA"/>
    <w:rsid w:val="008003FC"/>
    <w:rsid w:val="00801064"/>
    <w:rsid w:val="00801393"/>
    <w:rsid w:val="0080247C"/>
    <w:rsid w:val="00802F88"/>
    <w:rsid w:val="0080430C"/>
    <w:rsid w:val="008046CC"/>
    <w:rsid w:val="00805569"/>
    <w:rsid w:val="00806B35"/>
    <w:rsid w:val="008073D9"/>
    <w:rsid w:val="008073E2"/>
    <w:rsid w:val="0081234D"/>
    <w:rsid w:val="0081293E"/>
    <w:rsid w:val="00815465"/>
    <w:rsid w:val="0081593F"/>
    <w:rsid w:val="00816555"/>
    <w:rsid w:val="00816561"/>
    <w:rsid w:val="00816613"/>
    <w:rsid w:val="00816EF5"/>
    <w:rsid w:val="00817D79"/>
    <w:rsid w:val="00817E9A"/>
    <w:rsid w:val="00817ECE"/>
    <w:rsid w:val="008204E4"/>
    <w:rsid w:val="0082081B"/>
    <w:rsid w:val="00820C07"/>
    <w:rsid w:val="00820D4D"/>
    <w:rsid w:val="00820D57"/>
    <w:rsid w:val="00821145"/>
    <w:rsid w:val="00821291"/>
    <w:rsid w:val="0082224F"/>
    <w:rsid w:val="008229CD"/>
    <w:rsid w:val="00822AD2"/>
    <w:rsid w:val="008235F4"/>
    <w:rsid w:val="0082366C"/>
    <w:rsid w:val="00824305"/>
    <w:rsid w:val="0082672E"/>
    <w:rsid w:val="00826CAB"/>
    <w:rsid w:val="00826E64"/>
    <w:rsid w:val="00827B6C"/>
    <w:rsid w:val="008306BD"/>
    <w:rsid w:val="00830AB4"/>
    <w:rsid w:val="00831A80"/>
    <w:rsid w:val="00832809"/>
    <w:rsid w:val="0083300C"/>
    <w:rsid w:val="008330D1"/>
    <w:rsid w:val="00833192"/>
    <w:rsid w:val="00833743"/>
    <w:rsid w:val="00833FBE"/>
    <w:rsid w:val="0083406D"/>
    <w:rsid w:val="008340A4"/>
    <w:rsid w:val="00834F7E"/>
    <w:rsid w:val="00835B17"/>
    <w:rsid w:val="00835CC1"/>
    <w:rsid w:val="00835D1A"/>
    <w:rsid w:val="00836098"/>
    <w:rsid w:val="00836684"/>
    <w:rsid w:val="00841D80"/>
    <w:rsid w:val="00844807"/>
    <w:rsid w:val="00844C1A"/>
    <w:rsid w:val="008464A4"/>
    <w:rsid w:val="00847175"/>
    <w:rsid w:val="0085023D"/>
    <w:rsid w:val="008503E5"/>
    <w:rsid w:val="00850460"/>
    <w:rsid w:val="00850A53"/>
    <w:rsid w:val="008525A1"/>
    <w:rsid w:val="0085446A"/>
    <w:rsid w:val="00854665"/>
    <w:rsid w:val="00854F07"/>
    <w:rsid w:val="0085555C"/>
    <w:rsid w:val="008558B6"/>
    <w:rsid w:val="00855CFF"/>
    <w:rsid w:val="00855E0D"/>
    <w:rsid w:val="0085788C"/>
    <w:rsid w:val="00860B60"/>
    <w:rsid w:val="00861D2A"/>
    <w:rsid w:val="00861E5E"/>
    <w:rsid w:val="00862AA5"/>
    <w:rsid w:val="00862CC3"/>
    <w:rsid w:val="00863458"/>
    <w:rsid w:val="00863733"/>
    <w:rsid w:val="008644AA"/>
    <w:rsid w:val="00864BAD"/>
    <w:rsid w:val="0086597A"/>
    <w:rsid w:val="00865B4E"/>
    <w:rsid w:val="0086645B"/>
    <w:rsid w:val="00867A87"/>
    <w:rsid w:val="00871161"/>
    <w:rsid w:val="0087135F"/>
    <w:rsid w:val="008719E0"/>
    <w:rsid w:val="008719ED"/>
    <w:rsid w:val="00871D73"/>
    <w:rsid w:val="00872ACA"/>
    <w:rsid w:val="00872D94"/>
    <w:rsid w:val="00873D43"/>
    <w:rsid w:val="00875104"/>
    <w:rsid w:val="00875112"/>
    <w:rsid w:val="00875A8C"/>
    <w:rsid w:val="008761CE"/>
    <w:rsid w:val="0088012C"/>
    <w:rsid w:val="008802FE"/>
    <w:rsid w:val="00880364"/>
    <w:rsid w:val="00880886"/>
    <w:rsid w:val="00881A50"/>
    <w:rsid w:val="00882298"/>
    <w:rsid w:val="0088258B"/>
    <w:rsid w:val="00882E95"/>
    <w:rsid w:val="00883ADE"/>
    <w:rsid w:val="00884E1B"/>
    <w:rsid w:val="00885224"/>
    <w:rsid w:val="00885564"/>
    <w:rsid w:val="00887802"/>
    <w:rsid w:val="008879B8"/>
    <w:rsid w:val="00887D34"/>
    <w:rsid w:val="00890454"/>
    <w:rsid w:val="00890F8E"/>
    <w:rsid w:val="00890FEA"/>
    <w:rsid w:val="00891592"/>
    <w:rsid w:val="00891C5E"/>
    <w:rsid w:val="00891E9E"/>
    <w:rsid w:val="00892C94"/>
    <w:rsid w:val="00892FA8"/>
    <w:rsid w:val="008941C3"/>
    <w:rsid w:val="0089515C"/>
    <w:rsid w:val="00895717"/>
    <w:rsid w:val="00895B63"/>
    <w:rsid w:val="00895CD8"/>
    <w:rsid w:val="0089627B"/>
    <w:rsid w:val="00896D8B"/>
    <w:rsid w:val="00897079"/>
    <w:rsid w:val="0089736E"/>
    <w:rsid w:val="00897640"/>
    <w:rsid w:val="00897CBA"/>
    <w:rsid w:val="008A26F9"/>
    <w:rsid w:val="008A2F68"/>
    <w:rsid w:val="008A3289"/>
    <w:rsid w:val="008A3427"/>
    <w:rsid w:val="008A37C4"/>
    <w:rsid w:val="008A5DC8"/>
    <w:rsid w:val="008A6C03"/>
    <w:rsid w:val="008B0F97"/>
    <w:rsid w:val="008B1A78"/>
    <w:rsid w:val="008B1E37"/>
    <w:rsid w:val="008B1F3B"/>
    <w:rsid w:val="008B227B"/>
    <w:rsid w:val="008B2B5D"/>
    <w:rsid w:val="008B387A"/>
    <w:rsid w:val="008B4FA6"/>
    <w:rsid w:val="008B5282"/>
    <w:rsid w:val="008B5708"/>
    <w:rsid w:val="008B5815"/>
    <w:rsid w:val="008B6BB7"/>
    <w:rsid w:val="008B7419"/>
    <w:rsid w:val="008B7C17"/>
    <w:rsid w:val="008C0597"/>
    <w:rsid w:val="008C09F4"/>
    <w:rsid w:val="008C1603"/>
    <w:rsid w:val="008C2298"/>
    <w:rsid w:val="008C2537"/>
    <w:rsid w:val="008C2D01"/>
    <w:rsid w:val="008C3673"/>
    <w:rsid w:val="008C3D47"/>
    <w:rsid w:val="008C40E6"/>
    <w:rsid w:val="008C512A"/>
    <w:rsid w:val="008C5ACF"/>
    <w:rsid w:val="008C64BC"/>
    <w:rsid w:val="008C760B"/>
    <w:rsid w:val="008D0182"/>
    <w:rsid w:val="008D04AB"/>
    <w:rsid w:val="008D0794"/>
    <w:rsid w:val="008D09CA"/>
    <w:rsid w:val="008D0F7A"/>
    <w:rsid w:val="008D1F01"/>
    <w:rsid w:val="008D2651"/>
    <w:rsid w:val="008D2DDC"/>
    <w:rsid w:val="008D38C3"/>
    <w:rsid w:val="008D3F32"/>
    <w:rsid w:val="008D40DC"/>
    <w:rsid w:val="008D5202"/>
    <w:rsid w:val="008D5422"/>
    <w:rsid w:val="008D6187"/>
    <w:rsid w:val="008D68E4"/>
    <w:rsid w:val="008D6B35"/>
    <w:rsid w:val="008D729C"/>
    <w:rsid w:val="008E0506"/>
    <w:rsid w:val="008E0CFF"/>
    <w:rsid w:val="008E1797"/>
    <w:rsid w:val="008E17CC"/>
    <w:rsid w:val="008E1DFC"/>
    <w:rsid w:val="008E2455"/>
    <w:rsid w:val="008E2D0F"/>
    <w:rsid w:val="008E4188"/>
    <w:rsid w:val="008E4CEF"/>
    <w:rsid w:val="008E5D6B"/>
    <w:rsid w:val="008E76F0"/>
    <w:rsid w:val="008E7871"/>
    <w:rsid w:val="008E7A9E"/>
    <w:rsid w:val="008F0E05"/>
    <w:rsid w:val="008F1076"/>
    <w:rsid w:val="008F15FE"/>
    <w:rsid w:val="008F2076"/>
    <w:rsid w:val="008F29BB"/>
    <w:rsid w:val="008F2D29"/>
    <w:rsid w:val="008F3114"/>
    <w:rsid w:val="008F328E"/>
    <w:rsid w:val="008F36A8"/>
    <w:rsid w:val="008F3C3D"/>
    <w:rsid w:val="008F409C"/>
    <w:rsid w:val="008F4A1E"/>
    <w:rsid w:val="008F5187"/>
    <w:rsid w:val="008F60D8"/>
    <w:rsid w:val="008F6B3D"/>
    <w:rsid w:val="008F6B7B"/>
    <w:rsid w:val="008F6D64"/>
    <w:rsid w:val="008F6D74"/>
    <w:rsid w:val="008F7B69"/>
    <w:rsid w:val="0090188C"/>
    <w:rsid w:val="009019B3"/>
    <w:rsid w:val="00901AD4"/>
    <w:rsid w:val="009020A9"/>
    <w:rsid w:val="00902727"/>
    <w:rsid w:val="0090290C"/>
    <w:rsid w:val="0090312B"/>
    <w:rsid w:val="00904682"/>
    <w:rsid w:val="00906579"/>
    <w:rsid w:val="00906CD3"/>
    <w:rsid w:val="00906F9A"/>
    <w:rsid w:val="0090745E"/>
    <w:rsid w:val="00910F52"/>
    <w:rsid w:val="00911695"/>
    <w:rsid w:val="009116D9"/>
    <w:rsid w:val="00911BD3"/>
    <w:rsid w:val="00912254"/>
    <w:rsid w:val="00912976"/>
    <w:rsid w:val="00912A93"/>
    <w:rsid w:val="0091314B"/>
    <w:rsid w:val="00914D97"/>
    <w:rsid w:val="00914FA2"/>
    <w:rsid w:val="00915310"/>
    <w:rsid w:val="00915619"/>
    <w:rsid w:val="00916772"/>
    <w:rsid w:val="00916A1F"/>
    <w:rsid w:val="0091736D"/>
    <w:rsid w:val="00917A40"/>
    <w:rsid w:val="00917A80"/>
    <w:rsid w:val="0092025E"/>
    <w:rsid w:val="00920F80"/>
    <w:rsid w:val="00922F22"/>
    <w:rsid w:val="00923326"/>
    <w:rsid w:val="00923480"/>
    <w:rsid w:val="00923B1D"/>
    <w:rsid w:val="009242DD"/>
    <w:rsid w:val="00924BBA"/>
    <w:rsid w:val="00925D7E"/>
    <w:rsid w:val="00925DDC"/>
    <w:rsid w:val="009260E0"/>
    <w:rsid w:val="00926A69"/>
    <w:rsid w:val="00926A8C"/>
    <w:rsid w:val="00927D8A"/>
    <w:rsid w:val="00930174"/>
    <w:rsid w:val="0093037A"/>
    <w:rsid w:val="009316AA"/>
    <w:rsid w:val="009318C6"/>
    <w:rsid w:val="009322D1"/>
    <w:rsid w:val="00934491"/>
    <w:rsid w:val="009351DC"/>
    <w:rsid w:val="00936BF1"/>
    <w:rsid w:val="00940F2D"/>
    <w:rsid w:val="0094154D"/>
    <w:rsid w:val="00941C52"/>
    <w:rsid w:val="00941E52"/>
    <w:rsid w:val="009422FD"/>
    <w:rsid w:val="00942E60"/>
    <w:rsid w:val="00942E66"/>
    <w:rsid w:val="00944521"/>
    <w:rsid w:val="009445E3"/>
    <w:rsid w:val="00944730"/>
    <w:rsid w:val="00944E0C"/>
    <w:rsid w:val="0094600E"/>
    <w:rsid w:val="009478DE"/>
    <w:rsid w:val="00950E76"/>
    <w:rsid w:val="009511AB"/>
    <w:rsid w:val="0095155F"/>
    <w:rsid w:val="009515FC"/>
    <w:rsid w:val="0095205D"/>
    <w:rsid w:val="00952CF0"/>
    <w:rsid w:val="00952D29"/>
    <w:rsid w:val="00953A2A"/>
    <w:rsid w:val="00953E1C"/>
    <w:rsid w:val="00953F8E"/>
    <w:rsid w:val="00954429"/>
    <w:rsid w:val="00954688"/>
    <w:rsid w:val="00955196"/>
    <w:rsid w:val="00955FA1"/>
    <w:rsid w:val="009563CE"/>
    <w:rsid w:val="0095662B"/>
    <w:rsid w:val="00956902"/>
    <w:rsid w:val="009619ED"/>
    <w:rsid w:val="00962265"/>
    <w:rsid w:val="00962773"/>
    <w:rsid w:val="00962A88"/>
    <w:rsid w:val="0096402D"/>
    <w:rsid w:val="00964AF8"/>
    <w:rsid w:val="00965946"/>
    <w:rsid w:val="00965C96"/>
    <w:rsid w:val="00966FE4"/>
    <w:rsid w:val="00967B20"/>
    <w:rsid w:val="00967EE6"/>
    <w:rsid w:val="009702E6"/>
    <w:rsid w:val="00970834"/>
    <w:rsid w:val="009710D8"/>
    <w:rsid w:val="0097370E"/>
    <w:rsid w:val="00974EDD"/>
    <w:rsid w:val="0097522C"/>
    <w:rsid w:val="0097544D"/>
    <w:rsid w:val="009759C9"/>
    <w:rsid w:val="00976328"/>
    <w:rsid w:val="0097680D"/>
    <w:rsid w:val="00976AFB"/>
    <w:rsid w:val="00977F9F"/>
    <w:rsid w:val="00981A04"/>
    <w:rsid w:val="00982344"/>
    <w:rsid w:val="00982438"/>
    <w:rsid w:val="00982D7E"/>
    <w:rsid w:val="0098404C"/>
    <w:rsid w:val="009841AF"/>
    <w:rsid w:val="0098449B"/>
    <w:rsid w:val="009848DD"/>
    <w:rsid w:val="00984BC1"/>
    <w:rsid w:val="00985283"/>
    <w:rsid w:val="00985C66"/>
    <w:rsid w:val="0099232E"/>
    <w:rsid w:val="00992EC8"/>
    <w:rsid w:val="009942D9"/>
    <w:rsid w:val="0099458C"/>
    <w:rsid w:val="0099481D"/>
    <w:rsid w:val="00994BC2"/>
    <w:rsid w:val="00994E8D"/>
    <w:rsid w:val="00995992"/>
    <w:rsid w:val="00996023"/>
    <w:rsid w:val="0099728D"/>
    <w:rsid w:val="009A03E5"/>
    <w:rsid w:val="009A0512"/>
    <w:rsid w:val="009A0F3B"/>
    <w:rsid w:val="009A0FF1"/>
    <w:rsid w:val="009A11DE"/>
    <w:rsid w:val="009A1BB4"/>
    <w:rsid w:val="009A1C7B"/>
    <w:rsid w:val="009A2154"/>
    <w:rsid w:val="009A2328"/>
    <w:rsid w:val="009A2628"/>
    <w:rsid w:val="009A310F"/>
    <w:rsid w:val="009A3200"/>
    <w:rsid w:val="009A38B5"/>
    <w:rsid w:val="009A38CE"/>
    <w:rsid w:val="009A46E7"/>
    <w:rsid w:val="009A5498"/>
    <w:rsid w:val="009A5931"/>
    <w:rsid w:val="009A7063"/>
    <w:rsid w:val="009A7A09"/>
    <w:rsid w:val="009A7DEB"/>
    <w:rsid w:val="009B0201"/>
    <w:rsid w:val="009B02CF"/>
    <w:rsid w:val="009B033B"/>
    <w:rsid w:val="009B041B"/>
    <w:rsid w:val="009B0897"/>
    <w:rsid w:val="009B136E"/>
    <w:rsid w:val="009B1503"/>
    <w:rsid w:val="009B2194"/>
    <w:rsid w:val="009B52C4"/>
    <w:rsid w:val="009B59D2"/>
    <w:rsid w:val="009B636C"/>
    <w:rsid w:val="009B7BD9"/>
    <w:rsid w:val="009C0C0F"/>
    <w:rsid w:val="009C17E1"/>
    <w:rsid w:val="009C1C4B"/>
    <w:rsid w:val="009C2D69"/>
    <w:rsid w:val="009C3FB6"/>
    <w:rsid w:val="009C3FE9"/>
    <w:rsid w:val="009C44EA"/>
    <w:rsid w:val="009C450C"/>
    <w:rsid w:val="009C485A"/>
    <w:rsid w:val="009C4B3B"/>
    <w:rsid w:val="009C5472"/>
    <w:rsid w:val="009C5E01"/>
    <w:rsid w:val="009C60D8"/>
    <w:rsid w:val="009C6569"/>
    <w:rsid w:val="009C6A5C"/>
    <w:rsid w:val="009C70CE"/>
    <w:rsid w:val="009C756A"/>
    <w:rsid w:val="009C7DD5"/>
    <w:rsid w:val="009D08AB"/>
    <w:rsid w:val="009D0DE1"/>
    <w:rsid w:val="009D12C6"/>
    <w:rsid w:val="009D357B"/>
    <w:rsid w:val="009D3601"/>
    <w:rsid w:val="009D3850"/>
    <w:rsid w:val="009D3863"/>
    <w:rsid w:val="009D3AB7"/>
    <w:rsid w:val="009D425B"/>
    <w:rsid w:val="009D4352"/>
    <w:rsid w:val="009D5B7E"/>
    <w:rsid w:val="009D6104"/>
    <w:rsid w:val="009D7305"/>
    <w:rsid w:val="009D789C"/>
    <w:rsid w:val="009D7FEE"/>
    <w:rsid w:val="009E01DD"/>
    <w:rsid w:val="009E067C"/>
    <w:rsid w:val="009E06B6"/>
    <w:rsid w:val="009E227D"/>
    <w:rsid w:val="009E2B55"/>
    <w:rsid w:val="009E3996"/>
    <w:rsid w:val="009E3C5E"/>
    <w:rsid w:val="009E406F"/>
    <w:rsid w:val="009E43EE"/>
    <w:rsid w:val="009E48B1"/>
    <w:rsid w:val="009E4EB7"/>
    <w:rsid w:val="009E5019"/>
    <w:rsid w:val="009E5A52"/>
    <w:rsid w:val="009E6C10"/>
    <w:rsid w:val="009E7133"/>
    <w:rsid w:val="009E7183"/>
    <w:rsid w:val="009E767B"/>
    <w:rsid w:val="009F046A"/>
    <w:rsid w:val="009F1434"/>
    <w:rsid w:val="009F2F7C"/>
    <w:rsid w:val="009F30BC"/>
    <w:rsid w:val="009F4519"/>
    <w:rsid w:val="009F4C52"/>
    <w:rsid w:val="009F5193"/>
    <w:rsid w:val="009F61CB"/>
    <w:rsid w:val="009F667F"/>
    <w:rsid w:val="009F6A76"/>
    <w:rsid w:val="009F7279"/>
    <w:rsid w:val="009F7DF1"/>
    <w:rsid w:val="00A01923"/>
    <w:rsid w:val="00A01EE9"/>
    <w:rsid w:val="00A02407"/>
    <w:rsid w:val="00A03F1B"/>
    <w:rsid w:val="00A04F1B"/>
    <w:rsid w:val="00A0501B"/>
    <w:rsid w:val="00A0506B"/>
    <w:rsid w:val="00A05D5F"/>
    <w:rsid w:val="00A079F2"/>
    <w:rsid w:val="00A07C41"/>
    <w:rsid w:val="00A07DE3"/>
    <w:rsid w:val="00A11C17"/>
    <w:rsid w:val="00A14947"/>
    <w:rsid w:val="00A150CE"/>
    <w:rsid w:val="00A158E0"/>
    <w:rsid w:val="00A15914"/>
    <w:rsid w:val="00A15B79"/>
    <w:rsid w:val="00A15B9E"/>
    <w:rsid w:val="00A160AB"/>
    <w:rsid w:val="00A16590"/>
    <w:rsid w:val="00A16609"/>
    <w:rsid w:val="00A16CF7"/>
    <w:rsid w:val="00A17171"/>
    <w:rsid w:val="00A17423"/>
    <w:rsid w:val="00A2105F"/>
    <w:rsid w:val="00A214D5"/>
    <w:rsid w:val="00A2155E"/>
    <w:rsid w:val="00A21571"/>
    <w:rsid w:val="00A21D30"/>
    <w:rsid w:val="00A23947"/>
    <w:rsid w:val="00A242F2"/>
    <w:rsid w:val="00A2505C"/>
    <w:rsid w:val="00A25847"/>
    <w:rsid w:val="00A265C2"/>
    <w:rsid w:val="00A27FBF"/>
    <w:rsid w:val="00A30F8E"/>
    <w:rsid w:val="00A31588"/>
    <w:rsid w:val="00A326EA"/>
    <w:rsid w:val="00A327FC"/>
    <w:rsid w:val="00A32A83"/>
    <w:rsid w:val="00A335B0"/>
    <w:rsid w:val="00A34AF6"/>
    <w:rsid w:val="00A34C93"/>
    <w:rsid w:val="00A350F7"/>
    <w:rsid w:val="00A35582"/>
    <w:rsid w:val="00A3581D"/>
    <w:rsid w:val="00A35C70"/>
    <w:rsid w:val="00A35DF8"/>
    <w:rsid w:val="00A360C2"/>
    <w:rsid w:val="00A364ED"/>
    <w:rsid w:val="00A368DB"/>
    <w:rsid w:val="00A36DD4"/>
    <w:rsid w:val="00A36F1B"/>
    <w:rsid w:val="00A404F8"/>
    <w:rsid w:val="00A410E4"/>
    <w:rsid w:val="00A423AA"/>
    <w:rsid w:val="00A426BD"/>
    <w:rsid w:val="00A428EE"/>
    <w:rsid w:val="00A42B45"/>
    <w:rsid w:val="00A42D64"/>
    <w:rsid w:val="00A43BE2"/>
    <w:rsid w:val="00A47C03"/>
    <w:rsid w:val="00A5040D"/>
    <w:rsid w:val="00A51B49"/>
    <w:rsid w:val="00A51E1C"/>
    <w:rsid w:val="00A52449"/>
    <w:rsid w:val="00A526D6"/>
    <w:rsid w:val="00A530BC"/>
    <w:rsid w:val="00A5349F"/>
    <w:rsid w:val="00A53EC6"/>
    <w:rsid w:val="00A53FB8"/>
    <w:rsid w:val="00A54D2A"/>
    <w:rsid w:val="00A5592B"/>
    <w:rsid w:val="00A55AEE"/>
    <w:rsid w:val="00A55C0F"/>
    <w:rsid w:val="00A5666D"/>
    <w:rsid w:val="00A56896"/>
    <w:rsid w:val="00A60231"/>
    <w:rsid w:val="00A6050E"/>
    <w:rsid w:val="00A632F0"/>
    <w:rsid w:val="00A66776"/>
    <w:rsid w:val="00A67037"/>
    <w:rsid w:val="00A709A9"/>
    <w:rsid w:val="00A70CA4"/>
    <w:rsid w:val="00A71332"/>
    <w:rsid w:val="00A72943"/>
    <w:rsid w:val="00A73404"/>
    <w:rsid w:val="00A74C9E"/>
    <w:rsid w:val="00A74F15"/>
    <w:rsid w:val="00A75155"/>
    <w:rsid w:val="00A7605F"/>
    <w:rsid w:val="00A76C9B"/>
    <w:rsid w:val="00A7769A"/>
    <w:rsid w:val="00A77743"/>
    <w:rsid w:val="00A779CB"/>
    <w:rsid w:val="00A806B7"/>
    <w:rsid w:val="00A8080D"/>
    <w:rsid w:val="00A80F4A"/>
    <w:rsid w:val="00A827D2"/>
    <w:rsid w:val="00A82867"/>
    <w:rsid w:val="00A82A87"/>
    <w:rsid w:val="00A82BAC"/>
    <w:rsid w:val="00A83A32"/>
    <w:rsid w:val="00A83ADD"/>
    <w:rsid w:val="00A844D3"/>
    <w:rsid w:val="00A852A0"/>
    <w:rsid w:val="00A8688E"/>
    <w:rsid w:val="00A8713F"/>
    <w:rsid w:val="00A907FA"/>
    <w:rsid w:val="00A90AED"/>
    <w:rsid w:val="00A90BA1"/>
    <w:rsid w:val="00A90D5C"/>
    <w:rsid w:val="00A917CE"/>
    <w:rsid w:val="00A918F3"/>
    <w:rsid w:val="00A929D5"/>
    <w:rsid w:val="00A937E3"/>
    <w:rsid w:val="00A9391C"/>
    <w:rsid w:val="00A93A02"/>
    <w:rsid w:val="00A94A5D"/>
    <w:rsid w:val="00A94FB0"/>
    <w:rsid w:val="00A954AB"/>
    <w:rsid w:val="00A96059"/>
    <w:rsid w:val="00A96289"/>
    <w:rsid w:val="00A962A7"/>
    <w:rsid w:val="00A9666A"/>
    <w:rsid w:val="00A96794"/>
    <w:rsid w:val="00A96CD8"/>
    <w:rsid w:val="00A979B7"/>
    <w:rsid w:val="00A97A9A"/>
    <w:rsid w:val="00AA0671"/>
    <w:rsid w:val="00AA0B61"/>
    <w:rsid w:val="00AA115A"/>
    <w:rsid w:val="00AA1412"/>
    <w:rsid w:val="00AA18DB"/>
    <w:rsid w:val="00AA2060"/>
    <w:rsid w:val="00AA2531"/>
    <w:rsid w:val="00AA26E0"/>
    <w:rsid w:val="00AA2E20"/>
    <w:rsid w:val="00AA321C"/>
    <w:rsid w:val="00AA49BB"/>
    <w:rsid w:val="00AA544F"/>
    <w:rsid w:val="00AA6A09"/>
    <w:rsid w:val="00AA7527"/>
    <w:rsid w:val="00AA79CD"/>
    <w:rsid w:val="00AB00C1"/>
    <w:rsid w:val="00AB130B"/>
    <w:rsid w:val="00AB1C62"/>
    <w:rsid w:val="00AB1E09"/>
    <w:rsid w:val="00AB2B13"/>
    <w:rsid w:val="00AB2BEF"/>
    <w:rsid w:val="00AB30B0"/>
    <w:rsid w:val="00AB332C"/>
    <w:rsid w:val="00AB3DFE"/>
    <w:rsid w:val="00AB4440"/>
    <w:rsid w:val="00AB4475"/>
    <w:rsid w:val="00AB458A"/>
    <w:rsid w:val="00AB4933"/>
    <w:rsid w:val="00AB4BAA"/>
    <w:rsid w:val="00AB4C38"/>
    <w:rsid w:val="00AB52DB"/>
    <w:rsid w:val="00AB5330"/>
    <w:rsid w:val="00AB5F00"/>
    <w:rsid w:val="00AB617A"/>
    <w:rsid w:val="00AB6354"/>
    <w:rsid w:val="00AB6B15"/>
    <w:rsid w:val="00AB6BA5"/>
    <w:rsid w:val="00AB6E39"/>
    <w:rsid w:val="00AB7747"/>
    <w:rsid w:val="00AB7CB8"/>
    <w:rsid w:val="00AC01D7"/>
    <w:rsid w:val="00AC03E2"/>
    <w:rsid w:val="00AC14CE"/>
    <w:rsid w:val="00AC17CA"/>
    <w:rsid w:val="00AC1F9F"/>
    <w:rsid w:val="00AC2A56"/>
    <w:rsid w:val="00AC2C2D"/>
    <w:rsid w:val="00AC38E7"/>
    <w:rsid w:val="00AC3BB5"/>
    <w:rsid w:val="00AC4EFD"/>
    <w:rsid w:val="00AC75E9"/>
    <w:rsid w:val="00AD055E"/>
    <w:rsid w:val="00AD0D03"/>
    <w:rsid w:val="00AD1182"/>
    <w:rsid w:val="00AD1347"/>
    <w:rsid w:val="00AD3C78"/>
    <w:rsid w:val="00AD42C5"/>
    <w:rsid w:val="00AD4763"/>
    <w:rsid w:val="00AD47A7"/>
    <w:rsid w:val="00AD4F66"/>
    <w:rsid w:val="00AD5409"/>
    <w:rsid w:val="00AD5628"/>
    <w:rsid w:val="00AD640A"/>
    <w:rsid w:val="00AD703A"/>
    <w:rsid w:val="00AD7CE1"/>
    <w:rsid w:val="00AE0344"/>
    <w:rsid w:val="00AE1746"/>
    <w:rsid w:val="00AE1F0C"/>
    <w:rsid w:val="00AE3A84"/>
    <w:rsid w:val="00AE3B95"/>
    <w:rsid w:val="00AE3F15"/>
    <w:rsid w:val="00AE46B9"/>
    <w:rsid w:val="00AE4809"/>
    <w:rsid w:val="00AE4C19"/>
    <w:rsid w:val="00AE561D"/>
    <w:rsid w:val="00AE5B8B"/>
    <w:rsid w:val="00AE76AA"/>
    <w:rsid w:val="00AE7FF1"/>
    <w:rsid w:val="00AF086A"/>
    <w:rsid w:val="00AF0CBF"/>
    <w:rsid w:val="00AF257F"/>
    <w:rsid w:val="00AF3095"/>
    <w:rsid w:val="00AF30A1"/>
    <w:rsid w:val="00AF33CF"/>
    <w:rsid w:val="00AF36DA"/>
    <w:rsid w:val="00AF375B"/>
    <w:rsid w:val="00AF3A80"/>
    <w:rsid w:val="00AF48D5"/>
    <w:rsid w:val="00AF4D50"/>
    <w:rsid w:val="00AF56E8"/>
    <w:rsid w:val="00AF6179"/>
    <w:rsid w:val="00AF632C"/>
    <w:rsid w:val="00AF652A"/>
    <w:rsid w:val="00AF6B32"/>
    <w:rsid w:val="00AF6D29"/>
    <w:rsid w:val="00AF6F53"/>
    <w:rsid w:val="00B0018E"/>
    <w:rsid w:val="00B009D0"/>
    <w:rsid w:val="00B01298"/>
    <w:rsid w:val="00B02E91"/>
    <w:rsid w:val="00B02FAB"/>
    <w:rsid w:val="00B03A6A"/>
    <w:rsid w:val="00B05701"/>
    <w:rsid w:val="00B063EA"/>
    <w:rsid w:val="00B06C60"/>
    <w:rsid w:val="00B076C6"/>
    <w:rsid w:val="00B07FDC"/>
    <w:rsid w:val="00B10236"/>
    <w:rsid w:val="00B102D0"/>
    <w:rsid w:val="00B10C16"/>
    <w:rsid w:val="00B128CE"/>
    <w:rsid w:val="00B1295A"/>
    <w:rsid w:val="00B12B11"/>
    <w:rsid w:val="00B13465"/>
    <w:rsid w:val="00B13948"/>
    <w:rsid w:val="00B13D17"/>
    <w:rsid w:val="00B154A0"/>
    <w:rsid w:val="00B17167"/>
    <w:rsid w:val="00B179D3"/>
    <w:rsid w:val="00B20A45"/>
    <w:rsid w:val="00B2178B"/>
    <w:rsid w:val="00B227EC"/>
    <w:rsid w:val="00B22C5C"/>
    <w:rsid w:val="00B23B3B"/>
    <w:rsid w:val="00B24775"/>
    <w:rsid w:val="00B24978"/>
    <w:rsid w:val="00B24F30"/>
    <w:rsid w:val="00B25998"/>
    <w:rsid w:val="00B2636B"/>
    <w:rsid w:val="00B27A25"/>
    <w:rsid w:val="00B30456"/>
    <w:rsid w:val="00B31ABF"/>
    <w:rsid w:val="00B31D01"/>
    <w:rsid w:val="00B32321"/>
    <w:rsid w:val="00B3378B"/>
    <w:rsid w:val="00B33BE3"/>
    <w:rsid w:val="00B33D20"/>
    <w:rsid w:val="00B33DFB"/>
    <w:rsid w:val="00B34012"/>
    <w:rsid w:val="00B34B52"/>
    <w:rsid w:val="00B34DEA"/>
    <w:rsid w:val="00B3562B"/>
    <w:rsid w:val="00B3592B"/>
    <w:rsid w:val="00B35BB4"/>
    <w:rsid w:val="00B40ACB"/>
    <w:rsid w:val="00B430AB"/>
    <w:rsid w:val="00B43C1E"/>
    <w:rsid w:val="00B448B4"/>
    <w:rsid w:val="00B453EB"/>
    <w:rsid w:val="00B463EB"/>
    <w:rsid w:val="00B46FF5"/>
    <w:rsid w:val="00B475CF"/>
    <w:rsid w:val="00B47A4C"/>
    <w:rsid w:val="00B47C0B"/>
    <w:rsid w:val="00B507C4"/>
    <w:rsid w:val="00B5198F"/>
    <w:rsid w:val="00B5201D"/>
    <w:rsid w:val="00B537AF"/>
    <w:rsid w:val="00B53804"/>
    <w:rsid w:val="00B53B5D"/>
    <w:rsid w:val="00B53C43"/>
    <w:rsid w:val="00B553AE"/>
    <w:rsid w:val="00B564C3"/>
    <w:rsid w:val="00B566CE"/>
    <w:rsid w:val="00B569FA"/>
    <w:rsid w:val="00B5753B"/>
    <w:rsid w:val="00B6055E"/>
    <w:rsid w:val="00B60807"/>
    <w:rsid w:val="00B6165F"/>
    <w:rsid w:val="00B62E48"/>
    <w:rsid w:val="00B6317D"/>
    <w:rsid w:val="00B639A8"/>
    <w:rsid w:val="00B64896"/>
    <w:rsid w:val="00B6629D"/>
    <w:rsid w:val="00B66834"/>
    <w:rsid w:val="00B6685A"/>
    <w:rsid w:val="00B67534"/>
    <w:rsid w:val="00B67943"/>
    <w:rsid w:val="00B67FA2"/>
    <w:rsid w:val="00B707CB"/>
    <w:rsid w:val="00B71C12"/>
    <w:rsid w:val="00B71C4D"/>
    <w:rsid w:val="00B732CD"/>
    <w:rsid w:val="00B73FE2"/>
    <w:rsid w:val="00B74935"/>
    <w:rsid w:val="00B75108"/>
    <w:rsid w:val="00B7658E"/>
    <w:rsid w:val="00B76EFC"/>
    <w:rsid w:val="00B7723F"/>
    <w:rsid w:val="00B80534"/>
    <w:rsid w:val="00B807C9"/>
    <w:rsid w:val="00B80E0F"/>
    <w:rsid w:val="00B81161"/>
    <w:rsid w:val="00B8151F"/>
    <w:rsid w:val="00B8240B"/>
    <w:rsid w:val="00B829F7"/>
    <w:rsid w:val="00B83398"/>
    <w:rsid w:val="00B8433C"/>
    <w:rsid w:val="00B85E87"/>
    <w:rsid w:val="00B85EF2"/>
    <w:rsid w:val="00B85F64"/>
    <w:rsid w:val="00B87491"/>
    <w:rsid w:val="00B9089D"/>
    <w:rsid w:val="00B9099D"/>
    <w:rsid w:val="00B9126C"/>
    <w:rsid w:val="00B91285"/>
    <w:rsid w:val="00B9251C"/>
    <w:rsid w:val="00B927DC"/>
    <w:rsid w:val="00B93474"/>
    <w:rsid w:val="00B93A95"/>
    <w:rsid w:val="00B94697"/>
    <w:rsid w:val="00B94757"/>
    <w:rsid w:val="00B9563A"/>
    <w:rsid w:val="00B978D4"/>
    <w:rsid w:val="00BA07CC"/>
    <w:rsid w:val="00BA101D"/>
    <w:rsid w:val="00BA12C8"/>
    <w:rsid w:val="00BA1459"/>
    <w:rsid w:val="00BA29E9"/>
    <w:rsid w:val="00BA41D9"/>
    <w:rsid w:val="00BA4436"/>
    <w:rsid w:val="00BA5AB5"/>
    <w:rsid w:val="00BA5E2D"/>
    <w:rsid w:val="00BA6A1E"/>
    <w:rsid w:val="00BA7142"/>
    <w:rsid w:val="00BB0F49"/>
    <w:rsid w:val="00BB1124"/>
    <w:rsid w:val="00BB152D"/>
    <w:rsid w:val="00BB204E"/>
    <w:rsid w:val="00BB237C"/>
    <w:rsid w:val="00BB2A81"/>
    <w:rsid w:val="00BB3653"/>
    <w:rsid w:val="00BB4121"/>
    <w:rsid w:val="00BB41A3"/>
    <w:rsid w:val="00BB44A5"/>
    <w:rsid w:val="00BB490A"/>
    <w:rsid w:val="00BB4EE4"/>
    <w:rsid w:val="00BB5A9A"/>
    <w:rsid w:val="00BB6344"/>
    <w:rsid w:val="00BB67E2"/>
    <w:rsid w:val="00BB73D1"/>
    <w:rsid w:val="00BB7BF4"/>
    <w:rsid w:val="00BB7F0A"/>
    <w:rsid w:val="00BB7FF4"/>
    <w:rsid w:val="00BC24B9"/>
    <w:rsid w:val="00BC2716"/>
    <w:rsid w:val="00BC32DC"/>
    <w:rsid w:val="00BC35B6"/>
    <w:rsid w:val="00BC5887"/>
    <w:rsid w:val="00BD0305"/>
    <w:rsid w:val="00BD0B76"/>
    <w:rsid w:val="00BD1B51"/>
    <w:rsid w:val="00BD23BC"/>
    <w:rsid w:val="00BD363E"/>
    <w:rsid w:val="00BD4596"/>
    <w:rsid w:val="00BD4C33"/>
    <w:rsid w:val="00BD548C"/>
    <w:rsid w:val="00BD607D"/>
    <w:rsid w:val="00BD62CD"/>
    <w:rsid w:val="00BD6FDC"/>
    <w:rsid w:val="00BD70F2"/>
    <w:rsid w:val="00BD7E35"/>
    <w:rsid w:val="00BE0A44"/>
    <w:rsid w:val="00BE0D35"/>
    <w:rsid w:val="00BE1405"/>
    <w:rsid w:val="00BE23B0"/>
    <w:rsid w:val="00BE2A92"/>
    <w:rsid w:val="00BE312D"/>
    <w:rsid w:val="00BE3D1D"/>
    <w:rsid w:val="00BE455B"/>
    <w:rsid w:val="00BE4893"/>
    <w:rsid w:val="00BE4A41"/>
    <w:rsid w:val="00BE5017"/>
    <w:rsid w:val="00BE6033"/>
    <w:rsid w:val="00BE60DD"/>
    <w:rsid w:val="00BE6155"/>
    <w:rsid w:val="00BE6AAD"/>
    <w:rsid w:val="00BE702E"/>
    <w:rsid w:val="00BF01DD"/>
    <w:rsid w:val="00BF0ED8"/>
    <w:rsid w:val="00BF1C20"/>
    <w:rsid w:val="00BF4D29"/>
    <w:rsid w:val="00BF614B"/>
    <w:rsid w:val="00BF6452"/>
    <w:rsid w:val="00BF685E"/>
    <w:rsid w:val="00BF6FA1"/>
    <w:rsid w:val="00C00207"/>
    <w:rsid w:val="00C005C7"/>
    <w:rsid w:val="00C0065B"/>
    <w:rsid w:val="00C01023"/>
    <w:rsid w:val="00C0167B"/>
    <w:rsid w:val="00C02856"/>
    <w:rsid w:val="00C03082"/>
    <w:rsid w:val="00C03164"/>
    <w:rsid w:val="00C039C7"/>
    <w:rsid w:val="00C0460D"/>
    <w:rsid w:val="00C04A4C"/>
    <w:rsid w:val="00C0572B"/>
    <w:rsid w:val="00C05876"/>
    <w:rsid w:val="00C05E3F"/>
    <w:rsid w:val="00C0642A"/>
    <w:rsid w:val="00C06A7F"/>
    <w:rsid w:val="00C06E37"/>
    <w:rsid w:val="00C074C6"/>
    <w:rsid w:val="00C076BC"/>
    <w:rsid w:val="00C07AC4"/>
    <w:rsid w:val="00C101B1"/>
    <w:rsid w:val="00C10578"/>
    <w:rsid w:val="00C124AB"/>
    <w:rsid w:val="00C126D8"/>
    <w:rsid w:val="00C12931"/>
    <w:rsid w:val="00C12CE1"/>
    <w:rsid w:val="00C130CA"/>
    <w:rsid w:val="00C135BC"/>
    <w:rsid w:val="00C13B7E"/>
    <w:rsid w:val="00C13E74"/>
    <w:rsid w:val="00C1547E"/>
    <w:rsid w:val="00C15C54"/>
    <w:rsid w:val="00C15C95"/>
    <w:rsid w:val="00C17637"/>
    <w:rsid w:val="00C17687"/>
    <w:rsid w:val="00C20174"/>
    <w:rsid w:val="00C20715"/>
    <w:rsid w:val="00C21D04"/>
    <w:rsid w:val="00C22470"/>
    <w:rsid w:val="00C2274F"/>
    <w:rsid w:val="00C23BA6"/>
    <w:rsid w:val="00C24221"/>
    <w:rsid w:val="00C2596A"/>
    <w:rsid w:val="00C2614C"/>
    <w:rsid w:val="00C26ED0"/>
    <w:rsid w:val="00C27291"/>
    <w:rsid w:val="00C27537"/>
    <w:rsid w:val="00C277D0"/>
    <w:rsid w:val="00C27879"/>
    <w:rsid w:val="00C3100F"/>
    <w:rsid w:val="00C310D6"/>
    <w:rsid w:val="00C3283D"/>
    <w:rsid w:val="00C328FE"/>
    <w:rsid w:val="00C32A67"/>
    <w:rsid w:val="00C33507"/>
    <w:rsid w:val="00C34C74"/>
    <w:rsid w:val="00C356E5"/>
    <w:rsid w:val="00C36FF6"/>
    <w:rsid w:val="00C37A39"/>
    <w:rsid w:val="00C418F3"/>
    <w:rsid w:val="00C4195B"/>
    <w:rsid w:val="00C41A9E"/>
    <w:rsid w:val="00C42D5A"/>
    <w:rsid w:val="00C4397F"/>
    <w:rsid w:val="00C43A68"/>
    <w:rsid w:val="00C43F3B"/>
    <w:rsid w:val="00C4409D"/>
    <w:rsid w:val="00C44E72"/>
    <w:rsid w:val="00C44E82"/>
    <w:rsid w:val="00C45968"/>
    <w:rsid w:val="00C45A06"/>
    <w:rsid w:val="00C47885"/>
    <w:rsid w:val="00C47E5B"/>
    <w:rsid w:val="00C51278"/>
    <w:rsid w:val="00C51449"/>
    <w:rsid w:val="00C514F7"/>
    <w:rsid w:val="00C51C56"/>
    <w:rsid w:val="00C51D60"/>
    <w:rsid w:val="00C51FDD"/>
    <w:rsid w:val="00C53DC5"/>
    <w:rsid w:val="00C5474F"/>
    <w:rsid w:val="00C54D82"/>
    <w:rsid w:val="00C553A8"/>
    <w:rsid w:val="00C55B9F"/>
    <w:rsid w:val="00C5608A"/>
    <w:rsid w:val="00C563A6"/>
    <w:rsid w:val="00C56588"/>
    <w:rsid w:val="00C567E2"/>
    <w:rsid w:val="00C575FB"/>
    <w:rsid w:val="00C619BF"/>
    <w:rsid w:val="00C61AEA"/>
    <w:rsid w:val="00C61E2E"/>
    <w:rsid w:val="00C61E4B"/>
    <w:rsid w:val="00C62088"/>
    <w:rsid w:val="00C634A5"/>
    <w:rsid w:val="00C63B47"/>
    <w:rsid w:val="00C6476A"/>
    <w:rsid w:val="00C64A9C"/>
    <w:rsid w:val="00C64BFF"/>
    <w:rsid w:val="00C654C9"/>
    <w:rsid w:val="00C6569E"/>
    <w:rsid w:val="00C65E40"/>
    <w:rsid w:val="00C65EB1"/>
    <w:rsid w:val="00C6744E"/>
    <w:rsid w:val="00C704E9"/>
    <w:rsid w:val="00C712A8"/>
    <w:rsid w:val="00C7179C"/>
    <w:rsid w:val="00C71C3E"/>
    <w:rsid w:val="00C72EBE"/>
    <w:rsid w:val="00C73A95"/>
    <w:rsid w:val="00C73CC5"/>
    <w:rsid w:val="00C7429A"/>
    <w:rsid w:val="00C74564"/>
    <w:rsid w:val="00C74772"/>
    <w:rsid w:val="00C7555D"/>
    <w:rsid w:val="00C75792"/>
    <w:rsid w:val="00C763C9"/>
    <w:rsid w:val="00C767EC"/>
    <w:rsid w:val="00C77199"/>
    <w:rsid w:val="00C778FD"/>
    <w:rsid w:val="00C80057"/>
    <w:rsid w:val="00C8091A"/>
    <w:rsid w:val="00C80A97"/>
    <w:rsid w:val="00C80E9F"/>
    <w:rsid w:val="00C81BAA"/>
    <w:rsid w:val="00C82189"/>
    <w:rsid w:val="00C82232"/>
    <w:rsid w:val="00C82913"/>
    <w:rsid w:val="00C82DA5"/>
    <w:rsid w:val="00C82F2D"/>
    <w:rsid w:val="00C8301D"/>
    <w:rsid w:val="00C8360A"/>
    <w:rsid w:val="00C85568"/>
    <w:rsid w:val="00C87785"/>
    <w:rsid w:val="00C87D3E"/>
    <w:rsid w:val="00C90C98"/>
    <w:rsid w:val="00C92AE6"/>
    <w:rsid w:val="00C93F51"/>
    <w:rsid w:val="00C950E4"/>
    <w:rsid w:val="00C951B5"/>
    <w:rsid w:val="00C958A1"/>
    <w:rsid w:val="00C960A0"/>
    <w:rsid w:val="00C967A5"/>
    <w:rsid w:val="00C967C1"/>
    <w:rsid w:val="00C96FD9"/>
    <w:rsid w:val="00C970BC"/>
    <w:rsid w:val="00C972B1"/>
    <w:rsid w:val="00C972CB"/>
    <w:rsid w:val="00CA0498"/>
    <w:rsid w:val="00CA1648"/>
    <w:rsid w:val="00CA1BA5"/>
    <w:rsid w:val="00CA27D5"/>
    <w:rsid w:val="00CA2A27"/>
    <w:rsid w:val="00CA2BA8"/>
    <w:rsid w:val="00CA2BC1"/>
    <w:rsid w:val="00CA2CCE"/>
    <w:rsid w:val="00CA314F"/>
    <w:rsid w:val="00CA3362"/>
    <w:rsid w:val="00CA33E8"/>
    <w:rsid w:val="00CA3DDE"/>
    <w:rsid w:val="00CA43FD"/>
    <w:rsid w:val="00CA584A"/>
    <w:rsid w:val="00CA6914"/>
    <w:rsid w:val="00CA695F"/>
    <w:rsid w:val="00CA777D"/>
    <w:rsid w:val="00CA7EF8"/>
    <w:rsid w:val="00CB0A5C"/>
    <w:rsid w:val="00CB1A2D"/>
    <w:rsid w:val="00CB22F3"/>
    <w:rsid w:val="00CB2755"/>
    <w:rsid w:val="00CB2A16"/>
    <w:rsid w:val="00CB2A4E"/>
    <w:rsid w:val="00CB39D0"/>
    <w:rsid w:val="00CB3A34"/>
    <w:rsid w:val="00CB4F80"/>
    <w:rsid w:val="00CB6644"/>
    <w:rsid w:val="00CB69E3"/>
    <w:rsid w:val="00CB6C20"/>
    <w:rsid w:val="00CB77C1"/>
    <w:rsid w:val="00CB7DA2"/>
    <w:rsid w:val="00CB7F22"/>
    <w:rsid w:val="00CC10AB"/>
    <w:rsid w:val="00CC149E"/>
    <w:rsid w:val="00CC193B"/>
    <w:rsid w:val="00CC2D67"/>
    <w:rsid w:val="00CC3296"/>
    <w:rsid w:val="00CC3410"/>
    <w:rsid w:val="00CC36E0"/>
    <w:rsid w:val="00CC3873"/>
    <w:rsid w:val="00CC47A6"/>
    <w:rsid w:val="00CC489B"/>
    <w:rsid w:val="00CC5A7D"/>
    <w:rsid w:val="00CC64FD"/>
    <w:rsid w:val="00CC6683"/>
    <w:rsid w:val="00CC67CF"/>
    <w:rsid w:val="00CC758B"/>
    <w:rsid w:val="00CC7778"/>
    <w:rsid w:val="00CD06FF"/>
    <w:rsid w:val="00CD0CCD"/>
    <w:rsid w:val="00CD2BA3"/>
    <w:rsid w:val="00CD2BCD"/>
    <w:rsid w:val="00CD2F66"/>
    <w:rsid w:val="00CD3193"/>
    <w:rsid w:val="00CD3296"/>
    <w:rsid w:val="00CD381C"/>
    <w:rsid w:val="00CD3A4C"/>
    <w:rsid w:val="00CD4100"/>
    <w:rsid w:val="00CD46D4"/>
    <w:rsid w:val="00CD4700"/>
    <w:rsid w:val="00CD4770"/>
    <w:rsid w:val="00CD4E6E"/>
    <w:rsid w:val="00CD5152"/>
    <w:rsid w:val="00CD693C"/>
    <w:rsid w:val="00CD706A"/>
    <w:rsid w:val="00CD7ABA"/>
    <w:rsid w:val="00CD7F29"/>
    <w:rsid w:val="00CE0247"/>
    <w:rsid w:val="00CE0614"/>
    <w:rsid w:val="00CE0E66"/>
    <w:rsid w:val="00CE0EF1"/>
    <w:rsid w:val="00CE1093"/>
    <w:rsid w:val="00CE10E9"/>
    <w:rsid w:val="00CE2910"/>
    <w:rsid w:val="00CE2BBF"/>
    <w:rsid w:val="00CE3352"/>
    <w:rsid w:val="00CE3749"/>
    <w:rsid w:val="00CE3E51"/>
    <w:rsid w:val="00CE5393"/>
    <w:rsid w:val="00CE57AD"/>
    <w:rsid w:val="00CE57F1"/>
    <w:rsid w:val="00CE5AFA"/>
    <w:rsid w:val="00CE6063"/>
    <w:rsid w:val="00CE625C"/>
    <w:rsid w:val="00CE6EC3"/>
    <w:rsid w:val="00CF0CEA"/>
    <w:rsid w:val="00CF1499"/>
    <w:rsid w:val="00CF3165"/>
    <w:rsid w:val="00CF36BE"/>
    <w:rsid w:val="00CF39CF"/>
    <w:rsid w:val="00CF41AB"/>
    <w:rsid w:val="00CF479C"/>
    <w:rsid w:val="00CF6000"/>
    <w:rsid w:val="00CF6562"/>
    <w:rsid w:val="00CF67AB"/>
    <w:rsid w:val="00CF7357"/>
    <w:rsid w:val="00CF7A7C"/>
    <w:rsid w:val="00D003F3"/>
    <w:rsid w:val="00D00A33"/>
    <w:rsid w:val="00D00F7C"/>
    <w:rsid w:val="00D00FB1"/>
    <w:rsid w:val="00D0138D"/>
    <w:rsid w:val="00D01AAA"/>
    <w:rsid w:val="00D0364F"/>
    <w:rsid w:val="00D0389F"/>
    <w:rsid w:val="00D03C87"/>
    <w:rsid w:val="00D0511D"/>
    <w:rsid w:val="00D05C93"/>
    <w:rsid w:val="00D06834"/>
    <w:rsid w:val="00D06ED0"/>
    <w:rsid w:val="00D071AF"/>
    <w:rsid w:val="00D07360"/>
    <w:rsid w:val="00D0740E"/>
    <w:rsid w:val="00D0760E"/>
    <w:rsid w:val="00D102E1"/>
    <w:rsid w:val="00D10624"/>
    <w:rsid w:val="00D11D0A"/>
    <w:rsid w:val="00D127C2"/>
    <w:rsid w:val="00D12976"/>
    <w:rsid w:val="00D134B1"/>
    <w:rsid w:val="00D136D3"/>
    <w:rsid w:val="00D137E9"/>
    <w:rsid w:val="00D14103"/>
    <w:rsid w:val="00D1662D"/>
    <w:rsid w:val="00D174BB"/>
    <w:rsid w:val="00D17B84"/>
    <w:rsid w:val="00D2148F"/>
    <w:rsid w:val="00D21F62"/>
    <w:rsid w:val="00D21FC2"/>
    <w:rsid w:val="00D246BB"/>
    <w:rsid w:val="00D24A1B"/>
    <w:rsid w:val="00D25CB6"/>
    <w:rsid w:val="00D26635"/>
    <w:rsid w:val="00D26760"/>
    <w:rsid w:val="00D268F5"/>
    <w:rsid w:val="00D269EA"/>
    <w:rsid w:val="00D26B16"/>
    <w:rsid w:val="00D26C5C"/>
    <w:rsid w:val="00D26CF6"/>
    <w:rsid w:val="00D27718"/>
    <w:rsid w:val="00D308ED"/>
    <w:rsid w:val="00D30AE7"/>
    <w:rsid w:val="00D30F19"/>
    <w:rsid w:val="00D318B6"/>
    <w:rsid w:val="00D33057"/>
    <w:rsid w:val="00D3385A"/>
    <w:rsid w:val="00D3405F"/>
    <w:rsid w:val="00D3447A"/>
    <w:rsid w:val="00D34795"/>
    <w:rsid w:val="00D34E68"/>
    <w:rsid w:val="00D35E11"/>
    <w:rsid w:val="00D3647A"/>
    <w:rsid w:val="00D36509"/>
    <w:rsid w:val="00D36BED"/>
    <w:rsid w:val="00D36D86"/>
    <w:rsid w:val="00D36DA9"/>
    <w:rsid w:val="00D4079D"/>
    <w:rsid w:val="00D41121"/>
    <w:rsid w:val="00D4118E"/>
    <w:rsid w:val="00D428AA"/>
    <w:rsid w:val="00D44B19"/>
    <w:rsid w:val="00D45058"/>
    <w:rsid w:val="00D4518C"/>
    <w:rsid w:val="00D4520D"/>
    <w:rsid w:val="00D456DC"/>
    <w:rsid w:val="00D45DA7"/>
    <w:rsid w:val="00D468A4"/>
    <w:rsid w:val="00D46E64"/>
    <w:rsid w:val="00D47764"/>
    <w:rsid w:val="00D507EE"/>
    <w:rsid w:val="00D50A34"/>
    <w:rsid w:val="00D518B2"/>
    <w:rsid w:val="00D518B7"/>
    <w:rsid w:val="00D51D98"/>
    <w:rsid w:val="00D52899"/>
    <w:rsid w:val="00D53202"/>
    <w:rsid w:val="00D5346E"/>
    <w:rsid w:val="00D53D9C"/>
    <w:rsid w:val="00D53EFA"/>
    <w:rsid w:val="00D54C40"/>
    <w:rsid w:val="00D55E99"/>
    <w:rsid w:val="00D55FA8"/>
    <w:rsid w:val="00D56DB0"/>
    <w:rsid w:val="00D57F4F"/>
    <w:rsid w:val="00D61679"/>
    <w:rsid w:val="00D61AB8"/>
    <w:rsid w:val="00D62FA2"/>
    <w:rsid w:val="00D63BEE"/>
    <w:rsid w:val="00D63D11"/>
    <w:rsid w:val="00D64819"/>
    <w:rsid w:val="00D67348"/>
    <w:rsid w:val="00D67B48"/>
    <w:rsid w:val="00D67D08"/>
    <w:rsid w:val="00D70141"/>
    <w:rsid w:val="00D70EDC"/>
    <w:rsid w:val="00D71394"/>
    <w:rsid w:val="00D722D3"/>
    <w:rsid w:val="00D722FB"/>
    <w:rsid w:val="00D73542"/>
    <w:rsid w:val="00D73EBD"/>
    <w:rsid w:val="00D7470F"/>
    <w:rsid w:val="00D74AC0"/>
    <w:rsid w:val="00D7537F"/>
    <w:rsid w:val="00D757A6"/>
    <w:rsid w:val="00D75858"/>
    <w:rsid w:val="00D7786A"/>
    <w:rsid w:val="00D8177D"/>
    <w:rsid w:val="00D81834"/>
    <w:rsid w:val="00D839B8"/>
    <w:rsid w:val="00D83AD3"/>
    <w:rsid w:val="00D83CC6"/>
    <w:rsid w:val="00D83EB3"/>
    <w:rsid w:val="00D84DA1"/>
    <w:rsid w:val="00D85877"/>
    <w:rsid w:val="00D867B2"/>
    <w:rsid w:val="00D86DC3"/>
    <w:rsid w:val="00D879F1"/>
    <w:rsid w:val="00D87B97"/>
    <w:rsid w:val="00D91279"/>
    <w:rsid w:val="00D913D0"/>
    <w:rsid w:val="00D93927"/>
    <w:rsid w:val="00D93B0A"/>
    <w:rsid w:val="00D93B11"/>
    <w:rsid w:val="00D93EED"/>
    <w:rsid w:val="00D94A7C"/>
    <w:rsid w:val="00D95896"/>
    <w:rsid w:val="00D95A2C"/>
    <w:rsid w:val="00D95D34"/>
    <w:rsid w:val="00D95DFC"/>
    <w:rsid w:val="00D9672C"/>
    <w:rsid w:val="00D96AC8"/>
    <w:rsid w:val="00D970F8"/>
    <w:rsid w:val="00D97A7E"/>
    <w:rsid w:val="00DA02ED"/>
    <w:rsid w:val="00DA1EB0"/>
    <w:rsid w:val="00DA294E"/>
    <w:rsid w:val="00DA2966"/>
    <w:rsid w:val="00DA29CB"/>
    <w:rsid w:val="00DA7EB3"/>
    <w:rsid w:val="00DB031D"/>
    <w:rsid w:val="00DB2983"/>
    <w:rsid w:val="00DB37CF"/>
    <w:rsid w:val="00DB3A5F"/>
    <w:rsid w:val="00DB3E1E"/>
    <w:rsid w:val="00DB49C6"/>
    <w:rsid w:val="00DB518B"/>
    <w:rsid w:val="00DB5351"/>
    <w:rsid w:val="00DB5722"/>
    <w:rsid w:val="00DB69A9"/>
    <w:rsid w:val="00DB70CF"/>
    <w:rsid w:val="00DB76B6"/>
    <w:rsid w:val="00DB79C2"/>
    <w:rsid w:val="00DB7A5B"/>
    <w:rsid w:val="00DB7C6F"/>
    <w:rsid w:val="00DC0CC2"/>
    <w:rsid w:val="00DC1257"/>
    <w:rsid w:val="00DC1F9D"/>
    <w:rsid w:val="00DC2874"/>
    <w:rsid w:val="00DC2917"/>
    <w:rsid w:val="00DC2C4C"/>
    <w:rsid w:val="00DC2D09"/>
    <w:rsid w:val="00DC38B3"/>
    <w:rsid w:val="00DC3DC0"/>
    <w:rsid w:val="00DC46F4"/>
    <w:rsid w:val="00DC5AC5"/>
    <w:rsid w:val="00DC5B2B"/>
    <w:rsid w:val="00DC6357"/>
    <w:rsid w:val="00DC65E2"/>
    <w:rsid w:val="00DC6D39"/>
    <w:rsid w:val="00DC6FB4"/>
    <w:rsid w:val="00DC714E"/>
    <w:rsid w:val="00DC751B"/>
    <w:rsid w:val="00DD0215"/>
    <w:rsid w:val="00DD1526"/>
    <w:rsid w:val="00DD17AF"/>
    <w:rsid w:val="00DD2103"/>
    <w:rsid w:val="00DD318D"/>
    <w:rsid w:val="00DD3283"/>
    <w:rsid w:val="00DD5736"/>
    <w:rsid w:val="00DD5B32"/>
    <w:rsid w:val="00DD6033"/>
    <w:rsid w:val="00DD6E0C"/>
    <w:rsid w:val="00DD7205"/>
    <w:rsid w:val="00DE1761"/>
    <w:rsid w:val="00DE3749"/>
    <w:rsid w:val="00DE4146"/>
    <w:rsid w:val="00DE426E"/>
    <w:rsid w:val="00DE4D9C"/>
    <w:rsid w:val="00DE4F0C"/>
    <w:rsid w:val="00DE5A5E"/>
    <w:rsid w:val="00DE698C"/>
    <w:rsid w:val="00DE6A40"/>
    <w:rsid w:val="00DF022D"/>
    <w:rsid w:val="00DF042E"/>
    <w:rsid w:val="00DF0CB7"/>
    <w:rsid w:val="00DF1D67"/>
    <w:rsid w:val="00DF2790"/>
    <w:rsid w:val="00DF2E12"/>
    <w:rsid w:val="00DF3696"/>
    <w:rsid w:val="00DF453C"/>
    <w:rsid w:val="00DF514A"/>
    <w:rsid w:val="00DF577E"/>
    <w:rsid w:val="00DF5D95"/>
    <w:rsid w:val="00DF6690"/>
    <w:rsid w:val="00DF672E"/>
    <w:rsid w:val="00DF6804"/>
    <w:rsid w:val="00DF7998"/>
    <w:rsid w:val="00E01279"/>
    <w:rsid w:val="00E012E6"/>
    <w:rsid w:val="00E0204A"/>
    <w:rsid w:val="00E02BF6"/>
    <w:rsid w:val="00E0335A"/>
    <w:rsid w:val="00E03430"/>
    <w:rsid w:val="00E0358D"/>
    <w:rsid w:val="00E0379C"/>
    <w:rsid w:val="00E04323"/>
    <w:rsid w:val="00E04885"/>
    <w:rsid w:val="00E06820"/>
    <w:rsid w:val="00E0683E"/>
    <w:rsid w:val="00E06D0E"/>
    <w:rsid w:val="00E070A2"/>
    <w:rsid w:val="00E07E91"/>
    <w:rsid w:val="00E10CED"/>
    <w:rsid w:val="00E11853"/>
    <w:rsid w:val="00E11991"/>
    <w:rsid w:val="00E119FE"/>
    <w:rsid w:val="00E12228"/>
    <w:rsid w:val="00E1278F"/>
    <w:rsid w:val="00E12C8F"/>
    <w:rsid w:val="00E12DEB"/>
    <w:rsid w:val="00E13BF7"/>
    <w:rsid w:val="00E14561"/>
    <w:rsid w:val="00E147F0"/>
    <w:rsid w:val="00E15165"/>
    <w:rsid w:val="00E15236"/>
    <w:rsid w:val="00E16AB3"/>
    <w:rsid w:val="00E17626"/>
    <w:rsid w:val="00E17E48"/>
    <w:rsid w:val="00E21116"/>
    <w:rsid w:val="00E21613"/>
    <w:rsid w:val="00E219F5"/>
    <w:rsid w:val="00E21AD6"/>
    <w:rsid w:val="00E22410"/>
    <w:rsid w:val="00E22CF2"/>
    <w:rsid w:val="00E25621"/>
    <w:rsid w:val="00E2573D"/>
    <w:rsid w:val="00E25B3D"/>
    <w:rsid w:val="00E25F83"/>
    <w:rsid w:val="00E2613D"/>
    <w:rsid w:val="00E2656A"/>
    <w:rsid w:val="00E26EC0"/>
    <w:rsid w:val="00E31AAE"/>
    <w:rsid w:val="00E31D14"/>
    <w:rsid w:val="00E323AD"/>
    <w:rsid w:val="00E32ED5"/>
    <w:rsid w:val="00E332B6"/>
    <w:rsid w:val="00E33E47"/>
    <w:rsid w:val="00E34221"/>
    <w:rsid w:val="00E3496A"/>
    <w:rsid w:val="00E35478"/>
    <w:rsid w:val="00E355F9"/>
    <w:rsid w:val="00E3659C"/>
    <w:rsid w:val="00E37618"/>
    <w:rsid w:val="00E37BDB"/>
    <w:rsid w:val="00E37D6B"/>
    <w:rsid w:val="00E4080C"/>
    <w:rsid w:val="00E412D0"/>
    <w:rsid w:val="00E413EE"/>
    <w:rsid w:val="00E419D5"/>
    <w:rsid w:val="00E41F3F"/>
    <w:rsid w:val="00E429F4"/>
    <w:rsid w:val="00E464FC"/>
    <w:rsid w:val="00E46E3D"/>
    <w:rsid w:val="00E47912"/>
    <w:rsid w:val="00E50AF4"/>
    <w:rsid w:val="00E54640"/>
    <w:rsid w:val="00E55E25"/>
    <w:rsid w:val="00E561C9"/>
    <w:rsid w:val="00E56322"/>
    <w:rsid w:val="00E565D4"/>
    <w:rsid w:val="00E57BF7"/>
    <w:rsid w:val="00E57FE9"/>
    <w:rsid w:val="00E600D3"/>
    <w:rsid w:val="00E60982"/>
    <w:rsid w:val="00E60A61"/>
    <w:rsid w:val="00E619A6"/>
    <w:rsid w:val="00E61B1D"/>
    <w:rsid w:val="00E62C62"/>
    <w:rsid w:val="00E63D2A"/>
    <w:rsid w:val="00E63DAC"/>
    <w:rsid w:val="00E63ED0"/>
    <w:rsid w:val="00E6472C"/>
    <w:rsid w:val="00E654C1"/>
    <w:rsid w:val="00E65D97"/>
    <w:rsid w:val="00E66200"/>
    <w:rsid w:val="00E66881"/>
    <w:rsid w:val="00E6719C"/>
    <w:rsid w:val="00E70149"/>
    <w:rsid w:val="00E70621"/>
    <w:rsid w:val="00E71873"/>
    <w:rsid w:val="00E7216C"/>
    <w:rsid w:val="00E7297C"/>
    <w:rsid w:val="00E72A5A"/>
    <w:rsid w:val="00E73354"/>
    <w:rsid w:val="00E76AFE"/>
    <w:rsid w:val="00E775AB"/>
    <w:rsid w:val="00E77693"/>
    <w:rsid w:val="00E77892"/>
    <w:rsid w:val="00E801E3"/>
    <w:rsid w:val="00E802C1"/>
    <w:rsid w:val="00E808F3"/>
    <w:rsid w:val="00E815A6"/>
    <w:rsid w:val="00E8282B"/>
    <w:rsid w:val="00E838FF"/>
    <w:rsid w:val="00E8485F"/>
    <w:rsid w:val="00E8540C"/>
    <w:rsid w:val="00E85684"/>
    <w:rsid w:val="00E85A25"/>
    <w:rsid w:val="00E85AF7"/>
    <w:rsid w:val="00E86313"/>
    <w:rsid w:val="00E86A6C"/>
    <w:rsid w:val="00E8793A"/>
    <w:rsid w:val="00E87A99"/>
    <w:rsid w:val="00E87EEC"/>
    <w:rsid w:val="00E90993"/>
    <w:rsid w:val="00E90C46"/>
    <w:rsid w:val="00E91847"/>
    <w:rsid w:val="00E9220B"/>
    <w:rsid w:val="00E923BE"/>
    <w:rsid w:val="00E9242D"/>
    <w:rsid w:val="00E92DF0"/>
    <w:rsid w:val="00E93127"/>
    <w:rsid w:val="00E93A97"/>
    <w:rsid w:val="00E93B4E"/>
    <w:rsid w:val="00E93E4C"/>
    <w:rsid w:val="00E9490F"/>
    <w:rsid w:val="00E95148"/>
    <w:rsid w:val="00E9640C"/>
    <w:rsid w:val="00E96614"/>
    <w:rsid w:val="00E966C9"/>
    <w:rsid w:val="00E96D46"/>
    <w:rsid w:val="00EA0D21"/>
    <w:rsid w:val="00EA159A"/>
    <w:rsid w:val="00EA26AC"/>
    <w:rsid w:val="00EA3734"/>
    <w:rsid w:val="00EA3C47"/>
    <w:rsid w:val="00EA3EEB"/>
    <w:rsid w:val="00EA52CA"/>
    <w:rsid w:val="00EA54A1"/>
    <w:rsid w:val="00EA6558"/>
    <w:rsid w:val="00EA67E5"/>
    <w:rsid w:val="00EB0471"/>
    <w:rsid w:val="00EB05A1"/>
    <w:rsid w:val="00EB170B"/>
    <w:rsid w:val="00EB24CA"/>
    <w:rsid w:val="00EB2D84"/>
    <w:rsid w:val="00EB307C"/>
    <w:rsid w:val="00EB335A"/>
    <w:rsid w:val="00EB3C8C"/>
    <w:rsid w:val="00EB3CA4"/>
    <w:rsid w:val="00EB48EC"/>
    <w:rsid w:val="00EB5255"/>
    <w:rsid w:val="00EB5C47"/>
    <w:rsid w:val="00EB66FB"/>
    <w:rsid w:val="00EB6885"/>
    <w:rsid w:val="00EB6D3F"/>
    <w:rsid w:val="00EB7153"/>
    <w:rsid w:val="00EB7222"/>
    <w:rsid w:val="00EC019D"/>
    <w:rsid w:val="00EC0A74"/>
    <w:rsid w:val="00EC195F"/>
    <w:rsid w:val="00EC1CFD"/>
    <w:rsid w:val="00EC29DD"/>
    <w:rsid w:val="00EC2AFA"/>
    <w:rsid w:val="00EC2F82"/>
    <w:rsid w:val="00EC3DD7"/>
    <w:rsid w:val="00EC473F"/>
    <w:rsid w:val="00EC5605"/>
    <w:rsid w:val="00EC562C"/>
    <w:rsid w:val="00EC62D4"/>
    <w:rsid w:val="00ED00F3"/>
    <w:rsid w:val="00ED0639"/>
    <w:rsid w:val="00ED07BC"/>
    <w:rsid w:val="00ED0DDE"/>
    <w:rsid w:val="00ED1498"/>
    <w:rsid w:val="00ED14B6"/>
    <w:rsid w:val="00ED1820"/>
    <w:rsid w:val="00ED1D4F"/>
    <w:rsid w:val="00ED3351"/>
    <w:rsid w:val="00ED3FA2"/>
    <w:rsid w:val="00ED443A"/>
    <w:rsid w:val="00ED4C9C"/>
    <w:rsid w:val="00ED5B93"/>
    <w:rsid w:val="00ED5F81"/>
    <w:rsid w:val="00ED66F9"/>
    <w:rsid w:val="00ED6BB8"/>
    <w:rsid w:val="00EE1FE1"/>
    <w:rsid w:val="00EE611C"/>
    <w:rsid w:val="00EE6581"/>
    <w:rsid w:val="00EE6617"/>
    <w:rsid w:val="00EE6C56"/>
    <w:rsid w:val="00EE6F5B"/>
    <w:rsid w:val="00EE737B"/>
    <w:rsid w:val="00EF0E93"/>
    <w:rsid w:val="00EF141E"/>
    <w:rsid w:val="00EF2250"/>
    <w:rsid w:val="00EF388E"/>
    <w:rsid w:val="00EF3E16"/>
    <w:rsid w:val="00EF4755"/>
    <w:rsid w:val="00EF5759"/>
    <w:rsid w:val="00EF57AD"/>
    <w:rsid w:val="00EF613F"/>
    <w:rsid w:val="00EF6663"/>
    <w:rsid w:val="00EF7135"/>
    <w:rsid w:val="00EF7967"/>
    <w:rsid w:val="00EF7987"/>
    <w:rsid w:val="00EF7C9D"/>
    <w:rsid w:val="00F00E4F"/>
    <w:rsid w:val="00F0142E"/>
    <w:rsid w:val="00F01564"/>
    <w:rsid w:val="00F0195A"/>
    <w:rsid w:val="00F027DB"/>
    <w:rsid w:val="00F029BE"/>
    <w:rsid w:val="00F02E94"/>
    <w:rsid w:val="00F036FB"/>
    <w:rsid w:val="00F0393B"/>
    <w:rsid w:val="00F03E89"/>
    <w:rsid w:val="00F0498E"/>
    <w:rsid w:val="00F04DD1"/>
    <w:rsid w:val="00F0554A"/>
    <w:rsid w:val="00F05704"/>
    <w:rsid w:val="00F06417"/>
    <w:rsid w:val="00F06AFC"/>
    <w:rsid w:val="00F071DB"/>
    <w:rsid w:val="00F07ACD"/>
    <w:rsid w:val="00F103F0"/>
    <w:rsid w:val="00F10666"/>
    <w:rsid w:val="00F10CFF"/>
    <w:rsid w:val="00F10DC6"/>
    <w:rsid w:val="00F11B12"/>
    <w:rsid w:val="00F11C48"/>
    <w:rsid w:val="00F11E95"/>
    <w:rsid w:val="00F145B0"/>
    <w:rsid w:val="00F14A7A"/>
    <w:rsid w:val="00F14BAD"/>
    <w:rsid w:val="00F15D17"/>
    <w:rsid w:val="00F17D31"/>
    <w:rsid w:val="00F20885"/>
    <w:rsid w:val="00F2188F"/>
    <w:rsid w:val="00F22985"/>
    <w:rsid w:val="00F238DD"/>
    <w:rsid w:val="00F25637"/>
    <w:rsid w:val="00F25EEA"/>
    <w:rsid w:val="00F26217"/>
    <w:rsid w:val="00F26251"/>
    <w:rsid w:val="00F26A52"/>
    <w:rsid w:val="00F26B07"/>
    <w:rsid w:val="00F2703C"/>
    <w:rsid w:val="00F27081"/>
    <w:rsid w:val="00F27362"/>
    <w:rsid w:val="00F275ED"/>
    <w:rsid w:val="00F277B6"/>
    <w:rsid w:val="00F30476"/>
    <w:rsid w:val="00F32807"/>
    <w:rsid w:val="00F32AB6"/>
    <w:rsid w:val="00F3383E"/>
    <w:rsid w:val="00F35C76"/>
    <w:rsid w:val="00F3639D"/>
    <w:rsid w:val="00F36424"/>
    <w:rsid w:val="00F37423"/>
    <w:rsid w:val="00F377F4"/>
    <w:rsid w:val="00F377FC"/>
    <w:rsid w:val="00F41C33"/>
    <w:rsid w:val="00F4329D"/>
    <w:rsid w:val="00F443D1"/>
    <w:rsid w:val="00F44EE0"/>
    <w:rsid w:val="00F454CC"/>
    <w:rsid w:val="00F455BB"/>
    <w:rsid w:val="00F45D78"/>
    <w:rsid w:val="00F45F46"/>
    <w:rsid w:val="00F465A7"/>
    <w:rsid w:val="00F466B1"/>
    <w:rsid w:val="00F46B8B"/>
    <w:rsid w:val="00F46DA0"/>
    <w:rsid w:val="00F470E2"/>
    <w:rsid w:val="00F47A19"/>
    <w:rsid w:val="00F507D0"/>
    <w:rsid w:val="00F508E4"/>
    <w:rsid w:val="00F50B7C"/>
    <w:rsid w:val="00F511FF"/>
    <w:rsid w:val="00F522D6"/>
    <w:rsid w:val="00F523B5"/>
    <w:rsid w:val="00F52F8C"/>
    <w:rsid w:val="00F5367B"/>
    <w:rsid w:val="00F539D7"/>
    <w:rsid w:val="00F54B2C"/>
    <w:rsid w:val="00F550E6"/>
    <w:rsid w:val="00F5554F"/>
    <w:rsid w:val="00F563EF"/>
    <w:rsid w:val="00F56FE7"/>
    <w:rsid w:val="00F57554"/>
    <w:rsid w:val="00F575C8"/>
    <w:rsid w:val="00F576D4"/>
    <w:rsid w:val="00F57AB9"/>
    <w:rsid w:val="00F6050B"/>
    <w:rsid w:val="00F619CD"/>
    <w:rsid w:val="00F626E0"/>
    <w:rsid w:val="00F62BBD"/>
    <w:rsid w:val="00F62D9B"/>
    <w:rsid w:val="00F63945"/>
    <w:rsid w:val="00F640BF"/>
    <w:rsid w:val="00F6528F"/>
    <w:rsid w:val="00F65690"/>
    <w:rsid w:val="00F65AEB"/>
    <w:rsid w:val="00F65EC2"/>
    <w:rsid w:val="00F6663D"/>
    <w:rsid w:val="00F66CF7"/>
    <w:rsid w:val="00F66EA0"/>
    <w:rsid w:val="00F67BF7"/>
    <w:rsid w:val="00F704EC"/>
    <w:rsid w:val="00F7062E"/>
    <w:rsid w:val="00F70FA1"/>
    <w:rsid w:val="00F727EB"/>
    <w:rsid w:val="00F72E58"/>
    <w:rsid w:val="00F74345"/>
    <w:rsid w:val="00F74E4E"/>
    <w:rsid w:val="00F75F53"/>
    <w:rsid w:val="00F762F9"/>
    <w:rsid w:val="00F76C97"/>
    <w:rsid w:val="00F77AF2"/>
    <w:rsid w:val="00F800C5"/>
    <w:rsid w:val="00F80A0A"/>
    <w:rsid w:val="00F81BA2"/>
    <w:rsid w:val="00F81C25"/>
    <w:rsid w:val="00F81F88"/>
    <w:rsid w:val="00F825C6"/>
    <w:rsid w:val="00F82794"/>
    <w:rsid w:val="00F82B19"/>
    <w:rsid w:val="00F83976"/>
    <w:rsid w:val="00F83B0F"/>
    <w:rsid w:val="00F83D88"/>
    <w:rsid w:val="00F84244"/>
    <w:rsid w:val="00F856D3"/>
    <w:rsid w:val="00F85A67"/>
    <w:rsid w:val="00F861A1"/>
    <w:rsid w:val="00F86BC7"/>
    <w:rsid w:val="00F870C8"/>
    <w:rsid w:val="00F87A99"/>
    <w:rsid w:val="00F87CBA"/>
    <w:rsid w:val="00F903B1"/>
    <w:rsid w:val="00F906F5"/>
    <w:rsid w:val="00F90CA7"/>
    <w:rsid w:val="00F9212D"/>
    <w:rsid w:val="00F92816"/>
    <w:rsid w:val="00F937EA"/>
    <w:rsid w:val="00F938D6"/>
    <w:rsid w:val="00F94058"/>
    <w:rsid w:val="00F94757"/>
    <w:rsid w:val="00F95D12"/>
    <w:rsid w:val="00F95FE2"/>
    <w:rsid w:val="00F965DA"/>
    <w:rsid w:val="00F965E6"/>
    <w:rsid w:val="00F97011"/>
    <w:rsid w:val="00F975BD"/>
    <w:rsid w:val="00FA0085"/>
    <w:rsid w:val="00FA01AB"/>
    <w:rsid w:val="00FA05FB"/>
    <w:rsid w:val="00FA1D22"/>
    <w:rsid w:val="00FA3F77"/>
    <w:rsid w:val="00FA406A"/>
    <w:rsid w:val="00FA436B"/>
    <w:rsid w:val="00FA4688"/>
    <w:rsid w:val="00FA567A"/>
    <w:rsid w:val="00FA60CE"/>
    <w:rsid w:val="00FA749D"/>
    <w:rsid w:val="00FB01D3"/>
    <w:rsid w:val="00FB1391"/>
    <w:rsid w:val="00FB13FB"/>
    <w:rsid w:val="00FB1C06"/>
    <w:rsid w:val="00FB2BCC"/>
    <w:rsid w:val="00FB2F62"/>
    <w:rsid w:val="00FB4858"/>
    <w:rsid w:val="00FB48BB"/>
    <w:rsid w:val="00FB503A"/>
    <w:rsid w:val="00FB516C"/>
    <w:rsid w:val="00FB5625"/>
    <w:rsid w:val="00FB6116"/>
    <w:rsid w:val="00FB6643"/>
    <w:rsid w:val="00FB69A5"/>
    <w:rsid w:val="00FC04F4"/>
    <w:rsid w:val="00FC09F7"/>
    <w:rsid w:val="00FC139F"/>
    <w:rsid w:val="00FC182B"/>
    <w:rsid w:val="00FC2799"/>
    <w:rsid w:val="00FC39DA"/>
    <w:rsid w:val="00FC4CAC"/>
    <w:rsid w:val="00FC54A0"/>
    <w:rsid w:val="00FC66AD"/>
    <w:rsid w:val="00FD0087"/>
    <w:rsid w:val="00FD0236"/>
    <w:rsid w:val="00FD17EB"/>
    <w:rsid w:val="00FD18F4"/>
    <w:rsid w:val="00FD26DD"/>
    <w:rsid w:val="00FD3090"/>
    <w:rsid w:val="00FD3D8F"/>
    <w:rsid w:val="00FD54DB"/>
    <w:rsid w:val="00FD619F"/>
    <w:rsid w:val="00FE0095"/>
    <w:rsid w:val="00FE07AD"/>
    <w:rsid w:val="00FE2295"/>
    <w:rsid w:val="00FE22DC"/>
    <w:rsid w:val="00FE2751"/>
    <w:rsid w:val="00FE2FE5"/>
    <w:rsid w:val="00FE4BB1"/>
    <w:rsid w:val="00FE529F"/>
    <w:rsid w:val="00FE56AD"/>
    <w:rsid w:val="00FE5C6E"/>
    <w:rsid w:val="00FE5CC0"/>
    <w:rsid w:val="00FE5D2C"/>
    <w:rsid w:val="00FE6CA1"/>
    <w:rsid w:val="00FE6E6B"/>
    <w:rsid w:val="00FF06E0"/>
    <w:rsid w:val="00FF0EF6"/>
    <w:rsid w:val="00FF16A5"/>
    <w:rsid w:val="00FF185A"/>
    <w:rsid w:val="00FF25FA"/>
    <w:rsid w:val="00FF32D5"/>
    <w:rsid w:val="00FF3AB3"/>
    <w:rsid w:val="00FF4CD3"/>
    <w:rsid w:val="00FF4E1D"/>
    <w:rsid w:val="00FF5EB5"/>
    <w:rsid w:val="00FF6061"/>
    <w:rsid w:val="00FF68E2"/>
    <w:rsid w:val="00FF69D2"/>
    <w:rsid w:val="00FF6E20"/>
    <w:rsid w:val="00FF7CB4"/>
    <w:rsid w:val="01290F7E"/>
    <w:rsid w:val="015D1E09"/>
    <w:rsid w:val="01655E65"/>
    <w:rsid w:val="01744FB7"/>
    <w:rsid w:val="01770C0B"/>
    <w:rsid w:val="01AE75EA"/>
    <w:rsid w:val="01BD7A4F"/>
    <w:rsid w:val="01D134FA"/>
    <w:rsid w:val="01FA44DB"/>
    <w:rsid w:val="020C6354"/>
    <w:rsid w:val="02467A44"/>
    <w:rsid w:val="02697903"/>
    <w:rsid w:val="0281282A"/>
    <w:rsid w:val="02923E1D"/>
    <w:rsid w:val="02B4243C"/>
    <w:rsid w:val="02C941D1"/>
    <w:rsid w:val="02E7495D"/>
    <w:rsid w:val="02F96569"/>
    <w:rsid w:val="030D4D1B"/>
    <w:rsid w:val="036C66E1"/>
    <w:rsid w:val="03795BF7"/>
    <w:rsid w:val="037A6A30"/>
    <w:rsid w:val="039829E5"/>
    <w:rsid w:val="039D7B38"/>
    <w:rsid w:val="03B90E96"/>
    <w:rsid w:val="03D13F17"/>
    <w:rsid w:val="03D66BA6"/>
    <w:rsid w:val="03D942D2"/>
    <w:rsid w:val="03DB240E"/>
    <w:rsid w:val="03DF311A"/>
    <w:rsid w:val="03EA7B21"/>
    <w:rsid w:val="04012209"/>
    <w:rsid w:val="0406561D"/>
    <w:rsid w:val="040D6B8B"/>
    <w:rsid w:val="040F6B8F"/>
    <w:rsid w:val="04122FA1"/>
    <w:rsid w:val="043D0456"/>
    <w:rsid w:val="046425BE"/>
    <w:rsid w:val="04790E6E"/>
    <w:rsid w:val="0482521D"/>
    <w:rsid w:val="04A93A80"/>
    <w:rsid w:val="04D317C9"/>
    <w:rsid w:val="04F17AFD"/>
    <w:rsid w:val="05036F0A"/>
    <w:rsid w:val="05050E73"/>
    <w:rsid w:val="056E2932"/>
    <w:rsid w:val="05A625A8"/>
    <w:rsid w:val="05A86320"/>
    <w:rsid w:val="05F83EAE"/>
    <w:rsid w:val="06095763"/>
    <w:rsid w:val="060F2843"/>
    <w:rsid w:val="06257970"/>
    <w:rsid w:val="063E7D85"/>
    <w:rsid w:val="06426774"/>
    <w:rsid w:val="065853F1"/>
    <w:rsid w:val="06817BA6"/>
    <w:rsid w:val="06825574"/>
    <w:rsid w:val="06AF0424"/>
    <w:rsid w:val="07293586"/>
    <w:rsid w:val="07295285"/>
    <w:rsid w:val="07502A19"/>
    <w:rsid w:val="075E0BBE"/>
    <w:rsid w:val="07636392"/>
    <w:rsid w:val="0768288C"/>
    <w:rsid w:val="07770C56"/>
    <w:rsid w:val="078A657A"/>
    <w:rsid w:val="07B15848"/>
    <w:rsid w:val="07C21A6A"/>
    <w:rsid w:val="07C84935"/>
    <w:rsid w:val="07D653C6"/>
    <w:rsid w:val="08275C22"/>
    <w:rsid w:val="082E6025"/>
    <w:rsid w:val="08430582"/>
    <w:rsid w:val="08545B61"/>
    <w:rsid w:val="085A418C"/>
    <w:rsid w:val="08612BDC"/>
    <w:rsid w:val="08AA4F0D"/>
    <w:rsid w:val="08B36EAF"/>
    <w:rsid w:val="08C6761C"/>
    <w:rsid w:val="08D119D4"/>
    <w:rsid w:val="08E33D06"/>
    <w:rsid w:val="08E60B66"/>
    <w:rsid w:val="08ED5D2A"/>
    <w:rsid w:val="092217DD"/>
    <w:rsid w:val="09331ABF"/>
    <w:rsid w:val="0935436E"/>
    <w:rsid w:val="093A7294"/>
    <w:rsid w:val="09442803"/>
    <w:rsid w:val="0955682A"/>
    <w:rsid w:val="09720BA8"/>
    <w:rsid w:val="0995305F"/>
    <w:rsid w:val="09A63B96"/>
    <w:rsid w:val="09B039F5"/>
    <w:rsid w:val="09D41E2C"/>
    <w:rsid w:val="09D422DE"/>
    <w:rsid w:val="0A263993"/>
    <w:rsid w:val="0A29528F"/>
    <w:rsid w:val="0A2D3AC2"/>
    <w:rsid w:val="0A7830AE"/>
    <w:rsid w:val="0A951569"/>
    <w:rsid w:val="0AA755DF"/>
    <w:rsid w:val="0AB2719C"/>
    <w:rsid w:val="0AD77BA4"/>
    <w:rsid w:val="0B120D44"/>
    <w:rsid w:val="0B4F3D8E"/>
    <w:rsid w:val="0B4F5C9B"/>
    <w:rsid w:val="0B811AED"/>
    <w:rsid w:val="0B8E5FB8"/>
    <w:rsid w:val="0BD27BF6"/>
    <w:rsid w:val="0C0D512F"/>
    <w:rsid w:val="0C3B3C7D"/>
    <w:rsid w:val="0C505F6B"/>
    <w:rsid w:val="0C6C7B82"/>
    <w:rsid w:val="0C8B61C6"/>
    <w:rsid w:val="0C8F2DF7"/>
    <w:rsid w:val="0CAB2EAE"/>
    <w:rsid w:val="0CBF3458"/>
    <w:rsid w:val="0CDA3912"/>
    <w:rsid w:val="0CDC3B9F"/>
    <w:rsid w:val="0CE87FA8"/>
    <w:rsid w:val="0CEA3EAC"/>
    <w:rsid w:val="0CFD5671"/>
    <w:rsid w:val="0D3F57BC"/>
    <w:rsid w:val="0D3F756A"/>
    <w:rsid w:val="0D554FDF"/>
    <w:rsid w:val="0D621C7D"/>
    <w:rsid w:val="0D9755F8"/>
    <w:rsid w:val="0DD13A44"/>
    <w:rsid w:val="0E124C7E"/>
    <w:rsid w:val="0E73034D"/>
    <w:rsid w:val="0E947D89"/>
    <w:rsid w:val="0EA05FB9"/>
    <w:rsid w:val="0EAF071F"/>
    <w:rsid w:val="0F13775A"/>
    <w:rsid w:val="0F172A50"/>
    <w:rsid w:val="0F3A448D"/>
    <w:rsid w:val="0F4D5B78"/>
    <w:rsid w:val="0F5604FC"/>
    <w:rsid w:val="0F5A68DD"/>
    <w:rsid w:val="0F5F45FE"/>
    <w:rsid w:val="0F7D798A"/>
    <w:rsid w:val="0F916077"/>
    <w:rsid w:val="0F9A112B"/>
    <w:rsid w:val="0FE17739"/>
    <w:rsid w:val="0FF84BE0"/>
    <w:rsid w:val="101664DE"/>
    <w:rsid w:val="10196798"/>
    <w:rsid w:val="102126D4"/>
    <w:rsid w:val="103E75AB"/>
    <w:rsid w:val="104065DD"/>
    <w:rsid w:val="106D2F64"/>
    <w:rsid w:val="10736F2C"/>
    <w:rsid w:val="108052C8"/>
    <w:rsid w:val="10993435"/>
    <w:rsid w:val="10AE5BBC"/>
    <w:rsid w:val="10B63710"/>
    <w:rsid w:val="10C16D46"/>
    <w:rsid w:val="10F10820"/>
    <w:rsid w:val="10F93ED3"/>
    <w:rsid w:val="111C2F7A"/>
    <w:rsid w:val="11335651"/>
    <w:rsid w:val="113A16A4"/>
    <w:rsid w:val="11665CA1"/>
    <w:rsid w:val="116F23E8"/>
    <w:rsid w:val="119953BF"/>
    <w:rsid w:val="11E46932"/>
    <w:rsid w:val="12863E8D"/>
    <w:rsid w:val="12AD5076"/>
    <w:rsid w:val="12D746E8"/>
    <w:rsid w:val="12F16650"/>
    <w:rsid w:val="12FB3D4A"/>
    <w:rsid w:val="13333F23"/>
    <w:rsid w:val="133B50BF"/>
    <w:rsid w:val="133E63BF"/>
    <w:rsid w:val="13446D6A"/>
    <w:rsid w:val="134C0C32"/>
    <w:rsid w:val="13504FCA"/>
    <w:rsid w:val="13614ECB"/>
    <w:rsid w:val="13751BAD"/>
    <w:rsid w:val="13951726"/>
    <w:rsid w:val="13EB044B"/>
    <w:rsid w:val="1402217A"/>
    <w:rsid w:val="143225DA"/>
    <w:rsid w:val="14396509"/>
    <w:rsid w:val="143E49C0"/>
    <w:rsid w:val="144B3AE7"/>
    <w:rsid w:val="14D86180"/>
    <w:rsid w:val="14DD2C3C"/>
    <w:rsid w:val="14FA4F29"/>
    <w:rsid w:val="151642EF"/>
    <w:rsid w:val="151E66BB"/>
    <w:rsid w:val="151F7158"/>
    <w:rsid w:val="152E7B73"/>
    <w:rsid w:val="153951E6"/>
    <w:rsid w:val="15487778"/>
    <w:rsid w:val="15496483"/>
    <w:rsid w:val="15730008"/>
    <w:rsid w:val="159C30C2"/>
    <w:rsid w:val="16087E1D"/>
    <w:rsid w:val="164A3E24"/>
    <w:rsid w:val="166A7919"/>
    <w:rsid w:val="167069E6"/>
    <w:rsid w:val="167D7355"/>
    <w:rsid w:val="1684557C"/>
    <w:rsid w:val="16AE5760"/>
    <w:rsid w:val="16DA719E"/>
    <w:rsid w:val="170924C6"/>
    <w:rsid w:val="17701D14"/>
    <w:rsid w:val="17735226"/>
    <w:rsid w:val="178E0864"/>
    <w:rsid w:val="17C35408"/>
    <w:rsid w:val="17D24A27"/>
    <w:rsid w:val="17F16B78"/>
    <w:rsid w:val="180A2E6A"/>
    <w:rsid w:val="186E164B"/>
    <w:rsid w:val="189F624C"/>
    <w:rsid w:val="18DC4807"/>
    <w:rsid w:val="192F3D27"/>
    <w:rsid w:val="193A751F"/>
    <w:rsid w:val="194235E6"/>
    <w:rsid w:val="194D6AA3"/>
    <w:rsid w:val="1983241E"/>
    <w:rsid w:val="19F14E19"/>
    <w:rsid w:val="19F60EE6"/>
    <w:rsid w:val="1A09570F"/>
    <w:rsid w:val="1A0A53A3"/>
    <w:rsid w:val="1A1C66C0"/>
    <w:rsid w:val="1A2C70C8"/>
    <w:rsid w:val="1A33440C"/>
    <w:rsid w:val="1A391787"/>
    <w:rsid w:val="1A3A17E5"/>
    <w:rsid w:val="1A42393B"/>
    <w:rsid w:val="1A5F0EA6"/>
    <w:rsid w:val="1A756108"/>
    <w:rsid w:val="1A8B7370"/>
    <w:rsid w:val="1A997D27"/>
    <w:rsid w:val="1AAD45DE"/>
    <w:rsid w:val="1AB44F1F"/>
    <w:rsid w:val="1ADC0AEE"/>
    <w:rsid w:val="1AF52A94"/>
    <w:rsid w:val="1B046F80"/>
    <w:rsid w:val="1B2D7212"/>
    <w:rsid w:val="1B3267B5"/>
    <w:rsid w:val="1B373F76"/>
    <w:rsid w:val="1B3C2F97"/>
    <w:rsid w:val="1B3D7BBC"/>
    <w:rsid w:val="1B40161D"/>
    <w:rsid w:val="1B441859"/>
    <w:rsid w:val="1B6606B1"/>
    <w:rsid w:val="1B831BF5"/>
    <w:rsid w:val="1B8371BB"/>
    <w:rsid w:val="1B9A7132"/>
    <w:rsid w:val="1C1222ED"/>
    <w:rsid w:val="1C3D057C"/>
    <w:rsid w:val="1C5E7925"/>
    <w:rsid w:val="1CA40DD2"/>
    <w:rsid w:val="1CC36C91"/>
    <w:rsid w:val="1CE7377A"/>
    <w:rsid w:val="1CFD070F"/>
    <w:rsid w:val="1D04432C"/>
    <w:rsid w:val="1D542101"/>
    <w:rsid w:val="1D5F6196"/>
    <w:rsid w:val="1D6132A5"/>
    <w:rsid w:val="1D807957"/>
    <w:rsid w:val="1D8B71EE"/>
    <w:rsid w:val="1D8E56D5"/>
    <w:rsid w:val="1D99671B"/>
    <w:rsid w:val="1DD81FE2"/>
    <w:rsid w:val="1DE73F9D"/>
    <w:rsid w:val="1E087E4C"/>
    <w:rsid w:val="1E663683"/>
    <w:rsid w:val="1E7A43DA"/>
    <w:rsid w:val="1EBE717A"/>
    <w:rsid w:val="1EE03759"/>
    <w:rsid w:val="1F03052C"/>
    <w:rsid w:val="1F110B58"/>
    <w:rsid w:val="1F18625A"/>
    <w:rsid w:val="1F4A5893"/>
    <w:rsid w:val="1F792543"/>
    <w:rsid w:val="1FC34680"/>
    <w:rsid w:val="1FE7539E"/>
    <w:rsid w:val="20671BE0"/>
    <w:rsid w:val="206F7D0E"/>
    <w:rsid w:val="207460B1"/>
    <w:rsid w:val="20963CB8"/>
    <w:rsid w:val="20A81A1B"/>
    <w:rsid w:val="20B07FB6"/>
    <w:rsid w:val="20B646FB"/>
    <w:rsid w:val="20E02300"/>
    <w:rsid w:val="213B74B1"/>
    <w:rsid w:val="215A2310"/>
    <w:rsid w:val="215E54E6"/>
    <w:rsid w:val="216A5400"/>
    <w:rsid w:val="21823B8C"/>
    <w:rsid w:val="21907168"/>
    <w:rsid w:val="219C08D4"/>
    <w:rsid w:val="219C708E"/>
    <w:rsid w:val="21BC5EDF"/>
    <w:rsid w:val="21DE318A"/>
    <w:rsid w:val="21E10E5D"/>
    <w:rsid w:val="21EF5B80"/>
    <w:rsid w:val="21F470DD"/>
    <w:rsid w:val="22576990"/>
    <w:rsid w:val="229D43AD"/>
    <w:rsid w:val="22F47480"/>
    <w:rsid w:val="23123443"/>
    <w:rsid w:val="232D469B"/>
    <w:rsid w:val="23741E67"/>
    <w:rsid w:val="23AF4E87"/>
    <w:rsid w:val="23DE1C48"/>
    <w:rsid w:val="23E9177B"/>
    <w:rsid w:val="240210CD"/>
    <w:rsid w:val="24183F9D"/>
    <w:rsid w:val="245E48CB"/>
    <w:rsid w:val="24AE73A8"/>
    <w:rsid w:val="24BA181B"/>
    <w:rsid w:val="24BF09F7"/>
    <w:rsid w:val="250C22DC"/>
    <w:rsid w:val="252D53FE"/>
    <w:rsid w:val="25490360"/>
    <w:rsid w:val="254D0CBC"/>
    <w:rsid w:val="25922CDA"/>
    <w:rsid w:val="25DC58C3"/>
    <w:rsid w:val="25E10AAA"/>
    <w:rsid w:val="25EC2D81"/>
    <w:rsid w:val="260235C4"/>
    <w:rsid w:val="26063567"/>
    <w:rsid w:val="26445C2A"/>
    <w:rsid w:val="2661634B"/>
    <w:rsid w:val="267B2081"/>
    <w:rsid w:val="26984BD1"/>
    <w:rsid w:val="269C7383"/>
    <w:rsid w:val="26BE69DD"/>
    <w:rsid w:val="27085738"/>
    <w:rsid w:val="2709602F"/>
    <w:rsid w:val="271C503E"/>
    <w:rsid w:val="271E423C"/>
    <w:rsid w:val="27233315"/>
    <w:rsid w:val="2758774E"/>
    <w:rsid w:val="276C041B"/>
    <w:rsid w:val="277057A2"/>
    <w:rsid w:val="278578D6"/>
    <w:rsid w:val="278B4C7A"/>
    <w:rsid w:val="27A00E5E"/>
    <w:rsid w:val="27B23302"/>
    <w:rsid w:val="27D86739"/>
    <w:rsid w:val="280B42F7"/>
    <w:rsid w:val="28245882"/>
    <w:rsid w:val="283578C2"/>
    <w:rsid w:val="2848299E"/>
    <w:rsid w:val="286949D5"/>
    <w:rsid w:val="288B76AF"/>
    <w:rsid w:val="28AF339E"/>
    <w:rsid w:val="28BC7C30"/>
    <w:rsid w:val="28C7710B"/>
    <w:rsid w:val="291D065C"/>
    <w:rsid w:val="29206EB8"/>
    <w:rsid w:val="29226266"/>
    <w:rsid w:val="29595666"/>
    <w:rsid w:val="295D104C"/>
    <w:rsid w:val="296068AE"/>
    <w:rsid w:val="29714AF7"/>
    <w:rsid w:val="29874881"/>
    <w:rsid w:val="29E325E0"/>
    <w:rsid w:val="29E35293"/>
    <w:rsid w:val="29E3739C"/>
    <w:rsid w:val="29E74DB9"/>
    <w:rsid w:val="2A403DF7"/>
    <w:rsid w:val="2A452503"/>
    <w:rsid w:val="2A5C52AB"/>
    <w:rsid w:val="2A6D3510"/>
    <w:rsid w:val="2AA809EC"/>
    <w:rsid w:val="2B204A27"/>
    <w:rsid w:val="2B247B51"/>
    <w:rsid w:val="2B9B527D"/>
    <w:rsid w:val="2BA936A8"/>
    <w:rsid w:val="2BB136A7"/>
    <w:rsid w:val="2BB807BB"/>
    <w:rsid w:val="2BB83445"/>
    <w:rsid w:val="2BC96E6C"/>
    <w:rsid w:val="2BD575BF"/>
    <w:rsid w:val="2BF90321"/>
    <w:rsid w:val="2C212804"/>
    <w:rsid w:val="2C245AA8"/>
    <w:rsid w:val="2C315A5A"/>
    <w:rsid w:val="2C3B3A31"/>
    <w:rsid w:val="2C4B1C25"/>
    <w:rsid w:val="2C5E2660"/>
    <w:rsid w:val="2C831189"/>
    <w:rsid w:val="2C9F3729"/>
    <w:rsid w:val="2CDF38A1"/>
    <w:rsid w:val="2CDF446E"/>
    <w:rsid w:val="2CE37ABA"/>
    <w:rsid w:val="2CF30308"/>
    <w:rsid w:val="2D1C7470"/>
    <w:rsid w:val="2D334EB3"/>
    <w:rsid w:val="2D963E78"/>
    <w:rsid w:val="2D9E07DF"/>
    <w:rsid w:val="2D9E56F5"/>
    <w:rsid w:val="2DAA4A7C"/>
    <w:rsid w:val="2DB677A0"/>
    <w:rsid w:val="2DE27D71"/>
    <w:rsid w:val="2DE31A25"/>
    <w:rsid w:val="2DE47F8D"/>
    <w:rsid w:val="2E0E2D85"/>
    <w:rsid w:val="2E324A68"/>
    <w:rsid w:val="2E4B1DBB"/>
    <w:rsid w:val="2E54210F"/>
    <w:rsid w:val="2E5A422C"/>
    <w:rsid w:val="2E667F96"/>
    <w:rsid w:val="2E6B41C1"/>
    <w:rsid w:val="2E786DB1"/>
    <w:rsid w:val="2E8226AB"/>
    <w:rsid w:val="2E9802EB"/>
    <w:rsid w:val="2EA429FB"/>
    <w:rsid w:val="2EA94438"/>
    <w:rsid w:val="2EB536D8"/>
    <w:rsid w:val="2EBC50A7"/>
    <w:rsid w:val="2EDA4EED"/>
    <w:rsid w:val="2F02587A"/>
    <w:rsid w:val="2F6C0892"/>
    <w:rsid w:val="2F89665E"/>
    <w:rsid w:val="2FA12712"/>
    <w:rsid w:val="2FC60DA0"/>
    <w:rsid w:val="2FC811E9"/>
    <w:rsid w:val="2FD065E6"/>
    <w:rsid w:val="2FD96870"/>
    <w:rsid w:val="3043714F"/>
    <w:rsid w:val="30580BC9"/>
    <w:rsid w:val="307C362A"/>
    <w:rsid w:val="309D4327"/>
    <w:rsid w:val="30B21407"/>
    <w:rsid w:val="30C95219"/>
    <w:rsid w:val="30FF0C3A"/>
    <w:rsid w:val="31172428"/>
    <w:rsid w:val="311E2ED7"/>
    <w:rsid w:val="315619EE"/>
    <w:rsid w:val="315C449C"/>
    <w:rsid w:val="31785047"/>
    <w:rsid w:val="31B53264"/>
    <w:rsid w:val="31B82709"/>
    <w:rsid w:val="31C2555B"/>
    <w:rsid w:val="31D05482"/>
    <w:rsid w:val="31D942DB"/>
    <w:rsid w:val="31E62A0D"/>
    <w:rsid w:val="31F54769"/>
    <w:rsid w:val="321270E3"/>
    <w:rsid w:val="32137308"/>
    <w:rsid w:val="32220A03"/>
    <w:rsid w:val="32290665"/>
    <w:rsid w:val="322F0F63"/>
    <w:rsid w:val="323316AC"/>
    <w:rsid w:val="323F1C36"/>
    <w:rsid w:val="32400B34"/>
    <w:rsid w:val="32827A03"/>
    <w:rsid w:val="329E6876"/>
    <w:rsid w:val="32B75C71"/>
    <w:rsid w:val="32FD564D"/>
    <w:rsid w:val="32FF3876"/>
    <w:rsid w:val="333015F2"/>
    <w:rsid w:val="33334E21"/>
    <w:rsid w:val="3345581D"/>
    <w:rsid w:val="334B6320"/>
    <w:rsid w:val="33613E2E"/>
    <w:rsid w:val="33872639"/>
    <w:rsid w:val="33997124"/>
    <w:rsid w:val="33A70ED3"/>
    <w:rsid w:val="33D934D4"/>
    <w:rsid w:val="33FE2F6A"/>
    <w:rsid w:val="340E07E5"/>
    <w:rsid w:val="34235BF7"/>
    <w:rsid w:val="3424227E"/>
    <w:rsid w:val="344809F4"/>
    <w:rsid w:val="34627E5E"/>
    <w:rsid w:val="34830A7E"/>
    <w:rsid w:val="348A1163"/>
    <w:rsid w:val="34D4033B"/>
    <w:rsid w:val="34E6781D"/>
    <w:rsid w:val="34E81C26"/>
    <w:rsid w:val="34EC483A"/>
    <w:rsid w:val="350B3584"/>
    <w:rsid w:val="35192EC2"/>
    <w:rsid w:val="35505F08"/>
    <w:rsid w:val="355B6B62"/>
    <w:rsid w:val="358B2ED7"/>
    <w:rsid w:val="358C5FA8"/>
    <w:rsid w:val="35B47C9C"/>
    <w:rsid w:val="35C15DF1"/>
    <w:rsid w:val="35C661CB"/>
    <w:rsid w:val="35D408E8"/>
    <w:rsid w:val="35E44BE1"/>
    <w:rsid w:val="35F1149A"/>
    <w:rsid w:val="36074A7F"/>
    <w:rsid w:val="363870C8"/>
    <w:rsid w:val="368F0CB2"/>
    <w:rsid w:val="36923549"/>
    <w:rsid w:val="36B75FBF"/>
    <w:rsid w:val="36BD0C45"/>
    <w:rsid w:val="36F378B9"/>
    <w:rsid w:val="377063EE"/>
    <w:rsid w:val="37B35255"/>
    <w:rsid w:val="37C16E92"/>
    <w:rsid w:val="37E00298"/>
    <w:rsid w:val="37F76B0F"/>
    <w:rsid w:val="3810119E"/>
    <w:rsid w:val="3820651E"/>
    <w:rsid w:val="382E5BC1"/>
    <w:rsid w:val="383D5141"/>
    <w:rsid w:val="38583222"/>
    <w:rsid w:val="388B485E"/>
    <w:rsid w:val="388F6D48"/>
    <w:rsid w:val="389A29C0"/>
    <w:rsid w:val="38B302F9"/>
    <w:rsid w:val="38F12CD3"/>
    <w:rsid w:val="38F94775"/>
    <w:rsid w:val="392971ED"/>
    <w:rsid w:val="39325651"/>
    <w:rsid w:val="3948510A"/>
    <w:rsid w:val="39846181"/>
    <w:rsid w:val="39C515A1"/>
    <w:rsid w:val="39C95547"/>
    <w:rsid w:val="39DA652D"/>
    <w:rsid w:val="3A0D61F4"/>
    <w:rsid w:val="3A105739"/>
    <w:rsid w:val="3A173499"/>
    <w:rsid w:val="3A197962"/>
    <w:rsid w:val="3A1E65D5"/>
    <w:rsid w:val="3A575643"/>
    <w:rsid w:val="3A66043D"/>
    <w:rsid w:val="3A687850"/>
    <w:rsid w:val="3A7106A1"/>
    <w:rsid w:val="3A872856"/>
    <w:rsid w:val="3AA36813"/>
    <w:rsid w:val="3AC0768C"/>
    <w:rsid w:val="3B3763D1"/>
    <w:rsid w:val="3B4C2E32"/>
    <w:rsid w:val="3B4D2370"/>
    <w:rsid w:val="3B8778B3"/>
    <w:rsid w:val="3BA040AE"/>
    <w:rsid w:val="3BEF4EE0"/>
    <w:rsid w:val="3BF40F79"/>
    <w:rsid w:val="3C2F6E1E"/>
    <w:rsid w:val="3C4B19E4"/>
    <w:rsid w:val="3C4F64BA"/>
    <w:rsid w:val="3C8E444E"/>
    <w:rsid w:val="3C8F5568"/>
    <w:rsid w:val="3CA408E8"/>
    <w:rsid w:val="3CC1149A"/>
    <w:rsid w:val="3CD80E39"/>
    <w:rsid w:val="3CDA245A"/>
    <w:rsid w:val="3CDA3B31"/>
    <w:rsid w:val="3CF115C3"/>
    <w:rsid w:val="3D1E06B7"/>
    <w:rsid w:val="3D384D4F"/>
    <w:rsid w:val="3D3F2540"/>
    <w:rsid w:val="3D3F6F8E"/>
    <w:rsid w:val="3DBA51E3"/>
    <w:rsid w:val="3DE32CE8"/>
    <w:rsid w:val="3DE418E4"/>
    <w:rsid w:val="3DEC2730"/>
    <w:rsid w:val="3E1321C9"/>
    <w:rsid w:val="3E1A70B4"/>
    <w:rsid w:val="3E1F0420"/>
    <w:rsid w:val="3E2E14D6"/>
    <w:rsid w:val="3E3D0B8E"/>
    <w:rsid w:val="3E4847BC"/>
    <w:rsid w:val="3E621DE3"/>
    <w:rsid w:val="3EAF1C78"/>
    <w:rsid w:val="3EC12687"/>
    <w:rsid w:val="3EDA0523"/>
    <w:rsid w:val="3EEC44D5"/>
    <w:rsid w:val="3F092162"/>
    <w:rsid w:val="3F0A2606"/>
    <w:rsid w:val="3F0F60F1"/>
    <w:rsid w:val="3F235AF6"/>
    <w:rsid w:val="3F57693D"/>
    <w:rsid w:val="3F612026"/>
    <w:rsid w:val="3F6767B9"/>
    <w:rsid w:val="3F746A62"/>
    <w:rsid w:val="3F7C45A9"/>
    <w:rsid w:val="3F9A526A"/>
    <w:rsid w:val="3FAE21A9"/>
    <w:rsid w:val="3FBD614B"/>
    <w:rsid w:val="3FC31862"/>
    <w:rsid w:val="3FC701BE"/>
    <w:rsid w:val="3FDE2144"/>
    <w:rsid w:val="3FE66AA0"/>
    <w:rsid w:val="3FFF4767"/>
    <w:rsid w:val="400C5122"/>
    <w:rsid w:val="4040582E"/>
    <w:rsid w:val="40491ED2"/>
    <w:rsid w:val="405C1C05"/>
    <w:rsid w:val="407A6407"/>
    <w:rsid w:val="407F6492"/>
    <w:rsid w:val="40A80B65"/>
    <w:rsid w:val="40D847A6"/>
    <w:rsid w:val="412E0E49"/>
    <w:rsid w:val="413D6362"/>
    <w:rsid w:val="41605725"/>
    <w:rsid w:val="41777012"/>
    <w:rsid w:val="417D75F5"/>
    <w:rsid w:val="4183522A"/>
    <w:rsid w:val="4187751F"/>
    <w:rsid w:val="419D4283"/>
    <w:rsid w:val="41CB4852"/>
    <w:rsid w:val="41EE3013"/>
    <w:rsid w:val="4200449D"/>
    <w:rsid w:val="420267DC"/>
    <w:rsid w:val="421E1A3B"/>
    <w:rsid w:val="423746D8"/>
    <w:rsid w:val="423948E8"/>
    <w:rsid w:val="423A3BCC"/>
    <w:rsid w:val="424E57D2"/>
    <w:rsid w:val="42621029"/>
    <w:rsid w:val="429530D5"/>
    <w:rsid w:val="42AB6962"/>
    <w:rsid w:val="42B26C49"/>
    <w:rsid w:val="42D02437"/>
    <w:rsid w:val="42D261AF"/>
    <w:rsid w:val="43064F91"/>
    <w:rsid w:val="431C0A83"/>
    <w:rsid w:val="433A6FE6"/>
    <w:rsid w:val="43480868"/>
    <w:rsid w:val="4350713C"/>
    <w:rsid w:val="435E2C9D"/>
    <w:rsid w:val="43616F95"/>
    <w:rsid w:val="436653E0"/>
    <w:rsid w:val="438737E8"/>
    <w:rsid w:val="43C4431A"/>
    <w:rsid w:val="43D7798C"/>
    <w:rsid w:val="43ED745F"/>
    <w:rsid w:val="44177A69"/>
    <w:rsid w:val="44232DA7"/>
    <w:rsid w:val="443C2684"/>
    <w:rsid w:val="44416AB2"/>
    <w:rsid w:val="444B1F13"/>
    <w:rsid w:val="44554C2A"/>
    <w:rsid w:val="44623E3E"/>
    <w:rsid w:val="447C0557"/>
    <w:rsid w:val="44801C3A"/>
    <w:rsid w:val="44B70FFD"/>
    <w:rsid w:val="44B951CC"/>
    <w:rsid w:val="44CD14E0"/>
    <w:rsid w:val="44D3620E"/>
    <w:rsid w:val="44D70DDE"/>
    <w:rsid w:val="44F20B0B"/>
    <w:rsid w:val="450D1720"/>
    <w:rsid w:val="45102FBE"/>
    <w:rsid w:val="452E5F4C"/>
    <w:rsid w:val="45300E16"/>
    <w:rsid w:val="45342686"/>
    <w:rsid w:val="453E18DA"/>
    <w:rsid w:val="45540D78"/>
    <w:rsid w:val="455972A2"/>
    <w:rsid w:val="455B1CFA"/>
    <w:rsid w:val="45602464"/>
    <w:rsid w:val="45612018"/>
    <w:rsid w:val="45724DAC"/>
    <w:rsid w:val="45772895"/>
    <w:rsid w:val="458946E9"/>
    <w:rsid w:val="45941E41"/>
    <w:rsid w:val="45A47C0E"/>
    <w:rsid w:val="45B9761B"/>
    <w:rsid w:val="45C01824"/>
    <w:rsid w:val="45C619DD"/>
    <w:rsid w:val="45CB70AD"/>
    <w:rsid w:val="45E5269D"/>
    <w:rsid w:val="45F12D3D"/>
    <w:rsid w:val="45FF02BD"/>
    <w:rsid w:val="461E170B"/>
    <w:rsid w:val="463D7533"/>
    <w:rsid w:val="46577FD6"/>
    <w:rsid w:val="465A0995"/>
    <w:rsid w:val="467F03FC"/>
    <w:rsid w:val="46963A2E"/>
    <w:rsid w:val="46A377BC"/>
    <w:rsid w:val="46AE66F7"/>
    <w:rsid w:val="46B24E57"/>
    <w:rsid w:val="46B644E9"/>
    <w:rsid w:val="46BC1F6E"/>
    <w:rsid w:val="46C75769"/>
    <w:rsid w:val="46D36999"/>
    <w:rsid w:val="46D9135A"/>
    <w:rsid w:val="46D9326C"/>
    <w:rsid w:val="46D955A7"/>
    <w:rsid w:val="46F47E12"/>
    <w:rsid w:val="47133957"/>
    <w:rsid w:val="471D1DD1"/>
    <w:rsid w:val="47215957"/>
    <w:rsid w:val="47455D89"/>
    <w:rsid w:val="475B79A6"/>
    <w:rsid w:val="47A07E0C"/>
    <w:rsid w:val="480E036D"/>
    <w:rsid w:val="480F155C"/>
    <w:rsid w:val="481E1CC3"/>
    <w:rsid w:val="482623A4"/>
    <w:rsid w:val="48541414"/>
    <w:rsid w:val="485B6C46"/>
    <w:rsid w:val="4870272E"/>
    <w:rsid w:val="488E74A1"/>
    <w:rsid w:val="48F50E49"/>
    <w:rsid w:val="49184B37"/>
    <w:rsid w:val="492E7EB7"/>
    <w:rsid w:val="495410DB"/>
    <w:rsid w:val="49966612"/>
    <w:rsid w:val="499D06D1"/>
    <w:rsid w:val="49DC7715"/>
    <w:rsid w:val="49F75AA8"/>
    <w:rsid w:val="49FB423D"/>
    <w:rsid w:val="4A023139"/>
    <w:rsid w:val="4A190B67"/>
    <w:rsid w:val="4A454B8F"/>
    <w:rsid w:val="4A565917"/>
    <w:rsid w:val="4A7B576F"/>
    <w:rsid w:val="4A7F4E6E"/>
    <w:rsid w:val="4AD45146"/>
    <w:rsid w:val="4AE274E7"/>
    <w:rsid w:val="4AEB5669"/>
    <w:rsid w:val="4AF561A9"/>
    <w:rsid w:val="4BA14F47"/>
    <w:rsid w:val="4BE807F1"/>
    <w:rsid w:val="4C11151C"/>
    <w:rsid w:val="4C151694"/>
    <w:rsid w:val="4C3605C6"/>
    <w:rsid w:val="4C3C3A0C"/>
    <w:rsid w:val="4C4004C8"/>
    <w:rsid w:val="4C4A0649"/>
    <w:rsid w:val="4C567E51"/>
    <w:rsid w:val="4C6B5F9F"/>
    <w:rsid w:val="4C7E5ECA"/>
    <w:rsid w:val="4C876AA5"/>
    <w:rsid w:val="4CA03BD5"/>
    <w:rsid w:val="4CCB6A55"/>
    <w:rsid w:val="4CF104DF"/>
    <w:rsid w:val="4D025288"/>
    <w:rsid w:val="4D0E00FB"/>
    <w:rsid w:val="4D176606"/>
    <w:rsid w:val="4D203FBB"/>
    <w:rsid w:val="4D341F49"/>
    <w:rsid w:val="4D7F6F33"/>
    <w:rsid w:val="4DAC2DF6"/>
    <w:rsid w:val="4DAE03C1"/>
    <w:rsid w:val="4DBD06ED"/>
    <w:rsid w:val="4DC53BA6"/>
    <w:rsid w:val="4DCA1553"/>
    <w:rsid w:val="4DEC4FB0"/>
    <w:rsid w:val="4E075D8A"/>
    <w:rsid w:val="4E2241C3"/>
    <w:rsid w:val="4E323FA5"/>
    <w:rsid w:val="4EC00FAD"/>
    <w:rsid w:val="4EC80B14"/>
    <w:rsid w:val="4F44149E"/>
    <w:rsid w:val="4F5A4BDB"/>
    <w:rsid w:val="4F8E5B53"/>
    <w:rsid w:val="4F9843DC"/>
    <w:rsid w:val="4FC62A8C"/>
    <w:rsid w:val="4FD1135C"/>
    <w:rsid w:val="4FE20F0D"/>
    <w:rsid w:val="4FE51552"/>
    <w:rsid w:val="4FE87E96"/>
    <w:rsid w:val="500B2D00"/>
    <w:rsid w:val="501228FF"/>
    <w:rsid w:val="50504C4B"/>
    <w:rsid w:val="5061226F"/>
    <w:rsid w:val="50770396"/>
    <w:rsid w:val="50954FC9"/>
    <w:rsid w:val="509C6E7C"/>
    <w:rsid w:val="50C50E56"/>
    <w:rsid w:val="50C94F86"/>
    <w:rsid w:val="50D41178"/>
    <w:rsid w:val="51354F21"/>
    <w:rsid w:val="5162104E"/>
    <w:rsid w:val="517F7502"/>
    <w:rsid w:val="519570B8"/>
    <w:rsid w:val="51B573C7"/>
    <w:rsid w:val="51D00ACA"/>
    <w:rsid w:val="51DD06CC"/>
    <w:rsid w:val="51F6353C"/>
    <w:rsid w:val="5253098E"/>
    <w:rsid w:val="527F1783"/>
    <w:rsid w:val="52A67493"/>
    <w:rsid w:val="5308546C"/>
    <w:rsid w:val="532A715E"/>
    <w:rsid w:val="532C36B9"/>
    <w:rsid w:val="5332099B"/>
    <w:rsid w:val="5339476F"/>
    <w:rsid w:val="534516DE"/>
    <w:rsid w:val="53510B61"/>
    <w:rsid w:val="53755060"/>
    <w:rsid w:val="5385179E"/>
    <w:rsid w:val="53A039CC"/>
    <w:rsid w:val="53A1505A"/>
    <w:rsid w:val="53B315A2"/>
    <w:rsid w:val="53E45D42"/>
    <w:rsid w:val="54063E08"/>
    <w:rsid w:val="542919A7"/>
    <w:rsid w:val="542C7F43"/>
    <w:rsid w:val="54300E25"/>
    <w:rsid w:val="543437E8"/>
    <w:rsid w:val="546C32D0"/>
    <w:rsid w:val="546E1EB9"/>
    <w:rsid w:val="54CD141F"/>
    <w:rsid w:val="54F73313"/>
    <w:rsid w:val="54F80955"/>
    <w:rsid w:val="552D3D96"/>
    <w:rsid w:val="55312E04"/>
    <w:rsid w:val="555170A7"/>
    <w:rsid w:val="55572544"/>
    <w:rsid w:val="555A1026"/>
    <w:rsid w:val="555C1CB0"/>
    <w:rsid w:val="556E0B7E"/>
    <w:rsid w:val="55726D96"/>
    <w:rsid w:val="55733EA8"/>
    <w:rsid w:val="5587536D"/>
    <w:rsid w:val="558F5E13"/>
    <w:rsid w:val="55997109"/>
    <w:rsid w:val="559B174B"/>
    <w:rsid w:val="55CE0CF4"/>
    <w:rsid w:val="55E62245"/>
    <w:rsid w:val="56075D18"/>
    <w:rsid w:val="56356D29"/>
    <w:rsid w:val="5639656F"/>
    <w:rsid w:val="565F68F0"/>
    <w:rsid w:val="5663592E"/>
    <w:rsid w:val="56963DC0"/>
    <w:rsid w:val="56AD5734"/>
    <w:rsid w:val="56AE2637"/>
    <w:rsid w:val="56B22A9C"/>
    <w:rsid w:val="56D20B13"/>
    <w:rsid w:val="56D54068"/>
    <w:rsid w:val="56F12761"/>
    <w:rsid w:val="57017EEF"/>
    <w:rsid w:val="578D049F"/>
    <w:rsid w:val="57AC6B77"/>
    <w:rsid w:val="57B72A76"/>
    <w:rsid w:val="57C3426C"/>
    <w:rsid w:val="57CE1F93"/>
    <w:rsid w:val="57CE2F91"/>
    <w:rsid w:val="57E13CBE"/>
    <w:rsid w:val="57F575D5"/>
    <w:rsid w:val="58354DBE"/>
    <w:rsid w:val="58585BE6"/>
    <w:rsid w:val="588743D1"/>
    <w:rsid w:val="5887701A"/>
    <w:rsid w:val="5933709C"/>
    <w:rsid w:val="593A6F82"/>
    <w:rsid w:val="59470334"/>
    <w:rsid w:val="594F45CB"/>
    <w:rsid w:val="597A40A4"/>
    <w:rsid w:val="598002F8"/>
    <w:rsid w:val="59A04004"/>
    <w:rsid w:val="59C0439F"/>
    <w:rsid w:val="59CB0A78"/>
    <w:rsid w:val="59FE51CE"/>
    <w:rsid w:val="5A040EEC"/>
    <w:rsid w:val="5A160C1F"/>
    <w:rsid w:val="5A3344C9"/>
    <w:rsid w:val="5A457904"/>
    <w:rsid w:val="5AB32912"/>
    <w:rsid w:val="5AB722E3"/>
    <w:rsid w:val="5ABE2233"/>
    <w:rsid w:val="5ABF47B7"/>
    <w:rsid w:val="5AF745AD"/>
    <w:rsid w:val="5B8B1AB5"/>
    <w:rsid w:val="5BB16E51"/>
    <w:rsid w:val="5BB917A0"/>
    <w:rsid w:val="5BCA7F13"/>
    <w:rsid w:val="5BDF5D95"/>
    <w:rsid w:val="5BFE7528"/>
    <w:rsid w:val="5C054C89"/>
    <w:rsid w:val="5C1319C2"/>
    <w:rsid w:val="5C140166"/>
    <w:rsid w:val="5C250A68"/>
    <w:rsid w:val="5C466E0C"/>
    <w:rsid w:val="5C49185B"/>
    <w:rsid w:val="5C590EB4"/>
    <w:rsid w:val="5C5D0D87"/>
    <w:rsid w:val="5C693EE3"/>
    <w:rsid w:val="5C98725E"/>
    <w:rsid w:val="5CAC6809"/>
    <w:rsid w:val="5CAF70CE"/>
    <w:rsid w:val="5CD5091E"/>
    <w:rsid w:val="5CD8418D"/>
    <w:rsid w:val="5CE40B61"/>
    <w:rsid w:val="5CEB4C0A"/>
    <w:rsid w:val="5D196A4E"/>
    <w:rsid w:val="5D1B4FAF"/>
    <w:rsid w:val="5D2673CB"/>
    <w:rsid w:val="5D2D69AC"/>
    <w:rsid w:val="5D2F6ACB"/>
    <w:rsid w:val="5D4930BA"/>
    <w:rsid w:val="5D5B3FA4"/>
    <w:rsid w:val="5D972035"/>
    <w:rsid w:val="5DA33F6C"/>
    <w:rsid w:val="5DB627D2"/>
    <w:rsid w:val="5DDB72AF"/>
    <w:rsid w:val="5DFE3EA4"/>
    <w:rsid w:val="5E056FE1"/>
    <w:rsid w:val="5E0753DE"/>
    <w:rsid w:val="5E1C7C38"/>
    <w:rsid w:val="5E2467F1"/>
    <w:rsid w:val="5E2C54B4"/>
    <w:rsid w:val="5E671FEF"/>
    <w:rsid w:val="5E9D36BD"/>
    <w:rsid w:val="5EC21376"/>
    <w:rsid w:val="5EEF18DC"/>
    <w:rsid w:val="5EFD0600"/>
    <w:rsid w:val="5F0309A3"/>
    <w:rsid w:val="5F1A2B43"/>
    <w:rsid w:val="5F1E2439"/>
    <w:rsid w:val="5F2265C6"/>
    <w:rsid w:val="5F380C71"/>
    <w:rsid w:val="5FB837BB"/>
    <w:rsid w:val="5FD05F75"/>
    <w:rsid w:val="5FD17AC2"/>
    <w:rsid w:val="60075918"/>
    <w:rsid w:val="603652FB"/>
    <w:rsid w:val="604C2F6B"/>
    <w:rsid w:val="606F5ABB"/>
    <w:rsid w:val="60787F3E"/>
    <w:rsid w:val="60CC405A"/>
    <w:rsid w:val="60D71792"/>
    <w:rsid w:val="60E9574C"/>
    <w:rsid w:val="61075918"/>
    <w:rsid w:val="61096DE8"/>
    <w:rsid w:val="613E54C9"/>
    <w:rsid w:val="61413514"/>
    <w:rsid w:val="61477910"/>
    <w:rsid w:val="615A3AE7"/>
    <w:rsid w:val="61736B99"/>
    <w:rsid w:val="61BD49A3"/>
    <w:rsid w:val="61CB6793"/>
    <w:rsid w:val="61DE64C6"/>
    <w:rsid w:val="61E215D8"/>
    <w:rsid w:val="61E67AB7"/>
    <w:rsid w:val="61F60F86"/>
    <w:rsid w:val="621B3775"/>
    <w:rsid w:val="622C3F47"/>
    <w:rsid w:val="62364782"/>
    <w:rsid w:val="624A3B5C"/>
    <w:rsid w:val="62743C81"/>
    <w:rsid w:val="627A5021"/>
    <w:rsid w:val="629F7937"/>
    <w:rsid w:val="62B34C0B"/>
    <w:rsid w:val="62C03E1E"/>
    <w:rsid w:val="62C05BCC"/>
    <w:rsid w:val="62C423F5"/>
    <w:rsid w:val="62DF27EF"/>
    <w:rsid w:val="630339EA"/>
    <w:rsid w:val="63051831"/>
    <w:rsid w:val="63153955"/>
    <w:rsid w:val="63275C4B"/>
    <w:rsid w:val="63365FCF"/>
    <w:rsid w:val="63443A46"/>
    <w:rsid w:val="63617874"/>
    <w:rsid w:val="63665435"/>
    <w:rsid w:val="6394356A"/>
    <w:rsid w:val="63C61B2C"/>
    <w:rsid w:val="63D40BE9"/>
    <w:rsid w:val="63E209B2"/>
    <w:rsid w:val="63E678B4"/>
    <w:rsid w:val="640D4E41"/>
    <w:rsid w:val="64102431"/>
    <w:rsid w:val="64534F2D"/>
    <w:rsid w:val="648A5978"/>
    <w:rsid w:val="649309E0"/>
    <w:rsid w:val="64A5243A"/>
    <w:rsid w:val="64A9436E"/>
    <w:rsid w:val="64F531DE"/>
    <w:rsid w:val="6525440C"/>
    <w:rsid w:val="65373578"/>
    <w:rsid w:val="6543036F"/>
    <w:rsid w:val="65546503"/>
    <w:rsid w:val="65561E5B"/>
    <w:rsid w:val="65750EF0"/>
    <w:rsid w:val="657A200F"/>
    <w:rsid w:val="65FB7383"/>
    <w:rsid w:val="662238C9"/>
    <w:rsid w:val="665171D4"/>
    <w:rsid w:val="665500FE"/>
    <w:rsid w:val="66816F97"/>
    <w:rsid w:val="668D2269"/>
    <w:rsid w:val="66903B07"/>
    <w:rsid w:val="66DE0D17"/>
    <w:rsid w:val="670F7122"/>
    <w:rsid w:val="671F124A"/>
    <w:rsid w:val="67702548"/>
    <w:rsid w:val="677A33C6"/>
    <w:rsid w:val="67A4786A"/>
    <w:rsid w:val="67B271B6"/>
    <w:rsid w:val="67BD5444"/>
    <w:rsid w:val="67DB7004"/>
    <w:rsid w:val="681F6961"/>
    <w:rsid w:val="68283BCA"/>
    <w:rsid w:val="685017A0"/>
    <w:rsid w:val="685E62D1"/>
    <w:rsid w:val="68610A2F"/>
    <w:rsid w:val="68805514"/>
    <w:rsid w:val="6886617A"/>
    <w:rsid w:val="689A24F0"/>
    <w:rsid w:val="68C63DC2"/>
    <w:rsid w:val="68EF0FB9"/>
    <w:rsid w:val="69252C2D"/>
    <w:rsid w:val="69272501"/>
    <w:rsid w:val="69316E2F"/>
    <w:rsid w:val="694E2071"/>
    <w:rsid w:val="69766163"/>
    <w:rsid w:val="697A3B33"/>
    <w:rsid w:val="697B6554"/>
    <w:rsid w:val="699851AD"/>
    <w:rsid w:val="69C26788"/>
    <w:rsid w:val="69D44760"/>
    <w:rsid w:val="6A120A05"/>
    <w:rsid w:val="6A24654A"/>
    <w:rsid w:val="6A520EC7"/>
    <w:rsid w:val="6A7A31EA"/>
    <w:rsid w:val="6A920310"/>
    <w:rsid w:val="6A9A31A7"/>
    <w:rsid w:val="6AAC30B7"/>
    <w:rsid w:val="6AB77967"/>
    <w:rsid w:val="6AF87E20"/>
    <w:rsid w:val="6B322639"/>
    <w:rsid w:val="6B39651C"/>
    <w:rsid w:val="6B5261AD"/>
    <w:rsid w:val="6B6767F1"/>
    <w:rsid w:val="6B99345E"/>
    <w:rsid w:val="6BCD3CC0"/>
    <w:rsid w:val="6BF344BD"/>
    <w:rsid w:val="6C285B65"/>
    <w:rsid w:val="6C636C38"/>
    <w:rsid w:val="6C837EA9"/>
    <w:rsid w:val="6C996482"/>
    <w:rsid w:val="6CB636E4"/>
    <w:rsid w:val="6CCE0EE6"/>
    <w:rsid w:val="6D3A657B"/>
    <w:rsid w:val="6D6E3BCD"/>
    <w:rsid w:val="6D9F7A7E"/>
    <w:rsid w:val="6DAB39D8"/>
    <w:rsid w:val="6DB34098"/>
    <w:rsid w:val="6DB545B6"/>
    <w:rsid w:val="6DD442E6"/>
    <w:rsid w:val="6DE02FB4"/>
    <w:rsid w:val="6DF42BCE"/>
    <w:rsid w:val="6DFD1A82"/>
    <w:rsid w:val="6E414F53"/>
    <w:rsid w:val="6E514CED"/>
    <w:rsid w:val="6E5A67D3"/>
    <w:rsid w:val="6E5D4C17"/>
    <w:rsid w:val="6E95615F"/>
    <w:rsid w:val="6EA75E92"/>
    <w:rsid w:val="6EB563D5"/>
    <w:rsid w:val="6EC95E08"/>
    <w:rsid w:val="6ED92677"/>
    <w:rsid w:val="6EEF7934"/>
    <w:rsid w:val="6F225983"/>
    <w:rsid w:val="6F2311AD"/>
    <w:rsid w:val="6F4306FA"/>
    <w:rsid w:val="6F685621"/>
    <w:rsid w:val="6FA40587"/>
    <w:rsid w:val="6FC950E3"/>
    <w:rsid w:val="6FE3019F"/>
    <w:rsid w:val="6FF04B68"/>
    <w:rsid w:val="6FF17BF3"/>
    <w:rsid w:val="6FF537DF"/>
    <w:rsid w:val="6FFC5590"/>
    <w:rsid w:val="6FFC58A5"/>
    <w:rsid w:val="70384367"/>
    <w:rsid w:val="7056191E"/>
    <w:rsid w:val="7060279C"/>
    <w:rsid w:val="706D1DD0"/>
    <w:rsid w:val="706F38C9"/>
    <w:rsid w:val="70856B87"/>
    <w:rsid w:val="70A02B99"/>
    <w:rsid w:val="70A505C5"/>
    <w:rsid w:val="70C247CF"/>
    <w:rsid w:val="70C96594"/>
    <w:rsid w:val="70CF6DAE"/>
    <w:rsid w:val="70D527EE"/>
    <w:rsid w:val="70E67CDC"/>
    <w:rsid w:val="710C2C99"/>
    <w:rsid w:val="711772FF"/>
    <w:rsid w:val="713762CB"/>
    <w:rsid w:val="715776FB"/>
    <w:rsid w:val="715B5300"/>
    <w:rsid w:val="71D27F8A"/>
    <w:rsid w:val="71D670BC"/>
    <w:rsid w:val="71FB09CF"/>
    <w:rsid w:val="72116E9D"/>
    <w:rsid w:val="72553024"/>
    <w:rsid w:val="726D7C03"/>
    <w:rsid w:val="7287390F"/>
    <w:rsid w:val="72E27499"/>
    <w:rsid w:val="72E8799F"/>
    <w:rsid w:val="73122968"/>
    <w:rsid w:val="731559C0"/>
    <w:rsid w:val="731F5D5E"/>
    <w:rsid w:val="73B656C9"/>
    <w:rsid w:val="73C51AD5"/>
    <w:rsid w:val="73C972A5"/>
    <w:rsid w:val="73CB67D8"/>
    <w:rsid w:val="73EF00BF"/>
    <w:rsid w:val="741E793C"/>
    <w:rsid w:val="745E3944"/>
    <w:rsid w:val="74946027"/>
    <w:rsid w:val="74A51B83"/>
    <w:rsid w:val="74E67783"/>
    <w:rsid w:val="75294B8D"/>
    <w:rsid w:val="75471D02"/>
    <w:rsid w:val="755215C1"/>
    <w:rsid w:val="75740243"/>
    <w:rsid w:val="758A3D23"/>
    <w:rsid w:val="75B25848"/>
    <w:rsid w:val="75BA1B30"/>
    <w:rsid w:val="75E30307"/>
    <w:rsid w:val="761B12BF"/>
    <w:rsid w:val="7635099D"/>
    <w:rsid w:val="76547EDE"/>
    <w:rsid w:val="76A42DDB"/>
    <w:rsid w:val="76C75323"/>
    <w:rsid w:val="76D35A76"/>
    <w:rsid w:val="775F555C"/>
    <w:rsid w:val="77762421"/>
    <w:rsid w:val="778A2F0E"/>
    <w:rsid w:val="77B56B1F"/>
    <w:rsid w:val="77DC65A4"/>
    <w:rsid w:val="77DE0B76"/>
    <w:rsid w:val="780F09F4"/>
    <w:rsid w:val="78280044"/>
    <w:rsid w:val="784A3A84"/>
    <w:rsid w:val="784D3240"/>
    <w:rsid w:val="786249B4"/>
    <w:rsid w:val="787A4F32"/>
    <w:rsid w:val="78886285"/>
    <w:rsid w:val="78A90480"/>
    <w:rsid w:val="78AC47D1"/>
    <w:rsid w:val="791C694A"/>
    <w:rsid w:val="795F0BF4"/>
    <w:rsid w:val="7A0423D2"/>
    <w:rsid w:val="7A262361"/>
    <w:rsid w:val="7A2D2AD5"/>
    <w:rsid w:val="7A364017"/>
    <w:rsid w:val="7A8265E1"/>
    <w:rsid w:val="7AAD2A82"/>
    <w:rsid w:val="7AAE6ADC"/>
    <w:rsid w:val="7ADE0E8D"/>
    <w:rsid w:val="7B03623F"/>
    <w:rsid w:val="7B430918"/>
    <w:rsid w:val="7B660B9C"/>
    <w:rsid w:val="7B686D42"/>
    <w:rsid w:val="7B6B0973"/>
    <w:rsid w:val="7B7A2964"/>
    <w:rsid w:val="7B7D77C8"/>
    <w:rsid w:val="7B841746"/>
    <w:rsid w:val="7BD81E0F"/>
    <w:rsid w:val="7BD8392F"/>
    <w:rsid w:val="7BE9165B"/>
    <w:rsid w:val="7C3A6597"/>
    <w:rsid w:val="7C3F1FC9"/>
    <w:rsid w:val="7C653614"/>
    <w:rsid w:val="7C6C5AC7"/>
    <w:rsid w:val="7C855A65"/>
    <w:rsid w:val="7CC6544B"/>
    <w:rsid w:val="7D0239FF"/>
    <w:rsid w:val="7D330E3C"/>
    <w:rsid w:val="7D537911"/>
    <w:rsid w:val="7D586CD5"/>
    <w:rsid w:val="7D5E40CD"/>
    <w:rsid w:val="7D8A28E7"/>
    <w:rsid w:val="7D8C0C80"/>
    <w:rsid w:val="7D9F2B56"/>
    <w:rsid w:val="7DB0216B"/>
    <w:rsid w:val="7DB96FC9"/>
    <w:rsid w:val="7DCD56F2"/>
    <w:rsid w:val="7DF95B83"/>
    <w:rsid w:val="7E0058D5"/>
    <w:rsid w:val="7E16239F"/>
    <w:rsid w:val="7E2E64E4"/>
    <w:rsid w:val="7E3314F0"/>
    <w:rsid w:val="7E782F98"/>
    <w:rsid w:val="7F001CE7"/>
    <w:rsid w:val="7F3726A7"/>
    <w:rsid w:val="7F584A90"/>
    <w:rsid w:val="7F6D27E0"/>
    <w:rsid w:val="7FBF128D"/>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9"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qFormat="1" w:unhideWhenUsed="0" w:uiPriority="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iPriority="99"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iPriority="0" w:name="HTML Preformatted" w:locked="1"/>
    <w:lsdException w:unhideWhenUsed="0" w:uiPriority="0" w:semiHidden="0" w:name="HTML Sample" w:locked="1"/>
    <w:lsdException w:unhideWhenUsed="0" w:uiPriority="0" w:semiHidden="0" w:name="HTML Typewriter" w:locked="1"/>
    <w:lsdException w:uiPriority="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37"/>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138"/>
    <w:unhideWhenUsed/>
    <w:qFormat/>
    <w:locked/>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4">
    <w:name w:val="Normal Indent"/>
    <w:basedOn w:val="1"/>
    <w:next w:val="1"/>
    <w:qFormat/>
    <w:locked/>
    <w:uiPriority w:val="0"/>
    <w:pPr>
      <w:spacing w:line="460" w:lineRule="atLeast"/>
      <w:ind w:firstLine="420"/>
    </w:pPr>
    <w:rPr>
      <w:rFonts w:ascii="Calibri" w:hAnsi="Calibri"/>
      <w:sz w:val="24"/>
    </w:rPr>
  </w:style>
  <w:style w:type="paragraph" w:styleId="5">
    <w:name w:val="toa heading"/>
    <w:basedOn w:val="1"/>
    <w:next w:val="1"/>
    <w:semiHidden/>
    <w:qFormat/>
    <w:locked/>
    <w:uiPriority w:val="0"/>
    <w:pPr>
      <w:spacing w:before="120"/>
    </w:pPr>
    <w:rPr>
      <w:rFonts w:ascii="Arial"/>
      <w:kern w:val="0"/>
      <w:szCs w:val="20"/>
    </w:rPr>
  </w:style>
  <w:style w:type="paragraph" w:styleId="6">
    <w:name w:val="annotation text"/>
    <w:basedOn w:val="1"/>
    <w:link w:val="49"/>
    <w:qFormat/>
    <w:uiPriority w:val="0"/>
    <w:pPr>
      <w:jc w:val="left"/>
    </w:pPr>
    <w:rPr>
      <w:kern w:val="0"/>
      <w:sz w:val="24"/>
      <w:szCs w:val="20"/>
    </w:rPr>
  </w:style>
  <w:style w:type="paragraph" w:styleId="7">
    <w:name w:val="Body Text"/>
    <w:basedOn w:val="1"/>
    <w:next w:val="8"/>
    <w:link w:val="48"/>
    <w:qFormat/>
    <w:uiPriority w:val="0"/>
    <w:pPr>
      <w:widowControl/>
      <w:snapToGrid w:val="0"/>
      <w:spacing w:before="60" w:after="160" w:line="259" w:lineRule="auto"/>
      <w:ind w:right="113"/>
    </w:pPr>
    <w:rPr>
      <w:kern w:val="0"/>
      <w:sz w:val="18"/>
      <w:szCs w:val="20"/>
    </w:rPr>
  </w:style>
  <w:style w:type="paragraph" w:customStyle="1" w:styleId="8">
    <w:name w:val="Normal (Web)1"/>
    <w:basedOn w:val="1"/>
    <w:next w:val="9"/>
    <w:qFormat/>
    <w:uiPriority w:val="0"/>
    <w:pPr>
      <w:widowControl/>
    </w:pPr>
    <w:rPr>
      <w:rFonts w:ascii="宋体" w:hAnsi="Calibri"/>
      <w:sz w:val="24"/>
      <w:szCs w:val="21"/>
    </w:rPr>
  </w:style>
  <w:style w:type="paragraph" w:customStyle="1" w:styleId="9">
    <w:name w:val="Date1"/>
    <w:basedOn w:val="1"/>
    <w:next w:val="1"/>
    <w:qFormat/>
    <w:uiPriority w:val="0"/>
    <w:pPr>
      <w:ind w:left="2500" w:leftChars="2500"/>
    </w:pPr>
  </w:style>
  <w:style w:type="paragraph" w:styleId="10">
    <w:name w:val="Body Text Indent"/>
    <w:basedOn w:val="1"/>
    <w:next w:val="11"/>
    <w:link w:val="57"/>
    <w:qFormat/>
    <w:uiPriority w:val="0"/>
    <w:pPr>
      <w:spacing w:after="120"/>
      <w:ind w:left="420" w:leftChars="200"/>
    </w:pPr>
    <w:rPr>
      <w:kern w:val="0"/>
      <w:sz w:val="24"/>
      <w:szCs w:val="20"/>
    </w:rPr>
  </w:style>
  <w:style w:type="paragraph" w:styleId="11">
    <w:name w:val="header"/>
    <w:basedOn w:val="1"/>
    <w:next w:val="12"/>
    <w:link w:val="55"/>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2">
    <w:name w:val="样式5"/>
    <w:basedOn w:val="13"/>
    <w:next w:val="1"/>
    <w:qFormat/>
    <w:uiPriority w:val="0"/>
    <w:pPr>
      <w:spacing w:line="380" w:lineRule="exact"/>
      <w:ind w:firstLine="566" w:firstLineChars="202"/>
    </w:pPr>
    <w:rPr>
      <w:rFonts w:eastAsia="华文行楷"/>
      <w:sz w:val="24"/>
    </w:rPr>
  </w:style>
  <w:style w:type="paragraph" w:customStyle="1" w:styleId="13">
    <w:name w:val="正文1"/>
    <w:basedOn w:val="7"/>
    <w:next w:val="1"/>
    <w:autoRedefine/>
    <w:qFormat/>
    <w:uiPriority w:val="99"/>
    <w:pPr>
      <w:widowControl w:val="0"/>
      <w:adjustRightInd w:val="0"/>
      <w:spacing w:line="360" w:lineRule="atLeast"/>
    </w:pPr>
    <w:rPr>
      <w:rFonts w:ascii="宋体" w:hAnsi="Times New Roman" w:eastAsia="宋体" w:cs="Times New Roman"/>
      <w:sz w:val="24"/>
      <w:lang w:val="en-US" w:eastAsia="zh-CN" w:bidi="ar-SA"/>
    </w:rPr>
  </w:style>
  <w:style w:type="paragraph" w:styleId="14">
    <w:name w:val="Plain Text"/>
    <w:basedOn w:val="1"/>
    <w:link w:val="139"/>
    <w:unhideWhenUsed/>
    <w:qFormat/>
    <w:locked/>
    <w:uiPriority w:val="99"/>
    <w:rPr>
      <w:rFonts w:ascii="宋体" w:hAnsi="Courier New"/>
      <w:kern w:val="0"/>
      <w:sz w:val="20"/>
      <w:szCs w:val="20"/>
    </w:rPr>
  </w:style>
  <w:style w:type="paragraph" w:styleId="15">
    <w:name w:val="List Bullet 5"/>
    <w:basedOn w:val="1"/>
    <w:qFormat/>
    <w:locked/>
    <w:uiPriority w:val="0"/>
    <w:pPr>
      <w:numPr>
        <w:ilvl w:val="0"/>
        <w:numId w:val="1"/>
      </w:numPr>
    </w:pPr>
  </w:style>
  <w:style w:type="paragraph" w:styleId="16">
    <w:name w:val="Date"/>
    <w:basedOn w:val="1"/>
    <w:next w:val="1"/>
    <w:link w:val="44"/>
    <w:qFormat/>
    <w:uiPriority w:val="0"/>
    <w:pPr>
      <w:ind w:left="100" w:leftChars="2500"/>
    </w:pPr>
    <w:rPr>
      <w:kern w:val="0"/>
      <w:sz w:val="24"/>
      <w:szCs w:val="20"/>
    </w:rPr>
  </w:style>
  <w:style w:type="paragraph" w:styleId="17">
    <w:name w:val="Body Text Indent 2"/>
    <w:basedOn w:val="1"/>
    <w:link w:val="140"/>
    <w:qFormat/>
    <w:locked/>
    <w:uiPriority w:val="0"/>
    <w:pPr>
      <w:spacing w:after="120" w:line="480" w:lineRule="auto"/>
      <w:ind w:left="420" w:leftChars="200"/>
    </w:pPr>
    <w:rPr>
      <w:kern w:val="0"/>
      <w:sz w:val="28"/>
      <w:szCs w:val="20"/>
    </w:rPr>
  </w:style>
  <w:style w:type="paragraph" w:styleId="18">
    <w:name w:val="Balloon Text"/>
    <w:basedOn w:val="1"/>
    <w:link w:val="53"/>
    <w:semiHidden/>
    <w:qFormat/>
    <w:uiPriority w:val="0"/>
    <w:rPr>
      <w:kern w:val="0"/>
      <w:sz w:val="18"/>
      <w:szCs w:val="20"/>
    </w:rPr>
  </w:style>
  <w:style w:type="paragraph" w:styleId="19">
    <w:name w:val="footer"/>
    <w:basedOn w:val="1"/>
    <w:link w:val="43"/>
    <w:qFormat/>
    <w:uiPriority w:val="99"/>
    <w:pPr>
      <w:tabs>
        <w:tab w:val="center" w:pos="4153"/>
        <w:tab w:val="right" w:pos="8306"/>
      </w:tabs>
      <w:snapToGrid w:val="0"/>
      <w:jc w:val="left"/>
    </w:pPr>
    <w:rPr>
      <w:kern w:val="0"/>
      <w:sz w:val="18"/>
      <w:szCs w:val="20"/>
    </w:rPr>
  </w:style>
  <w:style w:type="paragraph" w:styleId="20">
    <w:name w:val="toc 1"/>
    <w:basedOn w:val="1"/>
    <w:next w:val="1"/>
    <w:qFormat/>
    <w:locked/>
    <w:uiPriority w:val="39"/>
  </w:style>
  <w:style w:type="paragraph" w:styleId="21">
    <w:name w:val="List"/>
    <w:basedOn w:val="1"/>
    <w:qFormat/>
    <w:locked/>
    <w:uiPriority w:val="0"/>
    <w:pPr>
      <w:ind w:left="200" w:hanging="200" w:hangingChars="200"/>
    </w:pPr>
  </w:style>
  <w:style w:type="paragraph" w:styleId="22">
    <w:name w:val="table of figures"/>
    <w:basedOn w:val="1"/>
    <w:next w:val="1"/>
    <w:qFormat/>
    <w:locked/>
    <w:uiPriority w:val="0"/>
    <w:pPr>
      <w:spacing w:line="500" w:lineRule="exact"/>
      <w:ind w:left="200" w:leftChars="200" w:hanging="200" w:hangingChars="200"/>
      <w:jc w:val="left"/>
    </w:pPr>
    <w:rPr>
      <w:kern w:val="0"/>
      <w:sz w:val="24"/>
    </w:rPr>
  </w:style>
  <w:style w:type="paragraph" w:styleId="23">
    <w:name w:val="toc 2"/>
    <w:basedOn w:val="1"/>
    <w:next w:val="1"/>
    <w:qFormat/>
    <w:locked/>
    <w:uiPriority w:val="39"/>
    <w:pPr>
      <w:ind w:left="420" w:leftChars="200"/>
    </w:pPr>
  </w:style>
  <w:style w:type="paragraph" w:styleId="24">
    <w:name w:val="Message Header"/>
    <w:basedOn w:val="1"/>
    <w:link w:val="141"/>
    <w:qFormat/>
    <w:locked/>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rPr>
  </w:style>
  <w:style w:type="paragraph" w:styleId="25">
    <w:name w:val="Normal (Web)"/>
    <w:basedOn w:val="1"/>
    <w:link w:val="46"/>
    <w:qFormat/>
    <w:uiPriority w:val="0"/>
    <w:pPr>
      <w:widowControl/>
      <w:spacing w:before="100" w:beforeAutospacing="1" w:after="100" w:afterAutospacing="1"/>
      <w:jc w:val="left"/>
    </w:pPr>
    <w:rPr>
      <w:rFonts w:ascii="宋体" w:hAnsi="宋体"/>
      <w:kern w:val="0"/>
      <w:sz w:val="24"/>
      <w:szCs w:val="20"/>
    </w:rPr>
  </w:style>
  <w:style w:type="paragraph" w:styleId="26">
    <w:name w:val="Title"/>
    <w:basedOn w:val="1"/>
    <w:next w:val="1"/>
    <w:link w:val="80"/>
    <w:autoRedefine/>
    <w:qFormat/>
    <w:locked/>
    <w:uiPriority w:val="0"/>
    <w:pPr>
      <w:jc w:val="left"/>
      <w:outlineLvl w:val="0"/>
    </w:pPr>
    <w:rPr>
      <w:rFonts w:cstheme="majorBidi"/>
      <w:b/>
      <w:bCs/>
      <w:sz w:val="24"/>
      <w:szCs w:val="32"/>
    </w:rPr>
  </w:style>
  <w:style w:type="paragraph" w:styleId="27">
    <w:name w:val="annotation subject"/>
    <w:basedOn w:val="6"/>
    <w:next w:val="6"/>
    <w:link w:val="54"/>
    <w:autoRedefine/>
    <w:semiHidden/>
    <w:qFormat/>
    <w:uiPriority w:val="0"/>
    <w:rPr>
      <w:b/>
    </w:rPr>
  </w:style>
  <w:style w:type="paragraph" w:styleId="28">
    <w:name w:val="Body Text First Indent"/>
    <w:basedOn w:val="1"/>
    <w:next w:val="1"/>
    <w:link w:val="83"/>
    <w:qFormat/>
    <w:locked/>
    <w:uiPriority w:val="0"/>
    <w:pPr>
      <w:spacing w:after="120"/>
      <w:ind w:firstLine="420" w:firstLineChars="100"/>
    </w:pPr>
  </w:style>
  <w:style w:type="paragraph" w:styleId="29">
    <w:name w:val="Body Text First Indent 2"/>
    <w:basedOn w:val="10"/>
    <w:next w:val="1"/>
    <w:link w:val="142"/>
    <w:autoRedefine/>
    <w:unhideWhenUsed/>
    <w:qFormat/>
    <w:locked/>
    <w:uiPriority w:val="99"/>
    <w:pPr>
      <w:ind w:firstLine="420" w:firstLineChars="200"/>
    </w:pPr>
  </w:style>
  <w:style w:type="table" w:styleId="31">
    <w:name w:val="Table Grid"/>
    <w:basedOn w:val="30"/>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basedOn w:val="32"/>
    <w:qFormat/>
    <w:locked/>
    <w:uiPriority w:val="0"/>
  </w:style>
  <w:style w:type="character" w:styleId="34">
    <w:name w:val="FollowedHyperlink"/>
    <w:qFormat/>
    <w:locked/>
    <w:uiPriority w:val="0"/>
    <w:rPr>
      <w:color w:val="434343"/>
      <w:u w:val="none"/>
    </w:rPr>
  </w:style>
  <w:style w:type="character" w:styleId="35">
    <w:name w:val="Emphasis"/>
    <w:basedOn w:val="32"/>
    <w:autoRedefine/>
    <w:qFormat/>
    <w:locked/>
    <w:uiPriority w:val="0"/>
    <w:rPr>
      <w:i/>
      <w:iCs/>
    </w:rPr>
  </w:style>
  <w:style w:type="character" w:styleId="36">
    <w:name w:val="Hyperlink"/>
    <w:basedOn w:val="32"/>
    <w:autoRedefine/>
    <w:unhideWhenUsed/>
    <w:qFormat/>
    <w:locked/>
    <w:uiPriority w:val="99"/>
    <w:rPr>
      <w:color w:val="0563C1" w:themeColor="hyperlink"/>
      <w:u w:val="single"/>
      <w14:textFill>
        <w14:solidFill>
          <w14:schemeClr w14:val="hlink"/>
        </w14:solidFill>
      </w14:textFill>
    </w:rPr>
  </w:style>
  <w:style w:type="character" w:styleId="37">
    <w:name w:val="annotation reference"/>
    <w:autoRedefine/>
    <w:qFormat/>
    <w:uiPriority w:val="99"/>
    <w:rPr>
      <w:sz w:val="21"/>
    </w:rPr>
  </w:style>
  <w:style w:type="paragraph" w:customStyle="1" w:styleId="38">
    <w:name w:val="Default"/>
    <w:basedOn w:val="39"/>
    <w:next w:val="1"/>
    <w:autoRedefine/>
    <w:qFormat/>
    <w:uiPriority w:val="0"/>
    <w:pPr>
      <w:widowControl w:val="0"/>
      <w:autoSpaceDE w:val="0"/>
      <w:autoSpaceDN w:val="0"/>
    </w:pPr>
    <w:rPr>
      <w:rFonts w:hAnsi="Times New Roman" w:cs="宋体"/>
      <w:color w:val="000000"/>
      <w:szCs w:val="24"/>
    </w:rPr>
  </w:style>
  <w:style w:type="paragraph" w:customStyle="1" w:styleId="39">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0">
    <w:name w:val="样式 正文首行缩进 + 首行缩进:  2 字符1"/>
    <w:basedOn w:val="1"/>
    <w:next w:val="20"/>
    <w:autoRedefine/>
    <w:qFormat/>
    <w:uiPriority w:val="0"/>
    <w:pPr>
      <w:spacing w:line="360" w:lineRule="auto"/>
      <w:ind w:firstLine="480" w:firstLineChars="200"/>
    </w:pPr>
    <w:rPr>
      <w:sz w:val="24"/>
    </w:rPr>
  </w:style>
  <w:style w:type="paragraph" w:customStyle="1" w:styleId="41">
    <w:name w:val="正文格式"/>
    <w:basedOn w:val="1"/>
    <w:autoRedefine/>
    <w:qFormat/>
    <w:uiPriority w:val="0"/>
    <w:pPr>
      <w:spacing w:line="360" w:lineRule="auto"/>
      <w:ind w:firstLine="420" w:firstLineChars="200"/>
    </w:pPr>
    <w:rPr>
      <w:kern w:val="0"/>
      <w:szCs w:val="21"/>
    </w:rPr>
  </w:style>
  <w:style w:type="paragraph" w:customStyle="1" w:styleId="42">
    <w:name w:val="正文（缩进）"/>
    <w:basedOn w:val="1"/>
    <w:qFormat/>
    <w:uiPriority w:val="99"/>
    <w:pPr>
      <w:spacing w:line="360" w:lineRule="auto"/>
      <w:ind w:firstLine="480" w:firstLineChars="200"/>
    </w:pPr>
    <w:rPr>
      <w:sz w:val="24"/>
      <w:szCs w:val="20"/>
    </w:rPr>
  </w:style>
  <w:style w:type="character" w:customStyle="1" w:styleId="43">
    <w:name w:val="页脚 字符1"/>
    <w:link w:val="19"/>
    <w:autoRedefine/>
    <w:qFormat/>
    <w:locked/>
    <w:uiPriority w:val="99"/>
    <w:rPr>
      <w:sz w:val="18"/>
    </w:rPr>
  </w:style>
  <w:style w:type="character" w:customStyle="1" w:styleId="44">
    <w:name w:val="日期 字符1"/>
    <w:link w:val="16"/>
    <w:autoRedefine/>
    <w:qFormat/>
    <w:locked/>
    <w:uiPriority w:val="0"/>
    <w:rPr>
      <w:rFonts w:ascii="Times New Roman" w:hAnsi="Times New Roman" w:eastAsia="宋体"/>
      <w:sz w:val="24"/>
    </w:rPr>
  </w:style>
  <w:style w:type="character" w:customStyle="1" w:styleId="45">
    <w:name w:val="页脚 字符"/>
    <w:basedOn w:val="32"/>
    <w:autoRedefine/>
    <w:qFormat/>
    <w:uiPriority w:val="99"/>
  </w:style>
  <w:style w:type="character" w:customStyle="1" w:styleId="46">
    <w:name w:val="普通(网站) 字符"/>
    <w:link w:val="25"/>
    <w:autoRedefine/>
    <w:qFormat/>
    <w:locked/>
    <w:uiPriority w:val="0"/>
    <w:rPr>
      <w:rFonts w:ascii="宋体" w:hAnsi="宋体" w:eastAsia="宋体"/>
      <w:sz w:val="24"/>
    </w:rPr>
  </w:style>
  <w:style w:type="character" w:customStyle="1" w:styleId="47">
    <w:name w:val="正文文本 字符1"/>
    <w:autoRedefine/>
    <w:semiHidden/>
    <w:qFormat/>
    <w:uiPriority w:val="0"/>
    <w:rPr>
      <w:rFonts w:ascii="Times New Roman" w:hAnsi="Times New Roman" w:eastAsia="宋体"/>
      <w:sz w:val="24"/>
    </w:rPr>
  </w:style>
  <w:style w:type="character" w:customStyle="1" w:styleId="48">
    <w:name w:val="正文文本 字符"/>
    <w:link w:val="7"/>
    <w:autoRedefine/>
    <w:qFormat/>
    <w:locked/>
    <w:uiPriority w:val="0"/>
    <w:rPr>
      <w:sz w:val="18"/>
    </w:rPr>
  </w:style>
  <w:style w:type="character" w:customStyle="1" w:styleId="49">
    <w:name w:val="批注文字 字符"/>
    <w:link w:val="6"/>
    <w:autoRedefine/>
    <w:qFormat/>
    <w:locked/>
    <w:uiPriority w:val="0"/>
    <w:rPr>
      <w:rFonts w:ascii="Times New Roman" w:hAnsi="Times New Roman" w:eastAsia="宋体"/>
      <w:sz w:val="24"/>
    </w:rPr>
  </w:style>
  <w:style w:type="character" w:customStyle="1" w:styleId="50">
    <w:name w:val="表格 Char"/>
    <w:link w:val="51"/>
    <w:qFormat/>
    <w:locked/>
    <w:uiPriority w:val="0"/>
    <w:rPr>
      <w:rFonts w:ascii="宋体"/>
      <w:sz w:val="21"/>
    </w:rPr>
  </w:style>
  <w:style w:type="paragraph" w:customStyle="1" w:styleId="51">
    <w:name w:val="表格"/>
    <w:basedOn w:val="1"/>
    <w:next w:val="1"/>
    <w:link w:val="50"/>
    <w:autoRedefine/>
    <w:qFormat/>
    <w:uiPriority w:val="0"/>
    <w:pPr>
      <w:adjustRightInd w:val="0"/>
      <w:snapToGrid w:val="0"/>
      <w:spacing w:beforeLines="10" w:afterLines="10" w:line="259" w:lineRule="auto"/>
      <w:jc w:val="center"/>
    </w:pPr>
    <w:rPr>
      <w:rFonts w:ascii="宋体"/>
      <w:kern w:val="0"/>
      <w:szCs w:val="20"/>
    </w:rPr>
  </w:style>
  <w:style w:type="character" w:customStyle="1" w:styleId="52">
    <w:name w:val="日期 字符"/>
    <w:autoRedefine/>
    <w:semiHidden/>
    <w:qFormat/>
    <w:uiPriority w:val="0"/>
    <w:rPr>
      <w:rFonts w:ascii="Times New Roman" w:hAnsi="Times New Roman" w:eastAsia="宋体"/>
      <w:sz w:val="24"/>
    </w:rPr>
  </w:style>
  <w:style w:type="character" w:customStyle="1" w:styleId="53">
    <w:name w:val="批注框文本 字符"/>
    <w:link w:val="18"/>
    <w:autoRedefine/>
    <w:semiHidden/>
    <w:qFormat/>
    <w:locked/>
    <w:uiPriority w:val="0"/>
    <w:rPr>
      <w:rFonts w:ascii="Times New Roman" w:hAnsi="Times New Roman" w:eastAsia="宋体"/>
      <w:sz w:val="18"/>
    </w:rPr>
  </w:style>
  <w:style w:type="character" w:customStyle="1" w:styleId="54">
    <w:name w:val="批注主题 字符"/>
    <w:link w:val="27"/>
    <w:autoRedefine/>
    <w:semiHidden/>
    <w:qFormat/>
    <w:locked/>
    <w:uiPriority w:val="0"/>
    <w:rPr>
      <w:rFonts w:ascii="Times New Roman" w:hAnsi="Times New Roman" w:eastAsia="宋体"/>
      <w:b/>
      <w:kern w:val="2"/>
      <w:sz w:val="24"/>
    </w:rPr>
  </w:style>
  <w:style w:type="character" w:customStyle="1" w:styleId="55">
    <w:name w:val="页眉 字符"/>
    <w:link w:val="11"/>
    <w:autoRedefine/>
    <w:qFormat/>
    <w:locked/>
    <w:uiPriority w:val="0"/>
    <w:rPr>
      <w:sz w:val="18"/>
    </w:rPr>
  </w:style>
  <w:style w:type="character" w:customStyle="1" w:styleId="56">
    <w:name w:val="批注文字 字符1"/>
    <w:autoRedefine/>
    <w:semiHidden/>
    <w:qFormat/>
    <w:uiPriority w:val="0"/>
    <w:rPr>
      <w:rFonts w:ascii="Times New Roman" w:hAnsi="Times New Roman" w:eastAsia="宋体"/>
      <w:sz w:val="24"/>
    </w:rPr>
  </w:style>
  <w:style w:type="character" w:customStyle="1" w:styleId="57">
    <w:name w:val="正文文本缩进 字符"/>
    <w:link w:val="10"/>
    <w:autoRedefine/>
    <w:qFormat/>
    <w:locked/>
    <w:uiPriority w:val="0"/>
    <w:rPr>
      <w:rFonts w:ascii="Times New Roman" w:hAnsi="Times New Roman" w:eastAsia="宋体"/>
      <w:sz w:val="24"/>
    </w:rPr>
  </w:style>
  <w:style w:type="paragraph" w:customStyle="1" w:styleId="58">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9">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60">
    <w:name w:val="【表头】 Char"/>
    <w:link w:val="61"/>
    <w:autoRedefine/>
    <w:qFormat/>
    <w:uiPriority w:val="0"/>
    <w:rPr>
      <w:rFonts w:eastAsia="黑体" w:cs="宋体"/>
      <w:sz w:val="21"/>
    </w:rPr>
  </w:style>
  <w:style w:type="paragraph" w:customStyle="1" w:styleId="61">
    <w:name w:val="【表头】"/>
    <w:basedOn w:val="62"/>
    <w:link w:val="60"/>
    <w:autoRedefine/>
    <w:qFormat/>
    <w:uiPriority w:val="0"/>
    <w:pPr>
      <w:widowControl/>
      <w:adjustRightInd w:val="0"/>
      <w:snapToGrid w:val="0"/>
      <w:jc w:val="center"/>
    </w:pPr>
    <w:rPr>
      <w:rFonts w:eastAsia="黑体"/>
      <w:szCs w:val="20"/>
    </w:rPr>
  </w:style>
  <w:style w:type="paragraph" w:customStyle="1" w:styleId="62">
    <w:name w:val="0"/>
    <w:basedOn w:val="1"/>
    <w:autoRedefine/>
    <w:qFormat/>
    <w:uiPriority w:val="99"/>
    <w:pPr>
      <w:widowControl/>
      <w:snapToGrid w:val="0"/>
      <w:jc w:val="left"/>
    </w:pPr>
    <w:rPr>
      <w:rFonts w:ascii="宋体"/>
      <w:kern w:val="0"/>
      <w:sz w:val="20"/>
      <w:szCs w:val="20"/>
    </w:rPr>
  </w:style>
  <w:style w:type="paragraph" w:customStyle="1" w:styleId="63">
    <w:name w:val="【正文】"/>
    <w:basedOn w:val="1"/>
    <w:link w:val="66"/>
    <w:autoRedefine/>
    <w:qFormat/>
    <w:uiPriority w:val="0"/>
    <w:pPr>
      <w:spacing w:line="360" w:lineRule="auto"/>
      <w:ind w:firstLine="200" w:firstLineChars="200"/>
    </w:pPr>
    <w:rPr>
      <w:rFonts w:cs="宋体"/>
      <w:color w:val="000000" w:themeColor="text1"/>
      <w:kern w:val="0"/>
      <w:sz w:val="24"/>
      <w14:textFill>
        <w14:solidFill>
          <w14:schemeClr w14:val="tx1"/>
        </w14:solidFill>
      </w14:textFill>
    </w:rPr>
  </w:style>
  <w:style w:type="character" w:customStyle="1" w:styleId="64">
    <w:name w:val="【表中文字】- 字符"/>
    <w:link w:val="65"/>
    <w:autoRedefine/>
    <w:qFormat/>
    <w:uiPriority w:val="0"/>
    <w:rPr>
      <w:sz w:val="18"/>
    </w:rPr>
  </w:style>
  <w:style w:type="paragraph" w:customStyle="1" w:styleId="65">
    <w:name w:val="【表中文字】-"/>
    <w:basedOn w:val="1"/>
    <w:link w:val="64"/>
    <w:autoRedefine/>
    <w:qFormat/>
    <w:uiPriority w:val="0"/>
    <w:pPr>
      <w:adjustRightInd w:val="0"/>
      <w:snapToGrid w:val="0"/>
      <w:jc w:val="center"/>
    </w:pPr>
    <w:rPr>
      <w:kern w:val="0"/>
      <w:sz w:val="18"/>
      <w:szCs w:val="20"/>
    </w:rPr>
  </w:style>
  <w:style w:type="character" w:customStyle="1" w:styleId="66">
    <w:name w:val="【正文】 Char"/>
    <w:link w:val="63"/>
    <w:autoRedefine/>
    <w:qFormat/>
    <w:uiPriority w:val="0"/>
    <w:rPr>
      <w:rFonts w:cs="宋体"/>
      <w:color w:val="000000" w:themeColor="text1"/>
      <w:sz w:val="24"/>
      <w:szCs w:val="24"/>
      <w14:textFill>
        <w14:solidFill>
          <w14:schemeClr w14:val="tx1"/>
        </w14:solidFill>
      </w14:textFill>
    </w:rPr>
  </w:style>
  <w:style w:type="character" w:customStyle="1" w:styleId="67">
    <w:name w:val="【正文】 Char1"/>
    <w:autoRedefine/>
    <w:qFormat/>
    <w:uiPriority w:val="0"/>
    <w:rPr>
      <w:rFonts w:ascii="Times New Roman" w:hAnsi="Times New Roman" w:eastAsia="宋体"/>
      <w:sz w:val="24"/>
    </w:rPr>
  </w:style>
  <w:style w:type="paragraph" w:customStyle="1" w:styleId="68">
    <w:name w:val="首行缩进正文"/>
    <w:basedOn w:val="63"/>
    <w:link w:val="70"/>
    <w:autoRedefine/>
    <w:qFormat/>
    <w:uiPriority w:val="0"/>
    <w:rPr>
      <w:sz w:val="21"/>
    </w:rPr>
  </w:style>
  <w:style w:type="paragraph" w:styleId="69">
    <w:name w:val="No Spacing"/>
    <w:autoRedefine/>
    <w:qFormat/>
    <w:uiPriority w:val="1"/>
    <w:pPr>
      <w:widowControl w:val="0"/>
      <w:jc w:val="both"/>
    </w:pPr>
    <w:rPr>
      <w:rFonts w:ascii="Times New Roman" w:hAnsi="Times New Roman" w:eastAsia="宋体" w:cs="Times New Roman"/>
      <w:kern w:val="2"/>
      <w:sz w:val="21"/>
      <w:szCs w:val="24"/>
      <w:lang w:val="en-US" w:eastAsia="zh-CN" w:bidi="ar-SA"/>
    </w:rPr>
  </w:style>
  <w:style w:type="character" w:customStyle="1" w:styleId="70">
    <w:name w:val="首行缩进正文 字符"/>
    <w:basedOn w:val="66"/>
    <w:link w:val="68"/>
    <w:autoRedefine/>
    <w:qFormat/>
    <w:uiPriority w:val="0"/>
    <w:rPr>
      <w:rFonts w:cs="宋体"/>
      <w:color w:val="000000" w:themeColor="text1"/>
      <w:sz w:val="21"/>
      <w:szCs w:val="24"/>
      <w14:textFill>
        <w14:solidFill>
          <w14:schemeClr w14:val="tx1"/>
        </w14:solidFill>
      </w14:textFill>
    </w:rPr>
  </w:style>
  <w:style w:type="character" w:customStyle="1" w:styleId="71">
    <w:name w:val="内容 Char"/>
    <w:link w:val="72"/>
    <w:autoRedefine/>
    <w:qFormat/>
    <w:uiPriority w:val="0"/>
    <w:rPr>
      <w:color w:val="000000"/>
      <w:kern w:val="2"/>
      <w:sz w:val="24"/>
      <w:szCs w:val="24"/>
    </w:rPr>
  </w:style>
  <w:style w:type="paragraph" w:customStyle="1" w:styleId="72">
    <w:name w:val="内容"/>
    <w:basedOn w:val="1"/>
    <w:link w:val="71"/>
    <w:autoRedefine/>
    <w:qFormat/>
    <w:uiPriority w:val="0"/>
    <w:pPr>
      <w:widowControl/>
      <w:spacing w:beforeLines="50" w:afterLines="50"/>
      <w:ind w:firstLine="200" w:firstLineChars="200"/>
      <w:jc w:val="left"/>
    </w:pPr>
    <w:rPr>
      <w:color w:val="000000"/>
      <w:sz w:val="24"/>
    </w:rPr>
  </w:style>
  <w:style w:type="paragraph" w:customStyle="1" w:styleId="73">
    <w:name w:val="【正文四号】"/>
    <w:basedOn w:val="1"/>
    <w:autoRedefine/>
    <w:qFormat/>
    <w:uiPriority w:val="0"/>
    <w:pPr>
      <w:spacing w:line="360" w:lineRule="auto"/>
      <w:ind w:firstLine="200" w:firstLineChars="200"/>
    </w:pPr>
    <w:rPr>
      <w:kern w:val="0"/>
      <w:sz w:val="28"/>
    </w:rPr>
  </w:style>
  <w:style w:type="paragraph" w:customStyle="1" w:styleId="74">
    <w:name w:val="【表中文字】"/>
    <w:basedOn w:val="75"/>
    <w:link w:val="76"/>
    <w:autoRedefine/>
    <w:qFormat/>
    <w:uiPriority w:val="0"/>
    <w:pPr>
      <w:adjustRightInd w:val="0"/>
      <w:snapToGrid w:val="0"/>
      <w:jc w:val="center"/>
    </w:pPr>
    <w:rPr>
      <w:szCs w:val="20"/>
    </w:rPr>
  </w:style>
  <w:style w:type="paragraph" w:customStyle="1" w:styleId="75">
    <w:name w:val="表格字"/>
    <w:basedOn w:val="21"/>
    <w:autoRedefine/>
    <w:qFormat/>
    <w:uiPriority w:val="0"/>
    <w:pPr>
      <w:ind w:left="0" w:firstLine="0" w:firstLineChars="0"/>
      <w:jc w:val="center"/>
    </w:pPr>
  </w:style>
  <w:style w:type="character" w:customStyle="1" w:styleId="76">
    <w:name w:val="【表中文字】 Char"/>
    <w:link w:val="74"/>
    <w:autoRedefine/>
    <w:qFormat/>
    <w:locked/>
    <w:uiPriority w:val="0"/>
    <w:rPr>
      <w:kern w:val="2"/>
      <w:sz w:val="21"/>
    </w:rPr>
  </w:style>
  <w:style w:type="paragraph" w:customStyle="1" w:styleId="77">
    <w:name w:val="列表段落1"/>
    <w:basedOn w:val="1"/>
    <w:autoRedefine/>
    <w:qFormat/>
    <w:uiPriority w:val="34"/>
    <w:pPr>
      <w:ind w:firstLine="420" w:firstLineChars="200"/>
    </w:pPr>
    <w:rPr>
      <w:szCs w:val="20"/>
    </w:rPr>
  </w:style>
  <w:style w:type="paragraph" w:customStyle="1" w:styleId="78">
    <w:name w:val="【正文小四号】"/>
    <w:basedOn w:val="1"/>
    <w:autoRedefine/>
    <w:qFormat/>
    <w:uiPriority w:val="0"/>
    <w:pPr>
      <w:spacing w:line="360" w:lineRule="auto"/>
      <w:ind w:firstLine="200" w:firstLineChars="200"/>
    </w:pPr>
    <w:rPr>
      <w:kern w:val="0"/>
      <w:sz w:val="24"/>
    </w:rPr>
  </w:style>
  <w:style w:type="paragraph" w:customStyle="1" w:styleId="79">
    <w:name w:val="正文-王恩"/>
    <w:basedOn w:val="1"/>
    <w:autoRedefine/>
    <w:qFormat/>
    <w:uiPriority w:val="0"/>
    <w:pPr>
      <w:adjustRightInd w:val="0"/>
      <w:spacing w:line="460" w:lineRule="exact"/>
      <w:ind w:firstLine="200" w:firstLineChars="200"/>
      <w:textAlignment w:val="baseline"/>
    </w:pPr>
    <w:rPr>
      <w:rFonts w:ascii="宋体" w:hAnsi="宋体"/>
      <w:kern w:val="0"/>
      <w:sz w:val="24"/>
      <w:szCs w:val="20"/>
    </w:rPr>
  </w:style>
  <w:style w:type="character" w:customStyle="1" w:styleId="80">
    <w:name w:val="标题 字符"/>
    <w:basedOn w:val="32"/>
    <w:link w:val="26"/>
    <w:autoRedefine/>
    <w:qFormat/>
    <w:uiPriority w:val="0"/>
    <w:rPr>
      <w:rFonts w:cstheme="majorBidi"/>
      <w:b/>
      <w:bCs/>
      <w:kern w:val="2"/>
      <w:sz w:val="24"/>
      <w:szCs w:val="32"/>
    </w:rPr>
  </w:style>
  <w:style w:type="paragraph" w:customStyle="1" w:styleId="81">
    <w:name w:val="表头1"/>
    <w:basedOn w:val="1"/>
    <w:next w:val="1"/>
    <w:autoRedefine/>
    <w:qFormat/>
    <w:uiPriority w:val="0"/>
    <w:pPr>
      <w:tabs>
        <w:tab w:val="left" w:pos="605"/>
      </w:tabs>
      <w:adjustRightInd w:val="0"/>
      <w:snapToGrid w:val="0"/>
      <w:jc w:val="center"/>
    </w:pPr>
    <w:rPr>
      <w:rFonts w:eastAsia="仿宋_GB2312"/>
      <w:b/>
      <w:szCs w:val="28"/>
    </w:rPr>
  </w:style>
  <w:style w:type="character" w:customStyle="1" w:styleId="82">
    <w:name w:val="cauc-0 Char Char Char Char"/>
    <w:autoRedefine/>
    <w:qFormat/>
    <w:uiPriority w:val="0"/>
    <w:rPr>
      <w:rFonts w:ascii="Times New Roman" w:hAnsi="Times New Roman"/>
      <w:kern w:val="2"/>
      <w:sz w:val="24"/>
      <w:szCs w:val="24"/>
      <w:lang w:val="en-US" w:eastAsia="zh-CN" w:bidi="ar-SA"/>
    </w:rPr>
  </w:style>
  <w:style w:type="character" w:customStyle="1" w:styleId="83">
    <w:name w:val="正文文本首行缩进 字符"/>
    <w:basedOn w:val="48"/>
    <w:link w:val="28"/>
    <w:autoRedefine/>
    <w:qFormat/>
    <w:uiPriority w:val="0"/>
    <w:rPr>
      <w:kern w:val="2"/>
      <w:sz w:val="21"/>
      <w:szCs w:val="24"/>
    </w:rPr>
  </w:style>
  <w:style w:type="paragraph" w:customStyle="1" w:styleId="84">
    <w:name w:val="biaotou"/>
    <w:basedOn w:val="1"/>
    <w:autoRedefine/>
    <w:qFormat/>
    <w:uiPriority w:val="0"/>
    <w:pPr>
      <w:jc w:val="center"/>
    </w:pPr>
    <w:rPr>
      <w:rFonts w:hAnsi="宋体" w:eastAsia="黑体"/>
    </w:rPr>
  </w:style>
  <w:style w:type="table" w:customStyle="1" w:styleId="85">
    <w:name w:val="[表格样式]"/>
    <w:basedOn w:val="30"/>
    <w:autoRedefine/>
    <w:qFormat/>
    <w:uiPriority w:val="99"/>
    <w:pPr>
      <w:adjustRightInd w:val="0"/>
      <w:snapToGrid w:val="0"/>
      <w:jc w:val="center"/>
    </w:pPr>
    <w:rPr>
      <w:rFonts w:cstheme="minorBidi"/>
      <w:snapToGrid w:val="0"/>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86">
    <w:name w:val="环评表中文字"/>
    <w:basedOn w:val="1"/>
    <w:autoRedefine/>
    <w:qFormat/>
    <w:uiPriority w:val="0"/>
    <w:pPr>
      <w:widowControl/>
      <w:jc w:val="center"/>
    </w:pPr>
    <w:rPr>
      <w:rFonts w:ascii="宋体" w:hAnsi="宋体" w:cs="宋体"/>
      <w:kern w:val="0"/>
      <w:sz w:val="24"/>
      <w:szCs w:val="22"/>
    </w:rPr>
  </w:style>
  <w:style w:type="character" w:customStyle="1" w:styleId="87">
    <w:name w:val="C【表头】 字符"/>
    <w:link w:val="88"/>
    <w:autoRedefine/>
    <w:qFormat/>
    <w:uiPriority w:val="0"/>
    <w:rPr>
      <w:rFonts w:eastAsia="黑体" w:cs="宋体"/>
      <w:sz w:val="21"/>
    </w:rPr>
  </w:style>
  <w:style w:type="paragraph" w:customStyle="1" w:styleId="88">
    <w:name w:val="C【表头】"/>
    <w:basedOn w:val="1"/>
    <w:link w:val="87"/>
    <w:autoRedefine/>
    <w:qFormat/>
    <w:uiPriority w:val="0"/>
    <w:pPr>
      <w:widowControl/>
      <w:adjustRightInd w:val="0"/>
      <w:snapToGrid w:val="0"/>
      <w:jc w:val="center"/>
    </w:pPr>
    <w:rPr>
      <w:rFonts w:eastAsia="黑体" w:cs="宋体"/>
      <w:kern w:val="0"/>
      <w:szCs w:val="20"/>
    </w:rPr>
  </w:style>
  <w:style w:type="character" w:customStyle="1" w:styleId="89">
    <w:name w:val="C【表中文字】- 字符"/>
    <w:link w:val="90"/>
    <w:autoRedefine/>
    <w:qFormat/>
    <w:uiPriority w:val="0"/>
    <w:rPr>
      <w:sz w:val="18"/>
    </w:rPr>
  </w:style>
  <w:style w:type="paragraph" w:customStyle="1" w:styleId="90">
    <w:name w:val="C【表中文字】-"/>
    <w:basedOn w:val="1"/>
    <w:link w:val="89"/>
    <w:autoRedefine/>
    <w:qFormat/>
    <w:uiPriority w:val="0"/>
    <w:pPr>
      <w:adjustRightInd w:val="0"/>
      <w:snapToGrid w:val="0"/>
      <w:jc w:val="center"/>
    </w:pPr>
    <w:rPr>
      <w:kern w:val="0"/>
      <w:sz w:val="18"/>
      <w:szCs w:val="20"/>
    </w:rPr>
  </w:style>
  <w:style w:type="paragraph" w:customStyle="1" w:styleId="91">
    <w:name w:val="C表两端"/>
    <w:basedOn w:val="1"/>
    <w:link w:val="92"/>
    <w:autoRedefine/>
    <w:qFormat/>
    <w:uiPriority w:val="0"/>
    <w:pPr>
      <w:adjustRightInd w:val="0"/>
      <w:snapToGrid w:val="0"/>
    </w:pPr>
    <w:rPr>
      <w:kern w:val="0"/>
      <w:sz w:val="18"/>
      <w:szCs w:val="20"/>
    </w:rPr>
  </w:style>
  <w:style w:type="character" w:customStyle="1" w:styleId="92">
    <w:name w:val="C表两端 字符"/>
    <w:link w:val="91"/>
    <w:autoRedefine/>
    <w:qFormat/>
    <w:locked/>
    <w:uiPriority w:val="0"/>
    <w:rPr>
      <w:sz w:val="18"/>
    </w:rPr>
  </w:style>
  <w:style w:type="table" w:customStyle="1" w:styleId="93">
    <w:name w:val="网格型13"/>
    <w:basedOn w:val="30"/>
    <w:autoRedefine/>
    <w:qFormat/>
    <w:uiPriority w:val="59"/>
    <w:pPr>
      <w:jc w:val="center"/>
    </w:pPr>
    <w:rPr>
      <w:rFonts w:ascii="Calibri" w:hAnsi="Calibri"/>
      <w:kern w:val="2"/>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4">
    <w:name w:val="Table Paragraph"/>
    <w:basedOn w:val="1"/>
    <w:autoRedefine/>
    <w:qFormat/>
    <w:uiPriority w:val="99"/>
    <w:pPr>
      <w:autoSpaceDE w:val="0"/>
      <w:autoSpaceDN w:val="0"/>
      <w:jc w:val="left"/>
    </w:pPr>
    <w:rPr>
      <w:rFonts w:ascii="宋体" w:hAnsi="宋体" w:cs="宋体"/>
      <w:kern w:val="0"/>
      <w:sz w:val="22"/>
      <w:szCs w:val="22"/>
      <w:lang w:val="zh-CN"/>
    </w:rPr>
  </w:style>
  <w:style w:type="paragraph" w:customStyle="1" w:styleId="95">
    <w:name w:val="C首行缩进正文"/>
    <w:basedOn w:val="63"/>
    <w:link w:val="96"/>
    <w:autoRedefine/>
    <w:qFormat/>
    <w:uiPriority w:val="0"/>
    <w:rPr>
      <w:sz w:val="21"/>
    </w:rPr>
  </w:style>
  <w:style w:type="character" w:customStyle="1" w:styleId="96">
    <w:name w:val="C首行缩进正文 字符"/>
    <w:basedOn w:val="66"/>
    <w:link w:val="95"/>
    <w:autoRedefine/>
    <w:qFormat/>
    <w:uiPriority w:val="0"/>
    <w:rPr>
      <w:rFonts w:cs="宋体"/>
      <w:color w:val="000000" w:themeColor="text1"/>
      <w:sz w:val="21"/>
      <w:szCs w:val="24"/>
      <w14:textFill>
        <w14:solidFill>
          <w14:schemeClr w14:val="tx1"/>
        </w14:solidFill>
      </w14:textFill>
    </w:rPr>
  </w:style>
  <w:style w:type="paragraph" w:customStyle="1" w:styleId="97">
    <w:name w:val="表格内容"/>
    <w:basedOn w:val="1"/>
    <w:next w:val="1"/>
    <w:autoRedefine/>
    <w:qFormat/>
    <w:uiPriority w:val="0"/>
    <w:pPr>
      <w:ind w:left="-44" w:leftChars="-20" w:right="-65" w:rightChars="-27" w:hanging="4" w:hangingChars="2"/>
      <w:jc w:val="center"/>
    </w:pPr>
    <w:rPr>
      <w:rFonts w:ascii="宋体" w:hAnsi="宋体"/>
      <w:color w:val="000000"/>
      <w:sz w:val="28"/>
    </w:rPr>
  </w:style>
  <w:style w:type="character" w:customStyle="1" w:styleId="98">
    <w:name w:val="神-安表格 字符"/>
    <w:link w:val="99"/>
    <w:autoRedefine/>
    <w:qFormat/>
    <w:locked/>
    <w:uiPriority w:val="0"/>
    <w:rPr>
      <w:color w:val="000000"/>
      <w:kern w:val="2"/>
      <w:sz w:val="21"/>
      <w:szCs w:val="24"/>
    </w:rPr>
  </w:style>
  <w:style w:type="paragraph" w:customStyle="1" w:styleId="99">
    <w:name w:val="神-安表格"/>
    <w:basedOn w:val="1"/>
    <w:link w:val="98"/>
    <w:autoRedefine/>
    <w:qFormat/>
    <w:uiPriority w:val="0"/>
    <w:pPr>
      <w:adjustRightInd w:val="0"/>
      <w:snapToGrid w:val="0"/>
      <w:jc w:val="center"/>
    </w:pPr>
    <w:rPr>
      <w:color w:val="000000"/>
    </w:rPr>
  </w:style>
  <w:style w:type="paragraph" w:customStyle="1" w:styleId="100">
    <w:name w:val="《正文》"/>
    <w:basedOn w:val="1"/>
    <w:link w:val="129"/>
    <w:autoRedefine/>
    <w:qFormat/>
    <w:uiPriority w:val="0"/>
    <w:pPr>
      <w:spacing w:line="500" w:lineRule="exact"/>
      <w:ind w:firstLine="200" w:firstLineChars="200"/>
    </w:pPr>
    <w:rPr>
      <w:sz w:val="24"/>
    </w:rPr>
  </w:style>
  <w:style w:type="paragraph" w:customStyle="1" w:styleId="101">
    <w:name w:val="L首行缩进正文"/>
    <w:basedOn w:val="63"/>
    <w:autoRedefine/>
    <w:qFormat/>
    <w:uiPriority w:val="0"/>
    <w:pPr>
      <w:ind w:firstLine="480"/>
    </w:pPr>
    <w:rPr>
      <w:rFonts w:cs="Times New Roman"/>
      <w:color w:val="auto"/>
      <w:sz w:val="21"/>
      <w:szCs w:val="21"/>
    </w:rPr>
  </w:style>
  <w:style w:type="paragraph" w:customStyle="1" w:styleId="102">
    <w:name w:val="p0"/>
    <w:basedOn w:val="1"/>
    <w:autoRedefine/>
    <w:qFormat/>
    <w:uiPriority w:val="0"/>
    <w:pPr>
      <w:widowControl/>
    </w:pPr>
    <w:rPr>
      <w:kern w:val="0"/>
      <w:sz w:val="20"/>
      <w:szCs w:val="21"/>
    </w:rPr>
  </w:style>
  <w:style w:type="paragraph" w:customStyle="1" w:styleId="103">
    <w:name w:val="表"/>
    <w:basedOn w:val="1"/>
    <w:autoRedefine/>
    <w:qFormat/>
    <w:uiPriority w:val="0"/>
    <w:pPr>
      <w:spacing w:line="400" w:lineRule="exact"/>
      <w:jc w:val="center"/>
    </w:pPr>
    <w:rPr>
      <w:rFonts w:eastAsia="黑体" w:cs="宋体"/>
      <w:color w:val="000000" w:themeColor="text1"/>
      <w:kern w:val="0"/>
      <w:sz w:val="24"/>
      <w14:textFill>
        <w14:solidFill>
          <w14:schemeClr w14:val="tx1"/>
        </w14:solidFill>
      </w14:textFill>
    </w:rPr>
  </w:style>
  <w:style w:type="paragraph" w:customStyle="1" w:styleId="104">
    <w:name w:val="表头2"/>
    <w:basedOn w:val="1"/>
    <w:autoRedefine/>
    <w:qFormat/>
    <w:uiPriority w:val="0"/>
    <w:pPr>
      <w:adjustRightInd w:val="0"/>
      <w:snapToGrid w:val="0"/>
      <w:spacing w:line="400" w:lineRule="exact"/>
      <w:jc w:val="center"/>
    </w:pPr>
    <w:rPr>
      <w:kern w:val="0"/>
      <w:sz w:val="24"/>
      <w:szCs w:val="20"/>
    </w:rPr>
  </w:style>
  <w:style w:type="paragraph" w:customStyle="1" w:styleId="105">
    <w:name w:val="正文报告"/>
    <w:basedOn w:val="1"/>
    <w:autoRedefine/>
    <w:qFormat/>
    <w:uiPriority w:val="0"/>
    <w:pPr>
      <w:autoSpaceDE w:val="0"/>
      <w:autoSpaceDN w:val="0"/>
      <w:adjustRightInd w:val="0"/>
      <w:snapToGrid w:val="0"/>
      <w:spacing w:line="360" w:lineRule="auto"/>
      <w:ind w:firstLine="200" w:firstLineChars="200"/>
    </w:pPr>
    <w:rPr>
      <w:rFonts w:cs="宋体"/>
      <w:kern w:val="0"/>
      <w:sz w:val="24"/>
      <w:szCs w:val="21"/>
    </w:rPr>
  </w:style>
  <w:style w:type="paragraph" w:customStyle="1" w:styleId="106">
    <w:name w:val="表头"/>
    <w:basedOn w:val="21"/>
    <w:autoRedefine/>
    <w:qFormat/>
    <w:uiPriority w:val="0"/>
    <w:pPr>
      <w:tabs>
        <w:tab w:val="left" w:pos="4440"/>
      </w:tabs>
      <w:autoSpaceDE w:val="0"/>
      <w:autoSpaceDN w:val="0"/>
      <w:ind w:left="0" w:firstLine="0" w:firstLineChars="0"/>
      <w:jc w:val="center"/>
      <w:textAlignment w:val="bottom"/>
    </w:pPr>
    <w:rPr>
      <w:rFonts w:eastAsia="黑体"/>
      <w:b/>
      <w:spacing w:val="16"/>
      <w:kern w:val="0"/>
      <w:sz w:val="24"/>
    </w:rPr>
  </w:style>
  <w:style w:type="paragraph" w:customStyle="1" w:styleId="107">
    <w:name w:val="表中文字"/>
    <w:basedOn w:val="1"/>
    <w:autoRedefine/>
    <w:qFormat/>
    <w:uiPriority w:val="0"/>
    <w:pPr>
      <w:jc w:val="center"/>
    </w:pPr>
    <w:rPr>
      <w:szCs w:val="20"/>
    </w:rPr>
  </w:style>
  <w:style w:type="character" w:customStyle="1" w:styleId="108">
    <w:name w:val="NormalCharacter"/>
    <w:autoRedefine/>
    <w:qFormat/>
    <w:uiPriority w:val="0"/>
    <w:rPr>
      <w:rFonts w:ascii="宋体"/>
      <w:sz w:val="24"/>
      <w:lang w:val="en-US" w:eastAsia="zh-CN" w:bidi="ar-SA"/>
    </w:rPr>
  </w:style>
  <w:style w:type="paragraph" w:customStyle="1" w:styleId="109">
    <w:name w:val="样式 C首行缩进正文 + 小四 首行缩进:  2 字符"/>
    <w:basedOn w:val="95"/>
    <w:autoRedefine/>
    <w:qFormat/>
    <w:uiPriority w:val="0"/>
    <w:pPr>
      <w:ind w:firstLine="480"/>
    </w:pPr>
    <w:rPr>
      <w:szCs w:val="20"/>
    </w:rPr>
  </w:style>
  <w:style w:type="paragraph" w:customStyle="1" w:styleId="110">
    <w:name w:val="我的表头"/>
    <w:basedOn w:val="88"/>
    <w:autoRedefine/>
    <w:qFormat/>
    <w:uiPriority w:val="0"/>
    <w:rPr>
      <w:color w:val="000000" w:themeColor="text1"/>
      <w:sz w:val="24"/>
      <w14:textFill>
        <w14:solidFill>
          <w14:schemeClr w14:val="tx1"/>
        </w14:solidFill>
      </w14:textFill>
    </w:rPr>
  </w:style>
  <w:style w:type="paragraph" w:customStyle="1" w:styleId="111">
    <w:name w:val="表中大字"/>
    <w:basedOn w:val="1"/>
    <w:autoRedefine/>
    <w:qFormat/>
    <w:uiPriority w:val="0"/>
    <w:pPr>
      <w:spacing w:line="440" w:lineRule="exact"/>
      <w:jc w:val="center"/>
      <w:textAlignment w:val="center"/>
    </w:pPr>
    <w:rPr>
      <w:sz w:val="28"/>
      <w:szCs w:val="28"/>
    </w:rPr>
  </w:style>
  <w:style w:type="paragraph" w:customStyle="1" w:styleId="112">
    <w:name w:val="表格填充项"/>
    <w:basedOn w:val="1"/>
    <w:autoRedefine/>
    <w:qFormat/>
    <w:uiPriority w:val="0"/>
    <w:pPr>
      <w:widowControl/>
      <w:spacing w:line="240" w:lineRule="atLeast"/>
      <w:jc w:val="center"/>
    </w:pPr>
    <w:rPr>
      <w:rFonts w:ascii="宋体" w:hAnsi="宋体" w:cs="宋体"/>
      <w:b/>
      <w:kern w:val="0"/>
      <w:sz w:val="24"/>
    </w:rPr>
  </w:style>
  <w:style w:type="paragraph" w:customStyle="1" w:styleId="113">
    <w:name w:val="正文缩进1"/>
    <w:basedOn w:val="1"/>
    <w:autoRedefine/>
    <w:qFormat/>
    <w:uiPriority w:val="0"/>
    <w:pPr>
      <w:ind w:firstLine="420"/>
    </w:pPr>
    <w:rPr>
      <w:sz w:val="28"/>
    </w:rPr>
  </w:style>
  <w:style w:type="paragraph" w:customStyle="1" w:styleId="114">
    <w:name w:val="图表"/>
    <w:basedOn w:val="1"/>
    <w:next w:val="1"/>
    <w:autoRedefine/>
    <w:qFormat/>
    <w:uiPriority w:val="0"/>
    <w:pPr>
      <w:keepNext/>
      <w:keepLines/>
      <w:adjustRightInd w:val="0"/>
      <w:snapToGrid w:val="0"/>
      <w:jc w:val="center"/>
      <w:outlineLvl w:val="3"/>
    </w:pPr>
    <w:rPr>
      <w:rFonts w:hint="eastAsia"/>
      <w:b/>
      <w:kern w:val="44"/>
    </w:rPr>
  </w:style>
  <w:style w:type="paragraph" w:customStyle="1" w:styleId="115">
    <w:name w:val="表格题头"/>
    <w:basedOn w:val="1"/>
    <w:next w:val="1"/>
    <w:autoRedefine/>
    <w:qFormat/>
    <w:uiPriority w:val="0"/>
    <w:pPr>
      <w:widowControl/>
      <w:autoSpaceDE w:val="0"/>
      <w:autoSpaceDN w:val="0"/>
      <w:spacing w:line="260" w:lineRule="exact"/>
      <w:jc w:val="center"/>
    </w:pPr>
    <w:rPr>
      <w:rFonts w:eastAsia="黑体"/>
      <w:color w:val="000000"/>
      <w:szCs w:val="20"/>
    </w:rPr>
  </w:style>
  <w:style w:type="paragraph" w:customStyle="1" w:styleId="116">
    <w:name w:val="Char Char Char Char1"/>
    <w:basedOn w:val="1"/>
    <w:autoRedefine/>
    <w:qFormat/>
    <w:uiPriority w:val="0"/>
    <w:pPr>
      <w:tabs>
        <w:tab w:val="left" w:pos="1080"/>
      </w:tabs>
      <w:jc w:val="left"/>
    </w:pPr>
    <w:rPr>
      <w:rFonts w:ascii="Calibri" w:hAnsi="Calibri"/>
      <w:szCs w:val="21"/>
    </w:rPr>
  </w:style>
  <w:style w:type="paragraph" w:customStyle="1" w:styleId="117">
    <w:name w:val="L表中文字"/>
    <w:basedOn w:val="1"/>
    <w:autoRedefine/>
    <w:qFormat/>
    <w:uiPriority w:val="0"/>
    <w:pPr>
      <w:jc w:val="center"/>
    </w:pPr>
    <w:rPr>
      <w:kern w:val="0"/>
      <w:szCs w:val="20"/>
    </w:rPr>
  </w:style>
  <w:style w:type="paragraph" w:customStyle="1" w:styleId="118">
    <w:name w:val="表中字"/>
    <w:autoRedefine/>
    <w:qFormat/>
    <w:uiPriority w:val="0"/>
    <w:pPr>
      <w:jc w:val="center"/>
    </w:pPr>
    <w:rPr>
      <w:rFonts w:ascii="Times New Roman" w:hAnsi="Times New Roman" w:eastAsia="宋体" w:cs="Times New Roman"/>
      <w:kern w:val="2"/>
      <w:sz w:val="21"/>
      <w:szCs w:val="22"/>
      <w:lang w:val="zh-CN" w:eastAsia="zh-CN" w:bidi="ar-SA"/>
    </w:rPr>
  </w:style>
  <w:style w:type="paragraph" w:customStyle="1" w:styleId="119">
    <w:name w:val="L表头"/>
    <w:basedOn w:val="1"/>
    <w:autoRedefine/>
    <w:qFormat/>
    <w:uiPriority w:val="0"/>
    <w:pPr>
      <w:keepNext/>
      <w:jc w:val="center"/>
    </w:pPr>
    <w:rPr>
      <w:rFonts w:eastAsia="黑体"/>
      <w:kern w:val="0"/>
      <w:szCs w:val="20"/>
    </w:rPr>
  </w:style>
  <w:style w:type="character" w:customStyle="1" w:styleId="120">
    <w:name w:val="未处理的提及1"/>
    <w:basedOn w:val="32"/>
    <w:autoRedefine/>
    <w:semiHidden/>
    <w:unhideWhenUsed/>
    <w:qFormat/>
    <w:uiPriority w:val="99"/>
    <w:rPr>
      <w:color w:val="605E5C"/>
      <w:shd w:val="clear" w:color="auto" w:fill="E1DFDD"/>
    </w:rPr>
  </w:style>
  <w:style w:type="paragraph" w:customStyle="1" w:styleId="121">
    <w:name w:val="a正文"/>
    <w:basedOn w:val="41"/>
    <w:autoRedefine/>
    <w:qFormat/>
    <w:uiPriority w:val="0"/>
    <w:pPr>
      <w:spacing w:line="520" w:lineRule="exact"/>
      <w:ind w:firstLine="200"/>
    </w:pPr>
    <w:rPr>
      <w:sz w:val="24"/>
    </w:rPr>
  </w:style>
  <w:style w:type="paragraph" w:customStyle="1" w:styleId="122">
    <w:name w:val="内容列表"/>
    <w:basedOn w:val="1"/>
    <w:autoRedefine/>
    <w:qFormat/>
    <w:uiPriority w:val="0"/>
    <w:pPr>
      <w:spacing w:line="480" w:lineRule="exact"/>
      <w:ind w:firstLine="480" w:firstLineChars="200"/>
    </w:pPr>
    <w:rPr>
      <w:bCs/>
    </w:rPr>
  </w:style>
  <w:style w:type="paragraph" w:customStyle="1" w:styleId="123">
    <w:name w:val="首行缩进表格正文"/>
    <w:basedOn w:val="1"/>
    <w:autoRedefine/>
    <w:qFormat/>
    <w:uiPriority w:val="0"/>
    <w:pPr>
      <w:spacing w:line="360" w:lineRule="auto"/>
      <w:ind w:firstLine="720" w:firstLineChars="200"/>
      <w:jc w:val="left"/>
    </w:pPr>
  </w:style>
  <w:style w:type="paragraph" w:customStyle="1" w:styleId="124">
    <w:name w:val="正文2"/>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25">
    <w:name w:val="表格文字"/>
    <w:basedOn w:val="1"/>
    <w:autoRedefine/>
    <w:qFormat/>
    <w:uiPriority w:val="0"/>
    <w:pPr>
      <w:widowControl/>
      <w:spacing w:line="360" w:lineRule="auto"/>
      <w:jc w:val="center"/>
    </w:pPr>
    <w:rPr>
      <w:rFonts w:ascii="宋体" w:hAnsi="宋体" w:cs="宋体"/>
      <w:color w:val="000000"/>
      <w:kern w:val="0"/>
      <w:szCs w:val="21"/>
    </w:rPr>
  </w:style>
  <w:style w:type="paragraph" w:customStyle="1" w:styleId="126">
    <w:name w:val="C5 6"/>
    <w:basedOn w:val="1"/>
    <w:autoRedefine/>
    <w:qFormat/>
    <w:uiPriority w:val="0"/>
    <w:pPr>
      <w:adjustRightInd w:val="0"/>
      <w:snapToGrid w:val="0"/>
      <w:jc w:val="center"/>
      <w:textAlignment w:val="baseline"/>
    </w:pPr>
    <w:rPr>
      <w:kern w:val="0"/>
      <w:szCs w:val="20"/>
    </w:rPr>
  </w:style>
  <w:style w:type="paragraph" w:customStyle="1" w:styleId="127">
    <w:name w:val="AAA首行缩进2字符正文"/>
    <w:basedOn w:val="68"/>
    <w:autoRedefine/>
    <w:qFormat/>
    <w:uiPriority w:val="0"/>
    <w:pPr>
      <w:adjustRightInd w:val="0"/>
      <w:snapToGrid w:val="0"/>
      <w:spacing w:line="500" w:lineRule="exact"/>
    </w:pPr>
    <w:rPr>
      <w:rFonts w:eastAsia="仿宋"/>
      <w:sz w:val="24"/>
    </w:rPr>
  </w:style>
  <w:style w:type="paragraph" w:customStyle="1" w:styleId="128">
    <w:name w:val="xl27"/>
    <w:basedOn w:val="1"/>
    <w:autoRedefine/>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character" w:customStyle="1" w:styleId="129">
    <w:name w:val="《正文》 字符"/>
    <w:link w:val="100"/>
    <w:autoRedefine/>
    <w:qFormat/>
    <w:uiPriority w:val="0"/>
    <w:rPr>
      <w:kern w:val="2"/>
      <w:sz w:val="24"/>
      <w:szCs w:val="24"/>
    </w:rPr>
  </w:style>
  <w:style w:type="paragraph" w:styleId="130">
    <w:name w:val="List Paragraph"/>
    <w:basedOn w:val="1"/>
    <w:autoRedefine/>
    <w:unhideWhenUsed/>
    <w:qFormat/>
    <w:uiPriority w:val="99"/>
    <w:pPr>
      <w:ind w:firstLine="420" w:firstLineChars="200"/>
    </w:pPr>
  </w:style>
  <w:style w:type="paragraph" w:customStyle="1" w:styleId="131">
    <w:name w:val="AAA正文1"/>
    <w:basedOn w:val="1"/>
    <w:link w:val="132"/>
    <w:autoRedefine/>
    <w:qFormat/>
    <w:uiPriority w:val="0"/>
    <w:pPr>
      <w:adjustRightInd w:val="0"/>
      <w:snapToGrid w:val="0"/>
      <w:spacing w:line="500" w:lineRule="exact"/>
      <w:ind w:firstLine="200" w:firstLineChars="200"/>
    </w:pPr>
    <w:rPr>
      <w:rFonts w:eastAsia="仿宋"/>
      <w:color w:val="000000" w:themeColor="text1"/>
      <w:sz w:val="24"/>
      <w14:textFill>
        <w14:solidFill>
          <w14:schemeClr w14:val="tx1"/>
        </w14:solidFill>
      </w14:textFill>
    </w:rPr>
  </w:style>
  <w:style w:type="character" w:customStyle="1" w:styleId="132">
    <w:name w:val="AAA正文1 字符"/>
    <w:basedOn w:val="32"/>
    <w:link w:val="131"/>
    <w:autoRedefine/>
    <w:qFormat/>
    <w:uiPriority w:val="0"/>
    <w:rPr>
      <w:rFonts w:eastAsia="仿宋"/>
      <w:color w:val="000000" w:themeColor="text1"/>
      <w:kern w:val="2"/>
      <w:sz w:val="24"/>
      <w:szCs w:val="24"/>
      <w14:textFill>
        <w14:solidFill>
          <w14:schemeClr w14:val="tx1"/>
        </w14:solidFill>
      </w14:textFill>
    </w:rPr>
  </w:style>
  <w:style w:type="paragraph" w:customStyle="1" w:styleId="133">
    <w:name w:val="Table Text"/>
    <w:basedOn w:val="1"/>
    <w:autoRedefine/>
    <w:semiHidden/>
    <w:qFormat/>
    <w:uiPriority w:val="0"/>
    <w:pPr>
      <w:widowControl/>
      <w:kinsoku w:val="0"/>
      <w:autoSpaceDE w:val="0"/>
      <w:autoSpaceDN w:val="0"/>
      <w:adjustRightInd w:val="0"/>
      <w:snapToGrid w:val="0"/>
      <w:jc w:val="left"/>
      <w:textAlignment w:val="baseline"/>
    </w:pPr>
    <w:rPr>
      <w:rFonts w:ascii="宋体" w:hAnsi="宋体" w:cs="宋体"/>
      <w:color w:val="000000"/>
      <w:kern w:val="0"/>
      <w:sz w:val="24"/>
    </w:rPr>
  </w:style>
  <w:style w:type="table" w:customStyle="1" w:styleId="134">
    <w:name w:val="Table Normal"/>
    <w:basedOn w:val="30"/>
    <w:autoRedefine/>
    <w:qFormat/>
    <w:uiPriority w:val="0"/>
    <w:rPr>
      <w:rFonts w:eastAsia="Times New Roman"/>
    </w:rPr>
    <w:tblPr>
      <w:tblCellMar>
        <w:left w:w="0" w:type="dxa"/>
        <w:right w:w="0" w:type="dxa"/>
      </w:tblCellMar>
    </w:tblPr>
  </w:style>
  <w:style w:type="character" w:customStyle="1" w:styleId="135">
    <w:name w:val="Unresolved Mention"/>
    <w:basedOn w:val="32"/>
    <w:autoRedefine/>
    <w:semiHidden/>
    <w:unhideWhenUsed/>
    <w:qFormat/>
    <w:uiPriority w:val="99"/>
    <w:rPr>
      <w:color w:val="605E5C"/>
      <w:shd w:val="clear" w:color="auto" w:fill="E1DFDD"/>
    </w:rPr>
  </w:style>
  <w:style w:type="table" w:customStyle="1" w:styleId="136">
    <w:name w:val="Grid Table Light"/>
    <w:basedOn w:val="30"/>
    <w:autoRedefine/>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137">
    <w:name w:val="标题 1 字符"/>
    <w:basedOn w:val="32"/>
    <w:link w:val="2"/>
    <w:autoRedefine/>
    <w:qFormat/>
    <w:uiPriority w:val="99"/>
    <w:rPr>
      <w:rFonts w:eastAsia="黑体"/>
      <w:b/>
      <w:bCs/>
      <w:color w:val="000000"/>
      <w:kern w:val="44"/>
      <w:sz w:val="30"/>
      <w:szCs w:val="30"/>
    </w:rPr>
  </w:style>
  <w:style w:type="character" w:customStyle="1" w:styleId="138">
    <w:name w:val="标题 2 字符"/>
    <w:basedOn w:val="32"/>
    <w:link w:val="3"/>
    <w:autoRedefine/>
    <w:qFormat/>
    <w:uiPriority w:val="9"/>
    <w:rPr>
      <w:rFonts w:asciiTheme="majorHAnsi" w:hAnsiTheme="majorHAnsi" w:eastAsiaTheme="majorEastAsia" w:cstheme="majorBidi"/>
      <w:b/>
      <w:bCs/>
      <w:kern w:val="2"/>
      <w:sz w:val="32"/>
      <w:szCs w:val="32"/>
    </w:rPr>
  </w:style>
  <w:style w:type="character" w:customStyle="1" w:styleId="139">
    <w:name w:val="纯文本 字符"/>
    <w:basedOn w:val="32"/>
    <w:link w:val="14"/>
    <w:autoRedefine/>
    <w:qFormat/>
    <w:uiPriority w:val="99"/>
    <w:rPr>
      <w:rFonts w:ascii="宋体" w:hAnsi="Courier New"/>
    </w:rPr>
  </w:style>
  <w:style w:type="character" w:customStyle="1" w:styleId="140">
    <w:name w:val="正文文本缩进 2 字符"/>
    <w:basedOn w:val="32"/>
    <w:link w:val="17"/>
    <w:autoRedefine/>
    <w:qFormat/>
    <w:uiPriority w:val="0"/>
    <w:rPr>
      <w:sz w:val="28"/>
    </w:rPr>
  </w:style>
  <w:style w:type="character" w:customStyle="1" w:styleId="141">
    <w:name w:val="信息标题 字符"/>
    <w:basedOn w:val="32"/>
    <w:link w:val="24"/>
    <w:autoRedefine/>
    <w:qFormat/>
    <w:uiPriority w:val="0"/>
    <w:rPr>
      <w:rFonts w:ascii="Cambria" w:hAnsi="Cambria"/>
      <w:kern w:val="2"/>
      <w:sz w:val="21"/>
      <w:szCs w:val="24"/>
      <w:shd w:val="pct20" w:color="auto" w:fill="auto"/>
    </w:rPr>
  </w:style>
  <w:style w:type="character" w:customStyle="1" w:styleId="142">
    <w:name w:val="正文文本首行缩进 2 字符"/>
    <w:basedOn w:val="57"/>
    <w:link w:val="29"/>
    <w:autoRedefine/>
    <w:qFormat/>
    <w:uiPriority w:val="99"/>
    <w:rPr>
      <w:rFonts w:ascii="Times New Roman" w:hAnsi="Times New Roman" w:eastAsia="宋体"/>
      <w:sz w:val="24"/>
    </w:rPr>
  </w:style>
  <w:style w:type="paragraph" w:customStyle="1" w:styleId="143">
    <w:name w:val=".表1-1-1内容"/>
    <w:basedOn w:val="1"/>
    <w:autoRedefine/>
    <w:qFormat/>
    <w:uiPriority w:val="0"/>
    <w:pPr>
      <w:spacing w:line="300" w:lineRule="exact"/>
      <w:jc w:val="center"/>
    </w:pPr>
    <w:rPr>
      <w:kern w:val="0"/>
      <w:sz w:val="24"/>
      <w:szCs w:val="21"/>
    </w:rPr>
  </w:style>
  <w:style w:type="paragraph" w:customStyle="1" w:styleId="144">
    <w:name w:val="表文00"/>
    <w:basedOn w:val="1"/>
    <w:next w:val="1"/>
    <w:autoRedefine/>
    <w:qFormat/>
    <w:uiPriority w:val="0"/>
    <w:pPr>
      <w:autoSpaceDE w:val="0"/>
      <w:autoSpaceDN w:val="0"/>
      <w:spacing w:line="500" w:lineRule="exact"/>
      <w:contextualSpacing/>
      <w:jc w:val="center"/>
    </w:pPr>
    <w:rPr>
      <w:sz w:val="24"/>
      <w:szCs w:val="18"/>
    </w:rPr>
  </w:style>
  <w:style w:type="character" w:customStyle="1" w:styleId="145">
    <w:name w:val="【表中文字】 Char Char"/>
    <w:autoRedefine/>
    <w:qFormat/>
    <w:uiPriority w:val="0"/>
    <w:rPr>
      <w:rFonts w:hAnsi="宋体"/>
      <w:szCs w:val="21"/>
    </w:rPr>
  </w:style>
  <w:style w:type="paragraph" w:customStyle="1" w:styleId="146">
    <w:name w:val="1级标题-"/>
    <w:basedOn w:val="2"/>
    <w:autoRedefine/>
    <w:qFormat/>
    <w:uiPriority w:val="0"/>
    <w:pPr>
      <w:adjustRightInd w:val="0"/>
      <w:spacing w:before="0" w:after="0" w:line="500" w:lineRule="exact"/>
    </w:pPr>
    <w:rPr>
      <w:b w:val="0"/>
      <w:sz w:val="32"/>
      <w:szCs w:val="24"/>
    </w:rPr>
  </w:style>
  <w:style w:type="paragraph" w:customStyle="1" w:styleId="147">
    <w:name w:val="正文3"/>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48">
    <w:name w:val="正文00"/>
    <w:basedOn w:val="1"/>
    <w:autoRedefine/>
    <w:qFormat/>
    <w:uiPriority w:val="0"/>
    <w:pPr>
      <w:spacing w:line="360" w:lineRule="auto"/>
      <w:ind w:firstLine="480" w:firstLineChars="200"/>
    </w:pPr>
    <w:rPr>
      <w:sz w:val="24"/>
    </w:rPr>
  </w:style>
  <w:style w:type="paragraph" w:customStyle="1" w:styleId="149">
    <w:name w:val="居中表格内容"/>
    <w:basedOn w:val="1"/>
    <w:autoRedefine/>
    <w:qFormat/>
    <w:uiPriority w:val="0"/>
    <w:pPr>
      <w:jc w:val="center"/>
    </w:pPr>
    <w:rPr>
      <w:rFonts w:hint="eastAsia"/>
      <w:szCs w:val="20"/>
    </w:rPr>
  </w:style>
  <w:style w:type="paragraph" w:customStyle="1" w:styleId="150">
    <w:name w:val="正文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51">
    <w:name w:val="Char Char Char Char Char Char Char1"/>
    <w:basedOn w:val="1"/>
    <w:autoRedefine/>
    <w:qFormat/>
    <w:uiPriority w:val="0"/>
    <w:pPr>
      <w:spacing w:line="500" w:lineRule="exact"/>
      <w:ind w:firstLine="200"/>
    </w:pPr>
    <w:rPr>
      <w:rFonts w:ascii="宋体" w:hAnsi="宋体" w:cs="宋体"/>
      <w:sz w:val="24"/>
    </w:rPr>
  </w:style>
  <w:style w:type="paragraph" w:customStyle="1" w:styleId="152">
    <w:name w:val="缩进2"/>
    <w:basedOn w:val="1"/>
    <w:autoRedefine/>
    <w:qFormat/>
    <w:uiPriority w:val="0"/>
    <w:pPr>
      <w:spacing w:line="500" w:lineRule="exact"/>
      <w:ind w:firstLine="200"/>
    </w:pPr>
    <w:rPr>
      <w:rFonts w:ascii="宋体" w:hAnsi="宋体" w:eastAsiaTheme="minorEastAsia" w:cstheme="minorBidi"/>
      <w:sz w:val="24"/>
      <w:szCs w:val="21"/>
    </w:rPr>
  </w:style>
  <w:style w:type="character" w:customStyle="1" w:styleId="153">
    <w:name w:val="font41"/>
    <w:basedOn w:val="32"/>
    <w:autoRedefine/>
    <w:qFormat/>
    <w:uiPriority w:val="0"/>
    <w:rPr>
      <w:rFonts w:hint="eastAsia" w:ascii="宋体" w:hAnsi="宋体" w:eastAsia="宋体" w:cs="宋体"/>
      <w:color w:val="000000"/>
      <w:sz w:val="21"/>
      <w:szCs w:val="21"/>
      <w:u w:val="none"/>
    </w:rPr>
  </w:style>
  <w:style w:type="paragraph" w:customStyle="1" w:styleId="154">
    <w:name w:val="样式 Times New Roman 五号 居中1"/>
    <w:basedOn w:val="1"/>
    <w:autoRedefine/>
    <w:qFormat/>
    <w:uiPriority w:val="0"/>
    <w:pPr>
      <w:spacing w:line="500" w:lineRule="exact"/>
      <w:jc w:val="center"/>
    </w:pPr>
    <w:rPr>
      <w:rFonts w:cs="宋体"/>
      <w:sz w:val="24"/>
      <w:szCs w:val="20"/>
    </w:rPr>
  </w:style>
  <w:style w:type="paragraph" w:customStyle="1" w:styleId="155">
    <w:name w:val="样式 Times New Roman 五号 居中"/>
    <w:basedOn w:val="1"/>
    <w:autoRedefine/>
    <w:qFormat/>
    <w:uiPriority w:val="0"/>
    <w:pPr>
      <w:spacing w:line="500" w:lineRule="exact"/>
      <w:jc w:val="center"/>
    </w:pPr>
    <w:rPr>
      <w:rFonts w:cs="宋体"/>
      <w:sz w:val="24"/>
      <w:szCs w:val="20"/>
    </w:rPr>
  </w:style>
  <w:style w:type="paragraph" w:customStyle="1" w:styleId="156">
    <w:name w:val="广用正文"/>
    <w:basedOn w:val="1"/>
    <w:autoRedefine/>
    <w:qFormat/>
    <w:uiPriority w:val="0"/>
    <w:pPr>
      <w:autoSpaceDE w:val="0"/>
      <w:autoSpaceDN w:val="0"/>
      <w:adjustRightInd/>
      <w:snapToGrid/>
      <w:spacing w:line="360" w:lineRule="auto"/>
      <w:ind w:firstLine="200" w:firstLineChars="200"/>
    </w:pPr>
    <w:rPr>
      <w:rFonts w:ascii="宋体" w:cs="宋体"/>
      <w:kern w:val="0"/>
      <w:sz w:val="24"/>
      <w:szCs w:val="21"/>
    </w:rPr>
  </w:style>
  <w:style w:type="paragraph" w:customStyle="1" w:styleId="157">
    <w:name w:val="0表格文字"/>
    <w:basedOn w:val="158"/>
    <w:next w:val="158"/>
    <w:autoRedefine/>
    <w:qFormat/>
    <w:uiPriority w:val="0"/>
    <w:pPr>
      <w:wordWrap w:val="0"/>
      <w:topLinePunct/>
      <w:jc w:val="center"/>
    </w:pPr>
    <w:rPr>
      <w:rFonts w:cs="宋体"/>
      <w:color w:val="000000"/>
      <w:kern w:val="0"/>
    </w:rPr>
  </w:style>
  <w:style w:type="paragraph" w:customStyle="1" w:styleId="158">
    <w:name w:val="00通用正文"/>
    <w:basedOn w:val="1"/>
    <w:autoRedefine/>
    <w:qFormat/>
    <w:uiPriority w:val="0"/>
    <w:pPr>
      <w:widowControl w:val="0"/>
      <w:wordWrap w:val="0"/>
      <w:spacing w:after="0" w:line="360" w:lineRule="auto"/>
      <w:ind w:firstLine="420" w:firstLineChars="200"/>
      <w:jc w:val="left"/>
    </w:pPr>
    <w:rPr>
      <w:rFonts w:ascii="Times New Roman" w:hAnsi="Times New Roman" w:eastAsia="宋体" w:cs="Times New Roman"/>
      <w:color w:val="000000"/>
      <w:kern w:val="2"/>
      <w:sz w:val="24"/>
      <w:szCs w:val="24"/>
      <w:lang w:val="en-US" w:bidi="ar-SA"/>
    </w:rPr>
  </w:style>
  <w:style w:type="paragraph" w:customStyle="1" w:styleId="159">
    <w:name w:val="表头、图名"/>
    <w:basedOn w:val="1"/>
    <w:next w:val="1"/>
    <w:autoRedefine/>
    <w:qFormat/>
    <w:uiPriority w:val="0"/>
    <w:pPr>
      <w:ind w:firstLine="0" w:firstLineChars="0"/>
      <w:jc w:val="center"/>
    </w:pPr>
    <w:rPr>
      <w:rFonts w:hint="eastAsia" w:eastAsia="黑体"/>
    </w:rPr>
  </w:style>
  <w:style w:type="paragraph" w:customStyle="1" w:styleId="160">
    <w:name w:val="表格内文字"/>
    <w:basedOn w:val="1"/>
    <w:autoRedefine/>
    <w:qFormat/>
    <w:uiPriority w:val="0"/>
    <w:pPr>
      <w:widowControl w:val="0"/>
      <w:kinsoku/>
      <w:autoSpaceDE/>
      <w:autoSpaceDN/>
      <w:adjustRightInd/>
      <w:snapToGrid/>
      <w:spacing w:line="264" w:lineRule="auto"/>
      <w:ind w:firstLine="0" w:firstLineChars="0"/>
      <w:jc w:val="center"/>
      <w:textAlignment w:val="auto"/>
    </w:pPr>
    <w:rPr>
      <w:rFonts w:ascii="Times New Roman" w:hAnsi="Times New Roman" w:eastAsia="宋体" w:cs="Times New Roman"/>
      <w:color w:val="auto"/>
      <w:sz w:val="21"/>
      <w:szCs w:val="21"/>
    </w:rPr>
  </w:style>
  <w:style w:type="paragraph" w:customStyle="1" w:styleId="161">
    <w:name w:val="样式 小四 行距: 1.5 倍行距"/>
    <w:basedOn w:val="1"/>
    <w:autoRedefine/>
    <w:qFormat/>
    <w:uiPriority w:val="0"/>
    <w:pPr>
      <w:ind w:firstLine="480" w:firstLineChars="200"/>
    </w:pPr>
    <w:rPr>
      <w:rFonts w:hint="default" w:cs="宋体"/>
    </w:rPr>
  </w:style>
  <w:style w:type="character" w:customStyle="1" w:styleId="162">
    <w:name w:val="zhengwencolor1"/>
    <w:autoRedefine/>
    <w:qFormat/>
    <w:uiPriority w:val="0"/>
    <w:rPr>
      <w:color w:val="000000"/>
      <w:sz w:val="18"/>
      <w:szCs w:val="18"/>
    </w:rPr>
  </w:style>
  <w:style w:type="paragraph" w:customStyle="1" w:styleId="163">
    <w:name w:val="!报告表表格"/>
    <w:next w:val="164"/>
    <w:qFormat/>
    <w:uiPriority w:val="0"/>
    <w:pPr>
      <w:jc w:val="center"/>
    </w:pPr>
    <w:rPr>
      <w:rFonts w:ascii="Calibri" w:hAnsi="Calibri" w:eastAsia="宋体" w:cs="Times New Roman"/>
      <w:sz w:val="21"/>
      <w:lang w:val="en-US" w:eastAsia="zh-CN" w:bidi="ar-SA"/>
    </w:rPr>
  </w:style>
  <w:style w:type="paragraph" w:customStyle="1" w:styleId="164">
    <w:name w:val="！报告表正文"/>
    <w:basedOn w:val="63"/>
    <w:autoRedefine/>
    <w:qFormat/>
    <w:uiPriority w:val="0"/>
    <w:rPr>
      <w:rFonts w:ascii="Times New Roman" w:hAnsi="Times New Roman"/>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4.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wmf"/><Relationship Id="rId53" Type="http://schemas.openxmlformats.org/officeDocument/2006/relationships/oleObject" Target="embeddings/oleObject1.bin"/><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jpe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jpe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DBAE633-6B8A-4E36-ABBC-62399998F408}">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154</Pages>
  <Words>17610</Words>
  <Characters>19244</Characters>
  <Lines>5969</Lines>
  <Paragraphs>5688</Paragraphs>
  <TotalTime>40</TotalTime>
  <ScaleCrop>false</ScaleCrop>
  <LinksUpToDate>false</LinksUpToDate>
  <CharactersWithSpaces>19392</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2025-03-24T07:15:00Z</dcterms:created>
  <dc:creator>Administrator</dc:creator>
  <cp:lastModifiedBy>Gemini</cp:lastModifiedBy>
  <cp:lastPrinted>2025-03-21T06:53:00Z</cp:lastPrinted>
  <dcterms:modified xsi:type="dcterms:W3CDTF">2025-09-28T08:16:47Z</dcterms:modified>
  <dc:title>附件2</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AD62332B6246435AAC22898571614533_13</vt:lpwstr>
  </property>
  <property fmtid="{D5CDD505-2E9C-101B-9397-08002B2CF9AE}" pid="4" name="KSOTemplateDocerSaveRecord">
    <vt:lpwstr>eyJoZGlkIjoiNzEzZGY0YTEzNTBhMzIwMTk4ZTNiMTdlM2JiNWUzYTkiLCJ1c2VySWQiOiI0NjIzMTM3MjEifQ==</vt:lpwstr>
  </property>
</Properties>
</file>