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1D5387B">
      <w:pPr>
        <w:pStyle w:val="14"/>
        <w:rPr>
          <w:rFonts w:hint="default"/>
          <w:color w:val="FF0000"/>
          <w:highlight w:val="none"/>
        </w:rPr>
      </w:pPr>
      <w:bookmarkStart w:id="0" w:name="_Hlk57883707"/>
    </w:p>
    <w:p w14:paraId="214298BE">
      <w:pPr>
        <w:pStyle w:val="15"/>
        <w:rPr>
          <w:rFonts w:hint="default"/>
          <w:color w:val="FF0000"/>
          <w:highlight w:val="none"/>
        </w:rPr>
      </w:pPr>
    </w:p>
    <w:p w14:paraId="614068A2">
      <w:pPr>
        <w:pStyle w:val="16"/>
        <w:rPr>
          <w:rFonts w:hint="default"/>
          <w:highlight w:val="none"/>
        </w:rPr>
      </w:pPr>
    </w:p>
    <w:p w14:paraId="4F6EFAE5">
      <w:pPr>
        <w:rPr>
          <w:rFonts w:hint="default" w:ascii="Times New Roman" w:hAnsi="Times New Roman" w:eastAsia="仿宋_GB2312" w:cs="Times New Roman"/>
          <w:color w:val="FF0000"/>
          <w:sz w:val="36"/>
          <w:szCs w:val="36"/>
          <w:highlight w:val="none"/>
        </w:rPr>
      </w:pPr>
    </w:p>
    <w:p w14:paraId="3EFB721B">
      <w:pPr>
        <w:rPr>
          <w:rFonts w:hint="default" w:ascii="Times New Roman" w:hAnsi="Times New Roman" w:eastAsia="仿宋_GB2312" w:cs="Times New Roman"/>
          <w:color w:val="FF0000"/>
          <w:sz w:val="36"/>
          <w:szCs w:val="36"/>
          <w:highlight w:val="none"/>
        </w:rPr>
      </w:pPr>
    </w:p>
    <w:bookmarkEnd w:id="0"/>
    <w:p w14:paraId="136B704C">
      <w:pPr>
        <w:adjustRightInd w:val="0"/>
        <w:snapToGrid w:val="0"/>
        <w:jc w:val="center"/>
        <w:outlineLvl w:val="0"/>
        <w:rPr>
          <w:rFonts w:hint="default" w:ascii="Times New Roman" w:hAnsi="Times New Roman" w:eastAsia="方正小标宋_GBK" w:cs="Times New Roman"/>
          <w:bCs/>
          <w:color w:val="auto"/>
          <w:sz w:val="72"/>
          <w:szCs w:val="72"/>
          <w:highlight w:val="none"/>
        </w:rPr>
      </w:pPr>
      <w:bookmarkStart w:id="1" w:name="_Toc11802"/>
      <w:bookmarkStart w:id="2" w:name="_Toc12975"/>
      <w:bookmarkStart w:id="3" w:name="_Toc29917"/>
      <w:bookmarkStart w:id="4" w:name="_Toc26153"/>
      <w:bookmarkStart w:id="5" w:name="_Toc15015"/>
      <w:bookmarkStart w:id="6" w:name="_Toc26065"/>
      <w:bookmarkStart w:id="7" w:name="_Toc26595"/>
      <w:r>
        <w:rPr>
          <w:rFonts w:hint="default" w:ascii="Times New Roman" w:hAnsi="Times New Roman" w:eastAsia="方正小标宋_GBK" w:cs="Times New Roman"/>
          <w:bCs/>
          <w:color w:val="auto"/>
          <w:sz w:val="72"/>
          <w:szCs w:val="72"/>
          <w:highlight w:val="none"/>
        </w:rPr>
        <w:t>建设项目环境影响报告表</w:t>
      </w:r>
      <w:bookmarkEnd w:id="1"/>
      <w:bookmarkEnd w:id="2"/>
      <w:bookmarkEnd w:id="3"/>
      <w:bookmarkEnd w:id="4"/>
      <w:bookmarkEnd w:id="5"/>
      <w:bookmarkEnd w:id="6"/>
      <w:bookmarkEnd w:id="7"/>
    </w:p>
    <w:p w14:paraId="50E7F70B">
      <w:pPr>
        <w:adjustRightInd w:val="0"/>
        <w:snapToGrid w:val="0"/>
        <w:spacing w:before="249" w:beforeLines="80"/>
        <w:jc w:val="center"/>
        <w:rPr>
          <w:rFonts w:hint="default" w:ascii="Times New Roman" w:hAnsi="Times New Roman" w:eastAsia="楷体_GB2312" w:cs="Times New Roman"/>
          <w:bCs/>
          <w:color w:val="auto"/>
          <w:sz w:val="48"/>
          <w:szCs w:val="48"/>
          <w:highlight w:val="none"/>
        </w:rPr>
      </w:pPr>
      <w:r>
        <w:rPr>
          <w:rFonts w:hint="default" w:ascii="Times New Roman" w:hAnsi="Times New Roman" w:eastAsia="楷体_GB2312" w:cs="Times New Roman"/>
          <w:bCs/>
          <w:color w:val="auto"/>
          <w:sz w:val="48"/>
          <w:szCs w:val="48"/>
          <w:highlight w:val="none"/>
        </w:rPr>
        <w:t>（污染影响类）</w:t>
      </w:r>
    </w:p>
    <w:p w14:paraId="67F048DE">
      <w:pPr>
        <w:adjustRightInd w:val="0"/>
        <w:snapToGrid w:val="0"/>
        <w:spacing w:line="288" w:lineRule="auto"/>
        <w:jc w:val="center"/>
        <w:rPr>
          <w:rFonts w:hint="default" w:ascii="Times New Roman" w:hAnsi="Times New Roman" w:eastAsia="华文仿宋" w:cs="Times New Roman"/>
          <w:color w:val="auto"/>
          <w:kern w:val="44"/>
          <w:sz w:val="44"/>
          <w:szCs w:val="44"/>
          <w:highlight w:val="none"/>
        </w:rPr>
      </w:pPr>
      <w:bookmarkStart w:id="8" w:name="_Hlk57883728"/>
    </w:p>
    <w:p w14:paraId="080DE30D">
      <w:pPr>
        <w:adjustRightInd w:val="0"/>
        <w:snapToGrid w:val="0"/>
        <w:spacing w:line="288" w:lineRule="auto"/>
        <w:jc w:val="center"/>
        <w:rPr>
          <w:rFonts w:hint="default" w:ascii="Times New Roman" w:hAnsi="Times New Roman" w:eastAsia="华文仿宋" w:cs="Times New Roman"/>
          <w:color w:val="auto"/>
          <w:kern w:val="44"/>
          <w:sz w:val="44"/>
          <w:szCs w:val="44"/>
          <w:highlight w:val="none"/>
        </w:rPr>
      </w:pPr>
    </w:p>
    <w:p w14:paraId="3A59C4F4">
      <w:pPr>
        <w:pStyle w:val="15"/>
        <w:rPr>
          <w:rFonts w:hint="default"/>
          <w:highlight w:val="none"/>
        </w:rPr>
      </w:pPr>
    </w:p>
    <w:p w14:paraId="59B4713F">
      <w:pPr>
        <w:pStyle w:val="16"/>
        <w:rPr>
          <w:rFonts w:hint="default"/>
          <w:color w:val="auto"/>
          <w:highlight w:val="none"/>
        </w:rPr>
      </w:pPr>
    </w:p>
    <w:p w14:paraId="11EE7DCF">
      <w:pPr>
        <w:rPr>
          <w:rFonts w:hint="default" w:ascii="Times New Roman" w:hAnsi="Times New Roman" w:eastAsia="仿宋" w:cs="Times New Roman"/>
          <w:color w:val="auto"/>
          <w:sz w:val="44"/>
          <w:szCs w:val="44"/>
          <w:highlight w:val="none"/>
        </w:rPr>
      </w:pPr>
    </w:p>
    <w:bookmarkEnd w:id="8"/>
    <w:p w14:paraId="2F1EDC2A">
      <w:pPr>
        <w:adjustRightInd w:val="0"/>
        <w:snapToGrid w:val="0"/>
        <w:spacing w:line="288" w:lineRule="auto"/>
        <w:ind w:left="1630" w:hanging="1630" w:hangingChars="500"/>
        <w:jc w:val="left"/>
        <w:rPr>
          <w:rFonts w:hint="default" w:ascii="Times New Roman" w:hAnsi="Times New Roman" w:eastAsia="仿宋_GB2312" w:cs="Times New Roman"/>
          <w:color w:val="auto"/>
          <w:spacing w:val="-17"/>
          <w:sz w:val="36"/>
          <w:szCs w:val="36"/>
          <w:highlight w:val="none"/>
          <w:u w:val="single"/>
          <w:lang w:val="en-US"/>
        </w:rPr>
      </w:pPr>
      <w:r>
        <w:rPr>
          <w:rFonts w:hint="default" w:ascii="Times New Roman" w:hAnsi="Times New Roman" w:eastAsia="仿宋_GB2312" w:cs="Times New Roman"/>
          <w:color w:val="auto"/>
          <w:spacing w:val="-17"/>
          <w:sz w:val="36"/>
          <w:szCs w:val="36"/>
          <w:highlight w:val="none"/>
        </w:rPr>
        <w:t>项目名称：</w:t>
      </w:r>
      <w:r>
        <w:rPr>
          <w:rFonts w:hint="eastAsia" w:eastAsia="仿宋_GB2312" w:cs="Times New Roman"/>
          <w:color w:val="auto"/>
          <w:spacing w:val="-17"/>
          <w:sz w:val="36"/>
          <w:szCs w:val="36"/>
          <w:highlight w:val="none"/>
          <w:u w:val="single"/>
          <w:lang w:val="en-US" w:eastAsia="zh-CN"/>
        </w:rPr>
        <w:t xml:space="preserve">   虎林市</w:t>
      </w:r>
      <w:r>
        <w:rPr>
          <w:rFonts w:hint="eastAsia" w:eastAsia="仿宋_GB2312" w:cs="Times New Roman"/>
          <w:color w:val="auto"/>
          <w:sz w:val="36"/>
          <w:szCs w:val="36"/>
          <w:highlight w:val="none"/>
          <w:u w:val="single"/>
          <w:lang w:val="en-US" w:eastAsia="zh-CN"/>
        </w:rPr>
        <w:t xml:space="preserve">恒盛泰粮食经贸有限公司建设项目    </w:t>
      </w:r>
    </w:p>
    <w:p w14:paraId="529E4B04">
      <w:pPr>
        <w:adjustRightInd w:val="0"/>
        <w:snapToGrid w:val="0"/>
        <w:spacing w:line="288" w:lineRule="auto"/>
        <w:rPr>
          <w:rFonts w:hint="default" w:ascii="Times New Roman" w:hAnsi="Times New Roman" w:eastAsia="仿宋_GB2312" w:cs="Times New Roman"/>
          <w:color w:val="auto"/>
          <w:sz w:val="36"/>
          <w:szCs w:val="36"/>
          <w:highlight w:val="none"/>
          <w:u w:val="single"/>
          <w:lang w:val="en-US"/>
        </w:rPr>
      </w:pPr>
      <w:r>
        <w:rPr>
          <w:rFonts w:hint="default" w:ascii="Times New Roman" w:hAnsi="Times New Roman" w:eastAsia="仿宋_GB2312" w:cs="Times New Roman"/>
          <w:color w:val="auto"/>
          <w:sz w:val="36"/>
          <w:szCs w:val="36"/>
          <w:highlight w:val="none"/>
        </w:rPr>
        <w:t>建设单位：</w:t>
      </w:r>
      <w:r>
        <w:rPr>
          <w:rFonts w:hint="eastAsia" w:eastAsia="仿宋_GB2312" w:cs="Times New Roman"/>
          <w:color w:val="auto"/>
          <w:sz w:val="36"/>
          <w:szCs w:val="36"/>
          <w:highlight w:val="none"/>
          <w:u w:val="single"/>
          <w:lang w:val="en-US" w:eastAsia="zh-CN"/>
        </w:rPr>
        <w:t xml:space="preserve">      </w:t>
      </w:r>
      <w:r>
        <w:rPr>
          <w:rFonts w:hint="eastAsia" w:eastAsia="仿宋_GB2312" w:cs="Times New Roman"/>
          <w:color w:val="auto"/>
          <w:spacing w:val="-17"/>
          <w:sz w:val="36"/>
          <w:szCs w:val="36"/>
          <w:highlight w:val="none"/>
          <w:u w:val="single"/>
          <w:lang w:val="en-US" w:eastAsia="zh-CN"/>
        </w:rPr>
        <w:t>虎林市</w:t>
      </w:r>
      <w:r>
        <w:rPr>
          <w:rFonts w:hint="eastAsia" w:eastAsia="仿宋_GB2312" w:cs="Times New Roman"/>
          <w:color w:val="auto"/>
          <w:sz w:val="36"/>
          <w:szCs w:val="36"/>
          <w:highlight w:val="none"/>
          <w:u w:val="single"/>
          <w:lang w:val="en-US" w:eastAsia="zh-CN"/>
        </w:rPr>
        <w:t xml:space="preserve">恒盛泰粮食经贸有限公司        </w:t>
      </w:r>
    </w:p>
    <w:p w14:paraId="5A96EA57">
      <w:pPr>
        <w:adjustRightInd w:val="0"/>
        <w:snapToGrid w:val="0"/>
        <w:spacing w:line="288" w:lineRule="auto"/>
        <w:rPr>
          <w:rFonts w:hint="eastAsia" w:ascii="Times New Roman" w:hAnsi="Times New Roman" w:eastAsia="仿宋_GB2312" w:cs="Times New Roman"/>
          <w:color w:val="auto"/>
          <w:sz w:val="36"/>
          <w:szCs w:val="36"/>
          <w:highlight w:val="none"/>
          <w:u w:val="single"/>
          <w:lang w:val="en-US" w:eastAsia="zh-CN"/>
        </w:rPr>
      </w:pPr>
      <w:r>
        <w:rPr>
          <w:rFonts w:hint="default" w:ascii="Times New Roman" w:hAnsi="Times New Roman" w:eastAsia="仿宋_GB2312" w:cs="Times New Roman"/>
          <w:color w:val="auto"/>
          <w:sz w:val="36"/>
          <w:szCs w:val="36"/>
          <w:highlight w:val="none"/>
        </w:rPr>
        <w:t>编制日期：</w:t>
      </w:r>
      <w:r>
        <w:rPr>
          <w:rFonts w:hint="eastAsia"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202</w:t>
      </w:r>
      <w:r>
        <w:rPr>
          <w:rFonts w:hint="eastAsia" w:eastAsia="仿宋_GB2312" w:cs="Times New Roman"/>
          <w:color w:val="auto"/>
          <w:sz w:val="36"/>
          <w:szCs w:val="36"/>
          <w:highlight w:val="none"/>
          <w:u w:val="single"/>
          <w:lang w:val="en-US" w:eastAsia="zh-CN"/>
        </w:rPr>
        <w:t>6</w:t>
      </w:r>
      <w:r>
        <w:rPr>
          <w:rFonts w:hint="default" w:ascii="Times New Roman" w:hAnsi="Times New Roman" w:eastAsia="仿宋_GB2312" w:cs="Times New Roman"/>
          <w:color w:val="auto"/>
          <w:sz w:val="36"/>
          <w:szCs w:val="36"/>
          <w:highlight w:val="none"/>
          <w:u w:val="single"/>
        </w:rPr>
        <w:t>年</w:t>
      </w:r>
      <w:r>
        <w:rPr>
          <w:rFonts w:hint="eastAsia" w:eastAsia="仿宋_GB2312" w:cs="Times New Roman"/>
          <w:color w:val="auto"/>
          <w:sz w:val="36"/>
          <w:szCs w:val="36"/>
          <w:highlight w:val="none"/>
          <w:u w:val="single"/>
          <w:lang w:val="en-US" w:eastAsia="zh-CN"/>
        </w:rPr>
        <w:t>1</w:t>
      </w:r>
      <w:r>
        <w:rPr>
          <w:rFonts w:hint="default" w:ascii="Times New Roman" w:hAnsi="Times New Roman" w:eastAsia="仿宋_GB2312" w:cs="Times New Roman"/>
          <w:color w:val="auto"/>
          <w:sz w:val="36"/>
          <w:szCs w:val="36"/>
          <w:highlight w:val="none"/>
          <w:u w:val="single"/>
        </w:rPr>
        <w:t xml:space="preserve">月   </w:t>
      </w:r>
      <w:r>
        <w:rPr>
          <w:rFonts w:hint="eastAsia"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 xml:space="preserve">  </w:t>
      </w:r>
      <w:r>
        <w:rPr>
          <w:rFonts w:hint="eastAsia" w:eastAsia="仿宋_GB2312" w:cs="Times New Roman"/>
          <w:color w:val="auto"/>
          <w:sz w:val="36"/>
          <w:szCs w:val="36"/>
          <w:highlight w:val="none"/>
          <w:u w:val="single"/>
          <w:lang w:val="en-US" w:eastAsia="zh-CN"/>
        </w:rPr>
        <w:t xml:space="preserve">       </w:t>
      </w:r>
    </w:p>
    <w:p w14:paraId="77BAECC1">
      <w:pPr>
        <w:adjustRightInd w:val="0"/>
        <w:snapToGrid w:val="0"/>
        <w:spacing w:line="288" w:lineRule="auto"/>
        <w:ind w:firstLine="1040"/>
        <w:rPr>
          <w:rFonts w:hint="default" w:ascii="Times New Roman" w:hAnsi="Times New Roman" w:eastAsia="仿宋_GB2312" w:cs="Times New Roman"/>
          <w:color w:val="auto"/>
          <w:sz w:val="36"/>
          <w:szCs w:val="36"/>
          <w:highlight w:val="none"/>
          <w:u w:val="single"/>
        </w:rPr>
      </w:pPr>
    </w:p>
    <w:p w14:paraId="7D0ACD2D">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5E51998D">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5113FAF8">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5D60B43B">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43E8EE27">
      <w:pPr>
        <w:adjustRightInd w:val="0"/>
        <w:snapToGrid w:val="0"/>
        <w:spacing w:line="288" w:lineRule="auto"/>
        <w:jc w:val="center"/>
        <w:rPr>
          <w:rFonts w:hint="eastAsia" w:ascii="Times New Roman" w:hAnsi="Times New Roman" w:eastAsia="楷体_GB2312"/>
          <w:color w:val="auto"/>
          <w:sz w:val="36"/>
          <w:szCs w:val="36"/>
        </w:rPr>
      </w:pPr>
      <w:r>
        <w:rPr>
          <w:rFonts w:hint="eastAsia" w:ascii="Times New Roman" w:hAnsi="Times New Roman" w:eastAsia="楷体_GB2312"/>
          <w:color w:val="auto"/>
          <w:sz w:val="36"/>
          <w:szCs w:val="36"/>
        </w:rPr>
        <w:t>中华人民共和国生态环境部制</w:t>
      </w:r>
    </w:p>
    <w:p w14:paraId="1987F460">
      <w:pPr>
        <w:adjustRightInd w:val="0"/>
        <w:snapToGrid w:val="0"/>
        <w:spacing w:line="288" w:lineRule="auto"/>
        <w:jc w:val="center"/>
        <w:rPr>
          <w:rFonts w:hint="eastAsia" w:ascii="Times New Roman" w:hAnsi="Times New Roman" w:eastAsia="楷体_GB2312" w:cs="Times New Roman"/>
          <w:color w:val="FF0000"/>
          <w:sz w:val="36"/>
          <w:szCs w:val="36"/>
          <w:highlight w:val="none"/>
          <w:lang w:eastAsia="zh-CN"/>
        </w:rPr>
        <w:sectPr>
          <w:footerReference r:id="rId3" w:type="default"/>
          <w:pgSz w:w="11850" w:h="16783"/>
          <w:pgMar w:top="1701" w:right="1474" w:bottom="1701" w:left="1474" w:header="851" w:footer="1077" w:gutter="0"/>
          <w:pgBorders>
            <w:top w:val="none" w:sz="0" w:space="0"/>
            <w:left w:val="none" w:sz="0" w:space="0"/>
            <w:bottom w:val="none" w:sz="0" w:space="0"/>
            <w:right w:val="none" w:sz="0" w:space="0"/>
          </w:pgBorders>
          <w:pgNumType w:start="1"/>
          <w:cols w:space="0" w:num="1"/>
          <w:docGrid w:type="lines" w:linePitch="312" w:charSpace="0"/>
        </w:sectPr>
      </w:pPr>
    </w:p>
    <w:p w14:paraId="375267B9">
      <w:pPr>
        <w:rPr>
          <w:rFonts w:hint="eastAsia" w:eastAsia="宋体"/>
          <w:lang w:eastAsia="zh-CN"/>
        </w:rPr>
      </w:pPr>
      <w:r>
        <w:drawing>
          <wp:inline distT="0" distB="0" distL="114300" distR="114300">
            <wp:extent cx="7978775" cy="5645150"/>
            <wp:effectExtent l="0" t="0" r="12700" b="3175"/>
            <wp:docPr id="10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9"/>
                    <pic:cNvPicPr>
                      <a:picLocks noChangeAspect="1"/>
                    </pic:cNvPicPr>
                  </pic:nvPicPr>
                  <pic:blipFill>
                    <a:blip r:embed="rId8"/>
                    <a:stretch>
                      <a:fillRect/>
                    </a:stretch>
                  </pic:blipFill>
                  <pic:spPr>
                    <a:xfrm rot="5400000">
                      <a:off x="0" y="0"/>
                      <a:ext cx="7978775" cy="5645150"/>
                    </a:xfrm>
                    <a:prstGeom prst="rect">
                      <a:avLst/>
                    </a:prstGeom>
                    <a:noFill/>
                    <a:ln>
                      <a:noFill/>
                    </a:ln>
                  </pic:spPr>
                </pic:pic>
              </a:graphicData>
            </a:graphic>
          </wp:inline>
        </w:drawing>
      </w:r>
      <w:r>
        <w:rPr>
          <w:rFonts w:hint="eastAsia" w:eastAsia="宋体"/>
          <w:lang w:eastAsia="zh-CN"/>
        </w:rPr>
        <w:drawing>
          <wp:inline distT="0" distB="0" distL="114300" distR="114300">
            <wp:extent cx="5652770" cy="8127365"/>
            <wp:effectExtent l="0" t="0" r="5080" b="6985"/>
            <wp:docPr id="102" name="图片 102" descr="11a8c4e03acb28b603be99e1a35d0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11a8c4e03acb28b603be99e1a35d0fd"/>
                    <pic:cNvPicPr>
                      <a:picLocks noChangeAspect="1"/>
                    </pic:cNvPicPr>
                  </pic:nvPicPr>
                  <pic:blipFill>
                    <a:blip r:embed="rId9"/>
                    <a:stretch>
                      <a:fillRect/>
                    </a:stretch>
                  </pic:blipFill>
                  <pic:spPr>
                    <a:xfrm>
                      <a:off x="0" y="0"/>
                      <a:ext cx="5652770" cy="8127365"/>
                    </a:xfrm>
                    <a:prstGeom prst="rect">
                      <a:avLst/>
                    </a:prstGeom>
                  </pic:spPr>
                </pic:pic>
              </a:graphicData>
            </a:graphic>
          </wp:inline>
        </w:drawing>
      </w:r>
    </w:p>
    <w:sdt>
      <w:sdtPr>
        <w:rPr>
          <w:rFonts w:ascii="宋体" w:hAnsi="宋体" w:eastAsia="宋体" w:cs="Times New Roman"/>
          <w:color w:val="auto"/>
          <w:kern w:val="2"/>
          <w:sz w:val="32"/>
          <w:szCs w:val="32"/>
          <w:highlight w:val="none"/>
          <w:lang w:val="en-US" w:eastAsia="zh-CN" w:bidi="ar-SA"/>
        </w:rPr>
        <w:id w:val="147466843"/>
        <w15:color w:val="DBDBDB"/>
        <w:docPartObj>
          <w:docPartGallery w:val="Table of Contents"/>
          <w:docPartUnique/>
        </w:docPartObj>
      </w:sdtPr>
      <w:sdtEndPr>
        <w:rPr>
          <w:rFonts w:ascii="宋体" w:hAnsi="宋体" w:eastAsia="宋体" w:cs="Times New Roman"/>
          <w:color w:val="FF0000"/>
          <w:kern w:val="2"/>
          <w:sz w:val="21"/>
          <w:szCs w:val="32"/>
          <w:highlight w:val="none"/>
          <w:lang w:val="en-US" w:eastAsia="zh-CN" w:bidi="ar-SA"/>
        </w:rPr>
      </w:sdtEndPr>
      <w:sdtContent>
        <w:p w14:paraId="0B4D5CFF">
          <w:pPr>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目</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rPr>
            <w:t>录</w:t>
          </w:r>
        </w:p>
        <w:p w14:paraId="04DF30D6">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TOC \o "1-3" \h \u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_Toc6757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napToGrid w:val="0"/>
              <w:kern w:val="21"/>
              <w:sz w:val="24"/>
              <w:szCs w:val="24"/>
              <w:highlight w:val="none"/>
            </w:rPr>
            <w:t>一、建设项目基本情况</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_Toc6757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1</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43D50E80">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_Toc24911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napToGrid w:val="0"/>
              <w:kern w:val="21"/>
              <w:sz w:val="24"/>
              <w:szCs w:val="24"/>
              <w:highlight w:val="none"/>
            </w:rPr>
            <w:t>二、建设项目工程分析</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_Toc24911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16</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1757B8F1">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_Toc7093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napToGrid w:val="0"/>
              <w:kern w:val="21"/>
              <w:sz w:val="24"/>
              <w:szCs w:val="24"/>
              <w:highlight w:val="none"/>
            </w:rPr>
            <w:t>三、区域环境质量现状、环境保护目标及评价标准</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_Toc7093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27</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0683305E">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_Toc25302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napToGrid w:val="0"/>
              <w:kern w:val="21"/>
              <w:sz w:val="24"/>
              <w:szCs w:val="24"/>
              <w:highlight w:val="none"/>
            </w:rPr>
            <w:t>四、主要环境影响和保护措施</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_Toc25302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34</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2BCA866E">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_Toc32008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napToGrid w:val="0"/>
              <w:kern w:val="21"/>
              <w:sz w:val="24"/>
              <w:szCs w:val="24"/>
              <w:highlight w:val="none"/>
            </w:rPr>
            <w:t>五、环境保护措施监督检查清单</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_Toc32008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55</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36026F4B">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_Toc12272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napToGrid w:val="0"/>
              <w:kern w:val="21"/>
              <w:sz w:val="24"/>
              <w:szCs w:val="24"/>
              <w:highlight w:val="none"/>
            </w:rPr>
            <w:t>六、结论</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_Toc12272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58</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34921385">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_Toc6766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napToGrid w:val="0"/>
              <w:kern w:val="21"/>
              <w:sz w:val="24"/>
              <w:szCs w:val="24"/>
              <w:highlight w:val="none"/>
            </w:rPr>
            <w:t>附表</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_Toc6766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59</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68487DF8">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_Toc31300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highlight w:val="none"/>
              <w:lang w:val="en-US" w:eastAsia="zh-CN"/>
            </w:rPr>
            <w:t>附件1 营业执照</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_Toc31300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60</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50490A8D">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_Toc16897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highlight w:val="none"/>
              <w:lang w:val="en-US" w:eastAsia="zh-CN"/>
            </w:rPr>
            <w:t>附件2 土地手续</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_Toc16897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61</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2836E69C">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_Toc9590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highlight w:val="none"/>
              <w:lang w:val="en-US" w:eastAsia="zh-CN"/>
            </w:rPr>
            <w:t>附件3 租赁合同</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_Toc9590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66</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5289A09C">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_Toc13511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highlight w:val="none"/>
              <w:lang w:val="en-US" w:eastAsia="zh-CN"/>
            </w:rPr>
            <w:t>附件4 引用虎林市国顺报废汽车回收有限公司项目检测报告</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_Toc13511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68</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750C096C">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_Toc45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highlight w:val="none"/>
              <w:lang w:val="en-US" w:eastAsia="zh-CN"/>
            </w:rPr>
            <w:t>附件5 声环境质量现状补充检测报告</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_Toc45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72</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6BB0D72E">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_Toc29573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highlight w:val="none"/>
              <w:lang w:val="en-US" w:eastAsia="zh-CN"/>
            </w:rPr>
            <w:t>附件6 生物质成型压块分析报告</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_Toc29573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76</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7679977D">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_Toc31370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highlight w:val="none"/>
              <w:lang w:val="en-US" w:eastAsia="zh-CN"/>
            </w:rPr>
            <w:t>附件7 虎林市建设项目环境影响评估承诺备案回执</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_Toc31370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77</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01ECB365">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_Toc20754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highlight w:val="none"/>
              <w:lang w:val="en-US" w:eastAsia="zh-CN"/>
            </w:rPr>
            <w:t>附件8 生态环境分区管控分析报告</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_Toc20754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78</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3138CDE4">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_Toc12581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highlight w:val="none"/>
              <w:lang w:val="en-US" w:eastAsia="zh-CN"/>
            </w:rPr>
            <w:t>附图1 项目地理位置图</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_Toc12581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83</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518F488E">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_Toc12954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highlight w:val="none"/>
              <w:lang w:val="en-US" w:eastAsia="zh-CN"/>
            </w:rPr>
            <w:t>附图2 周围环境保护目标分布图</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_Toc12954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84</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483219E6">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_Toc8992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highlight w:val="none"/>
              <w:lang w:val="en-US" w:eastAsia="zh-CN"/>
            </w:rPr>
            <w:t>附图3 平面布置图</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_Toc8992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85</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5896CA9F">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_Toc9482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highlight w:val="none"/>
              <w:lang w:val="en-US" w:eastAsia="zh-CN"/>
            </w:rPr>
            <w:t>附图4 虎林市声环境功能区划分图</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_Toc9482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86</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6A22A179">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_Toc20043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highlight w:val="none"/>
              <w:lang w:val="en-US" w:eastAsia="zh-CN"/>
            </w:rPr>
            <w:t xml:space="preserve">附图5 </w:t>
          </w:r>
          <w:r>
            <w:rPr>
              <w:rFonts w:hint="default" w:ascii="Times New Roman" w:hAnsi="Times New Roman" w:eastAsia="宋体" w:cs="Times New Roman"/>
              <w:b w:val="0"/>
              <w:bCs w:val="0"/>
              <w:kern w:val="2"/>
              <w:sz w:val="24"/>
              <w:szCs w:val="24"/>
              <w:lang w:val="en-US" w:eastAsia="zh-CN" w:bidi="ar-SA"/>
            </w:rPr>
            <w:t>本项目与监测点相对位置关系</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_Toc20043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87</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4705699C">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_Toc2368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highlight w:val="none"/>
              <w:lang w:val="en-US" w:eastAsia="zh-CN"/>
            </w:rPr>
            <w:t>附图6 公示截图</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_Toc2368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88</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37996983">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_Toc10534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highlight w:val="none"/>
              <w:lang w:val="en-US" w:eastAsia="zh-CN"/>
            </w:rPr>
            <w:t>附图7 项目四周情况图</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_Toc10534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89</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40AAF7F0">
          <w:pPr>
            <w:pStyle w:val="28"/>
            <w:keepNext w:val="0"/>
            <w:keepLines w:val="0"/>
            <w:pageBreakBefore w:val="0"/>
            <w:widowControl w:val="0"/>
            <w:tabs>
              <w:tab w:val="right" w:leader="dot" w:pos="8902"/>
            </w:tabs>
            <w:kinsoku/>
            <w:wordWrap/>
            <w:overflowPunct/>
            <w:topLinePunct w:val="0"/>
            <w:autoSpaceDE/>
            <w:autoSpaceDN/>
            <w:bidi w:val="0"/>
            <w:adjustRightInd/>
            <w:snapToGrid/>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_Toc14417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highlight w:val="none"/>
              <w:lang w:val="en-US" w:eastAsia="zh-CN"/>
            </w:rPr>
            <w:t>附件8 核定排放量计算说明</w:t>
          </w:r>
          <w:r>
            <w:rPr>
              <w:rFonts w:hint="default" w:ascii="Times New Roman" w:hAnsi="Times New Roman" w:eastAsia="宋体" w:cs="Times New Roman"/>
              <w:b w:val="0"/>
              <w:bCs w:val="0"/>
              <w:sz w:val="24"/>
              <w:szCs w:val="24"/>
            </w:rPr>
            <w:tab/>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PAGEREF _Toc14417 \h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 w:val="0"/>
              <w:bCs w:val="0"/>
              <w:sz w:val="24"/>
              <w:szCs w:val="24"/>
            </w:rPr>
            <w:t>90</w:t>
          </w:r>
          <w:r>
            <w:rPr>
              <w:rFonts w:hint="default"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end"/>
          </w:r>
        </w:p>
        <w:p w14:paraId="3C60DE1F">
          <w:pPr>
            <w:keepNext w:val="0"/>
            <w:keepLines w:val="0"/>
            <w:pageBreakBefore w:val="0"/>
            <w:widowControl w:val="0"/>
            <w:kinsoku/>
            <w:wordWrap/>
            <w:overflowPunct/>
            <w:topLinePunct w:val="0"/>
            <w:autoSpaceDE/>
            <w:autoSpaceDN/>
            <w:bidi w:val="0"/>
            <w:adjustRightInd/>
            <w:snapToGrid/>
            <w:spacing w:line="360" w:lineRule="auto"/>
            <w:textAlignment w:val="auto"/>
          </w:pPr>
          <w:r>
            <w:rPr>
              <w:rFonts w:hint="default" w:ascii="Times New Roman" w:hAnsi="Times New Roman" w:eastAsia="宋体" w:cs="Times New Roman"/>
              <w:b w:val="0"/>
              <w:bCs w:val="0"/>
              <w:sz w:val="24"/>
              <w:szCs w:val="24"/>
            </w:rPr>
            <w:fldChar w:fldCharType="end"/>
          </w:r>
        </w:p>
        <w:p w14:paraId="1EAC7859">
          <w:pPr>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ascii="宋体" w:hAnsi="宋体" w:eastAsia="宋体" w:cs="Times New Roman"/>
              <w:color w:val="FF0000"/>
              <w:kern w:val="2"/>
              <w:sz w:val="21"/>
              <w:szCs w:val="32"/>
              <w:highlight w:val="none"/>
              <w:lang w:val="en-US" w:eastAsia="zh-CN" w:bidi="ar-SA"/>
            </w:rPr>
          </w:pPr>
        </w:p>
      </w:sdtContent>
    </w:sdt>
    <w:p w14:paraId="03F8B989">
      <w:pPr>
        <w:pStyle w:val="14"/>
        <w:rPr>
          <w:color w:val="FF0000"/>
          <w:highlight w:val="none"/>
        </w:rPr>
      </w:pPr>
    </w:p>
    <w:p w14:paraId="5FDD6C58">
      <w:pPr>
        <w:adjustRightInd w:val="0"/>
        <w:snapToGrid w:val="0"/>
        <w:spacing w:line="288" w:lineRule="auto"/>
        <w:jc w:val="center"/>
        <w:rPr>
          <w:rFonts w:hint="default" w:eastAsia="楷体_GB2312" w:cs="Times New Roman"/>
          <w:color w:val="FF0000"/>
          <w:sz w:val="36"/>
          <w:szCs w:val="36"/>
          <w:highlight w:val="none"/>
          <w:lang w:val="en-US" w:eastAsia="zh-CN"/>
        </w:rPr>
        <w:sectPr>
          <w:pgSz w:w="11850" w:h="16783"/>
          <w:pgMar w:top="1701" w:right="1474" w:bottom="1701" w:left="1474" w:header="851" w:footer="1077" w:gutter="0"/>
          <w:pgBorders>
            <w:top w:val="none" w:sz="0" w:space="0"/>
            <w:left w:val="none" w:sz="0" w:space="0"/>
            <w:bottom w:val="none" w:sz="0" w:space="0"/>
            <w:right w:val="none" w:sz="0" w:space="0"/>
          </w:pgBorders>
          <w:pgNumType w:start="1"/>
          <w:cols w:space="0" w:num="1"/>
          <w:docGrid w:type="lines" w:linePitch="312" w:charSpace="0"/>
        </w:sectPr>
      </w:pPr>
    </w:p>
    <w:p w14:paraId="2B3A2875">
      <w:pPr>
        <w:pStyle w:val="34"/>
        <w:spacing w:before="0" w:beforeAutospacing="0" w:after="156" w:afterLines="50" w:afterAutospacing="0"/>
        <w:jc w:val="center"/>
        <w:outlineLvl w:val="0"/>
        <w:rPr>
          <w:rFonts w:hint="default" w:ascii="Times New Roman" w:hAnsi="Times New Roman" w:eastAsia="黑体" w:cs="Times New Roman"/>
          <w:snapToGrid w:val="0"/>
          <w:color w:val="auto"/>
          <w:kern w:val="21"/>
          <w:sz w:val="30"/>
          <w:szCs w:val="30"/>
          <w:highlight w:val="none"/>
        </w:rPr>
      </w:pPr>
      <w:bookmarkStart w:id="9" w:name="_Toc21028"/>
      <w:bookmarkStart w:id="10" w:name="_Toc23739"/>
      <w:bookmarkStart w:id="11" w:name="_Toc1051"/>
      <w:bookmarkStart w:id="12" w:name="_Toc6757"/>
      <w:bookmarkStart w:id="13" w:name="_Toc16090"/>
      <w:bookmarkStart w:id="14" w:name="_Toc16950"/>
      <w:r>
        <w:rPr>
          <w:rFonts w:hint="default" w:ascii="Times New Roman" w:hAnsi="Times New Roman" w:eastAsia="黑体" w:cs="Times New Roman"/>
          <w:snapToGrid w:val="0"/>
          <w:color w:val="auto"/>
          <w:kern w:val="21"/>
          <w:sz w:val="30"/>
          <w:szCs w:val="30"/>
          <w:highlight w:val="none"/>
        </w:rPr>
        <w:t>一、建设项目基本情况</w:t>
      </w:r>
      <w:bookmarkEnd w:id="9"/>
      <w:bookmarkEnd w:id="10"/>
      <w:bookmarkEnd w:id="11"/>
      <w:bookmarkEnd w:id="12"/>
      <w:bookmarkEnd w:id="13"/>
      <w:bookmarkEnd w:id="14"/>
      <w:bookmarkStart w:id="174" w:name="_GoBack"/>
      <w:bookmarkEnd w:id="174"/>
    </w:p>
    <w:tbl>
      <w:tblPr>
        <w:tblStyle w:val="38"/>
        <w:tblW w:w="902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626"/>
        <w:gridCol w:w="1729"/>
        <w:gridCol w:w="2305"/>
        <w:gridCol w:w="3364"/>
      </w:tblGrid>
      <w:tr w14:paraId="0427B2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0" w:type="pct"/>
            <w:tcMar>
              <w:top w:w="16" w:type="dxa"/>
              <w:left w:w="16" w:type="dxa"/>
              <w:right w:w="16" w:type="dxa"/>
            </w:tcMar>
            <w:vAlign w:val="center"/>
          </w:tcPr>
          <w:p w14:paraId="4C755F00">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建设项目名称</w:t>
            </w:r>
          </w:p>
        </w:tc>
        <w:tc>
          <w:tcPr>
            <w:tcW w:w="4099" w:type="pct"/>
            <w:gridSpan w:val="3"/>
            <w:vAlign w:val="center"/>
          </w:tcPr>
          <w:p w14:paraId="4C07FAB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1"/>
                <w:sz w:val="24"/>
                <w:szCs w:val="24"/>
                <w:highlight w:val="none"/>
                <w:lang w:val="en-US" w:eastAsia="zh-CN"/>
              </w:rPr>
            </w:pPr>
            <w:r>
              <w:rPr>
                <w:rFonts w:hint="eastAsia" w:ascii="宋体" w:hAnsi="宋体" w:cs="宋体"/>
                <w:b w:val="0"/>
                <w:bCs w:val="0"/>
                <w:color w:val="auto"/>
                <w:sz w:val="24"/>
                <w:szCs w:val="24"/>
                <w:highlight w:val="none"/>
                <w:lang w:val="en-US" w:eastAsia="zh-CN"/>
              </w:rPr>
              <w:t>虎林市恒盛泰粮食经贸有限公司建设项目</w:t>
            </w:r>
          </w:p>
        </w:tc>
      </w:tr>
      <w:tr w14:paraId="49CE96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0" w:type="pct"/>
            <w:tcMar>
              <w:top w:w="16" w:type="dxa"/>
              <w:left w:w="16" w:type="dxa"/>
              <w:right w:w="16" w:type="dxa"/>
            </w:tcMar>
            <w:vAlign w:val="center"/>
          </w:tcPr>
          <w:p w14:paraId="7479DB98">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项目代码</w:t>
            </w:r>
          </w:p>
        </w:tc>
        <w:tc>
          <w:tcPr>
            <w:tcW w:w="4099" w:type="pct"/>
            <w:gridSpan w:val="3"/>
            <w:vAlign w:val="center"/>
          </w:tcPr>
          <w:p w14:paraId="2150623C">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无</w:t>
            </w:r>
          </w:p>
        </w:tc>
      </w:tr>
      <w:tr w14:paraId="687AF4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0" w:type="pct"/>
            <w:tcMar>
              <w:top w:w="16" w:type="dxa"/>
              <w:left w:w="16" w:type="dxa"/>
              <w:right w:w="16" w:type="dxa"/>
            </w:tcMar>
            <w:vAlign w:val="center"/>
          </w:tcPr>
          <w:p w14:paraId="3B3FDFFB">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建设单位联</w:t>
            </w:r>
          </w:p>
          <w:p w14:paraId="1A2D2CD3">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系人</w:t>
            </w:r>
          </w:p>
        </w:tc>
        <w:tc>
          <w:tcPr>
            <w:tcW w:w="958" w:type="pct"/>
            <w:vAlign w:val="center"/>
          </w:tcPr>
          <w:p w14:paraId="18E002E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1"/>
                <w:sz w:val="24"/>
                <w:szCs w:val="24"/>
                <w:highlight w:val="none"/>
                <w:lang w:val="en-US" w:eastAsia="zh-CN"/>
              </w:rPr>
            </w:pPr>
            <w:r>
              <w:rPr>
                <w:rFonts w:hint="eastAsia" w:cs="Times New Roman"/>
                <w:color w:val="auto"/>
                <w:kern w:val="21"/>
                <w:sz w:val="24"/>
                <w:szCs w:val="24"/>
                <w:highlight w:val="none"/>
                <w:lang w:val="en-US" w:eastAsia="zh-CN"/>
              </w:rPr>
              <w:t>白锦国</w:t>
            </w:r>
          </w:p>
        </w:tc>
        <w:tc>
          <w:tcPr>
            <w:tcW w:w="1277" w:type="pct"/>
            <w:vAlign w:val="center"/>
          </w:tcPr>
          <w:p w14:paraId="2B51BDC7">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联系方式</w:t>
            </w:r>
          </w:p>
        </w:tc>
        <w:tc>
          <w:tcPr>
            <w:tcW w:w="1863" w:type="pct"/>
            <w:vAlign w:val="center"/>
          </w:tcPr>
          <w:p w14:paraId="41BDD13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1"/>
                <w:sz w:val="24"/>
                <w:szCs w:val="24"/>
                <w:highlight w:val="none"/>
                <w:lang w:val="en-US" w:eastAsia="zh-CN"/>
              </w:rPr>
            </w:pPr>
            <w:r>
              <w:rPr>
                <w:rFonts w:hint="eastAsia" w:cs="Times New Roman"/>
                <w:color w:val="auto"/>
                <w:kern w:val="21"/>
                <w:sz w:val="24"/>
                <w:szCs w:val="24"/>
                <w:highlight w:val="none"/>
                <w:lang w:val="en-US" w:eastAsia="zh-CN"/>
              </w:rPr>
              <w:t>13946800600</w:t>
            </w:r>
          </w:p>
        </w:tc>
      </w:tr>
      <w:tr w14:paraId="10C4C1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0" w:type="pct"/>
            <w:tcMar>
              <w:top w:w="16" w:type="dxa"/>
              <w:left w:w="16" w:type="dxa"/>
              <w:right w:w="16" w:type="dxa"/>
            </w:tcMar>
            <w:vAlign w:val="center"/>
          </w:tcPr>
          <w:p w14:paraId="4F2C4237">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建设地点</w:t>
            </w:r>
          </w:p>
        </w:tc>
        <w:tc>
          <w:tcPr>
            <w:tcW w:w="4099" w:type="pct"/>
            <w:gridSpan w:val="3"/>
            <w:vAlign w:val="center"/>
          </w:tcPr>
          <w:p w14:paraId="13B8913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1"/>
                <w:sz w:val="24"/>
                <w:szCs w:val="24"/>
                <w:highlight w:val="none"/>
                <w:lang w:val="en-US" w:eastAsia="zh-CN"/>
              </w:rPr>
            </w:pPr>
            <w:r>
              <w:rPr>
                <w:rFonts w:hint="eastAsia" w:ascii="Times New Roman" w:hAnsi="Times New Roman" w:eastAsia="宋体" w:cs="Times New Roman"/>
                <w:color w:val="auto"/>
                <w:spacing w:val="-1"/>
                <w:sz w:val="24"/>
                <w:szCs w:val="24"/>
                <w:highlight w:val="none"/>
                <w:lang w:val="en-US" w:eastAsia="zh-CN"/>
              </w:rPr>
              <w:t>黑龙江省</w:t>
            </w:r>
            <w:r>
              <w:rPr>
                <w:rFonts w:hint="eastAsia" w:eastAsia="宋体" w:cs="Times New Roman"/>
                <w:color w:val="auto"/>
                <w:spacing w:val="-1"/>
                <w:sz w:val="24"/>
                <w:szCs w:val="24"/>
                <w:highlight w:val="none"/>
                <w:lang w:val="en-US" w:eastAsia="zh-CN"/>
              </w:rPr>
              <w:t>鸡西市</w:t>
            </w:r>
            <w:r>
              <w:rPr>
                <w:rFonts w:hint="eastAsia" w:ascii="Times New Roman" w:hAnsi="Times New Roman" w:eastAsia="宋体" w:cs="Times New Roman"/>
                <w:color w:val="auto"/>
                <w:spacing w:val="-1"/>
                <w:sz w:val="24"/>
                <w:szCs w:val="24"/>
                <w:highlight w:val="none"/>
                <w:lang w:val="en-US" w:eastAsia="zh-CN"/>
              </w:rPr>
              <w:t>虎林市东方红街道岗东委（四师批发站院内）</w:t>
            </w:r>
          </w:p>
        </w:tc>
      </w:tr>
      <w:tr w14:paraId="053C12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0" w:type="pct"/>
            <w:tcMar>
              <w:top w:w="16" w:type="dxa"/>
              <w:left w:w="16" w:type="dxa"/>
              <w:right w:w="16" w:type="dxa"/>
            </w:tcMar>
            <w:vAlign w:val="center"/>
          </w:tcPr>
          <w:p w14:paraId="3F41AD35">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地理坐标</w:t>
            </w:r>
          </w:p>
        </w:tc>
        <w:tc>
          <w:tcPr>
            <w:tcW w:w="4099" w:type="pct"/>
            <w:gridSpan w:val="3"/>
            <w:vAlign w:val="center"/>
          </w:tcPr>
          <w:p w14:paraId="23E5CED5">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eastAsia" w:ascii="Times New Roman" w:hAnsi="Times New Roman" w:eastAsia="宋体" w:cs="Times New Roman"/>
                <w:color w:val="auto"/>
                <w:sz w:val="24"/>
                <w:szCs w:val="24"/>
                <w:highlight w:val="none"/>
                <w:u w:val="single"/>
                <w:lang w:val="en-US" w:eastAsia="zh-CN"/>
              </w:rPr>
              <w:t xml:space="preserve"> 132 </w:t>
            </w:r>
            <w:r>
              <w:rPr>
                <w:rFonts w:hint="default" w:ascii="Times New Roman" w:hAnsi="Times New Roman" w:eastAsia="宋体" w:cs="Times New Roman"/>
                <w:color w:val="auto"/>
                <w:sz w:val="24"/>
                <w:szCs w:val="24"/>
                <w:highlight w:val="none"/>
              </w:rPr>
              <w:t>度</w:t>
            </w:r>
            <w:r>
              <w:rPr>
                <w:rFonts w:hint="eastAsia" w:ascii="Times New Roman" w:hAnsi="Times New Roman" w:eastAsia="宋体" w:cs="Times New Roman"/>
                <w:color w:val="auto"/>
                <w:sz w:val="24"/>
                <w:szCs w:val="24"/>
                <w:highlight w:val="none"/>
                <w:u w:val="single"/>
                <w:lang w:val="en-US" w:eastAsia="zh-CN"/>
              </w:rPr>
              <w:t xml:space="preserve"> 59 </w:t>
            </w:r>
            <w:r>
              <w:rPr>
                <w:rFonts w:hint="default" w:ascii="Times New Roman" w:hAnsi="Times New Roman" w:eastAsia="宋体" w:cs="Times New Roman"/>
                <w:color w:val="auto"/>
                <w:sz w:val="24"/>
                <w:szCs w:val="24"/>
                <w:highlight w:val="none"/>
              </w:rPr>
              <w:t>分</w:t>
            </w:r>
            <w:r>
              <w:rPr>
                <w:rFonts w:hint="eastAsia" w:ascii="Times New Roman" w:hAnsi="Times New Roman" w:eastAsia="宋体" w:cs="Times New Roman"/>
                <w:color w:val="auto"/>
                <w:sz w:val="24"/>
                <w:szCs w:val="24"/>
                <w:highlight w:val="none"/>
                <w:u w:val="single"/>
                <w:lang w:val="en-US" w:eastAsia="zh-CN"/>
              </w:rPr>
              <w:t xml:space="preserve"> 1</w:t>
            </w:r>
            <w:r>
              <w:rPr>
                <w:rFonts w:hint="eastAsia" w:cs="Times New Roman"/>
                <w:color w:val="auto"/>
                <w:sz w:val="24"/>
                <w:szCs w:val="24"/>
                <w:highlight w:val="none"/>
                <w:u w:val="single"/>
                <w:lang w:val="en-US" w:eastAsia="zh-CN"/>
              </w:rPr>
              <w:t>5.205</w:t>
            </w:r>
            <w:r>
              <w:rPr>
                <w:rFonts w:hint="eastAsia" w:ascii="Times New Roman" w:hAnsi="Times New Roman" w:eastAsia="宋体" w:cs="Times New Roman"/>
                <w:color w:val="auto"/>
                <w:sz w:val="24"/>
                <w:szCs w:val="24"/>
                <w:highlight w:val="none"/>
                <w:u w:val="single"/>
                <w:lang w:val="en-US" w:eastAsia="zh-CN"/>
              </w:rPr>
              <w:t xml:space="preserve"> </w:t>
            </w:r>
            <w:r>
              <w:rPr>
                <w:rFonts w:hint="default" w:ascii="Times New Roman" w:hAnsi="Times New Roman" w:eastAsia="宋体" w:cs="Times New Roman"/>
                <w:color w:val="auto"/>
                <w:sz w:val="24"/>
                <w:szCs w:val="24"/>
                <w:highlight w:val="none"/>
              </w:rPr>
              <w:t>秒，</w:t>
            </w:r>
            <w:r>
              <w:rPr>
                <w:rFonts w:hint="eastAsia" w:ascii="Times New Roman" w:hAnsi="Times New Roman" w:eastAsia="宋体" w:cs="Times New Roman"/>
                <w:color w:val="auto"/>
                <w:sz w:val="24"/>
                <w:szCs w:val="24"/>
                <w:highlight w:val="none"/>
                <w:u w:val="single"/>
                <w:lang w:val="en-US" w:eastAsia="zh-CN"/>
              </w:rPr>
              <w:t xml:space="preserve"> 45 </w:t>
            </w:r>
            <w:r>
              <w:rPr>
                <w:rFonts w:hint="default" w:ascii="Times New Roman" w:hAnsi="Times New Roman" w:eastAsia="宋体" w:cs="Times New Roman"/>
                <w:color w:val="auto"/>
                <w:sz w:val="24"/>
                <w:szCs w:val="24"/>
                <w:highlight w:val="none"/>
              </w:rPr>
              <w:t>度</w:t>
            </w:r>
            <w:r>
              <w:rPr>
                <w:rFonts w:hint="eastAsia" w:ascii="Times New Roman" w:hAnsi="Times New Roman" w:eastAsia="宋体" w:cs="Times New Roman"/>
                <w:color w:val="auto"/>
                <w:sz w:val="24"/>
                <w:szCs w:val="24"/>
                <w:highlight w:val="none"/>
                <w:u w:val="single"/>
                <w:lang w:val="en-US" w:eastAsia="zh-CN"/>
              </w:rPr>
              <w:t xml:space="preserve"> 46 </w:t>
            </w:r>
            <w:r>
              <w:rPr>
                <w:rFonts w:hint="default" w:ascii="Times New Roman" w:hAnsi="Times New Roman" w:eastAsia="宋体" w:cs="Times New Roman"/>
                <w:color w:val="auto"/>
                <w:sz w:val="24"/>
                <w:szCs w:val="24"/>
                <w:highlight w:val="none"/>
              </w:rPr>
              <w:t>分</w:t>
            </w:r>
            <w:r>
              <w:rPr>
                <w:rFonts w:hint="default" w:ascii="Times New Roman" w:hAnsi="Times New Roman" w:eastAsia="宋体" w:cs="Times New Roman"/>
                <w:color w:val="auto"/>
                <w:sz w:val="24"/>
                <w:szCs w:val="24"/>
                <w:highlight w:val="none"/>
                <w:u w:val="single"/>
                <w:lang w:val="en-US" w:eastAsia="zh-CN"/>
              </w:rPr>
              <w:t xml:space="preserve"> </w:t>
            </w:r>
            <w:r>
              <w:rPr>
                <w:rFonts w:hint="eastAsia" w:cs="Times New Roman"/>
                <w:color w:val="auto"/>
                <w:sz w:val="24"/>
                <w:szCs w:val="24"/>
                <w:highlight w:val="none"/>
                <w:u w:val="single"/>
                <w:lang w:val="en-US" w:eastAsia="zh-CN"/>
              </w:rPr>
              <w:t>28.747</w:t>
            </w:r>
            <w:r>
              <w:rPr>
                <w:rFonts w:hint="eastAsia" w:ascii="Times New Roman" w:hAnsi="Times New Roman" w:eastAsia="宋体" w:cs="Times New Roman"/>
                <w:color w:val="auto"/>
                <w:sz w:val="24"/>
                <w:szCs w:val="24"/>
                <w:highlight w:val="none"/>
                <w:u w:val="single"/>
                <w:lang w:val="en-US" w:eastAsia="zh-CN"/>
              </w:rPr>
              <w:t xml:space="preserve"> </w:t>
            </w:r>
            <w:r>
              <w:rPr>
                <w:rFonts w:hint="default" w:ascii="Times New Roman" w:hAnsi="Times New Roman" w:eastAsia="宋体" w:cs="Times New Roman"/>
                <w:color w:val="auto"/>
                <w:sz w:val="24"/>
                <w:szCs w:val="24"/>
                <w:highlight w:val="none"/>
              </w:rPr>
              <w:t>秒</w:t>
            </w:r>
          </w:p>
        </w:tc>
      </w:tr>
      <w:tr w14:paraId="29452F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0" w:type="pct"/>
            <w:tcMar>
              <w:top w:w="16" w:type="dxa"/>
              <w:left w:w="16" w:type="dxa"/>
              <w:right w:w="16" w:type="dxa"/>
            </w:tcMar>
            <w:vAlign w:val="center"/>
          </w:tcPr>
          <w:p w14:paraId="5674C590">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国民经济</w:t>
            </w:r>
          </w:p>
          <w:p w14:paraId="5F445FE6">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行业类别</w:t>
            </w:r>
          </w:p>
        </w:tc>
        <w:tc>
          <w:tcPr>
            <w:tcW w:w="958" w:type="pct"/>
            <w:vAlign w:val="center"/>
          </w:tcPr>
          <w:p w14:paraId="45B2D585">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A0514农产品初加工活动；</w:t>
            </w:r>
          </w:p>
          <w:p w14:paraId="703974BC">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 w:val="24"/>
                <w:szCs w:val="24"/>
                <w:highlight w:val="none"/>
                <w:lang w:val="en-US"/>
              </w:rPr>
            </w:pPr>
            <w:r>
              <w:rPr>
                <w:rFonts w:hint="default" w:ascii="Times New Roman" w:hAnsi="Times New Roman" w:cs="Times New Roman"/>
                <w:color w:val="auto"/>
                <w:kern w:val="21"/>
                <w:sz w:val="24"/>
                <w:szCs w:val="24"/>
                <w:highlight w:val="none"/>
              </w:rPr>
              <w:t>D4430热力生产和供应</w:t>
            </w:r>
          </w:p>
        </w:tc>
        <w:tc>
          <w:tcPr>
            <w:tcW w:w="1277" w:type="pct"/>
            <w:vAlign w:val="center"/>
          </w:tcPr>
          <w:p w14:paraId="347CD4D4">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建设项目</w:t>
            </w:r>
          </w:p>
          <w:p w14:paraId="57A3815A">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行业类别</w:t>
            </w:r>
          </w:p>
        </w:tc>
        <w:tc>
          <w:tcPr>
            <w:tcW w:w="1863" w:type="pct"/>
            <w:vAlign w:val="center"/>
          </w:tcPr>
          <w:p w14:paraId="2F5811EF">
            <w:pPr>
              <w:keepNext w:val="0"/>
              <w:keepLines w:val="0"/>
              <w:widowControl/>
              <w:suppressLineNumbers w:val="0"/>
              <w:spacing w:before="0" w:beforeAutospacing="0" w:after="0" w:afterAutospacing="0"/>
              <w:ind w:left="0" w:right="0"/>
              <w:jc w:val="center"/>
              <w:rPr>
                <w:rFonts w:hint="default" w:eastAsia="宋体"/>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rPr>
              <w:t>四十一、电力、热力生产和供应业 91.热力生产和供应工程（包括建设单位自建自用的供热工程）</w:t>
            </w:r>
          </w:p>
        </w:tc>
      </w:tr>
      <w:tr w14:paraId="23A62C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0" w:type="pct"/>
            <w:tcMar>
              <w:top w:w="16" w:type="dxa"/>
              <w:left w:w="16" w:type="dxa"/>
              <w:right w:w="16" w:type="dxa"/>
            </w:tcMar>
            <w:vAlign w:val="center"/>
          </w:tcPr>
          <w:p w14:paraId="19274AFF">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建设性质</w:t>
            </w:r>
          </w:p>
        </w:tc>
        <w:tc>
          <w:tcPr>
            <w:tcW w:w="958" w:type="pct"/>
            <w:vAlign w:val="center"/>
          </w:tcPr>
          <w:p w14:paraId="0C147C4B">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sym w:font="Wingdings 2" w:char="00A3"/>
            </w:r>
            <w:r>
              <w:rPr>
                <w:rFonts w:hint="default" w:ascii="Times New Roman" w:hAnsi="Times New Roman" w:cs="Times New Roman"/>
                <w:color w:val="auto"/>
                <w:kern w:val="21"/>
                <w:sz w:val="24"/>
                <w:szCs w:val="24"/>
                <w:highlight w:val="none"/>
              </w:rPr>
              <w:t>新建（迁建）</w:t>
            </w:r>
          </w:p>
          <w:p w14:paraId="38350463">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sym w:font="Wingdings 2" w:char="00A3"/>
            </w:r>
            <w:r>
              <w:rPr>
                <w:rFonts w:hint="default" w:ascii="Times New Roman" w:hAnsi="Times New Roman" w:cs="Times New Roman"/>
                <w:color w:val="auto"/>
                <w:kern w:val="21"/>
                <w:sz w:val="24"/>
                <w:szCs w:val="24"/>
                <w:highlight w:val="none"/>
              </w:rPr>
              <w:t>改建</w:t>
            </w:r>
          </w:p>
          <w:p w14:paraId="1066504B">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sym w:font="Wingdings 2" w:char="0052"/>
            </w:r>
            <w:r>
              <w:rPr>
                <w:rFonts w:hint="default" w:ascii="Times New Roman" w:hAnsi="Times New Roman" w:cs="Times New Roman"/>
                <w:color w:val="auto"/>
                <w:kern w:val="21"/>
                <w:sz w:val="24"/>
                <w:szCs w:val="24"/>
                <w:highlight w:val="none"/>
              </w:rPr>
              <w:t>扩建</w:t>
            </w:r>
          </w:p>
          <w:p w14:paraId="2F084085">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sym w:font="Wingdings 2" w:char="00A3"/>
            </w:r>
            <w:r>
              <w:rPr>
                <w:rFonts w:hint="default" w:ascii="Times New Roman" w:hAnsi="Times New Roman" w:cs="Times New Roman"/>
                <w:color w:val="auto"/>
                <w:kern w:val="21"/>
                <w:sz w:val="24"/>
                <w:szCs w:val="24"/>
                <w:highlight w:val="none"/>
              </w:rPr>
              <w:t>技术改造</w:t>
            </w:r>
          </w:p>
        </w:tc>
        <w:tc>
          <w:tcPr>
            <w:tcW w:w="1277" w:type="pct"/>
            <w:vAlign w:val="center"/>
          </w:tcPr>
          <w:p w14:paraId="0C9400D3">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建设项目</w:t>
            </w:r>
          </w:p>
          <w:p w14:paraId="2FDDEBF0">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申报情形</w:t>
            </w:r>
          </w:p>
        </w:tc>
        <w:tc>
          <w:tcPr>
            <w:tcW w:w="1863" w:type="pct"/>
            <w:vAlign w:val="center"/>
          </w:tcPr>
          <w:p w14:paraId="14AA8020">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sym w:font="Wingdings 2" w:char="0052"/>
            </w:r>
            <w:r>
              <w:rPr>
                <w:rFonts w:hint="default" w:ascii="Times New Roman" w:hAnsi="Times New Roman" w:cs="Times New Roman"/>
                <w:color w:val="auto"/>
                <w:kern w:val="21"/>
                <w:sz w:val="24"/>
                <w:szCs w:val="24"/>
                <w:highlight w:val="none"/>
              </w:rPr>
              <w:t>首次申报项目</w:t>
            </w:r>
          </w:p>
          <w:p w14:paraId="0C72E506">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sym w:font="Wingdings 2" w:char="00A3"/>
            </w:r>
            <w:r>
              <w:rPr>
                <w:rFonts w:hint="default" w:ascii="Times New Roman" w:hAnsi="Times New Roman" w:cs="Times New Roman"/>
                <w:color w:val="auto"/>
                <w:kern w:val="21"/>
                <w:sz w:val="24"/>
                <w:szCs w:val="24"/>
                <w:highlight w:val="none"/>
              </w:rPr>
              <w:t>不予批准后再次申报项目</w:t>
            </w:r>
          </w:p>
          <w:p w14:paraId="5BEC2E69">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sym w:font="Wingdings 2" w:char="00A3"/>
            </w:r>
            <w:r>
              <w:rPr>
                <w:rFonts w:hint="default" w:ascii="Times New Roman" w:hAnsi="Times New Roman" w:cs="Times New Roman"/>
                <w:color w:val="auto"/>
                <w:kern w:val="21"/>
                <w:sz w:val="24"/>
                <w:szCs w:val="24"/>
                <w:highlight w:val="none"/>
              </w:rPr>
              <w:t>超五年重新审核项目</w:t>
            </w:r>
          </w:p>
          <w:p w14:paraId="2841884B">
            <w:pPr>
              <w:keepNext w:val="0"/>
              <w:keepLines w:val="0"/>
              <w:suppressLineNumbers w:val="0"/>
              <w:spacing w:before="0" w:beforeAutospacing="0" w:after="0" w:afterAutospacing="0"/>
              <w:ind w:left="0" w:right="0"/>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sym w:font="Wingdings 2" w:char="00A3"/>
            </w:r>
            <w:r>
              <w:rPr>
                <w:rFonts w:hint="default" w:ascii="Times New Roman" w:hAnsi="Times New Roman" w:cs="Times New Roman"/>
                <w:color w:val="auto"/>
                <w:kern w:val="21"/>
                <w:sz w:val="24"/>
                <w:szCs w:val="24"/>
                <w:highlight w:val="none"/>
              </w:rPr>
              <w:t>重大变动重新报批项目</w:t>
            </w:r>
          </w:p>
        </w:tc>
      </w:tr>
      <w:tr w14:paraId="2919A5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0" w:type="pct"/>
            <w:tcMar>
              <w:top w:w="16" w:type="dxa"/>
              <w:left w:w="16" w:type="dxa"/>
              <w:right w:w="16" w:type="dxa"/>
            </w:tcMar>
            <w:vAlign w:val="center"/>
          </w:tcPr>
          <w:p w14:paraId="204C6813">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项目审批（核准/备案）部门（选填）</w:t>
            </w:r>
          </w:p>
        </w:tc>
        <w:tc>
          <w:tcPr>
            <w:tcW w:w="958" w:type="pct"/>
            <w:vAlign w:val="center"/>
          </w:tcPr>
          <w:p w14:paraId="476908A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 w:val="24"/>
                <w:szCs w:val="24"/>
                <w:highlight w:val="none"/>
                <w:lang w:val="en-US" w:eastAsia="zh-CN"/>
              </w:rPr>
            </w:pPr>
            <w:r>
              <w:rPr>
                <w:rFonts w:hint="eastAsia" w:cs="Times New Roman"/>
                <w:color w:val="auto"/>
                <w:kern w:val="21"/>
                <w:sz w:val="24"/>
                <w:szCs w:val="24"/>
                <w:highlight w:val="none"/>
                <w:lang w:val="en-US" w:eastAsia="zh-CN"/>
              </w:rPr>
              <w:t>/</w:t>
            </w:r>
          </w:p>
        </w:tc>
        <w:tc>
          <w:tcPr>
            <w:tcW w:w="1277" w:type="pct"/>
            <w:vAlign w:val="center"/>
          </w:tcPr>
          <w:p w14:paraId="0C4AC82F">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项目审批（核准/</w:t>
            </w:r>
          </w:p>
          <w:p w14:paraId="69660121">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备案）文号（选填）</w:t>
            </w:r>
          </w:p>
        </w:tc>
        <w:tc>
          <w:tcPr>
            <w:tcW w:w="1863" w:type="pct"/>
            <w:vAlign w:val="center"/>
          </w:tcPr>
          <w:p w14:paraId="34940CC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 w:val="24"/>
                <w:szCs w:val="24"/>
                <w:highlight w:val="none"/>
                <w:lang w:val="en-US" w:eastAsia="zh-CN"/>
              </w:rPr>
            </w:pPr>
            <w:r>
              <w:rPr>
                <w:rFonts w:hint="eastAsia" w:cs="Times New Roman"/>
                <w:color w:val="auto"/>
                <w:kern w:val="21"/>
                <w:sz w:val="24"/>
                <w:szCs w:val="24"/>
                <w:highlight w:val="none"/>
                <w:lang w:val="en-US" w:eastAsia="zh-CN"/>
              </w:rPr>
              <w:t>/</w:t>
            </w:r>
          </w:p>
        </w:tc>
      </w:tr>
      <w:tr w14:paraId="50DEAC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0" w:type="pct"/>
            <w:tcMar>
              <w:top w:w="16" w:type="dxa"/>
              <w:left w:w="16" w:type="dxa"/>
              <w:right w:w="16" w:type="dxa"/>
            </w:tcMar>
            <w:vAlign w:val="center"/>
          </w:tcPr>
          <w:p w14:paraId="4B96E0B8">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总投资（万元）</w:t>
            </w:r>
          </w:p>
        </w:tc>
        <w:tc>
          <w:tcPr>
            <w:tcW w:w="958" w:type="pct"/>
            <w:vAlign w:val="center"/>
          </w:tcPr>
          <w:p w14:paraId="01EFEED6">
            <w:pPr>
              <w:pStyle w:val="87"/>
              <w:keepNext w:val="0"/>
              <w:keepLines w:val="0"/>
              <w:suppressLineNumbers w:val="0"/>
              <w:spacing w:before="0" w:beforeAutospacing="0" w:after="0" w:afterAutospacing="0"/>
              <w:ind w:left="0" w:right="0"/>
              <w:rPr>
                <w:rFonts w:hint="default" w:ascii="Times New Roman" w:hAnsi="Times New Roman" w:eastAsia="宋体" w:cs="Times New Roman"/>
                <w:color w:val="auto"/>
                <w:kern w:val="21"/>
                <w:sz w:val="24"/>
                <w:szCs w:val="24"/>
                <w:highlight w:val="none"/>
                <w:lang w:val="en-US" w:eastAsia="zh-CN"/>
              </w:rPr>
            </w:pPr>
            <w:r>
              <w:rPr>
                <w:rFonts w:hint="eastAsia" w:eastAsia="宋体" w:cs="Times New Roman"/>
                <w:color w:val="auto"/>
                <w:kern w:val="21"/>
                <w:sz w:val="24"/>
                <w:szCs w:val="24"/>
                <w:highlight w:val="none"/>
                <w:lang w:val="en-US" w:eastAsia="zh-CN"/>
              </w:rPr>
              <w:t>800</w:t>
            </w:r>
          </w:p>
        </w:tc>
        <w:tc>
          <w:tcPr>
            <w:tcW w:w="1277" w:type="pct"/>
            <w:tcMar>
              <w:top w:w="16" w:type="dxa"/>
              <w:left w:w="16" w:type="dxa"/>
              <w:right w:w="16" w:type="dxa"/>
            </w:tcMar>
            <w:vAlign w:val="center"/>
          </w:tcPr>
          <w:p w14:paraId="37746E23">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环保投资（万元）</w:t>
            </w:r>
          </w:p>
        </w:tc>
        <w:tc>
          <w:tcPr>
            <w:tcW w:w="1863" w:type="pct"/>
            <w:vAlign w:val="center"/>
          </w:tcPr>
          <w:p w14:paraId="09C06689">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kern w:val="21"/>
                <w:sz w:val="24"/>
                <w:szCs w:val="24"/>
                <w:highlight w:val="none"/>
                <w:lang w:val="en-US" w:eastAsia="zh-CN"/>
              </w:rPr>
            </w:pPr>
            <w:r>
              <w:rPr>
                <w:rFonts w:hint="eastAsia" w:cs="Times New Roman" w:eastAsiaTheme="minorEastAsia"/>
                <w:color w:val="auto"/>
                <w:kern w:val="21"/>
                <w:sz w:val="24"/>
                <w:szCs w:val="24"/>
                <w:highlight w:val="none"/>
                <w:lang w:val="en-US" w:eastAsia="zh-CN"/>
              </w:rPr>
              <w:t>45</w:t>
            </w:r>
          </w:p>
        </w:tc>
      </w:tr>
      <w:tr w14:paraId="707D41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0" w:type="pct"/>
            <w:tcMar>
              <w:top w:w="16" w:type="dxa"/>
              <w:left w:w="16" w:type="dxa"/>
              <w:right w:w="16" w:type="dxa"/>
            </w:tcMar>
            <w:vAlign w:val="center"/>
          </w:tcPr>
          <w:p w14:paraId="5AEAD01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环保投资占比（%）</w:t>
            </w:r>
          </w:p>
        </w:tc>
        <w:tc>
          <w:tcPr>
            <w:tcW w:w="958" w:type="pct"/>
            <w:vAlign w:val="center"/>
          </w:tcPr>
          <w:p w14:paraId="04587138">
            <w:pPr>
              <w:pStyle w:val="87"/>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kern w:val="21"/>
                <w:sz w:val="24"/>
                <w:szCs w:val="24"/>
                <w:highlight w:val="none"/>
                <w:lang w:val="en-US" w:eastAsia="zh-CN"/>
              </w:rPr>
            </w:pPr>
            <w:r>
              <w:rPr>
                <w:rFonts w:hint="eastAsia" w:cs="Times New Roman" w:eastAsiaTheme="minorEastAsia"/>
                <w:color w:val="auto"/>
                <w:kern w:val="21"/>
                <w:sz w:val="24"/>
                <w:szCs w:val="24"/>
                <w:highlight w:val="none"/>
                <w:lang w:val="en-US" w:eastAsia="zh-CN"/>
              </w:rPr>
              <w:t>5.625</w:t>
            </w:r>
          </w:p>
        </w:tc>
        <w:tc>
          <w:tcPr>
            <w:tcW w:w="1277" w:type="pct"/>
            <w:tcMar>
              <w:top w:w="16" w:type="dxa"/>
              <w:left w:w="16" w:type="dxa"/>
              <w:right w:w="16" w:type="dxa"/>
            </w:tcMar>
            <w:vAlign w:val="center"/>
          </w:tcPr>
          <w:p w14:paraId="50988A9D">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施工工期</w:t>
            </w:r>
          </w:p>
        </w:tc>
        <w:tc>
          <w:tcPr>
            <w:tcW w:w="1863" w:type="pct"/>
            <w:vAlign w:val="center"/>
          </w:tcPr>
          <w:p w14:paraId="38BFE1E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1"/>
                <w:sz w:val="24"/>
                <w:szCs w:val="24"/>
                <w:highlight w:val="none"/>
                <w:lang w:val="en-US" w:eastAsia="zh-CN"/>
              </w:rPr>
            </w:pPr>
            <w:r>
              <w:rPr>
                <w:rFonts w:hint="eastAsia" w:cs="Times New Roman"/>
                <w:color w:val="auto"/>
                <w:kern w:val="21"/>
                <w:sz w:val="24"/>
                <w:szCs w:val="24"/>
                <w:highlight w:val="none"/>
                <w:lang w:val="en-US" w:eastAsia="zh-CN"/>
              </w:rPr>
              <w:t>2026年2月-2026年7月</w:t>
            </w:r>
          </w:p>
        </w:tc>
      </w:tr>
      <w:tr w14:paraId="70BBF0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0" w:type="pct"/>
            <w:tcMar>
              <w:top w:w="16" w:type="dxa"/>
              <w:left w:w="16" w:type="dxa"/>
              <w:right w:w="16" w:type="dxa"/>
            </w:tcMar>
            <w:vAlign w:val="center"/>
          </w:tcPr>
          <w:p w14:paraId="061FA5C1">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是否开工建设</w:t>
            </w:r>
          </w:p>
        </w:tc>
        <w:tc>
          <w:tcPr>
            <w:tcW w:w="958" w:type="pct"/>
            <w:vAlign w:val="center"/>
          </w:tcPr>
          <w:p w14:paraId="6BB2C71F">
            <w:pPr>
              <w:keepNext w:val="0"/>
              <w:keepLines w:val="0"/>
              <w:suppressLineNumbers w:val="0"/>
              <w:spacing w:before="0" w:beforeAutospacing="0" w:after="0" w:afterAutospacing="0"/>
              <w:ind w:left="0" w:right="0" w:firstLine="105"/>
              <w:jc w:val="left"/>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sym w:font="Wingdings 2" w:char="0052"/>
            </w:r>
            <w:r>
              <w:rPr>
                <w:rFonts w:hint="default" w:ascii="Times New Roman" w:hAnsi="Times New Roman" w:cs="Times New Roman"/>
                <w:color w:val="auto"/>
                <w:kern w:val="21"/>
                <w:sz w:val="24"/>
                <w:szCs w:val="24"/>
                <w:highlight w:val="none"/>
              </w:rPr>
              <w:t>否</w:t>
            </w:r>
          </w:p>
          <w:p w14:paraId="7014725D">
            <w:pPr>
              <w:keepNext w:val="0"/>
              <w:keepLines w:val="0"/>
              <w:suppressLineNumbers w:val="0"/>
              <w:spacing w:before="0" w:beforeAutospacing="0" w:after="0" w:afterAutospacing="0"/>
              <w:ind w:left="0" w:right="0" w:firstLine="92"/>
              <w:jc w:val="both"/>
              <w:rPr>
                <w:rFonts w:hint="default" w:ascii="Times New Roman" w:hAnsi="Times New Roman" w:eastAsia="宋体" w:cs="Times New Roman"/>
                <w:color w:val="auto"/>
                <w:kern w:val="21"/>
                <w:sz w:val="24"/>
                <w:szCs w:val="24"/>
                <w:highlight w:val="none"/>
                <w:u w:val="single"/>
                <w:lang w:val="en-US" w:eastAsia="zh-CN"/>
              </w:rPr>
            </w:pPr>
            <w:r>
              <w:rPr>
                <w:rFonts w:hint="default" w:ascii="Times New Roman" w:hAnsi="Times New Roman" w:cs="Times New Roman"/>
                <w:color w:val="auto"/>
                <w:kern w:val="21"/>
                <w:sz w:val="24"/>
                <w:szCs w:val="24"/>
                <w:highlight w:val="none"/>
              </w:rPr>
              <w:sym w:font="Wingdings 2" w:char="00A3"/>
            </w:r>
            <w:r>
              <w:rPr>
                <w:rFonts w:hint="default" w:ascii="Times New Roman" w:hAnsi="Times New Roman" w:cs="Times New Roman"/>
                <w:color w:val="auto"/>
                <w:kern w:val="21"/>
                <w:sz w:val="24"/>
                <w:szCs w:val="24"/>
                <w:highlight w:val="none"/>
              </w:rPr>
              <w:t>是：</w:t>
            </w:r>
            <w:r>
              <w:rPr>
                <w:rFonts w:hint="eastAsia" w:cs="Times New Roman"/>
                <w:color w:val="auto"/>
                <w:kern w:val="21"/>
                <w:sz w:val="24"/>
                <w:szCs w:val="24"/>
                <w:highlight w:val="none"/>
                <w:u w:val="single"/>
                <w:lang w:val="en-US" w:eastAsia="zh-CN"/>
              </w:rPr>
              <w:t xml:space="preserve">     </w:t>
            </w:r>
          </w:p>
        </w:tc>
        <w:tc>
          <w:tcPr>
            <w:tcW w:w="1277" w:type="pct"/>
            <w:vAlign w:val="center"/>
          </w:tcPr>
          <w:p w14:paraId="4C7BD176">
            <w:pPr>
              <w:keepNext w:val="0"/>
              <w:keepLines w:val="0"/>
              <w:suppressLineNumbers w:val="0"/>
              <w:spacing w:before="0" w:beforeAutospacing="0" w:after="0" w:afterAutospacing="0"/>
              <w:ind w:left="0" w:right="0" w:firstLine="92"/>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用地（用海）面积（m</w:t>
            </w:r>
            <w:r>
              <w:rPr>
                <w:rFonts w:hint="default" w:ascii="Times New Roman" w:hAnsi="Times New Roman" w:cs="Times New Roman"/>
                <w:color w:val="auto"/>
                <w:kern w:val="21"/>
                <w:sz w:val="24"/>
                <w:szCs w:val="24"/>
                <w:highlight w:val="none"/>
                <w:vertAlign w:val="superscript"/>
              </w:rPr>
              <w:t>2</w:t>
            </w:r>
            <w:r>
              <w:rPr>
                <w:rFonts w:hint="default" w:ascii="Times New Roman" w:hAnsi="Times New Roman" w:cs="Times New Roman"/>
                <w:color w:val="auto"/>
                <w:kern w:val="21"/>
                <w:sz w:val="24"/>
                <w:szCs w:val="24"/>
                <w:highlight w:val="none"/>
              </w:rPr>
              <w:t>）</w:t>
            </w:r>
          </w:p>
        </w:tc>
        <w:tc>
          <w:tcPr>
            <w:tcW w:w="1863" w:type="pct"/>
            <w:vAlign w:val="center"/>
          </w:tcPr>
          <w:p w14:paraId="77EFCFEC">
            <w:pPr>
              <w:pStyle w:val="4"/>
              <w:keepLines w:val="0"/>
              <w:suppressLineNumbers w:val="0"/>
              <w:spacing w:beforeAutospacing="0" w:afterAutospacing="0" w:line="240" w:lineRule="auto"/>
              <w:ind w:right="0"/>
              <w:jc w:val="center"/>
              <w:rPr>
                <w:rFonts w:hint="default" w:ascii="Times New Roman" w:hAnsi="Times New Roman" w:eastAsia="宋体" w:cs="Times New Roman"/>
                <w:color w:val="auto"/>
                <w:kern w:val="21"/>
                <w:sz w:val="24"/>
                <w:szCs w:val="24"/>
                <w:highlight w:val="none"/>
                <w:lang w:val="en-US" w:eastAsia="zh-CN"/>
              </w:rPr>
            </w:pPr>
            <w:bookmarkStart w:id="15" w:name="_Toc11133"/>
            <w:bookmarkStart w:id="16" w:name="_Toc9808"/>
            <w:r>
              <w:rPr>
                <w:rFonts w:hint="eastAsia" w:eastAsia="宋体" w:cs="Times New Roman"/>
                <w:b w:val="0"/>
                <w:bCs w:val="0"/>
                <w:color w:val="auto"/>
                <w:kern w:val="21"/>
                <w:sz w:val="24"/>
                <w:szCs w:val="24"/>
                <w:highlight w:val="none"/>
                <w:lang w:val="en-US" w:eastAsia="zh-CN" w:bidi="ar-SA"/>
              </w:rPr>
              <w:t>0</w:t>
            </w:r>
            <w:bookmarkEnd w:id="15"/>
            <w:bookmarkEnd w:id="16"/>
          </w:p>
        </w:tc>
      </w:tr>
      <w:tr w14:paraId="6B0755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0" w:type="pct"/>
            <w:tcMar>
              <w:top w:w="16" w:type="dxa"/>
              <w:left w:w="16" w:type="dxa"/>
              <w:right w:w="16" w:type="dxa"/>
            </w:tcMar>
            <w:vAlign w:val="center"/>
          </w:tcPr>
          <w:p w14:paraId="1221CB8B">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专项评价设置</w:t>
            </w:r>
          </w:p>
          <w:p w14:paraId="437C9542">
            <w:pPr>
              <w:keepNext w:val="0"/>
              <w:keepLines w:val="0"/>
              <w:suppressLineNumbers w:val="0"/>
              <w:spacing w:before="0" w:beforeAutospacing="0" w:after="0" w:afterAutospacing="0"/>
              <w:ind w:left="0" w:right="0"/>
              <w:jc w:val="center"/>
              <w:rPr>
                <w:rFonts w:hint="default" w:ascii="Times New Roman" w:hAnsi="Times New Roman" w:cs="Times New Roman"/>
                <w:color w:val="FF0000"/>
                <w:kern w:val="21"/>
                <w:sz w:val="21"/>
                <w:szCs w:val="21"/>
                <w:highlight w:val="none"/>
              </w:rPr>
            </w:pPr>
            <w:r>
              <w:rPr>
                <w:rFonts w:hint="default" w:ascii="Times New Roman" w:hAnsi="Times New Roman" w:cs="Times New Roman"/>
                <w:color w:val="auto"/>
                <w:kern w:val="21"/>
                <w:sz w:val="21"/>
                <w:szCs w:val="21"/>
                <w:highlight w:val="none"/>
              </w:rPr>
              <w:t>情况</w:t>
            </w:r>
          </w:p>
        </w:tc>
        <w:tc>
          <w:tcPr>
            <w:tcW w:w="4099" w:type="pct"/>
            <w:gridSpan w:val="3"/>
            <w:tcMar>
              <w:top w:w="16" w:type="dxa"/>
              <w:left w:w="16" w:type="dxa"/>
              <w:right w:w="16" w:type="dxa"/>
            </w:tcMar>
            <w:vAlign w:val="center"/>
          </w:tcPr>
          <w:p w14:paraId="7A647549">
            <w:pPr>
              <w:keepNext w:val="0"/>
              <w:keepLines w:val="0"/>
              <w:suppressLineNumbers w:val="0"/>
              <w:snapToGrid w:val="0"/>
              <w:spacing w:before="0" w:beforeAutospacing="0" w:after="0" w:afterAutospacing="0" w:line="360" w:lineRule="auto"/>
              <w:ind w:left="0" w:right="0" w:firstLine="480" w:firstLineChars="200"/>
              <w:rPr>
                <w:rFonts w:hint="default"/>
                <w:color w:val="auto"/>
                <w:sz w:val="24"/>
                <w:szCs w:val="24"/>
                <w:highlight w:val="none"/>
              </w:rPr>
            </w:pPr>
            <w:r>
              <w:rPr>
                <w:rFonts w:hint="default"/>
                <w:color w:val="auto"/>
                <w:sz w:val="24"/>
                <w:szCs w:val="24"/>
                <w:highlight w:val="none"/>
              </w:rPr>
              <w:t>根据《建设项目环境影响报告表</w:t>
            </w:r>
            <w:r>
              <w:rPr>
                <w:rFonts w:hint="eastAsia"/>
                <w:color w:val="auto"/>
                <w:sz w:val="24"/>
                <w:szCs w:val="24"/>
                <w:highlight w:val="none"/>
              </w:rPr>
              <w:t>编制</w:t>
            </w:r>
            <w:r>
              <w:rPr>
                <w:rFonts w:hint="default"/>
                <w:color w:val="auto"/>
                <w:sz w:val="24"/>
                <w:szCs w:val="24"/>
                <w:highlight w:val="none"/>
              </w:rPr>
              <w:t>技术指南（污染影响类）》可知，土壤、声环境</w:t>
            </w:r>
            <w:r>
              <w:rPr>
                <w:rFonts w:hint="eastAsia"/>
                <w:color w:val="auto"/>
                <w:sz w:val="24"/>
                <w:szCs w:val="24"/>
                <w:highlight w:val="none"/>
                <w:lang w:val="en-US" w:eastAsia="zh-CN"/>
              </w:rPr>
              <w:t>及</w:t>
            </w:r>
            <w:r>
              <w:rPr>
                <w:rFonts w:hint="default"/>
                <w:color w:val="auto"/>
                <w:sz w:val="24"/>
                <w:szCs w:val="24"/>
                <w:highlight w:val="none"/>
              </w:rPr>
              <w:t>地下水不开展专项评价，本项目大气、地表水、环境风险、生态和海洋专项评价设置情况详见</w:t>
            </w:r>
            <w:r>
              <w:rPr>
                <w:rFonts w:hint="eastAsia"/>
                <w:color w:val="auto"/>
                <w:sz w:val="24"/>
                <w:szCs w:val="24"/>
                <w:highlight w:val="none"/>
              </w:rPr>
              <w:t>下</w:t>
            </w:r>
            <w:r>
              <w:rPr>
                <w:rFonts w:hint="default"/>
                <w:color w:val="auto"/>
                <w:sz w:val="24"/>
                <w:szCs w:val="24"/>
                <w:highlight w:val="none"/>
              </w:rPr>
              <w:t>表1-1。</w:t>
            </w:r>
          </w:p>
          <w:p w14:paraId="441D9AC6">
            <w:pPr>
              <w:keepNext w:val="0"/>
              <w:keepLines w:val="0"/>
              <w:suppressLineNumbers w:val="0"/>
              <w:snapToGrid w:val="0"/>
              <w:spacing w:before="0" w:beforeAutospacing="0" w:after="0" w:afterAutospacing="0"/>
              <w:ind w:left="0" w:right="0"/>
              <w:jc w:val="center"/>
              <w:rPr>
                <w:rFonts w:hint="eastAsia"/>
                <w:b/>
                <w:color w:val="auto"/>
                <w:kern w:val="0"/>
                <w:sz w:val="24"/>
                <w:szCs w:val="24"/>
                <w:highlight w:val="none"/>
              </w:rPr>
            </w:pPr>
            <w:r>
              <w:rPr>
                <w:rFonts w:hint="eastAsia"/>
                <w:b/>
                <w:color w:val="auto"/>
                <w:kern w:val="0"/>
                <w:sz w:val="24"/>
                <w:szCs w:val="24"/>
                <w:highlight w:val="none"/>
              </w:rPr>
              <w:t>表1-1</w:t>
            </w:r>
            <w:r>
              <w:rPr>
                <w:rFonts w:hint="eastAsia"/>
                <w:b/>
                <w:color w:val="auto"/>
                <w:kern w:val="0"/>
                <w:sz w:val="24"/>
                <w:szCs w:val="24"/>
                <w:highlight w:val="none"/>
                <w:lang w:val="en-US" w:eastAsia="zh-CN"/>
              </w:rPr>
              <w:t xml:space="preserve"> </w:t>
            </w:r>
            <w:r>
              <w:rPr>
                <w:rFonts w:hint="eastAsia"/>
                <w:b/>
                <w:color w:val="auto"/>
                <w:kern w:val="0"/>
                <w:sz w:val="24"/>
                <w:szCs w:val="24"/>
                <w:highlight w:val="none"/>
              </w:rPr>
              <w:t>本项目专项评价设置情况</w:t>
            </w:r>
          </w:p>
          <w:tbl>
            <w:tblPr>
              <w:tblStyle w:val="38"/>
              <w:tblW w:w="4881" w:type="pct"/>
              <w:tblInd w:w="51"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28" w:type="dxa"/>
                <w:left w:w="28" w:type="dxa"/>
                <w:bottom w:w="28" w:type="dxa"/>
                <w:right w:w="28" w:type="dxa"/>
              </w:tblCellMar>
            </w:tblPr>
            <w:tblGrid>
              <w:gridCol w:w="1157"/>
              <w:gridCol w:w="2656"/>
              <w:gridCol w:w="2361"/>
              <w:gridCol w:w="1017"/>
            </w:tblGrid>
            <w:tr w14:paraId="57B9A1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624" w:hRule="atLeast"/>
              </w:trPr>
              <w:tc>
                <w:tcPr>
                  <w:tcW w:w="804" w:type="pct"/>
                  <w:tcBorders>
                    <w:top w:val="single" w:color="auto" w:sz="12" w:space="0"/>
                    <w:left w:val="nil"/>
                    <w:bottom w:val="single" w:color="auto" w:sz="4" w:space="0"/>
                    <w:right w:val="single" w:color="auto" w:sz="4" w:space="0"/>
                  </w:tcBorders>
                  <w:tcMar>
                    <w:top w:w="28" w:type="dxa"/>
                    <w:left w:w="57" w:type="dxa"/>
                    <w:bottom w:w="28" w:type="dxa"/>
                    <w:right w:w="57" w:type="dxa"/>
                  </w:tcMar>
                  <w:vAlign w:val="center"/>
                </w:tcPr>
                <w:p w14:paraId="0489D11C">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专项评价类别</w:t>
                  </w:r>
                </w:p>
              </w:tc>
              <w:tc>
                <w:tcPr>
                  <w:tcW w:w="1846" w:type="pct"/>
                  <w:tcBorders>
                    <w:top w:val="single" w:color="auto" w:sz="12" w:space="0"/>
                    <w:left w:val="single" w:color="auto" w:sz="4" w:space="0"/>
                    <w:bottom w:val="single" w:color="auto" w:sz="4" w:space="0"/>
                    <w:right w:val="single" w:color="auto" w:sz="4" w:space="0"/>
                  </w:tcBorders>
                  <w:tcMar>
                    <w:top w:w="28" w:type="dxa"/>
                    <w:left w:w="57" w:type="dxa"/>
                    <w:bottom w:w="28" w:type="dxa"/>
                    <w:right w:w="57" w:type="dxa"/>
                  </w:tcMar>
                  <w:vAlign w:val="center"/>
                </w:tcPr>
                <w:p w14:paraId="5E96BF73">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设置原则</w:t>
                  </w:r>
                </w:p>
              </w:tc>
              <w:tc>
                <w:tcPr>
                  <w:tcW w:w="1641" w:type="pct"/>
                  <w:tcBorders>
                    <w:top w:val="single" w:color="auto" w:sz="12" w:space="0"/>
                    <w:left w:val="single" w:color="auto" w:sz="4" w:space="0"/>
                    <w:bottom w:val="single" w:color="auto" w:sz="4" w:space="0"/>
                    <w:right w:val="single" w:color="auto" w:sz="4" w:space="0"/>
                  </w:tcBorders>
                  <w:tcMar>
                    <w:top w:w="28" w:type="dxa"/>
                    <w:left w:w="57" w:type="dxa"/>
                    <w:bottom w:w="28" w:type="dxa"/>
                    <w:right w:w="57" w:type="dxa"/>
                  </w:tcMar>
                  <w:vAlign w:val="center"/>
                </w:tcPr>
                <w:p w14:paraId="34C00C66">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本项目情况</w:t>
                  </w:r>
                </w:p>
              </w:tc>
              <w:tc>
                <w:tcPr>
                  <w:tcW w:w="707" w:type="pct"/>
                  <w:tcBorders>
                    <w:top w:val="single" w:color="auto" w:sz="12" w:space="0"/>
                    <w:left w:val="single" w:color="auto" w:sz="4" w:space="0"/>
                    <w:bottom w:val="single" w:color="auto" w:sz="4" w:space="0"/>
                    <w:right w:val="nil"/>
                  </w:tcBorders>
                  <w:tcMar>
                    <w:top w:w="28" w:type="dxa"/>
                    <w:left w:w="57" w:type="dxa"/>
                    <w:bottom w:w="28" w:type="dxa"/>
                    <w:right w:w="57" w:type="dxa"/>
                  </w:tcMar>
                  <w:vAlign w:val="center"/>
                </w:tcPr>
                <w:p w14:paraId="011BCE1E">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是否设置专项</w:t>
                  </w:r>
                </w:p>
              </w:tc>
            </w:tr>
            <w:tr w14:paraId="3E7B2D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1414" w:hRule="atLeast"/>
              </w:trPr>
              <w:tc>
                <w:tcPr>
                  <w:tcW w:w="804" w:type="pct"/>
                  <w:tcBorders>
                    <w:top w:val="single" w:color="auto" w:sz="4" w:space="0"/>
                    <w:left w:val="nil"/>
                    <w:bottom w:val="single" w:color="auto" w:sz="4" w:space="0"/>
                    <w:right w:val="single" w:color="auto" w:sz="4" w:space="0"/>
                  </w:tcBorders>
                  <w:tcMar>
                    <w:top w:w="28" w:type="dxa"/>
                    <w:left w:w="57" w:type="dxa"/>
                    <w:bottom w:w="28" w:type="dxa"/>
                    <w:right w:w="57" w:type="dxa"/>
                  </w:tcMar>
                  <w:vAlign w:val="center"/>
                </w:tcPr>
                <w:p w14:paraId="5D5ED325">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大气</w:t>
                  </w:r>
                </w:p>
              </w:tc>
              <w:tc>
                <w:tcPr>
                  <w:tcW w:w="1846"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14:paraId="05DAB7E9">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排放废气含有毒有害污染物</w:t>
                  </w:r>
                  <w:r>
                    <w:rPr>
                      <w:rFonts w:hint="default" w:ascii="Times New Roman" w:hAnsi="Times New Roman" w:eastAsia="宋体" w:cs="Times New Roman"/>
                      <w:color w:val="auto"/>
                      <w:sz w:val="21"/>
                      <w:szCs w:val="21"/>
                      <w:vertAlign w:val="superscript"/>
                    </w:rPr>
                    <w:t>①</w:t>
                  </w:r>
                  <w:r>
                    <w:rPr>
                      <w:rFonts w:hint="default" w:ascii="Times New Roman" w:hAnsi="Times New Roman" w:eastAsia="宋体" w:cs="Times New Roman"/>
                      <w:color w:val="auto"/>
                      <w:sz w:val="21"/>
                      <w:szCs w:val="21"/>
                    </w:rPr>
                    <w:t>、二噁英、苯并[a]芘、氰化物、氯气且厂界外500米范围内有环境空气保护目标</w:t>
                  </w:r>
                  <w:r>
                    <w:rPr>
                      <w:rFonts w:hint="default" w:ascii="Times New Roman" w:hAnsi="Times New Roman" w:eastAsia="宋体" w:cs="Times New Roman"/>
                      <w:color w:val="auto"/>
                      <w:sz w:val="21"/>
                      <w:szCs w:val="21"/>
                      <w:vertAlign w:val="superscript"/>
                    </w:rPr>
                    <w:t>②</w:t>
                  </w:r>
                  <w:r>
                    <w:rPr>
                      <w:rFonts w:hint="default" w:ascii="Times New Roman" w:hAnsi="Times New Roman" w:eastAsia="宋体" w:cs="Times New Roman"/>
                      <w:color w:val="auto"/>
                      <w:sz w:val="21"/>
                      <w:szCs w:val="21"/>
                    </w:rPr>
                    <w:t>的建设项目。</w:t>
                  </w:r>
                </w:p>
              </w:tc>
              <w:tc>
                <w:tcPr>
                  <w:tcW w:w="1641"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14:paraId="144188C3">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auto"/>
                      <w:kern w:val="0"/>
                      <w:sz w:val="21"/>
                      <w:szCs w:val="21"/>
                    </w:rPr>
                    <w:t>根据《有毒有害大气污染物名录（2018年）》，</w:t>
                  </w:r>
                  <w:r>
                    <w:rPr>
                      <w:rFonts w:hint="default" w:ascii="Times New Roman" w:hAnsi="Times New Roman" w:eastAsia="宋体"/>
                      <w:smallCaps w:val="0"/>
                      <w:color w:val="auto"/>
                      <w:szCs w:val="21"/>
                      <w:highlight w:val="none"/>
                    </w:rPr>
                    <w:t>本项目不排放废气含有毒有害污染物</w:t>
                  </w:r>
                  <w:r>
                    <w:rPr>
                      <w:rFonts w:hint="eastAsia" w:ascii="Times New Roman" w:hAnsi="Times New Roman" w:eastAsia="宋体"/>
                      <w:smallCaps w:val="0"/>
                      <w:color w:val="auto"/>
                      <w:szCs w:val="21"/>
                      <w:highlight w:val="none"/>
                      <w:lang w:eastAsia="zh-CN"/>
                    </w:rPr>
                    <w:t>：</w:t>
                  </w:r>
                  <w:r>
                    <w:rPr>
                      <w:rFonts w:hint="default" w:ascii="Times New Roman" w:hAnsi="Times New Roman" w:eastAsia="宋体"/>
                      <w:smallCaps w:val="0"/>
                      <w:color w:val="auto"/>
                      <w:szCs w:val="21"/>
                      <w:highlight w:val="none"/>
                    </w:rPr>
                    <w:t>二噁英、苯并[a]芘、氰化物、氯气</w:t>
                  </w:r>
                  <w:r>
                    <w:rPr>
                      <w:rFonts w:hint="eastAsia" w:ascii="Times New Roman" w:hAnsi="Times New Roman" w:eastAsia="宋体"/>
                      <w:smallCaps w:val="0"/>
                      <w:color w:val="auto"/>
                      <w:szCs w:val="21"/>
                      <w:highlight w:val="none"/>
                      <w:lang w:eastAsia="zh-CN"/>
                    </w:rPr>
                    <w:t>等</w:t>
                  </w:r>
                  <w:r>
                    <w:rPr>
                      <w:rFonts w:hint="default" w:ascii="Times New Roman" w:hAnsi="Times New Roman" w:eastAsia="宋体"/>
                      <w:smallCaps w:val="0"/>
                      <w:color w:val="auto"/>
                      <w:szCs w:val="21"/>
                      <w:highlight w:val="none"/>
                    </w:rPr>
                    <w:t>。</w:t>
                  </w:r>
                  <w:r>
                    <w:rPr>
                      <w:rFonts w:hint="eastAsia" w:ascii="Times New Roman" w:hAnsi="Times New Roman" w:cs="宋体"/>
                      <w:color w:val="auto"/>
                    </w:rPr>
                    <w:t>本项目为热力供应项目，根据《直接法测定固体生物质燃料中汞的试验研究》（煤质技术，2020年）可知，生物质燃料汞含量为15.47ng/g</w:t>
                  </w:r>
                  <w:r>
                    <w:rPr>
                      <w:rFonts w:hint="eastAsia" w:ascii="Times New Roman" w:hAnsi="Times New Roman" w:cs="宋体"/>
                      <w:color w:val="auto"/>
                      <w:lang w:eastAsia="zh-CN"/>
                    </w:rPr>
                    <w:t>，</w:t>
                  </w:r>
                  <w:r>
                    <w:rPr>
                      <w:rFonts w:hint="eastAsia" w:ascii="Times New Roman" w:hAnsi="Times New Roman" w:cs="宋体"/>
                      <w:color w:val="auto"/>
                    </w:rPr>
                    <w:t>汞含量极少，本次评价不考虑汞的排放，不设置大气专项。因此，本项目不开展大气专项评价。</w:t>
                  </w:r>
                </w:p>
              </w:tc>
              <w:tc>
                <w:tcPr>
                  <w:tcW w:w="707" w:type="pct"/>
                  <w:tcBorders>
                    <w:top w:val="single" w:color="auto" w:sz="4" w:space="0"/>
                    <w:left w:val="single" w:color="auto" w:sz="4" w:space="0"/>
                    <w:bottom w:val="single" w:color="auto" w:sz="4" w:space="0"/>
                    <w:right w:val="nil"/>
                  </w:tcBorders>
                  <w:tcMar>
                    <w:top w:w="28" w:type="dxa"/>
                    <w:left w:w="57" w:type="dxa"/>
                    <w:bottom w:w="28" w:type="dxa"/>
                    <w:right w:w="57" w:type="dxa"/>
                  </w:tcMar>
                  <w:vAlign w:val="center"/>
                </w:tcPr>
                <w:p w14:paraId="55C66070">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否</w:t>
                  </w:r>
                </w:p>
              </w:tc>
            </w:tr>
            <w:tr w14:paraId="23B721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875" w:hRule="atLeast"/>
              </w:trPr>
              <w:tc>
                <w:tcPr>
                  <w:tcW w:w="804" w:type="pct"/>
                  <w:tcBorders>
                    <w:top w:val="single" w:color="auto" w:sz="4" w:space="0"/>
                    <w:left w:val="nil"/>
                    <w:bottom w:val="single" w:color="auto" w:sz="4" w:space="0"/>
                    <w:right w:val="single" w:color="auto" w:sz="4" w:space="0"/>
                  </w:tcBorders>
                  <w:tcMar>
                    <w:top w:w="28" w:type="dxa"/>
                    <w:left w:w="57" w:type="dxa"/>
                    <w:bottom w:w="28" w:type="dxa"/>
                    <w:right w:w="57" w:type="dxa"/>
                  </w:tcMar>
                  <w:vAlign w:val="center"/>
                </w:tcPr>
                <w:p w14:paraId="3D31EFC3">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地表水</w:t>
                  </w:r>
                </w:p>
              </w:tc>
              <w:tc>
                <w:tcPr>
                  <w:tcW w:w="1846"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14:paraId="6BBBCF05">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新增工业废水直排建设项目（槽罐车外送污水处理厂的除外）；新增废水直排的污水集中处理厂。</w:t>
                  </w:r>
                </w:p>
              </w:tc>
              <w:tc>
                <w:tcPr>
                  <w:tcW w:w="1641"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14:paraId="53B410D5">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sz w:val="21"/>
                      <w:szCs w:val="21"/>
                      <w:lang w:eastAsia="zh-CN"/>
                    </w:rPr>
                  </w:pPr>
                  <w:r>
                    <w:rPr>
                      <w:rFonts w:hint="default"/>
                      <w:color w:val="auto"/>
                      <w:sz w:val="21"/>
                      <w:szCs w:val="21"/>
                    </w:rPr>
                    <w:t>不新增人员，故不新增生活用水</w:t>
                  </w:r>
                  <w:r>
                    <w:rPr>
                      <w:rFonts w:hint="eastAsia"/>
                      <w:color w:val="auto"/>
                      <w:sz w:val="21"/>
                      <w:szCs w:val="21"/>
                      <w:lang w:eastAsia="zh-CN"/>
                    </w:rPr>
                    <w:t>。</w:t>
                  </w:r>
                </w:p>
              </w:tc>
              <w:tc>
                <w:tcPr>
                  <w:tcW w:w="707" w:type="pct"/>
                  <w:tcBorders>
                    <w:top w:val="single" w:color="auto" w:sz="4" w:space="0"/>
                    <w:left w:val="single" w:color="auto" w:sz="4" w:space="0"/>
                    <w:bottom w:val="single" w:color="auto" w:sz="4" w:space="0"/>
                    <w:right w:val="nil"/>
                  </w:tcBorders>
                  <w:tcMar>
                    <w:top w:w="28" w:type="dxa"/>
                    <w:left w:w="57" w:type="dxa"/>
                    <w:bottom w:w="28" w:type="dxa"/>
                    <w:right w:w="57" w:type="dxa"/>
                  </w:tcMar>
                  <w:vAlign w:val="center"/>
                </w:tcPr>
                <w:p w14:paraId="2C50A411">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否</w:t>
                  </w:r>
                </w:p>
              </w:tc>
            </w:tr>
            <w:tr w14:paraId="551DBA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1414" w:hRule="atLeast"/>
              </w:trPr>
              <w:tc>
                <w:tcPr>
                  <w:tcW w:w="804" w:type="pct"/>
                  <w:tcBorders>
                    <w:top w:val="single" w:color="auto" w:sz="4" w:space="0"/>
                    <w:left w:val="nil"/>
                    <w:bottom w:val="single" w:color="auto" w:sz="4" w:space="0"/>
                    <w:right w:val="single" w:color="auto" w:sz="4" w:space="0"/>
                  </w:tcBorders>
                  <w:tcMar>
                    <w:top w:w="28" w:type="dxa"/>
                    <w:left w:w="57" w:type="dxa"/>
                    <w:bottom w:w="28" w:type="dxa"/>
                    <w:right w:w="57" w:type="dxa"/>
                  </w:tcMar>
                  <w:vAlign w:val="center"/>
                </w:tcPr>
                <w:p w14:paraId="6F83FF57">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环境风险</w:t>
                  </w:r>
                </w:p>
              </w:tc>
              <w:tc>
                <w:tcPr>
                  <w:tcW w:w="1846"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14:paraId="7615B4BC">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有毒有害和易燃易爆危险物质存储量超过临界量</w:t>
                  </w:r>
                  <w:r>
                    <w:rPr>
                      <w:rFonts w:hint="default" w:ascii="Times New Roman" w:hAnsi="Times New Roman" w:eastAsia="宋体" w:cs="Times New Roman"/>
                      <w:color w:val="auto"/>
                      <w:sz w:val="21"/>
                      <w:szCs w:val="21"/>
                      <w:vertAlign w:val="superscript"/>
                    </w:rPr>
                    <w:t>③</w:t>
                  </w:r>
                  <w:r>
                    <w:rPr>
                      <w:rFonts w:hint="default" w:ascii="Times New Roman" w:hAnsi="Times New Roman" w:eastAsia="宋体" w:cs="Times New Roman"/>
                      <w:color w:val="auto"/>
                      <w:sz w:val="21"/>
                      <w:szCs w:val="21"/>
                    </w:rPr>
                    <w:t>的建设项目。</w:t>
                  </w:r>
                </w:p>
              </w:tc>
              <w:tc>
                <w:tcPr>
                  <w:tcW w:w="1641"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14:paraId="660B4CAF">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0"/>
                      <w:sz w:val="21"/>
                      <w:szCs w:val="21"/>
                    </w:rPr>
                  </w:pPr>
                  <w:r>
                    <w:rPr>
                      <w:rFonts w:hint="default" w:ascii="Times New Roman" w:hAnsi="Times New Roman" w:eastAsia="宋体"/>
                      <w:smallCaps w:val="0"/>
                      <w:color w:val="000000" w:themeColor="text1"/>
                      <w:szCs w:val="21"/>
                      <w:highlight w:val="none"/>
                      <w14:textFill>
                        <w14:solidFill>
                          <w14:schemeClr w14:val="tx1"/>
                        </w14:solidFill>
                      </w14:textFill>
                    </w:rPr>
                    <w:t>对照《建设项目环境风险评价技术导则》（HJ 169-</w:t>
                  </w:r>
                  <w:r>
                    <w:rPr>
                      <w:rFonts w:hint="eastAsia" w:ascii="Times New Roman" w:hAnsi="Times New Roman" w:eastAsia="宋体"/>
                      <w:smallCaps w:val="0"/>
                      <w:color w:val="000000" w:themeColor="text1"/>
                      <w:szCs w:val="21"/>
                      <w:highlight w:val="none"/>
                      <w:lang w:val="en-US" w:eastAsia="zh-CN"/>
                      <w14:textFill>
                        <w14:solidFill>
                          <w14:schemeClr w14:val="tx1"/>
                        </w14:solidFill>
                      </w14:textFill>
                    </w:rPr>
                    <w:t>2</w:t>
                  </w:r>
                  <w:r>
                    <w:rPr>
                      <w:rFonts w:hint="default" w:ascii="Times New Roman" w:hAnsi="Times New Roman" w:eastAsia="宋体"/>
                      <w:smallCaps w:val="0"/>
                      <w:color w:val="000000" w:themeColor="text1"/>
                      <w:szCs w:val="21"/>
                      <w:highlight w:val="none"/>
                      <w14:textFill>
                        <w14:solidFill>
                          <w14:schemeClr w14:val="tx1"/>
                        </w14:solidFill>
                      </w14:textFill>
                    </w:rPr>
                    <w:cr/>
                  </w:r>
                  <w:r>
                    <w:rPr>
                      <w:rFonts w:hint="default" w:ascii="Times New Roman" w:hAnsi="Times New Roman" w:eastAsia="宋体"/>
                      <w:smallCaps w:val="0"/>
                      <w:color w:val="000000" w:themeColor="text1"/>
                      <w:szCs w:val="21"/>
                      <w:highlight w:val="none"/>
                      <w14:textFill>
                        <w14:solidFill>
                          <w14:schemeClr w14:val="tx1"/>
                        </w14:solidFill>
                      </w14:textFill>
                    </w:rPr>
                    <w:t>018）附录B，</w:t>
                  </w:r>
                  <w:r>
                    <w:rPr>
                      <w:rFonts w:hint="eastAsia" w:ascii="Times New Roman" w:hAnsi="Times New Roman"/>
                      <w:smallCaps w:val="0"/>
                      <w:color w:val="000000" w:themeColor="text1"/>
                      <w:szCs w:val="21"/>
                      <w:highlight w:val="none"/>
                      <w:lang w:val="en-US" w:eastAsia="zh-CN"/>
                      <w14:textFill>
                        <w14:solidFill>
                          <w14:schemeClr w14:val="tx1"/>
                        </w14:solidFill>
                      </w14:textFill>
                    </w:rPr>
                    <w:t>本项目不涉及</w:t>
                  </w:r>
                  <w:r>
                    <w:rPr>
                      <w:rFonts w:hint="default" w:ascii="Times New Roman" w:hAnsi="Times New Roman" w:eastAsia="宋体" w:cs="Times New Roman"/>
                      <w:color w:val="auto"/>
                      <w:sz w:val="21"/>
                      <w:szCs w:val="21"/>
                    </w:rPr>
                    <w:t>有毒有害和易燃易爆危险物质</w:t>
                  </w:r>
                  <w:r>
                    <w:rPr>
                      <w:rFonts w:hint="eastAsia" w:ascii="Times New Roman" w:hAnsi="Times New Roman" w:eastAsia="宋体"/>
                      <w:smallCaps w:val="0"/>
                      <w:color w:val="000000" w:themeColor="text1"/>
                      <w:szCs w:val="21"/>
                      <w:highlight w:val="none"/>
                      <w14:textFill>
                        <w14:solidFill>
                          <w14:schemeClr w14:val="tx1"/>
                        </w14:solidFill>
                      </w14:textFill>
                    </w:rPr>
                    <w:t>。</w:t>
                  </w:r>
                </w:p>
              </w:tc>
              <w:tc>
                <w:tcPr>
                  <w:tcW w:w="707" w:type="pct"/>
                  <w:tcBorders>
                    <w:top w:val="single" w:color="auto" w:sz="4" w:space="0"/>
                    <w:left w:val="single" w:color="auto" w:sz="4" w:space="0"/>
                    <w:bottom w:val="single" w:color="auto" w:sz="4" w:space="0"/>
                    <w:right w:val="nil"/>
                  </w:tcBorders>
                  <w:tcMar>
                    <w:top w:w="28" w:type="dxa"/>
                    <w:left w:w="57" w:type="dxa"/>
                    <w:bottom w:w="28" w:type="dxa"/>
                    <w:right w:w="57" w:type="dxa"/>
                  </w:tcMar>
                  <w:vAlign w:val="center"/>
                </w:tcPr>
                <w:p w14:paraId="57ED3007">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否</w:t>
                  </w:r>
                </w:p>
              </w:tc>
            </w:tr>
            <w:tr w14:paraId="334206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1414" w:hRule="atLeast"/>
              </w:trPr>
              <w:tc>
                <w:tcPr>
                  <w:tcW w:w="804" w:type="pct"/>
                  <w:tcBorders>
                    <w:top w:val="single" w:color="auto" w:sz="4" w:space="0"/>
                    <w:left w:val="nil"/>
                    <w:bottom w:val="single" w:color="auto" w:sz="4" w:space="0"/>
                    <w:right w:val="single" w:color="auto" w:sz="4" w:space="0"/>
                  </w:tcBorders>
                  <w:tcMar>
                    <w:top w:w="28" w:type="dxa"/>
                    <w:left w:w="57" w:type="dxa"/>
                    <w:bottom w:w="28" w:type="dxa"/>
                    <w:right w:w="57" w:type="dxa"/>
                  </w:tcMar>
                  <w:vAlign w:val="center"/>
                </w:tcPr>
                <w:p w14:paraId="2B6C4E5B">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生态</w:t>
                  </w:r>
                </w:p>
              </w:tc>
              <w:tc>
                <w:tcPr>
                  <w:tcW w:w="1846"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14:paraId="7E7149BF">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取水口下游500米范围内有重要水生生物的自然产卵场、索饵场、越冬场和洄游通道的新增河道取水的污染类建设项目。</w:t>
                  </w:r>
                </w:p>
              </w:tc>
              <w:tc>
                <w:tcPr>
                  <w:tcW w:w="1641"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14:paraId="457D88DB">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FF0000"/>
                      <w:kern w:val="0"/>
                      <w:sz w:val="21"/>
                      <w:szCs w:val="21"/>
                      <w:lang w:eastAsia="zh-CN"/>
                    </w:rPr>
                  </w:pPr>
                  <w:r>
                    <w:rPr>
                      <w:rFonts w:hint="eastAsia" w:ascii="Times New Roman" w:hAnsi="Times New Roman"/>
                      <w:color w:val="auto"/>
                      <w:sz w:val="21"/>
                      <w:szCs w:val="21"/>
                      <w:highlight w:val="none"/>
                    </w:rPr>
                    <w:t>本项目不属于新增工业废水直排建设项目，也不属于新增废水直排的污水集中处理厂，不需设置地表水专项评价。</w:t>
                  </w:r>
                </w:p>
              </w:tc>
              <w:tc>
                <w:tcPr>
                  <w:tcW w:w="707" w:type="pct"/>
                  <w:tcBorders>
                    <w:top w:val="single" w:color="auto" w:sz="4" w:space="0"/>
                    <w:left w:val="single" w:color="auto" w:sz="4" w:space="0"/>
                    <w:bottom w:val="single" w:color="auto" w:sz="4" w:space="0"/>
                    <w:right w:val="nil"/>
                  </w:tcBorders>
                  <w:tcMar>
                    <w:top w:w="28" w:type="dxa"/>
                    <w:left w:w="57" w:type="dxa"/>
                    <w:bottom w:w="28" w:type="dxa"/>
                    <w:right w:w="57" w:type="dxa"/>
                  </w:tcMar>
                  <w:vAlign w:val="center"/>
                </w:tcPr>
                <w:p w14:paraId="5AA43075">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否</w:t>
                  </w:r>
                </w:p>
              </w:tc>
            </w:tr>
            <w:tr w14:paraId="2FF8BC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875" w:hRule="atLeast"/>
              </w:trPr>
              <w:tc>
                <w:tcPr>
                  <w:tcW w:w="804" w:type="pct"/>
                  <w:tcBorders>
                    <w:top w:val="single" w:color="auto" w:sz="4" w:space="0"/>
                    <w:left w:val="nil"/>
                    <w:bottom w:val="single" w:color="auto" w:sz="4" w:space="0"/>
                    <w:right w:val="single" w:color="auto" w:sz="4" w:space="0"/>
                  </w:tcBorders>
                  <w:tcMar>
                    <w:top w:w="28" w:type="dxa"/>
                    <w:left w:w="57" w:type="dxa"/>
                    <w:bottom w:w="28" w:type="dxa"/>
                    <w:right w:w="57" w:type="dxa"/>
                  </w:tcMar>
                  <w:vAlign w:val="center"/>
                </w:tcPr>
                <w:p w14:paraId="1335CE08">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海洋</w:t>
                  </w:r>
                </w:p>
              </w:tc>
              <w:tc>
                <w:tcPr>
                  <w:tcW w:w="1846"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14:paraId="50EC8D7B">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直接向海排放污染物的海洋工程建设项目。</w:t>
                  </w:r>
                </w:p>
              </w:tc>
              <w:tc>
                <w:tcPr>
                  <w:tcW w:w="1641"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14:paraId="65737C90">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auto"/>
                      <w:kern w:val="0"/>
                      <w:sz w:val="21"/>
                      <w:szCs w:val="21"/>
                      <w:lang w:eastAsia="zh-CN"/>
                    </w:rPr>
                  </w:pPr>
                  <w:r>
                    <w:rPr>
                      <w:rFonts w:hint="default" w:ascii="Times New Roman" w:hAnsi="Times New Roman" w:eastAsia="宋体" w:cs="Times New Roman"/>
                      <w:smallCaps w:val="0"/>
                      <w:color w:val="000000" w:themeColor="text1"/>
                      <w:sz w:val="21"/>
                      <w:szCs w:val="21"/>
                      <w:highlight w:val="none"/>
                      <w14:textFill>
                        <w14:solidFill>
                          <w14:schemeClr w14:val="tx1"/>
                        </w14:solidFill>
                      </w14:textFill>
                    </w:rPr>
                    <w:t>项目不属于直接向海排放污染物的海洋工程建设项目</w:t>
                  </w:r>
                  <w:r>
                    <w:rPr>
                      <w:rFonts w:hint="eastAsia" w:cs="Times New Roman"/>
                      <w:smallCaps w:val="0"/>
                      <w:color w:val="000000" w:themeColor="text1"/>
                      <w:sz w:val="21"/>
                      <w:szCs w:val="21"/>
                      <w:highlight w:val="none"/>
                      <w:lang w:eastAsia="zh-CN"/>
                      <w14:textFill>
                        <w14:solidFill>
                          <w14:schemeClr w14:val="tx1"/>
                        </w14:solidFill>
                      </w14:textFill>
                    </w:rPr>
                    <w:t>。</w:t>
                  </w:r>
                </w:p>
              </w:tc>
              <w:tc>
                <w:tcPr>
                  <w:tcW w:w="707" w:type="pct"/>
                  <w:tcBorders>
                    <w:top w:val="single" w:color="auto" w:sz="4" w:space="0"/>
                    <w:left w:val="single" w:color="auto" w:sz="4" w:space="0"/>
                    <w:bottom w:val="single" w:color="auto" w:sz="4" w:space="0"/>
                    <w:right w:val="nil"/>
                  </w:tcBorders>
                  <w:tcMar>
                    <w:top w:w="28" w:type="dxa"/>
                    <w:left w:w="57" w:type="dxa"/>
                    <w:bottom w:w="28" w:type="dxa"/>
                    <w:right w:w="57" w:type="dxa"/>
                  </w:tcMar>
                  <w:vAlign w:val="center"/>
                </w:tcPr>
                <w:p w14:paraId="3C65347C">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否</w:t>
                  </w:r>
                </w:p>
              </w:tc>
            </w:tr>
            <w:tr w14:paraId="76DF59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1611" w:hRule="atLeast"/>
              </w:trPr>
              <w:tc>
                <w:tcPr>
                  <w:tcW w:w="804" w:type="pct"/>
                  <w:tcBorders>
                    <w:top w:val="single" w:color="auto" w:sz="4" w:space="0"/>
                    <w:left w:val="nil"/>
                    <w:bottom w:val="single" w:color="auto" w:sz="4" w:space="0"/>
                    <w:right w:val="single" w:color="auto" w:sz="4" w:space="0"/>
                  </w:tcBorders>
                  <w:tcMar>
                    <w:top w:w="28" w:type="dxa"/>
                    <w:left w:w="57" w:type="dxa"/>
                    <w:bottom w:w="28" w:type="dxa"/>
                    <w:right w:w="57" w:type="dxa"/>
                  </w:tcMar>
                  <w:vAlign w:val="center"/>
                </w:tcPr>
                <w:p w14:paraId="23FD480B">
                  <w:pPr>
                    <w:keepNext w:val="0"/>
                    <w:keepLines w:val="0"/>
                    <w:pageBreakBefore w:val="0"/>
                    <w:suppressLineNumbers w:val="0"/>
                    <w:topLinePunct w:val="0"/>
                    <w:bidi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smallCaps w:val="0"/>
                      <w:snapToGrid w:val="0"/>
                      <w:color w:val="auto"/>
                      <w:kern w:val="0"/>
                      <w:sz w:val="21"/>
                      <w:szCs w:val="21"/>
                      <w:highlight w:val="none"/>
                      <w:lang w:val="en-US" w:eastAsia="zh-CN" w:bidi="ar-SA"/>
                    </w:rPr>
                  </w:pPr>
                  <w:r>
                    <w:rPr>
                      <w:rFonts w:hint="default" w:ascii="Times New Roman" w:hAnsi="Times New Roman" w:eastAsia="宋体" w:cs="Times New Roman"/>
                      <w:smallCaps w:val="0"/>
                      <w:snapToGrid w:val="0"/>
                      <w:color w:val="auto"/>
                      <w:kern w:val="0"/>
                      <w:sz w:val="21"/>
                      <w:szCs w:val="21"/>
                      <w:highlight w:val="none"/>
                    </w:rPr>
                    <w:t>地下水</w:t>
                  </w:r>
                </w:p>
              </w:tc>
              <w:tc>
                <w:tcPr>
                  <w:tcW w:w="1846"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14:paraId="2112677C">
                  <w:pPr>
                    <w:keepNext w:val="0"/>
                    <w:keepLines w:val="0"/>
                    <w:pageBreakBefore w:val="0"/>
                    <w:suppressLineNumbers w:val="0"/>
                    <w:topLinePunct w:val="0"/>
                    <w:bidi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smallCaps w:val="0"/>
                      <w:snapToGrid w:val="0"/>
                      <w:color w:val="auto"/>
                      <w:kern w:val="0"/>
                      <w:sz w:val="21"/>
                      <w:szCs w:val="21"/>
                      <w:highlight w:val="none"/>
                      <w:lang w:val="en-US" w:eastAsia="zh-CN" w:bidi="ar-SA"/>
                    </w:rPr>
                  </w:pPr>
                  <w:r>
                    <w:rPr>
                      <w:rFonts w:hint="default" w:ascii="Times New Roman" w:hAnsi="Times New Roman" w:eastAsia="宋体" w:cs="Times New Roman"/>
                      <w:smallCaps w:val="0"/>
                      <w:snapToGrid w:val="0"/>
                      <w:color w:val="auto"/>
                      <w:kern w:val="0"/>
                      <w:sz w:val="21"/>
                      <w:szCs w:val="21"/>
                      <w:highlight w:val="none"/>
                    </w:rPr>
                    <w:t>原则上不开展专项评价，涉及集中式饮用水水源和热水、矿泉水、温泉等特殊地下水资源保护区的开展专项评价</w:t>
                  </w:r>
                </w:p>
              </w:tc>
              <w:tc>
                <w:tcPr>
                  <w:tcW w:w="1641"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14:paraId="78781A41">
                  <w:pPr>
                    <w:pStyle w:val="32"/>
                    <w:keepNext w:val="0"/>
                    <w:keepLines w:val="0"/>
                    <w:suppressLineNumbers w:val="0"/>
                    <w:spacing w:before="0" w:beforeAutospacing="0" w:after="0" w:afterAutospacing="0"/>
                    <w:ind w:left="0" w:leftChars="0" w:right="0"/>
                    <w:jc w:val="center"/>
                    <w:rPr>
                      <w:rFonts w:hint="eastAsia" w:ascii="Times New Roman" w:hAnsi="Times New Roman" w:eastAsia="宋体" w:cs="Times New Roman"/>
                      <w:smallCaps w:val="0"/>
                      <w:snapToGrid w:val="0"/>
                      <w:color w:val="auto"/>
                      <w:kern w:val="0"/>
                      <w:sz w:val="21"/>
                      <w:szCs w:val="21"/>
                      <w:highlight w:val="none"/>
                      <w:lang w:val="en-US" w:eastAsia="zh-CN" w:bidi="ar-SA"/>
                    </w:rPr>
                  </w:pPr>
                  <w:r>
                    <w:rPr>
                      <w:rFonts w:hint="default" w:ascii="Times New Roman" w:hAnsi="Times New Roman" w:eastAsia="宋体" w:cs="Times New Roman"/>
                      <w:smallCaps w:val="0"/>
                      <w:color w:val="000000" w:themeColor="text1"/>
                      <w:sz w:val="21"/>
                      <w:szCs w:val="21"/>
                      <w:highlight w:val="none"/>
                      <w14:textFill>
                        <w14:solidFill>
                          <w14:schemeClr w14:val="tx1"/>
                        </w14:solidFill>
                      </w14:textFill>
                    </w:rPr>
                    <w:t>本项目500范围内无饮用水水源和热水、矿泉水、温泉等特殊地下水资源，因此不需设置地下水专项评价</w:t>
                  </w:r>
                  <w:r>
                    <w:rPr>
                      <w:rFonts w:hint="eastAsia" w:cs="Times New Roman"/>
                      <w:smallCaps w:val="0"/>
                      <w:color w:val="000000" w:themeColor="text1"/>
                      <w:sz w:val="21"/>
                      <w:szCs w:val="21"/>
                      <w:highlight w:val="none"/>
                      <w:lang w:eastAsia="zh-CN"/>
                      <w14:textFill>
                        <w14:solidFill>
                          <w14:schemeClr w14:val="tx1"/>
                        </w14:solidFill>
                      </w14:textFill>
                    </w:rPr>
                    <w:t>。</w:t>
                  </w:r>
                </w:p>
              </w:tc>
              <w:tc>
                <w:tcPr>
                  <w:tcW w:w="707" w:type="pct"/>
                  <w:tcBorders>
                    <w:top w:val="single" w:color="auto" w:sz="4" w:space="0"/>
                    <w:left w:val="single" w:color="auto" w:sz="4" w:space="0"/>
                    <w:bottom w:val="single" w:color="auto" w:sz="4" w:space="0"/>
                    <w:right w:val="nil"/>
                  </w:tcBorders>
                  <w:tcMar>
                    <w:top w:w="28" w:type="dxa"/>
                    <w:left w:w="57" w:type="dxa"/>
                    <w:bottom w:w="28" w:type="dxa"/>
                    <w:right w:w="57" w:type="dxa"/>
                  </w:tcMar>
                  <w:vAlign w:val="center"/>
                </w:tcPr>
                <w:p w14:paraId="16AC0380">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否</w:t>
                  </w:r>
                </w:p>
              </w:tc>
            </w:tr>
            <w:tr w14:paraId="08DA59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1714" w:hRule="atLeast"/>
              </w:trPr>
              <w:tc>
                <w:tcPr>
                  <w:tcW w:w="5000" w:type="pct"/>
                  <w:gridSpan w:val="4"/>
                  <w:tcBorders>
                    <w:top w:val="single" w:color="auto" w:sz="4" w:space="0"/>
                    <w:left w:val="nil"/>
                    <w:bottom w:val="single" w:color="auto" w:sz="12" w:space="0"/>
                    <w:right w:val="nil"/>
                  </w:tcBorders>
                  <w:tcMar>
                    <w:top w:w="28" w:type="dxa"/>
                    <w:left w:w="57" w:type="dxa"/>
                    <w:bottom w:w="28" w:type="dxa"/>
                    <w:right w:w="57" w:type="dxa"/>
                  </w:tcMar>
                  <w:vAlign w:val="center"/>
                </w:tcPr>
                <w:p w14:paraId="4F2ED20D">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注：①废气中有毒有害污染物指纳入《有毒有害大气污染物名录》的污染物（不包括无排放标准的污染物）。</w:t>
                  </w:r>
                </w:p>
                <w:p w14:paraId="1C3779C7">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②环境空气保护目标指自然保护区、风景名胜区、居住区、文化区和农村地区中人群较集中的区域。</w:t>
                  </w:r>
                </w:p>
                <w:p w14:paraId="61EFE564">
                  <w:pPr>
                    <w:keepNext w:val="0"/>
                    <w:keepLines w:val="0"/>
                    <w:pageBreakBefore w:val="0"/>
                    <w:suppressLineNumbers w:val="0"/>
                    <w:topLinePunct w:val="0"/>
                    <w:autoSpaceDE w:val="0"/>
                    <w:autoSpaceDN w:val="0"/>
                    <w:bidi w:val="0"/>
                    <w:adjustRightInd w:val="0"/>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③临界量及其计算方法参考《建设项目环境风险评价技术导则》（HJ169）附录B、附录C。</w:t>
                  </w:r>
                </w:p>
              </w:tc>
            </w:tr>
          </w:tbl>
          <w:p w14:paraId="4C274305">
            <w:pPr>
              <w:keepNext w:val="0"/>
              <w:keepLines w:val="0"/>
              <w:widowControl/>
              <w:suppressLineNumbers w:val="0"/>
              <w:spacing w:before="0" w:beforeAutospacing="0" w:after="0" w:afterAutospacing="0"/>
              <w:ind w:left="0" w:right="0" w:firstLine="480" w:firstLineChars="200"/>
              <w:jc w:val="both"/>
              <w:rPr>
                <w:rFonts w:hint="eastAsia" w:ascii="Times New Roman" w:hAnsi="Times New Roman" w:eastAsia="宋体" w:cs="Times New Roman"/>
                <w:color w:val="FF0000"/>
                <w:kern w:val="21"/>
                <w:szCs w:val="21"/>
                <w:highlight w:val="none"/>
                <w:lang w:val="en-US" w:eastAsia="zh-CN"/>
              </w:rPr>
            </w:pPr>
            <w:r>
              <w:rPr>
                <w:rFonts w:hint="default"/>
                <w:color w:val="auto"/>
                <w:sz w:val="24"/>
                <w:szCs w:val="24"/>
                <w:highlight w:val="none"/>
              </w:rPr>
              <w:t>综上所述，本项目无需开展专项评价工作。</w:t>
            </w:r>
          </w:p>
        </w:tc>
      </w:tr>
      <w:tr w14:paraId="2C6BA2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0" w:type="pct"/>
            <w:tcMar>
              <w:top w:w="16" w:type="dxa"/>
              <w:left w:w="16" w:type="dxa"/>
              <w:right w:w="16" w:type="dxa"/>
            </w:tcMar>
            <w:vAlign w:val="center"/>
          </w:tcPr>
          <w:p w14:paraId="02E73BBD">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规划情况</w:t>
            </w:r>
          </w:p>
        </w:tc>
        <w:tc>
          <w:tcPr>
            <w:tcW w:w="4099" w:type="pct"/>
            <w:gridSpan w:val="3"/>
            <w:tcMar>
              <w:top w:w="16" w:type="dxa"/>
              <w:left w:w="16" w:type="dxa"/>
              <w:right w:w="16" w:type="dxa"/>
            </w:tcMar>
            <w:vAlign w:val="center"/>
          </w:tcPr>
          <w:p w14:paraId="3F87D483">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宋体" w:cs="Times New Roman"/>
                <w:color w:val="auto"/>
                <w:kern w:val="21"/>
                <w:sz w:val="24"/>
                <w:szCs w:val="24"/>
                <w:highlight w:val="none"/>
                <w:lang w:val="en-US" w:eastAsia="zh-CN"/>
              </w:rPr>
            </w:pPr>
            <w:r>
              <w:rPr>
                <w:rFonts w:hint="eastAsia" w:ascii="Times New Roman Regular" w:hAnsi="Times New Roman Regular" w:cs="Times New Roman Regular"/>
                <w:color w:val="auto"/>
                <w:kern w:val="0"/>
                <w:sz w:val="24"/>
                <w:szCs w:val="24"/>
                <w:highlight w:val="none"/>
                <w:lang w:val="en-US" w:eastAsia="zh-CN" w:bidi="ar-SA"/>
              </w:rPr>
              <w:t>无</w:t>
            </w:r>
          </w:p>
        </w:tc>
      </w:tr>
      <w:tr w14:paraId="70E6E0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0" w:type="pct"/>
            <w:tcMar>
              <w:top w:w="16" w:type="dxa"/>
              <w:left w:w="16" w:type="dxa"/>
              <w:right w:w="16" w:type="dxa"/>
            </w:tcMar>
            <w:vAlign w:val="center"/>
          </w:tcPr>
          <w:p w14:paraId="78F1BC84">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规划环境影响评价情况</w:t>
            </w:r>
          </w:p>
        </w:tc>
        <w:tc>
          <w:tcPr>
            <w:tcW w:w="4099" w:type="pct"/>
            <w:gridSpan w:val="3"/>
            <w:tcMar>
              <w:top w:w="16" w:type="dxa"/>
              <w:left w:w="16" w:type="dxa"/>
              <w:right w:w="16" w:type="dxa"/>
            </w:tcMar>
            <w:vAlign w:val="center"/>
          </w:tcPr>
          <w:p w14:paraId="7B958967">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eastAsia" w:ascii="Times New Roman" w:hAnsi="Times New Roman" w:eastAsia="宋体" w:cs="Times New Roman"/>
                <w:color w:val="auto"/>
                <w:kern w:val="21"/>
                <w:sz w:val="24"/>
                <w:szCs w:val="24"/>
                <w:highlight w:val="none"/>
                <w:lang w:val="en-US" w:eastAsia="zh-CN"/>
              </w:rPr>
            </w:pPr>
            <w:r>
              <w:rPr>
                <w:rFonts w:hint="eastAsia" w:ascii="Times New Roman Regular" w:hAnsi="Times New Roman Regular" w:cs="Times New Roman Regular"/>
                <w:color w:val="auto"/>
                <w:kern w:val="0"/>
                <w:sz w:val="24"/>
                <w:szCs w:val="24"/>
                <w:highlight w:val="none"/>
                <w:lang w:val="en-US" w:eastAsia="zh-CN" w:bidi="ar-SA"/>
              </w:rPr>
              <w:t>无</w:t>
            </w:r>
          </w:p>
        </w:tc>
      </w:tr>
      <w:tr w14:paraId="498934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0" w:type="pct"/>
            <w:tcMar>
              <w:top w:w="16" w:type="dxa"/>
              <w:left w:w="16" w:type="dxa"/>
              <w:right w:w="16" w:type="dxa"/>
            </w:tcMar>
            <w:vAlign w:val="center"/>
          </w:tcPr>
          <w:p w14:paraId="1FD4EB11">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规划及规划环境影响评价符合性分析</w:t>
            </w:r>
          </w:p>
        </w:tc>
        <w:tc>
          <w:tcPr>
            <w:tcW w:w="4099" w:type="pct"/>
            <w:gridSpan w:val="3"/>
            <w:tcMar>
              <w:top w:w="16" w:type="dxa"/>
              <w:left w:w="16" w:type="dxa"/>
              <w:right w:w="16" w:type="dxa"/>
            </w:tcMar>
            <w:vAlign w:val="center"/>
          </w:tcPr>
          <w:p w14:paraId="6F14B88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eastAsia="宋体"/>
                <w:color w:val="auto"/>
                <w:sz w:val="24"/>
                <w:szCs w:val="24"/>
                <w:highlight w:val="none"/>
                <w:lang w:val="en-US" w:eastAsia="zh-CN"/>
              </w:rPr>
            </w:pPr>
            <w:r>
              <w:rPr>
                <w:rFonts w:hint="eastAsia"/>
                <w:color w:val="auto"/>
                <w:sz w:val="24"/>
                <w:szCs w:val="24"/>
                <w:highlight w:val="none"/>
                <w:lang w:val="en-US" w:eastAsia="zh-CN"/>
              </w:rPr>
              <w:t>无</w:t>
            </w:r>
          </w:p>
        </w:tc>
      </w:tr>
      <w:tr w14:paraId="2D7549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0" w:type="pct"/>
            <w:tcMar>
              <w:top w:w="16" w:type="dxa"/>
              <w:left w:w="16" w:type="dxa"/>
              <w:right w:w="16" w:type="dxa"/>
            </w:tcMar>
            <w:vAlign w:val="center"/>
          </w:tcPr>
          <w:p w14:paraId="0E58AFA2">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kern w:val="21"/>
                <w:sz w:val="24"/>
                <w:szCs w:val="24"/>
                <w:highlight w:val="none"/>
              </w:rPr>
            </w:pPr>
            <w:bookmarkStart w:id="17" w:name="_Hlk56690880"/>
            <w:r>
              <w:rPr>
                <w:rFonts w:hint="default" w:ascii="Times New Roman" w:hAnsi="Times New Roman" w:cs="Times New Roman"/>
                <w:color w:val="auto"/>
                <w:kern w:val="21"/>
                <w:sz w:val="24"/>
                <w:szCs w:val="24"/>
                <w:highlight w:val="none"/>
              </w:rPr>
              <w:t>其他符合性</w:t>
            </w:r>
          </w:p>
          <w:p w14:paraId="7BDA10E7">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FF0000"/>
                <w:kern w:val="21"/>
                <w:szCs w:val="21"/>
                <w:highlight w:val="none"/>
              </w:rPr>
            </w:pPr>
            <w:r>
              <w:rPr>
                <w:rFonts w:hint="default" w:ascii="Times New Roman" w:hAnsi="Times New Roman" w:cs="Times New Roman"/>
                <w:color w:val="auto"/>
                <w:kern w:val="21"/>
                <w:sz w:val="24"/>
                <w:szCs w:val="24"/>
                <w:highlight w:val="none"/>
              </w:rPr>
              <w:t>分析</w:t>
            </w:r>
          </w:p>
        </w:tc>
        <w:tc>
          <w:tcPr>
            <w:tcW w:w="4099" w:type="pct"/>
            <w:gridSpan w:val="3"/>
            <w:tcMar>
              <w:top w:w="16" w:type="dxa"/>
              <w:left w:w="16" w:type="dxa"/>
              <w:right w:w="16" w:type="dxa"/>
            </w:tcMar>
            <w:vAlign w:val="center"/>
          </w:tcPr>
          <w:p w14:paraId="50E5344B">
            <w:pPr>
              <w:keepNext w:val="0"/>
              <w:keepLines w:val="0"/>
              <w:suppressLineNumbers w:val="0"/>
              <w:autoSpaceDE w:val="0"/>
              <w:autoSpaceDN w:val="0"/>
              <w:adjustRightInd w:val="0"/>
              <w:snapToGrid w:val="0"/>
              <w:spacing w:before="0" w:beforeAutospacing="0" w:after="0" w:afterAutospacing="0" w:line="360" w:lineRule="auto"/>
              <w:ind w:left="0" w:right="0" w:firstLine="482" w:firstLineChars="200"/>
              <w:rPr>
                <w:rFonts w:hint="default"/>
                <w:color w:val="auto"/>
                <w:sz w:val="24"/>
                <w:szCs w:val="24"/>
                <w:highlight w:val="none"/>
              </w:rPr>
            </w:pPr>
            <w:r>
              <w:rPr>
                <w:rFonts w:hint="eastAsia"/>
                <w:b/>
                <w:bCs/>
                <w:color w:val="auto"/>
                <w:kern w:val="0"/>
                <w:sz w:val="24"/>
                <w:szCs w:val="24"/>
                <w:highlight w:val="none"/>
                <w:lang w:val="en-US" w:eastAsia="zh-CN"/>
              </w:rPr>
              <w:t>1</w:t>
            </w:r>
            <w:r>
              <w:rPr>
                <w:rFonts w:hint="eastAsia"/>
                <w:b/>
                <w:bCs/>
                <w:color w:val="auto"/>
                <w:kern w:val="0"/>
                <w:sz w:val="24"/>
                <w:szCs w:val="24"/>
                <w:highlight w:val="none"/>
              </w:rPr>
              <w:t>、产业政策符合性</w:t>
            </w:r>
          </w:p>
          <w:p w14:paraId="27C423B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eastAsia"/>
                <w:color w:val="auto"/>
                <w:sz w:val="24"/>
                <w:szCs w:val="24"/>
                <w:highlight w:val="none"/>
                <w:lang w:val="en-US" w:eastAsia="zh-CN"/>
              </w:rPr>
            </w:pPr>
            <w:r>
              <w:rPr>
                <w:rFonts w:hint="default" w:hAnsiTheme="minorEastAsia" w:eastAsiaTheme="minorEastAsia"/>
                <w:color w:val="auto"/>
                <w:kern w:val="0"/>
                <w:sz w:val="24"/>
                <w:szCs w:val="24"/>
                <w:highlight w:val="none"/>
              </w:rPr>
              <w:t>本项目属于农产品初加工</w:t>
            </w:r>
            <w:r>
              <w:rPr>
                <w:rFonts w:hint="eastAsia" w:hAnsiTheme="minorEastAsia" w:eastAsiaTheme="minorEastAsia"/>
                <w:color w:val="auto"/>
                <w:kern w:val="0"/>
                <w:sz w:val="24"/>
                <w:szCs w:val="24"/>
                <w:highlight w:val="none"/>
                <w:lang w:val="en-US" w:eastAsia="zh-CN"/>
              </w:rPr>
              <w:t>及热力生产及供应</w:t>
            </w:r>
            <w:r>
              <w:rPr>
                <w:rFonts w:hint="default" w:hAnsiTheme="minorEastAsia" w:eastAsiaTheme="minorEastAsia"/>
                <w:color w:val="auto"/>
                <w:kern w:val="0"/>
                <w:sz w:val="24"/>
                <w:szCs w:val="24"/>
                <w:highlight w:val="none"/>
              </w:rPr>
              <w:t>项目，</w:t>
            </w:r>
            <w:r>
              <w:rPr>
                <w:rFonts w:hint="eastAsia" w:hAnsiTheme="minorEastAsia" w:eastAsiaTheme="minorEastAsia"/>
                <w:color w:val="auto"/>
                <w:kern w:val="0"/>
                <w:sz w:val="24"/>
                <w:szCs w:val="24"/>
                <w:highlight w:val="none"/>
                <w:lang w:val="en-US" w:eastAsia="zh-CN"/>
              </w:rPr>
              <w:t>建设</w:t>
            </w:r>
            <w:r>
              <w:rPr>
                <w:rFonts w:hint="eastAsia"/>
                <w:color w:val="auto"/>
                <w:sz w:val="24"/>
                <w:szCs w:val="24"/>
                <w:highlight w:val="none"/>
                <w:lang w:val="en-US" w:eastAsia="zh-CN"/>
              </w:rPr>
              <w:t>1台600万大卡的生物质链条炉排热风炉。</w:t>
            </w:r>
          </w:p>
          <w:p w14:paraId="6E0DEC9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hAnsiTheme="minorEastAsia" w:eastAsiaTheme="minorEastAsia"/>
                <w:color w:val="auto"/>
                <w:kern w:val="0"/>
                <w:sz w:val="24"/>
                <w:szCs w:val="24"/>
                <w:highlight w:val="none"/>
                <w:lang w:val="en-US" w:eastAsia="zh-CN"/>
              </w:rPr>
            </w:pPr>
            <w:r>
              <w:rPr>
                <w:rFonts w:hint="default" w:hAnsiTheme="minorEastAsia" w:eastAsiaTheme="minorEastAsia"/>
                <w:color w:val="auto"/>
                <w:kern w:val="0"/>
                <w:sz w:val="24"/>
                <w:szCs w:val="24"/>
                <w:highlight w:val="none"/>
              </w:rPr>
              <w:t>本项目不属于《产业结构调整指导目录（20</w:t>
            </w:r>
            <w:r>
              <w:rPr>
                <w:rFonts w:hint="default" w:hAnsiTheme="minorEastAsia" w:eastAsiaTheme="minorEastAsia"/>
                <w:color w:val="auto"/>
                <w:kern w:val="0"/>
                <w:sz w:val="24"/>
                <w:szCs w:val="24"/>
                <w:highlight w:val="none"/>
                <w:lang w:val="en-US" w:eastAsia="zh-CN"/>
              </w:rPr>
              <w:t>24</w:t>
            </w:r>
            <w:r>
              <w:rPr>
                <w:rFonts w:hint="default" w:hAnsiTheme="minorEastAsia" w:eastAsiaTheme="minorEastAsia"/>
                <w:color w:val="auto"/>
                <w:kern w:val="0"/>
                <w:sz w:val="24"/>
                <w:szCs w:val="24"/>
                <w:highlight w:val="none"/>
              </w:rPr>
              <w:t>年）》中的“鼓励类”、“限制类”和“淘汰类”项目，</w:t>
            </w:r>
            <w:r>
              <w:rPr>
                <w:rFonts w:hint="eastAsia" w:ascii="Times New Roman" w:hAnsi="Times New Roman" w:cs="Times New Roman"/>
                <w:color w:val="auto"/>
                <w:sz w:val="24"/>
                <w:szCs w:val="24"/>
                <w:lang w:val="en-US" w:eastAsia="zh-CN"/>
              </w:rPr>
              <w:t>因此属于允许类，</w:t>
            </w:r>
            <w:r>
              <w:rPr>
                <w:rFonts w:hint="default" w:hAnsiTheme="minorEastAsia" w:eastAsiaTheme="minorEastAsia"/>
                <w:color w:val="auto"/>
                <w:kern w:val="0"/>
                <w:sz w:val="24"/>
                <w:szCs w:val="24"/>
                <w:highlight w:val="none"/>
              </w:rPr>
              <w:t>符合国家产业政策。</w:t>
            </w:r>
          </w:p>
          <w:p w14:paraId="7C13A28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hAnsiTheme="minorEastAsia" w:eastAsiaTheme="minorEastAsia"/>
                <w:color w:val="auto"/>
                <w:kern w:val="0"/>
                <w:sz w:val="24"/>
                <w:szCs w:val="24"/>
                <w:highlight w:val="none"/>
              </w:rPr>
            </w:pPr>
            <w:r>
              <w:rPr>
                <w:rFonts w:hint="default" w:hAnsiTheme="minorEastAsia" w:eastAsiaTheme="minorEastAsia"/>
                <w:color w:val="auto"/>
                <w:kern w:val="0"/>
                <w:sz w:val="24"/>
                <w:szCs w:val="24"/>
                <w:highlight w:val="none"/>
              </w:rPr>
              <w:t>项目所用设备无《产业结构调整指导目录</w:t>
            </w:r>
            <w:r>
              <w:rPr>
                <w:rFonts w:hint="eastAsia" w:hAnsiTheme="minorEastAsia" w:eastAsiaTheme="minorEastAsia"/>
                <w:color w:val="auto"/>
                <w:kern w:val="0"/>
                <w:sz w:val="24"/>
                <w:szCs w:val="24"/>
                <w:highlight w:val="none"/>
                <w:lang w:eastAsia="zh-CN"/>
              </w:rPr>
              <w:t>（</w:t>
            </w:r>
            <w:r>
              <w:rPr>
                <w:rFonts w:hint="default" w:hAnsiTheme="minorEastAsia" w:eastAsiaTheme="minorEastAsia"/>
                <w:color w:val="auto"/>
                <w:kern w:val="0"/>
                <w:sz w:val="24"/>
                <w:szCs w:val="24"/>
                <w:highlight w:val="none"/>
              </w:rPr>
              <w:t>20</w:t>
            </w:r>
            <w:r>
              <w:rPr>
                <w:rFonts w:hint="default" w:hAnsiTheme="minorEastAsia" w:eastAsiaTheme="minorEastAsia"/>
                <w:color w:val="auto"/>
                <w:kern w:val="0"/>
                <w:sz w:val="24"/>
                <w:szCs w:val="24"/>
                <w:highlight w:val="none"/>
                <w:lang w:val="en-US" w:eastAsia="zh-CN"/>
              </w:rPr>
              <w:t>24</w:t>
            </w:r>
            <w:r>
              <w:rPr>
                <w:rFonts w:hint="default" w:hAnsiTheme="minorEastAsia" w:eastAsiaTheme="minorEastAsia"/>
                <w:color w:val="auto"/>
                <w:kern w:val="0"/>
                <w:sz w:val="24"/>
                <w:szCs w:val="24"/>
                <w:highlight w:val="none"/>
              </w:rPr>
              <w:t>年</w:t>
            </w:r>
            <w:r>
              <w:rPr>
                <w:rFonts w:hint="eastAsia" w:hAnsiTheme="minorEastAsia" w:eastAsiaTheme="minorEastAsia"/>
                <w:color w:val="auto"/>
                <w:kern w:val="0"/>
                <w:sz w:val="24"/>
                <w:szCs w:val="24"/>
                <w:highlight w:val="none"/>
                <w:lang w:eastAsia="zh-CN"/>
              </w:rPr>
              <w:t>）</w:t>
            </w:r>
            <w:r>
              <w:rPr>
                <w:rFonts w:hint="default" w:hAnsiTheme="minorEastAsia" w:eastAsiaTheme="minorEastAsia"/>
                <w:color w:val="auto"/>
                <w:kern w:val="0"/>
                <w:sz w:val="24"/>
                <w:szCs w:val="24"/>
                <w:highlight w:val="none"/>
              </w:rPr>
              <w:t>》中限制、淘汰类设备。项目符合国家产业政策及有关部门的相关行业规定，项目实施后可以促进当地的经济发展。因此本项目的建设符合国家产业政策要求。</w:t>
            </w:r>
          </w:p>
          <w:p w14:paraId="2CACB992">
            <w:pPr>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2" w:firstLineChars="200"/>
              <w:textAlignment w:val="auto"/>
              <w:rPr>
                <w:rFonts w:hint="eastAsia" w:ascii="Times New Roman" w:hAnsi="Times New Roman" w:eastAsia="宋体" w:cs="Times New Roman"/>
                <w:b/>
                <w:bCs/>
                <w:caps w:val="0"/>
                <w:color w:val="auto"/>
                <w:spacing w:val="0"/>
                <w:w w:val="100"/>
                <w:kern w:val="0"/>
                <w:sz w:val="24"/>
                <w:highlight w:val="none"/>
                <w:lang w:val="en-US" w:eastAsia="zh-CN"/>
              </w:rPr>
            </w:pPr>
            <w:r>
              <w:rPr>
                <w:rFonts w:hint="eastAsia" w:ascii="Times New Roman" w:hAnsi="Times New Roman" w:eastAsia="宋体" w:cs="Times New Roman"/>
                <w:b/>
                <w:bCs/>
                <w:caps w:val="0"/>
                <w:color w:val="auto"/>
                <w:spacing w:val="0"/>
                <w:w w:val="100"/>
                <w:kern w:val="0"/>
                <w:sz w:val="24"/>
                <w:highlight w:val="none"/>
                <w:lang w:val="en-US" w:eastAsia="zh-CN"/>
              </w:rPr>
              <w:t>“生态环境分区管控”符合性分析</w:t>
            </w:r>
          </w:p>
          <w:p w14:paraId="5CF2902A">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eastAsia="宋体"/>
                <w:color w:val="auto"/>
                <w:kern w:val="0"/>
                <w:sz w:val="24"/>
                <w:szCs w:val="24"/>
                <w:highlight w:val="none"/>
              </w:rPr>
              <w:t>根据《黑龙江省人民政府关于实施“三线一单”生态环境分区管控的意见》（黑政发〔2020〕14号）及《</w:t>
            </w:r>
            <w:r>
              <w:rPr>
                <w:rFonts w:hint="eastAsia" w:eastAsia="宋体"/>
                <w:color w:val="auto"/>
                <w:kern w:val="0"/>
                <w:sz w:val="24"/>
                <w:szCs w:val="24"/>
                <w:highlight w:val="none"/>
                <w:lang w:val="en-US" w:eastAsia="zh-CN"/>
              </w:rPr>
              <w:t>鸡西市</w:t>
            </w:r>
            <w:r>
              <w:rPr>
                <w:rFonts w:hint="default" w:eastAsia="宋体"/>
                <w:color w:val="auto"/>
                <w:kern w:val="0"/>
                <w:sz w:val="24"/>
                <w:szCs w:val="24"/>
                <w:highlight w:val="none"/>
              </w:rPr>
              <w:t>人民政府关于实施“三</w:t>
            </w:r>
            <w:r>
              <w:rPr>
                <w:rFonts w:hint="default" w:ascii="Times New Roman" w:hAnsi="Times New Roman" w:eastAsia="宋体" w:cs="Times New Roman"/>
                <w:color w:val="auto"/>
                <w:kern w:val="0"/>
                <w:sz w:val="24"/>
                <w:szCs w:val="24"/>
                <w:highlight w:val="none"/>
              </w:rPr>
              <w:t>线一单”生态环境分区管控的意见》（</w:t>
            </w:r>
            <w:r>
              <w:rPr>
                <w:rFonts w:hint="eastAsia" w:ascii="Times New Roman" w:hAnsi="Times New Roman" w:eastAsia="宋体" w:cs="Times New Roman"/>
                <w:color w:val="auto"/>
                <w:kern w:val="0"/>
                <w:sz w:val="24"/>
                <w:szCs w:val="24"/>
                <w:highlight w:val="none"/>
                <w:lang w:val="en-US" w:eastAsia="zh-CN"/>
              </w:rPr>
              <w:t>鸡</w:t>
            </w:r>
            <w:r>
              <w:rPr>
                <w:rFonts w:hint="default" w:ascii="Times New Roman" w:hAnsi="Times New Roman" w:eastAsia="宋体" w:cs="Times New Roman"/>
                <w:color w:val="auto"/>
                <w:kern w:val="0"/>
                <w:sz w:val="24"/>
                <w:szCs w:val="24"/>
                <w:highlight w:val="none"/>
              </w:rPr>
              <w:t>政发〔2021〕</w:t>
            </w:r>
            <w:r>
              <w:rPr>
                <w:rFonts w:hint="eastAsia" w:ascii="Times New Roman" w:hAnsi="Times New Roman" w:eastAsia="宋体" w:cs="Times New Roman"/>
                <w:color w:val="auto"/>
                <w:kern w:val="0"/>
                <w:sz w:val="24"/>
                <w:szCs w:val="24"/>
                <w:highlight w:val="none"/>
                <w:lang w:val="en-US" w:eastAsia="zh-CN"/>
              </w:rPr>
              <w:t>7</w:t>
            </w:r>
            <w:r>
              <w:rPr>
                <w:rFonts w:hint="default" w:ascii="Times New Roman" w:hAnsi="Times New Roman" w:eastAsia="宋体" w:cs="Times New Roman"/>
                <w:color w:val="auto"/>
                <w:kern w:val="0"/>
                <w:sz w:val="24"/>
                <w:szCs w:val="24"/>
                <w:highlight w:val="none"/>
              </w:rPr>
              <w:t>号）</w:t>
            </w:r>
            <w:r>
              <w:rPr>
                <w:rFonts w:hint="eastAsia" w:ascii="Times New Roman" w:hAnsi="Times New Roman" w:eastAsia="宋体" w:cs="Times New Roman"/>
                <w:color w:val="auto"/>
                <w:kern w:val="0"/>
                <w:sz w:val="24"/>
                <w:szCs w:val="24"/>
                <w:highlight w:val="none"/>
                <w:lang w:val="en-US" w:eastAsia="zh-CN"/>
              </w:rPr>
              <w:t>及</w:t>
            </w:r>
            <w:r>
              <w:rPr>
                <w:rFonts w:hint="default" w:eastAsia="宋体"/>
                <w:color w:val="auto"/>
                <w:kern w:val="0"/>
                <w:sz w:val="24"/>
                <w:szCs w:val="24"/>
                <w:highlight w:val="none"/>
              </w:rPr>
              <w:t>《</w:t>
            </w:r>
            <w:r>
              <w:rPr>
                <w:rFonts w:hint="eastAsia" w:ascii="Times New Roman" w:hAnsi="Times New Roman" w:eastAsia="宋体" w:cs="Times New Roman"/>
                <w:color w:val="auto"/>
                <w:kern w:val="0"/>
                <w:sz w:val="24"/>
                <w:szCs w:val="24"/>
                <w:highlight w:val="none"/>
                <w:lang w:val="en-US" w:eastAsia="zh-CN"/>
              </w:rPr>
              <w:t>鸡西市生态环境准入清单</w:t>
            </w:r>
            <w:r>
              <w:rPr>
                <w:rFonts w:hint="default" w:eastAsia="宋体"/>
                <w:color w:val="auto"/>
                <w:kern w:val="0"/>
                <w:sz w:val="24"/>
                <w:szCs w:val="24"/>
                <w:highlight w:val="none"/>
              </w:rPr>
              <w:t>》</w:t>
            </w:r>
            <w:r>
              <w:rPr>
                <w:rFonts w:hint="default" w:ascii="Times New Roman" w:hAnsi="Times New Roman" w:eastAsia="宋体" w:cs="Times New Roman"/>
                <w:color w:val="auto"/>
                <w:kern w:val="0"/>
                <w:sz w:val="24"/>
                <w:szCs w:val="24"/>
                <w:highlight w:val="none"/>
              </w:rPr>
              <w:t>（</w:t>
            </w:r>
            <w:r>
              <w:rPr>
                <w:rFonts w:hint="eastAsia" w:ascii="Times New Roman" w:hAnsi="Times New Roman" w:eastAsia="宋体" w:cs="Times New Roman"/>
                <w:color w:val="auto"/>
                <w:kern w:val="0"/>
                <w:sz w:val="24"/>
                <w:szCs w:val="24"/>
                <w:highlight w:val="none"/>
                <w:lang w:val="en-US" w:eastAsia="zh-CN"/>
              </w:rPr>
              <w:t>2023年版</w:t>
            </w:r>
            <w:r>
              <w:rPr>
                <w:rFonts w:hint="default" w:ascii="Times New Roman" w:hAnsi="Times New Roman" w:eastAsia="宋体" w:cs="Times New Roman"/>
                <w:color w:val="auto"/>
                <w:kern w:val="0"/>
                <w:sz w:val="24"/>
                <w:szCs w:val="24"/>
                <w:highlight w:val="none"/>
              </w:rPr>
              <w:t>），本项目“三线一单”符合性分析如下。</w:t>
            </w:r>
          </w:p>
          <w:p w14:paraId="094F8C4D">
            <w:pPr>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（1）“一图”</w:t>
            </w:r>
          </w:p>
          <w:p w14:paraId="7D0C0586">
            <w:pPr>
              <w:keepNext w:val="0"/>
              <w:keepLines w:val="0"/>
              <w:suppressLineNumbers w:val="0"/>
              <w:spacing w:before="0" w:beforeAutospacing="0" w:after="0" w:afterAutospacing="0" w:line="360" w:lineRule="auto"/>
              <w:ind w:left="0" w:right="0"/>
              <w:jc w:val="center"/>
              <w:rPr>
                <w:rFonts w:hint="default"/>
                <w:color w:val="auto"/>
                <w:highlight w:val="none"/>
              </w:rPr>
            </w:pPr>
            <w:r>
              <w:rPr>
                <w:rFonts w:hint="default"/>
              </w:rPr>
              <w:drawing>
                <wp:inline distT="0" distB="0" distL="114300" distR="114300">
                  <wp:extent cx="4616450" cy="2371725"/>
                  <wp:effectExtent l="0" t="0" r="12700" b="9525"/>
                  <wp:docPr id="6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6"/>
                          <pic:cNvPicPr>
                            <a:picLocks noChangeAspect="1"/>
                          </pic:cNvPicPr>
                        </pic:nvPicPr>
                        <pic:blipFill>
                          <a:blip r:embed="rId10"/>
                          <a:stretch>
                            <a:fillRect/>
                          </a:stretch>
                        </pic:blipFill>
                        <pic:spPr>
                          <a:xfrm>
                            <a:off x="0" y="0"/>
                            <a:ext cx="4616450" cy="2371725"/>
                          </a:xfrm>
                          <a:prstGeom prst="rect">
                            <a:avLst/>
                          </a:prstGeom>
                          <a:noFill/>
                          <a:ln>
                            <a:noFill/>
                          </a:ln>
                        </pic:spPr>
                      </pic:pic>
                    </a:graphicData>
                  </a:graphic>
                </wp:inline>
              </w:drawing>
            </w:r>
          </w:p>
          <w:p w14:paraId="0C8D4123">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eastAsia" w:ascii="Times New Roman" w:hAnsi="Times New Roman" w:eastAsia="宋体" w:cs="Times New Roman"/>
                <w:b/>
                <w:bCs/>
                <w:color w:val="auto"/>
                <w:kern w:val="0"/>
                <w:sz w:val="24"/>
                <w:szCs w:val="24"/>
                <w:highlight w:val="none"/>
                <w:lang w:val="en-US" w:eastAsia="zh-CN"/>
              </w:rPr>
            </w:pPr>
            <w:r>
              <w:rPr>
                <w:rFonts w:hint="eastAsia" w:ascii="Times New Roman" w:hAnsi="Times New Roman" w:eastAsia="宋体" w:cs="Times New Roman"/>
                <w:b/>
                <w:bCs/>
                <w:color w:val="auto"/>
                <w:kern w:val="0"/>
                <w:sz w:val="24"/>
                <w:szCs w:val="24"/>
                <w:highlight w:val="none"/>
                <w:lang w:val="en-US" w:eastAsia="zh-CN"/>
              </w:rPr>
              <w:t>图1-1</w:t>
            </w:r>
            <w:r>
              <w:rPr>
                <w:rFonts w:hint="eastAsia" w:cs="Times New Roman"/>
                <w:b/>
                <w:bCs/>
                <w:color w:val="auto"/>
                <w:kern w:val="0"/>
                <w:sz w:val="24"/>
                <w:szCs w:val="24"/>
                <w:highlight w:val="none"/>
                <w:lang w:val="en-US" w:eastAsia="zh-CN"/>
              </w:rPr>
              <w:t xml:space="preserve"> </w:t>
            </w:r>
            <w:r>
              <w:rPr>
                <w:rFonts w:hint="eastAsia" w:ascii="Times New Roman" w:hAnsi="Times New Roman" w:eastAsia="宋体" w:cs="Times New Roman"/>
                <w:b/>
                <w:bCs/>
                <w:color w:val="auto"/>
                <w:kern w:val="0"/>
                <w:sz w:val="24"/>
                <w:szCs w:val="24"/>
                <w:highlight w:val="none"/>
                <w:lang w:val="en-US" w:eastAsia="zh-CN"/>
              </w:rPr>
              <w:t>项目与环境管控单元叠加图</w:t>
            </w:r>
          </w:p>
          <w:p w14:paraId="411974E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center"/>
              <w:textAlignment w:val="auto"/>
              <w:rPr>
                <w:rFonts w:hint="eastAsia" w:ascii="Times New Roman" w:hAnsi="Times New Roman" w:eastAsia="宋体" w:cs="宋体"/>
                <w:b/>
                <w:bCs/>
                <w:color w:val="auto"/>
                <w:sz w:val="24"/>
                <w:szCs w:val="24"/>
                <w:highlight w:val="none"/>
                <w:lang w:val="en-US" w:eastAsia="zh-CN"/>
              </w:rPr>
            </w:pPr>
            <w:r>
              <w:rPr>
                <w:rFonts w:hint="default" w:ascii="Times New Roman" w:hAnsi="Times New Roman" w:eastAsia="宋体" w:cs="宋体"/>
                <w:b/>
                <w:bCs/>
                <w:color w:val="auto"/>
                <w:sz w:val="24"/>
                <w:szCs w:val="24"/>
                <w:highlight w:val="none"/>
              </w:rPr>
              <w:t>表1-</w:t>
            </w:r>
            <w:r>
              <w:rPr>
                <w:rFonts w:hint="eastAsia" w:ascii="Times New Roman" w:hAnsi="Times New Roman" w:eastAsia="宋体" w:cs="宋体"/>
                <w:b/>
                <w:bCs/>
                <w:color w:val="auto"/>
                <w:sz w:val="24"/>
                <w:szCs w:val="24"/>
                <w:highlight w:val="none"/>
                <w:lang w:val="en-US" w:eastAsia="zh-CN"/>
              </w:rPr>
              <w:t>2</w:t>
            </w:r>
            <w:r>
              <w:rPr>
                <w:rFonts w:hint="default" w:ascii="Times New Roman" w:hAnsi="Times New Roman" w:eastAsia="宋体" w:cs="宋体"/>
                <w:b/>
                <w:bCs/>
                <w:color w:val="auto"/>
                <w:sz w:val="24"/>
                <w:szCs w:val="24"/>
                <w:highlight w:val="none"/>
              </w:rPr>
              <w:t xml:space="preserve"> 本项目“生态环境分区管控”符合性分析表</w:t>
            </w:r>
          </w:p>
          <w:tbl>
            <w:tblPr>
              <w:tblStyle w:val="39"/>
              <w:tblW w:w="723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4324"/>
              <w:gridCol w:w="1772"/>
            </w:tblGrid>
            <w:tr w14:paraId="214029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6" w:type="dxa"/>
                  <w:gridSpan w:val="3"/>
                  <w:tcBorders>
                    <w:tl2br w:val="nil"/>
                    <w:tr2bl w:val="nil"/>
                  </w:tcBorders>
                  <w:noWrap w:val="0"/>
                  <w:vAlign w:val="center"/>
                </w:tcPr>
                <w:p w14:paraId="6DAB67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一、生态保护红线</w:t>
                  </w:r>
                </w:p>
              </w:tc>
            </w:tr>
            <w:tr w14:paraId="7E54D9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Borders>
                    <w:tl2br w:val="nil"/>
                    <w:tr2bl w:val="nil"/>
                  </w:tcBorders>
                  <w:noWrap w:val="0"/>
                  <w:vAlign w:val="center"/>
                </w:tcPr>
                <w:p w14:paraId="0A4A33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管控单元类别</w:t>
                  </w:r>
                </w:p>
              </w:tc>
              <w:tc>
                <w:tcPr>
                  <w:tcW w:w="6096" w:type="dxa"/>
                  <w:gridSpan w:val="2"/>
                  <w:tcBorders>
                    <w:tl2br w:val="nil"/>
                    <w:tr2bl w:val="nil"/>
                  </w:tcBorders>
                  <w:noWrap w:val="0"/>
                  <w:vAlign w:val="center"/>
                </w:tcPr>
                <w:p w14:paraId="644605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一般管控区</w:t>
                  </w:r>
                </w:p>
              </w:tc>
            </w:tr>
            <w:tr w14:paraId="5E90FF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Borders>
                    <w:tl2br w:val="nil"/>
                    <w:tr2bl w:val="nil"/>
                  </w:tcBorders>
                  <w:noWrap w:val="0"/>
                  <w:vAlign w:val="center"/>
                </w:tcPr>
                <w:p w14:paraId="2905B2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管控要求</w:t>
                  </w:r>
                </w:p>
              </w:tc>
              <w:tc>
                <w:tcPr>
                  <w:tcW w:w="6096" w:type="dxa"/>
                  <w:gridSpan w:val="2"/>
                  <w:tcBorders>
                    <w:tl2br w:val="nil"/>
                    <w:tr2bl w:val="nil"/>
                  </w:tcBorders>
                  <w:noWrap w:val="0"/>
                  <w:vAlign w:val="center"/>
                </w:tcPr>
                <w:p w14:paraId="484693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生态空间包括生态保护红线和一般生态空间，生态保护红线及符合性分析一般生态空间均属于优先保护区，其余区域属于一般管控区。</w:t>
                  </w:r>
                </w:p>
              </w:tc>
            </w:tr>
            <w:tr w14:paraId="2F940C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Borders>
                    <w:tl2br w:val="nil"/>
                    <w:tr2bl w:val="nil"/>
                  </w:tcBorders>
                  <w:noWrap w:val="0"/>
                  <w:vAlign w:val="center"/>
                </w:tcPr>
                <w:p w14:paraId="257F8E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符合性</w:t>
                  </w:r>
                </w:p>
                <w:p w14:paraId="50800E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分析</w:t>
                  </w:r>
                </w:p>
              </w:tc>
              <w:tc>
                <w:tcPr>
                  <w:tcW w:w="6096" w:type="dxa"/>
                  <w:gridSpan w:val="2"/>
                  <w:tcBorders>
                    <w:tl2br w:val="nil"/>
                    <w:tr2bl w:val="nil"/>
                  </w:tcBorders>
                  <w:noWrap w:val="0"/>
                  <w:vAlign w:val="center"/>
                </w:tcPr>
                <w:p w14:paraId="21341E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根据本项目的《生态环境分区管控分析报告》，本项目所在区域不属于生态保护红线和一般生态空间，本项目</w:t>
                  </w:r>
                  <w:r>
                    <w:rPr>
                      <w:rFonts w:hint="default" w:ascii="Times New Roman" w:hAnsi="Times New Roman" w:eastAsia="宋体" w:cs="Times New Roman"/>
                      <w:color w:val="auto"/>
                      <w:sz w:val="21"/>
                      <w:szCs w:val="21"/>
                      <w:highlight w:val="none"/>
                      <w:lang w:eastAsia="zh-CN"/>
                    </w:rPr>
                    <w:t>与生态保护红线交集面积为</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符合生态保护红线要求。</w:t>
                  </w:r>
                </w:p>
              </w:tc>
            </w:tr>
            <w:tr w14:paraId="226B56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6" w:type="dxa"/>
                  <w:gridSpan w:val="3"/>
                  <w:tcBorders>
                    <w:tl2br w:val="nil"/>
                    <w:tr2bl w:val="nil"/>
                  </w:tcBorders>
                  <w:noWrap w:val="0"/>
                  <w:vAlign w:val="center"/>
                </w:tcPr>
                <w:p w14:paraId="3D2E2D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二、环境质量底线</w:t>
                  </w:r>
                </w:p>
              </w:tc>
            </w:tr>
            <w:tr w14:paraId="4F404C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1140" w:type="dxa"/>
                  <w:tcBorders>
                    <w:tl2br w:val="nil"/>
                    <w:tr2bl w:val="nil"/>
                  </w:tcBorders>
                  <w:noWrap w:val="0"/>
                  <w:vAlign w:val="center"/>
                </w:tcPr>
                <w:p w14:paraId="2D71E0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大气环境质量底线</w:t>
                  </w:r>
                </w:p>
              </w:tc>
              <w:tc>
                <w:tcPr>
                  <w:tcW w:w="6096" w:type="dxa"/>
                  <w:gridSpan w:val="2"/>
                  <w:tcBorders>
                    <w:tl2br w:val="nil"/>
                    <w:tr2bl w:val="nil"/>
                  </w:tcBorders>
                  <w:noWrap w:val="0"/>
                  <w:vAlign w:val="center"/>
                </w:tcPr>
                <w:p w14:paraId="3D8C85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根据《202</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年黑龙江省生态环境质量状况》，2024年，全省各项污染物平均浓度均达二级标准。13个城市中哈尔滨市和绥化市2个城市未达</w:t>
                  </w:r>
                  <w:r>
                    <w:rPr>
                      <w:rFonts w:hint="default" w:ascii="Times New Roman" w:hAnsi="Times New Roman" w:eastAsia="宋体" w:cs="Times New Roman"/>
                      <w:color w:val="auto"/>
                      <w:sz w:val="21"/>
                      <w:szCs w:val="21"/>
                      <w:highlight w:val="none"/>
                      <w:lang w:val="en-US" w:eastAsia="zh-CN"/>
                    </w:rPr>
                    <w:t>标。即鸡西市各项污染物平均浓度达到《环境空气质量标准》</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GB3095-2012</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中的二级标准。</w:t>
                  </w:r>
                </w:p>
                <w:p w14:paraId="561393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项目投产后向环境空气中排放的颗粒物采取了有效污染控制措施，污染物排放浓度满足</w:t>
                  </w:r>
                  <w:r>
                    <w:rPr>
                      <w:rFonts w:hint="default" w:ascii="Times New Roman" w:hAnsi="Times New Roman" w:cs="Times New Roman"/>
                      <w:color w:val="auto"/>
                      <w:sz w:val="21"/>
                      <w:szCs w:val="21"/>
                      <w:highlight w:val="none"/>
                    </w:rPr>
                    <w:t>《工业炉窑大气污染物排放标准》（GB9078-1996）</w:t>
                  </w:r>
                  <w:r>
                    <w:rPr>
                      <w:rFonts w:hint="default" w:ascii="Times New Roman" w:hAnsi="Times New Roman" w:eastAsia="宋体" w:cs="Times New Roman"/>
                      <w:color w:val="auto"/>
                      <w:sz w:val="21"/>
                      <w:szCs w:val="21"/>
                      <w:highlight w:val="none"/>
                      <w:lang w:val="en-US" w:eastAsia="zh-CN"/>
                    </w:rPr>
                    <w:t>，对环境空气影响较小。</w:t>
                  </w:r>
                </w:p>
              </w:tc>
            </w:tr>
            <w:tr w14:paraId="669B3F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Borders>
                    <w:tl2br w:val="nil"/>
                    <w:tr2bl w:val="nil"/>
                  </w:tcBorders>
                  <w:noWrap w:val="0"/>
                  <w:vAlign w:val="center"/>
                </w:tcPr>
                <w:p w14:paraId="1DC820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地下水环境质量底线</w:t>
                  </w:r>
                </w:p>
              </w:tc>
              <w:tc>
                <w:tcPr>
                  <w:tcW w:w="6096" w:type="dxa"/>
                  <w:gridSpan w:val="2"/>
                  <w:tcBorders>
                    <w:tl2br w:val="nil"/>
                    <w:tr2bl w:val="nil"/>
                  </w:tcBorders>
                  <w:noWrap w:val="0"/>
                  <w:vAlign w:val="center"/>
                </w:tcPr>
                <w:p w14:paraId="5FC673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本项目不会突破区域内</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土壤环境质量底线</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地下水环境质量底线</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p>
              </w:tc>
            </w:tr>
            <w:tr w14:paraId="0D80CF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Borders>
                    <w:tl2br w:val="nil"/>
                    <w:tr2bl w:val="nil"/>
                  </w:tcBorders>
                  <w:noWrap w:val="0"/>
                  <w:vAlign w:val="center"/>
                </w:tcPr>
                <w:p w14:paraId="057D4D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水环境质量底线</w:t>
                  </w:r>
                </w:p>
              </w:tc>
              <w:tc>
                <w:tcPr>
                  <w:tcW w:w="6096" w:type="dxa"/>
                  <w:gridSpan w:val="2"/>
                  <w:tcBorders>
                    <w:tl2br w:val="nil"/>
                    <w:tr2bl w:val="nil"/>
                  </w:tcBorders>
                  <w:noWrap w:val="0"/>
                  <w:vAlign w:val="center"/>
                </w:tcPr>
                <w:p w14:paraId="4D1F82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lang w:val="en-US" w:eastAsia="zh-CN"/>
                    </w:rPr>
                    <w:t>本项目</w:t>
                  </w:r>
                  <w:r>
                    <w:rPr>
                      <w:rFonts w:hint="default" w:ascii="Times New Roman" w:hAnsi="Times New Roman" w:cs="Times New Roman"/>
                      <w:color w:val="auto"/>
                      <w:sz w:val="21"/>
                      <w:szCs w:val="21"/>
                      <w:lang w:val="en-US" w:eastAsia="zh-CN"/>
                    </w:rPr>
                    <w:t>无生产废水、生活污水排入防渗旱厕，定期清掏，外运堆肥</w:t>
                  </w:r>
                  <w:r>
                    <w:rPr>
                      <w:rFonts w:hint="eastAsia" w:ascii="Times New Roman" w:hAnsi="Times New Roman" w:cs="Times New Roman"/>
                      <w:color w:val="auto"/>
                      <w:sz w:val="21"/>
                      <w:szCs w:val="21"/>
                      <w:lang w:val="en-US" w:eastAsia="zh-CN"/>
                    </w:rPr>
                    <w:t>。</w:t>
                  </w:r>
                  <w:r>
                    <w:rPr>
                      <w:rFonts w:hint="default" w:ascii="Times New Roman" w:hAnsi="Times New Roman" w:eastAsia="宋体" w:cs="Times New Roman"/>
                      <w:color w:val="auto"/>
                      <w:sz w:val="21"/>
                      <w:szCs w:val="21"/>
                      <w:highlight w:val="none"/>
                      <w:lang w:val="en-US" w:eastAsia="zh-CN"/>
                    </w:rPr>
                    <w:t>综上</w:t>
                  </w:r>
                  <w:r>
                    <w:rPr>
                      <w:rFonts w:hint="default" w:ascii="Times New Roman" w:hAnsi="Times New Roman" w:eastAsia="宋体" w:cs="Times New Roman"/>
                      <w:color w:val="auto"/>
                      <w:sz w:val="21"/>
                      <w:szCs w:val="21"/>
                      <w:highlight w:val="none"/>
                      <w:lang w:eastAsia="zh-CN"/>
                    </w:rPr>
                    <w:t>，本项目</w:t>
                  </w:r>
                  <w:r>
                    <w:rPr>
                      <w:rFonts w:hint="default" w:ascii="Times New Roman" w:hAnsi="Times New Roman" w:eastAsia="宋体" w:cs="Times New Roman"/>
                      <w:color w:val="auto"/>
                      <w:sz w:val="21"/>
                      <w:szCs w:val="21"/>
                      <w:highlight w:val="none"/>
                    </w:rPr>
                    <w:t>污水可得到有效控制，对周围环境影响较小</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不会突破</w:t>
                  </w:r>
                  <w:r>
                    <w:rPr>
                      <w:rFonts w:hint="default" w:ascii="Times New Roman" w:hAnsi="Times New Roman" w:eastAsia="宋体" w:cs="Times New Roman"/>
                      <w:color w:val="auto"/>
                      <w:sz w:val="21"/>
                      <w:szCs w:val="21"/>
                      <w:highlight w:val="none"/>
                      <w:lang w:val="en-US" w:eastAsia="zh-CN"/>
                    </w:rPr>
                    <w:t>区域</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水环境质量底线</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p>
              </w:tc>
            </w:tr>
            <w:tr w14:paraId="264005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6" w:type="dxa"/>
                  <w:gridSpan w:val="3"/>
                  <w:tcBorders>
                    <w:tl2br w:val="nil"/>
                    <w:tr2bl w:val="nil"/>
                  </w:tcBorders>
                  <w:noWrap w:val="0"/>
                  <w:vAlign w:val="center"/>
                </w:tcPr>
                <w:p w14:paraId="6A2942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水环境</w:t>
                  </w:r>
                </w:p>
              </w:tc>
            </w:tr>
            <w:tr w14:paraId="06B435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Borders>
                    <w:tl2br w:val="nil"/>
                    <w:tr2bl w:val="nil"/>
                  </w:tcBorders>
                  <w:noWrap w:val="0"/>
                  <w:vAlign w:val="center"/>
                </w:tcPr>
                <w:p w14:paraId="6076B234">
                  <w:pPr>
                    <w:pStyle w:val="113"/>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管控单元类别</w:t>
                  </w:r>
                </w:p>
              </w:tc>
              <w:tc>
                <w:tcPr>
                  <w:tcW w:w="6096" w:type="dxa"/>
                  <w:gridSpan w:val="2"/>
                  <w:tcBorders>
                    <w:tl2br w:val="nil"/>
                    <w:tr2bl w:val="nil"/>
                  </w:tcBorders>
                  <w:noWrap w:val="0"/>
                  <w:vAlign w:val="center"/>
                </w:tcPr>
                <w:p w14:paraId="6B47F932">
                  <w:pPr>
                    <w:pStyle w:val="113"/>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一般管控区</w:t>
                  </w:r>
                </w:p>
              </w:tc>
            </w:tr>
            <w:tr w14:paraId="035BCA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Borders>
                    <w:tl2br w:val="nil"/>
                    <w:tr2bl w:val="nil"/>
                  </w:tcBorders>
                  <w:noWrap w:val="0"/>
                  <w:vAlign w:val="center"/>
                </w:tcPr>
                <w:p w14:paraId="0C40FE8C">
                  <w:pPr>
                    <w:pStyle w:val="113"/>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环境管控区编码</w:t>
                  </w:r>
                </w:p>
              </w:tc>
              <w:tc>
                <w:tcPr>
                  <w:tcW w:w="6096" w:type="dxa"/>
                  <w:gridSpan w:val="2"/>
                  <w:tcBorders>
                    <w:tl2br w:val="nil"/>
                    <w:tr2bl w:val="nil"/>
                  </w:tcBorders>
                  <w:noWrap w:val="0"/>
                  <w:vAlign w:val="center"/>
                </w:tcPr>
                <w:p w14:paraId="2FE84B7D">
                  <w:pPr>
                    <w:pStyle w:val="113"/>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YS230</w:t>
                  </w:r>
                  <w:r>
                    <w:rPr>
                      <w:rFonts w:hint="eastAsia" w:ascii="Times New Roman" w:hAnsi="Times New Roman" w:eastAsia="宋体" w:cs="Times New Roman"/>
                      <w:color w:val="auto"/>
                      <w:sz w:val="21"/>
                      <w:szCs w:val="21"/>
                      <w:lang w:val="en-US" w:eastAsia="zh-CN"/>
                    </w:rPr>
                    <w:t>3816310001</w:t>
                  </w:r>
                </w:p>
              </w:tc>
            </w:tr>
            <w:tr w14:paraId="544DBB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Borders>
                    <w:tl2br w:val="nil"/>
                    <w:tr2bl w:val="nil"/>
                  </w:tcBorders>
                  <w:noWrap w:val="0"/>
                  <w:vAlign w:val="center"/>
                </w:tcPr>
                <w:p w14:paraId="0B0E544B">
                  <w:pPr>
                    <w:pStyle w:val="113"/>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环境管控区名称</w:t>
                  </w:r>
                </w:p>
              </w:tc>
              <w:tc>
                <w:tcPr>
                  <w:tcW w:w="6096" w:type="dxa"/>
                  <w:gridSpan w:val="2"/>
                  <w:tcBorders>
                    <w:tl2br w:val="nil"/>
                    <w:tr2bl w:val="nil"/>
                  </w:tcBorders>
                  <w:noWrap w:val="0"/>
                  <w:vAlign w:val="center"/>
                </w:tcPr>
                <w:p w14:paraId="19112C64">
                  <w:pPr>
                    <w:pStyle w:val="113"/>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lang w:val="en-US" w:eastAsia="zh-CN"/>
                    </w:rPr>
                    <w:t>虎林市</w:t>
                  </w:r>
                  <w:r>
                    <w:rPr>
                      <w:rFonts w:hint="default" w:ascii="Times New Roman" w:hAnsi="Times New Roman" w:eastAsia="宋体" w:cs="Times New Roman"/>
                      <w:color w:val="auto"/>
                      <w:sz w:val="21"/>
                      <w:szCs w:val="21"/>
                    </w:rPr>
                    <w:t>地下水环境</w:t>
                  </w:r>
                  <w:r>
                    <w:rPr>
                      <w:rFonts w:hint="default" w:ascii="Times New Roman" w:hAnsi="Times New Roman" w:eastAsia="宋体" w:cs="Times New Roman"/>
                      <w:color w:val="auto"/>
                      <w:kern w:val="0"/>
                      <w:sz w:val="21"/>
                      <w:szCs w:val="21"/>
                      <w:highlight w:val="none"/>
                      <w:lang w:val="en-US" w:eastAsia="zh-CN" w:bidi="ar-SA"/>
                    </w:rPr>
                    <w:t>一般管控区</w:t>
                  </w:r>
                </w:p>
              </w:tc>
            </w:tr>
            <w:tr w14:paraId="35BE64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64" w:type="dxa"/>
                  <w:gridSpan w:val="2"/>
                  <w:tcBorders>
                    <w:tl2br w:val="nil"/>
                    <w:tr2bl w:val="nil"/>
                  </w:tcBorders>
                  <w:noWrap w:val="0"/>
                  <w:vAlign w:val="center"/>
                </w:tcPr>
                <w:p w14:paraId="079AEBA3">
                  <w:pPr>
                    <w:pStyle w:val="113"/>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管控要求</w:t>
                  </w:r>
                </w:p>
              </w:tc>
              <w:tc>
                <w:tcPr>
                  <w:tcW w:w="1772" w:type="dxa"/>
                  <w:tcBorders>
                    <w:tl2br w:val="nil"/>
                    <w:tr2bl w:val="nil"/>
                  </w:tcBorders>
                  <w:noWrap w:val="0"/>
                  <w:vAlign w:val="center"/>
                </w:tcPr>
                <w:p w14:paraId="0274F320">
                  <w:pPr>
                    <w:pStyle w:val="113"/>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符合性分析</w:t>
                  </w:r>
                </w:p>
              </w:tc>
            </w:tr>
            <w:tr w14:paraId="45D555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Borders>
                    <w:tl2br w:val="nil"/>
                    <w:tr2bl w:val="nil"/>
                  </w:tcBorders>
                  <w:noWrap w:val="0"/>
                  <w:vAlign w:val="center"/>
                </w:tcPr>
                <w:p w14:paraId="576B5D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环境风险管控</w:t>
                  </w:r>
                </w:p>
              </w:tc>
              <w:tc>
                <w:tcPr>
                  <w:tcW w:w="4324" w:type="dxa"/>
                  <w:tcBorders>
                    <w:tl2br w:val="nil"/>
                    <w:tr2bl w:val="nil"/>
                  </w:tcBorders>
                  <w:noWrap w:val="0"/>
                  <w:vAlign w:val="center"/>
                </w:tcPr>
                <w:p w14:paraId="427DB9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rPr>
                    <w:t>1.</w:t>
                  </w:r>
                  <w:r>
                    <w:rPr>
                      <w:rFonts w:hint="default" w:ascii="Times New Roman" w:hAnsi="Times New Roman" w:eastAsia="宋体" w:cs="Times New Roman"/>
                      <w:color w:val="auto"/>
                      <w:kern w:val="0"/>
                      <w:sz w:val="21"/>
                      <w:szCs w:val="21"/>
                      <w:lang w:val="en-US" w:eastAsia="zh-CN" w:bidi="ar"/>
                    </w:rPr>
                    <w:t>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2.重点单位新、改、扩建项目地下储罐储存有毒有害物质的，应当在项目投入生产或者使用之前，将地下储罐的信息报所在地设区的市级生态环境主管部门备案。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772" w:type="dxa"/>
                  <w:tcBorders>
                    <w:tl2br w:val="nil"/>
                    <w:tr2bl w:val="nil"/>
                  </w:tcBorders>
                  <w:noWrap w:val="0"/>
                  <w:vAlign w:val="center"/>
                </w:tcPr>
                <w:p w14:paraId="7A2DB9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本项目不属于</w:t>
                  </w:r>
                  <w:r>
                    <w:rPr>
                      <w:rFonts w:hint="default" w:ascii="Times New Roman" w:hAnsi="Times New Roman" w:eastAsia="宋体" w:cs="Times New Roman"/>
                      <w:color w:val="auto"/>
                      <w:kern w:val="0"/>
                      <w:sz w:val="21"/>
                      <w:szCs w:val="21"/>
                      <w:highlight w:val="none"/>
                      <w:lang w:val="en-US" w:eastAsia="zh-CN" w:bidi="ar"/>
                    </w:rPr>
                    <w:t>土壤污染重点监管单位</w:t>
                  </w:r>
                  <w:r>
                    <w:rPr>
                      <w:rFonts w:hint="default" w:ascii="Times New Roman" w:hAnsi="Times New Roman" w:eastAsia="宋体" w:cs="Times New Roman"/>
                      <w:color w:val="auto"/>
                      <w:kern w:val="0"/>
                      <w:sz w:val="21"/>
                      <w:szCs w:val="21"/>
                      <w:highlight w:val="none"/>
                      <w:lang w:val="en-US" w:eastAsia="zh-CN" w:bidi="ar-SA"/>
                    </w:rPr>
                    <w:t>；本项目没有地下储罐，不涉及</w:t>
                  </w:r>
                  <w:r>
                    <w:rPr>
                      <w:rFonts w:hint="default" w:ascii="Times New Roman" w:hAnsi="Times New Roman" w:eastAsia="宋体" w:cs="Times New Roman"/>
                      <w:color w:val="auto"/>
                      <w:kern w:val="0"/>
                      <w:sz w:val="21"/>
                      <w:szCs w:val="21"/>
                      <w:highlight w:val="none"/>
                      <w:lang w:val="en-US" w:eastAsia="zh-CN" w:bidi="ar"/>
                    </w:rPr>
                    <w:t>有毒有害物质</w:t>
                  </w:r>
                  <w:r>
                    <w:rPr>
                      <w:rFonts w:hint="default"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sz w:val="21"/>
                      <w:szCs w:val="21"/>
                      <w:highlight w:val="none"/>
                      <w:lang w:val="en-US" w:eastAsia="zh-CN"/>
                    </w:rPr>
                    <w:t>本项目不属于</w:t>
                  </w:r>
                  <w:r>
                    <w:rPr>
                      <w:rFonts w:hint="default" w:ascii="Times New Roman" w:hAnsi="Times New Roman" w:eastAsia="宋体" w:cs="Times New Roman"/>
                      <w:color w:val="auto"/>
                      <w:kern w:val="0"/>
                      <w:sz w:val="21"/>
                      <w:szCs w:val="21"/>
                      <w:highlight w:val="none"/>
                      <w:lang w:val="en-US" w:eastAsia="zh-CN" w:bidi="ar"/>
                    </w:rPr>
                    <w:t>化学品生产企业以及工业集聚区、矿山开采区、尾矿库、危险废物处置场、垃圾填埋场等的运营、管理单位。</w:t>
                  </w:r>
                </w:p>
              </w:tc>
            </w:tr>
            <w:tr w14:paraId="20056B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6" w:type="dxa"/>
                  <w:gridSpan w:val="3"/>
                  <w:tcBorders>
                    <w:tl2br w:val="nil"/>
                    <w:tr2bl w:val="nil"/>
                  </w:tcBorders>
                  <w:noWrap w:val="0"/>
                  <w:vAlign w:val="center"/>
                </w:tcPr>
                <w:p w14:paraId="4331BDA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vertAlign w:val="baseline"/>
                      <w:lang w:val="en-US" w:eastAsia="zh-CN"/>
                    </w:rPr>
                    <w:t>三、资源利用上线</w:t>
                  </w:r>
                </w:p>
              </w:tc>
            </w:tr>
            <w:tr w14:paraId="4842F7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7236" w:type="dxa"/>
                  <w:gridSpan w:val="3"/>
                  <w:tcBorders>
                    <w:tl2br w:val="nil"/>
                    <w:tr2bl w:val="nil"/>
                  </w:tcBorders>
                  <w:noWrap w:val="0"/>
                  <w:vAlign w:val="top"/>
                </w:tcPr>
                <w:p w14:paraId="7E358E6D">
                  <w:pPr>
                    <w:keepNext w:val="0"/>
                    <w:keepLines w:val="0"/>
                    <w:widowControl/>
                    <w:suppressLineNumbers w:val="0"/>
                    <w:spacing w:before="0" w:beforeAutospacing="0" w:after="0" w:afterAutospacing="0"/>
                    <w:ind w:left="0" w:right="0" w:firstLine="420" w:firstLineChars="20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资源是环境的载体，资源利用上线是各地区能源、水、土地等资源消耗不得突破的“天花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p w14:paraId="25BA902E">
                  <w:pPr>
                    <w:keepNext w:val="0"/>
                    <w:keepLines w:val="0"/>
                    <w:widowControl/>
                    <w:suppressLineNumbers w:val="0"/>
                    <w:spacing w:before="0" w:beforeAutospacing="0" w:after="0" w:afterAutospacing="0"/>
                    <w:ind w:left="0" w:right="0" w:firstLine="420" w:firstLineChars="200"/>
                    <w:jc w:val="both"/>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lang w:val="en-US" w:eastAsia="zh-CN"/>
                    </w:rPr>
                    <w:t>本项目不属于地下水开采重点管控区。不属于高水耗，高能耗行业。本项目不占用基本农田和黑土地；综上，本项目符合资源利用上线要求。</w:t>
                  </w:r>
                </w:p>
              </w:tc>
            </w:tr>
            <w:tr w14:paraId="7E453B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6" w:type="dxa"/>
                  <w:gridSpan w:val="3"/>
                  <w:tcBorders>
                    <w:tl2br w:val="nil"/>
                    <w:tr2bl w:val="nil"/>
                  </w:tcBorders>
                  <w:noWrap w:val="0"/>
                  <w:vAlign w:val="center"/>
                </w:tcPr>
                <w:p w14:paraId="38EA034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vertAlign w:val="baseline"/>
                      <w:lang w:val="en-US" w:eastAsia="zh-CN"/>
                    </w:rPr>
                    <w:t>四、环境管控单元准入清单</w:t>
                  </w:r>
                </w:p>
              </w:tc>
            </w:tr>
            <w:tr w14:paraId="00E499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Borders>
                    <w:tl2br w:val="nil"/>
                    <w:tr2bl w:val="nil"/>
                  </w:tcBorders>
                  <w:noWrap w:val="0"/>
                  <w:vAlign w:val="center"/>
                </w:tcPr>
                <w:p w14:paraId="65B181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bidi="ar-SA"/>
                    </w:rPr>
                  </w:pPr>
                  <w:r>
                    <w:rPr>
                      <w:rFonts w:hint="default" w:ascii="Times New Roman" w:hAnsi="Times New Roman" w:eastAsia="宋体" w:cs="Times New Roman"/>
                      <w:color w:val="auto"/>
                      <w:sz w:val="21"/>
                      <w:szCs w:val="21"/>
                      <w:highlight w:val="none"/>
                      <w:vertAlign w:val="baseline"/>
                      <w:lang w:val="en-US" w:eastAsia="zh-CN"/>
                    </w:rPr>
                    <w:t>环境管控单元编码</w:t>
                  </w:r>
                </w:p>
              </w:tc>
              <w:tc>
                <w:tcPr>
                  <w:tcW w:w="6096" w:type="dxa"/>
                  <w:gridSpan w:val="2"/>
                  <w:tcBorders>
                    <w:tl2br w:val="nil"/>
                    <w:tr2bl w:val="nil"/>
                  </w:tcBorders>
                  <w:noWrap w:val="0"/>
                  <w:vAlign w:val="center"/>
                </w:tcPr>
                <w:p w14:paraId="060322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vertAlign w:val="baseline"/>
                      <w:lang w:val="en-US" w:eastAsia="zh-CN"/>
                    </w:rPr>
                    <w:t>ZH230</w:t>
                  </w:r>
                  <w:r>
                    <w:rPr>
                      <w:rFonts w:hint="eastAsia" w:ascii="Times New Roman" w:hAnsi="Times New Roman" w:eastAsia="宋体" w:cs="Times New Roman"/>
                      <w:color w:val="auto"/>
                      <w:sz w:val="21"/>
                      <w:szCs w:val="21"/>
                      <w:highlight w:val="none"/>
                      <w:vertAlign w:val="baseline"/>
                      <w:lang w:val="en-US" w:eastAsia="zh-CN"/>
                    </w:rPr>
                    <w:t>38120002</w:t>
                  </w:r>
                </w:p>
              </w:tc>
            </w:tr>
            <w:tr w14:paraId="63FD98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Borders>
                    <w:tl2br w:val="nil"/>
                    <w:tr2bl w:val="nil"/>
                  </w:tcBorders>
                  <w:noWrap w:val="0"/>
                  <w:vAlign w:val="center"/>
                </w:tcPr>
                <w:p w14:paraId="78CBDC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bidi="ar-SA"/>
                    </w:rPr>
                  </w:pPr>
                  <w:r>
                    <w:rPr>
                      <w:rFonts w:hint="default" w:ascii="Times New Roman" w:hAnsi="Times New Roman" w:eastAsia="宋体" w:cs="Times New Roman"/>
                      <w:color w:val="auto"/>
                      <w:sz w:val="21"/>
                      <w:szCs w:val="21"/>
                      <w:highlight w:val="none"/>
                      <w:vertAlign w:val="baseline"/>
                      <w:lang w:val="en-US" w:eastAsia="zh-CN"/>
                    </w:rPr>
                    <w:t>环境管控单元名称</w:t>
                  </w:r>
                </w:p>
              </w:tc>
              <w:tc>
                <w:tcPr>
                  <w:tcW w:w="6096" w:type="dxa"/>
                  <w:gridSpan w:val="2"/>
                  <w:tcBorders>
                    <w:tl2br w:val="nil"/>
                    <w:tr2bl w:val="nil"/>
                  </w:tcBorders>
                  <w:noWrap w:val="0"/>
                  <w:vAlign w:val="center"/>
                </w:tcPr>
                <w:p w14:paraId="69504C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vertAlign w:val="baseline"/>
                      <w:lang w:val="en-US" w:eastAsia="zh-CN"/>
                    </w:rPr>
                    <w:t>虎林市</w:t>
                  </w:r>
                  <w:r>
                    <w:rPr>
                      <w:rFonts w:hint="default" w:ascii="Times New Roman" w:hAnsi="Times New Roman" w:eastAsia="宋体" w:cs="Times New Roman"/>
                      <w:color w:val="auto"/>
                      <w:sz w:val="21"/>
                      <w:szCs w:val="21"/>
                      <w:highlight w:val="none"/>
                      <w:vertAlign w:val="baseline"/>
                      <w:lang w:val="en-US" w:eastAsia="zh-CN"/>
                    </w:rPr>
                    <w:t>城镇空间</w:t>
                  </w:r>
                </w:p>
              </w:tc>
            </w:tr>
            <w:tr w14:paraId="45AF65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Borders>
                    <w:tl2br w:val="nil"/>
                    <w:tr2bl w:val="nil"/>
                  </w:tcBorders>
                  <w:noWrap w:val="0"/>
                  <w:vAlign w:val="center"/>
                </w:tcPr>
                <w:p w14:paraId="49E3B7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bidi="ar-SA"/>
                    </w:rPr>
                  </w:pPr>
                  <w:r>
                    <w:rPr>
                      <w:rFonts w:hint="default" w:ascii="Times New Roman" w:hAnsi="Times New Roman" w:eastAsia="宋体" w:cs="Times New Roman"/>
                      <w:color w:val="auto"/>
                      <w:sz w:val="21"/>
                      <w:szCs w:val="21"/>
                      <w:highlight w:val="none"/>
                      <w:vertAlign w:val="baseline"/>
                      <w:lang w:val="en-US" w:eastAsia="zh-CN"/>
                    </w:rPr>
                    <w:t>管控单元类别</w:t>
                  </w:r>
                </w:p>
              </w:tc>
              <w:tc>
                <w:tcPr>
                  <w:tcW w:w="6096" w:type="dxa"/>
                  <w:gridSpan w:val="2"/>
                  <w:tcBorders>
                    <w:tl2br w:val="nil"/>
                    <w:tr2bl w:val="nil"/>
                  </w:tcBorders>
                  <w:noWrap w:val="0"/>
                  <w:vAlign w:val="center"/>
                </w:tcPr>
                <w:p w14:paraId="1EAB18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vertAlign w:val="baseline"/>
                      <w:lang w:val="en-US" w:eastAsia="zh-CN"/>
                    </w:rPr>
                    <w:t>重点管控单元</w:t>
                  </w:r>
                </w:p>
              </w:tc>
            </w:tr>
            <w:tr w14:paraId="120897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64" w:type="dxa"/>
                  <w:gridSpan w:val="2"/>
                  <w:tcBorders>
                    <w:tl2br w:val="nil"/>
                    <w:tr2bl w:val="nil"/>
                  </w:tcBorders>
                  <w:noWrap w:val="0"/>
                  <w:vAlign w:val="center"/>
                </w:tcPr>
                <w:p w14:paraId="5BEDCF25">
                  <w:pPr>
                    <w:pStyle w:val="113"/>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SA"/>
                    </w:rPr>
                    <w:t>管控要求</w:t>
                  </w:r>
                </w:p>
              </w:tc>
              <w:tc>
                <w:tcPr>
                  <w:tcW w:w="1772" w:type="dxa"/>
                  <w:tcBorders>
                    <w:tl2br w:val="nil"/>
                    <w:tr2bl w:val="nil"/>
                  </w:tcBorders>
                  <w:noWrap w:val="0"/>
                  <w:vAlign w:val="center"/>
                </w:tcPr>
                <w:p w14:paraId="7BE0729F">
                  <w:pPr>
                    <w:pStyle w:val="113"/>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SA"/>
                    </w:rPr>
                    <w:t>符合性分析</w:t>
                  </w:r>
                </w:p>
              </w:tc>
            </w:tr>
            <w:tr w14:paraId="34EB3F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Borders>
                    <w:tl2br w:val="nil"/>
                    <w:tr2bl w:val="nil"/>
                  </w:tcBorders>
                  <w:noWrap w:val="0"/>
                  <w:vAlign w:val="center"/>
                </w:tcPr>
                <w:p w14:paraId="1B29D8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bidi="ar-SA"/>
                    </w:rPr>
                  </w:pPr>
                  <w:r>
                    <w:rPr>
                      <w:rFonts w:hint="default" w:ascii="Times New Roman" w:hAnsi="Times New Roman" w:eastAsia="宋体" w:cs="Times New Roman"/>
                      <w:color w:val="auto"/>
                      <w:sz w:val="21"/>
                      <w:szCs w:val="21"/>
                      <w:highlight w:val="none"/>
                      <w:vertAlign w:val="baseline"/>
                      <w:lang w:val="en-US" w:eastAsia="zh-CN"/>
                    </w:rPr>
                    <w:t>空间布局约束</w:t>
                  </w:r>
                </w:p>
              </w:tc>
              <w:tc>
                <w:tcPr>
                  <w:tcW w:w="4324" w:type="dxa"/>
                  <w:tcBorders>
                    <w:tl2br w:val="nil"/>
                    <w:tr2bl w:val="nil"/>
                  </w:tcBorders>
                  <w:noWrap w:val="0"/>
                  <w:vAlign w:val="center"/>
                </w:tcPr>
                <w:p w14:paraId="011F6789">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rPr>
                    <w:t>1.同时执行：（1）严禁在人口密集区新建危险化学品生产项目，城镇人口密集区危险化学品生产企业应搬迁改造。（2）禁止在城镇居民区、文化教育科学研究区等人口集中区域建设畜禽养殖场、养殖小区。2.水环境农业污染重点管控区同时执行（1）科学划定畜禽养殖禁养区。（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w:t>
                  </w:r>
                </w:p>
              </w:tc>
              <w:tc>
                <w:tcPr>
                  <w:tcW w:w="1772" w:type="dxa"/>
                  <w:tcBorders>
                    <w:tl2br w:val="nil"/>
                    <w:tr2bl w:val="nil"/>
                  </w:tcBorders>
                  <w:noWrap w:val="0"/>
                  <w:vAlign w:val="center"/>
                </w:tcPr>
                <w:p w14:paraId="1CE194D2">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val="en-US" w:eastAsia="zh-CN"/>
                    </w:rPr>
                    <w:t>1.</w:t>
                  </w:r>
                  <w:r>
                    <w:rPr>
                      <w:rFonts w:hint="default" w:ascii="Times New Roman" w:hAnsi="Times New Roman" w:eastAsia="宋体" w:cs="Times New Roman"/>
                      <w:color w:val="auto"/>
                      <w:spacing w:val="0"/>
                      <w:sz w:val="21"/>
                      <w:szCs w:val="21"/>
                      <w:highlight w:val="none"/>
                      <w:lang w:eastAsia="zh-CN"/>
                    </w:rPr>
                    <w:t>本项目不属于新建危险化学品生产项目</w:t>
                  </w:r>
                  <w:r>
                    <w:rPr>
                      <w:rFonts w:hint="default" w:ascii="Times New Roman" w:hAnsi="Times New Roman" w:eastAsia="宋体" w:cs="Times New Roman"/>
                      <w:color w:val="auto"/>
                      <w:spacing w:val="0"/>
                      <w:sz w:val="21"/>
                      <w:szCs w:val="21"/>
                      <w:highlight w:val="none"/>
                      <w:lang w:val="en-US" w:eastAsia="zh-CN"/>
                    </w:rPr>
                    <w:t>，不</w:t>
                  </w:r>
                  <w:r>
                    <w:rPr>
                      <w:rFonts w:hint="default" w:ascii="Times New Roman" w:hAnsi="Times New Roman" w:eastAsia="宋体" w:cs="Times New Roman"/>
                      <w:color w:val="auto"/>
                      <w:spacing w:val="0"/>
                      <w:sz w:val="21"/>
                      <w:szCs w:val="21"/>
                      <w:highlight w:val="none"/>
                      <w:lang w:eastAsia="zh-CN"/>
                    </w:rPr>
                    <w:t>建设畜禽养殖场、养殖小区；</w:t>
                  </w:r>
                  <w:r>
                    <w:rPr>
                      <w:rFonts w:hint="default" w:ascii="Times New Roman" w:hAnsi="Times New Roman" w:eastAsia="宋体" w:cs="Times New Roman"/>
                      <w:color w:val="auto"/>
                      <w:spacing w:val="0"/>
                      <w:sz w:val="21"/>
                      <w:szCs w:val="21"/>
                      <w:highlight w:val="none"/>
                      <w:lang w:val="en-US" w:eastAsia="zh-CN"/>
                    </w:rPr>
                    <w:t>不涉及</w:t>
                  </w:r>
                  <w:r>
                    <w:rPr>
                      <w:rFonts w:hint="default" w:ascii="Times New Roman" w:hAnsi="Times New Roman" w:eastAsia="宋体" w:cs="Times New Roman"/>
                      <w:color w:val="auto"/>
                      <w:spacing w:val="0"/>
                      <w:sz w:val="21"/>
                      <w:szCs w:val="21"/>
                      <w:highlight w:val="none"/>
                      <w:lang w:eastAsia="zh-CN"/>
                    </w:rPr>
                    <w:t>高耗水、高污染行业。</w:t>
                  </w:r>
                </w:p>
                <w:p w14:paraId="12EFF645">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pacing w:val="0"/>
                      <w:sz w:val="21"/>
                      <w:szCs w:val="21"/>
                      <w:highlight w:val="none"/>
                      <w:lang w:val="en-US" w:eastAsia="zh-CN"/>
                    </w:rPr>
                    <w:t>2.</w:t>
                  </w:r>
                  <w:r>
                    <w:rPr>
                      <w:rFonts w:hint="eastAsia" w:ascii="Times New Roman" w:hAnsi="Times New Roman" w:cs="Times New Roman"/>
                      <w:color w:val="auto"/>
                      <w:sz w:val="21"/>
                      <w:szCs w:val="21"/>
                      <w:lang w:val="en-US" w:eastAsia="zh-CN"/>
                    </w:rPr>
                    <w:t>本项目</w:t>
                  </w:r>
                  <w:r>
                    <w:rPr>
                      <w:rFonts w:hint="default" w:ascii="Times New Roman" w:hAnsi="Times New Roman" w:cs="Times New Roman"/>
                      <w:color w:val="auto"/>
                      <w:sz w:val="21"/>
                      <w:szCs w:val="21"/>
                      <w:lang w:val="en-US" w:eastAsia="zh-CN"/>
                    </w:rPr>
                    <w:t>无生产废水、生活污水排入防渗旱厕，定期清掏，外运堆肥</w:t>
                  </w:r>
                  <w:r>
                    <w:rPr>
                      <w:rFonts w:hint="eastAsia" w:ascii="Times New Roman" w:hAnsi="Times New Roman" w:cs="Times New Roman"/>
                      <w:color w:val="auto"/>
                      <w:sz w:val="21"/>
                      <w:szCs w:val="21"/>
                      <w:lang w:val="en-US" w:eastAsia="zh-CN"/>
                    </w:rPr>
                    <w:t>。</w:t>
                  </w:r>
                </w:p>
              </w:tc>
            </w:tr>
            <w:tr w14:paraId="3A5D1B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Borders>
                    <w:tl2br w:val="nil"/>
                    <w:tr2bl w:val="nil"/>
                  </w:tcBorders>
                  <w:noWrap w:val="0"/>
                  <w:vAlign w:val="center"/>
                </w:tcPr>
                <w:p w14:paraId="45A17317">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color w:val="auto"/>
                      <w:sz w:val="21"/>
                      <w:szCs w:val="21"/>
                      <w:highlight w:val="none"/>
                      <w:lang w:bidi="ar-SA"/>
                    </w:rPr>
                  </w:pPr>
                  <w:r>
                    <w:rPr>
                      <w:rFonts w:hint="default" w:ascii="Times New Roman" w:hAnsi="Times New Roman" w:eastAsia="宋体" w:cs="Times New Roman"/>
                      <w:color w:val="auto"/>
                      <w:sz w:val="21"/>
                      <w:szCs w:val="21"/>
                      <w:highlight w:val="none"/>
                      <w:lang w:bidi="ar-SA"/>
                    </w:rPr>
                    <w:t>污染物排放管控</w:t>
                  </w:r>
                </w:p>
              </w:tc>
              <w:tc>
                <w:tcPr>
                  <w:tcW w:w="4324" w:type="dxa"/>
                  <w:tcBorders>
                    <w:tl2br w:val="nil"/>
                    <w:tr2bl w:val="nil"/>
                  </w:tcBorders>
                  <w:noWrap w:val="0"/>
                  <w:vAlign w:val="center"/>
                </w:tcPr>
                <w:p w14:paraId="7E9BEA19">
                  <w:pPr>
                    <w:keepNext w:val="0"/>
                    <w:keepLines w:val="0"/>
                    <w:widowControl/>
                    <w:numPr>
                      <w:ilvl w:val="0"/>
                      <w:numId w:val="0"/>
                    </w:numPr>
                    <w:suppressLineNumbers w:val="0"/>
                    <w:spacing w:before="0" w:beforeAutospacing="0" w:after="0" w:afterAutospacing="0"/>
                    <w:ind w:left="0" w:right="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rPr>
                    <w:t>1.同时执行：加快65t／h以上燃煤锅炉（含电力）超低排放改造。2.水环境农业污染重点管控区同时执行（1）支持规模化畜禽养殖场（小区）开展标准化改造和建设，提高畜禽粪污收集和处理机械化水平，实施雨污分流、粪污资源化利用，控制畜禽养殖污染排放。（2）畜禽养殖户应当及时对畜禽粪便、污水进行收集、贮存、清运，或者进行无害化处 理。县级人民政府应当组织对本行政区域的畜禽散养密集区畜禽粪便、污水进行集中处理利用，督促乡镇人民政府建设或者配备污染防治配套设施。（3）全面加强农业面源污染防控，科学合理使用农业投入品，提高使用效率，减少农业内源性污染。</w:t>
                  </w:r>
                </w:p>
              </w:tc>
              <w:tc>
                <w:tcPr>
                  <w:tcW w:w="1772" w:type="dxa"/>
                  <w:tcBorders>
                    <w:tl2br w:val="nil"/>
                    <w:tr2bl w:val="nil"/>
                  </w:tcBorders>
                  <w:noWrap w:val="0"/>
                  <w:vAlign w:val="center"/>
                </w:tcPr>
                <w:p w14:paraId="46DC061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bCs/>
                      <w:color w:val="auto"/>
                      <w:sz w:val="21"/>
                      <w:szCs w:val="21"/>
                      <w:lang w:val="en-US" w:eastAsia="zh-CN"/>
                    </w:rPr>
                    <w:t>1.</w:t>
                  </w:r>
                  <w:r>
                    <w:rPr>
                      <w:rFonts w:hint="default" w:ascii="Times New Roman" w:hAnsi="Times New Roman" w:eastAsia="宋体" w:cs="Times New Roman"/>
                      <w:color w:val="auto"/>
                      <w:sz w:val="21"/>
                      <w:szCs w:val="21"/>
                      <w:lang w:val="en-US" w:eastAsia="zh-CN"/>
                    </w:rPr>
                    <w:t>本项目</w:t>
                  </w:r>
                  <w:r>
                    <w:rPr>
                      <w:rFonts w:hint="eastAsia" w:ascii="Times New Roman" w:hAnsi="Times New Roman" w:eastAsia="宋体" w:cs="Times New Roman"/>
                      <w:color w:val="auto"/>
                      <w:sz w:val="21"/>
                      <w:szCs w:val="21"/>
                      <w:lang w:val="en-US" w:eastAsia="zh-CN"/>
                    </w:rPr>
                    <w:t>不使用燃煤锅炉</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bCs/>
                      <w:color w:val="auto"/>
                      <w:sz w:val="21"/>
                      <w:szCs w:val="21"/>
                      <w:lang w:val="en-US" w:eastAsia="zh-CN"/>
                    </w:rPr>
                    <w:t>2.</w:t>
                  </w:r>
                  <w:r>
                    <w:rPr>
                      <w:rFonts w:hint="eastAsia"/>
                      <w:b w:val="0"/>
                      <w:bCs w:val="0"/>
                      <w:color w:val="auto"/>
                      <w:sz w:val="21"/>
                      <w:szCs w:val="21"/>
                      <w:highlight w:val="none"/>
                      <w:lang w:val="en-US" w:eastAsia="zh-CN"/>
                    </w:rPr>
                    <w:t>本项目为热力生产和供应及农产品初加工建设项目</w:t>
                  </w:r>
                  <w:r>
                    <w:rPr>
                      <w:rFonts w:hint="default" w:ascii="Times New Roman" w:hAnsi="Times New Roman" w:eastAsia="宋体" w:cs="Times New Roman"/>
                      <w:color w:val="auto"/>
                      <w:kern w:val="0"/>
                      <w:sz w:val="21"/>
                      <w:szCs w:val="21"/>
                      <w:highlight w:val="none"/>
                      <w:lang w:val="en-US" w:eastAsia="zh-CN" w:bidi="ar"/>
                    </w:rPr>
                    <w:t>。</w:t>
                  </w:r>
                </w:p>
              </w:tc>
            </w:tr>
            <w:tr w14:paraId="3F0E2E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Borders>
                    <w:tl2br w:val="nil"/>
                    <w:tr2bl w:val="nil"/>
                  </w:tcBorders>
                  <w:noWrap w:val="0"/>
                  <w:vAlign w:val="center"/>
                </w:tcPr>
                <w:p w14:paraId="778A86B9">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color w:val="auto"/>
                      <w:sz w:val="21"/>
                      <w:szCs w:val="21"/>
                      <w:highlight w:val="none"/>
                      <w:lang w:bidi="ar-SA"/>
                    </w:rPr>
                  </w:pPr>
                  <w:r>
                    <w:rPr>
                      <w:rFonts w:hint="default" w:ascii="Times New Roman" w:hAnsi="Times New Roman" w:eastAsia="宋体" w:cs="Times New Roman"/>
                      <w:color w:val="auto"/>
                      <w:sz w:val="21"/>
                      <w:szCs w:val="21"/>
                      <w:highlight w:val="none"/>
                      <w:lang w:eastAsia="zh-CN" w:bidi="ar-SA"/>
                    </w:rPr>
                    <w:t>环境风险管控</w:t>
                  </w:r>
                </w:p>
              </w:tc>
              <w:tc>
                <w:tcPr>
                  <w:tcW w:w="4324" w:type="dxa"/>
                  <w:tcBorders>
                    <w:tl2br w:val="nil"/>
                    <w:tr2bl w:val="nil"/>
                  </w:tcBorders>
                  <w:noWrap w:val="0"/>
                  <w:vAlign w:val="center"/>
                </w:tcPr>
                <w:p w14:paraId="1C2C6A4D">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rPr>
                    <w:t>1..化工园区与城市建成区、人员密集场所、重要设施、敏感目标等应当保持规定的安全距离，相对封闭，不应保留常住居民，非关联企业和产业要逐步搬迁或退出，妥善防范化解“邻避”问题。严禁在松花江干流及一级支流沿岸1公里范围内布局化工园区。2.大气环境布局敏感重点管控区同时执行禁止在居民区、学校、医疗和养老机构等周边新建有色金属冶炼、焦化等行业企业</w:t>
                  </w:r>
                  <w:r>
                    <w:rPr>
                      <w:rFonts w:hint="default" w:ascii="Times New Roman" w:hAnsi="Times New Roman" w:eastAsia="宋体" w:cs="Times New Roman"/>
                      <w:color w:val="auto"/>
                      <w:sz w:val="21"/>
                      <w:szCs w:val="21"/>
                      <w:lang w:eastAsia="zh-CN"/>
                    </w:rPr>
                    <w:t>。</w:t>
                  </w:r>
                </w:p>
              </w:tc>
              <w:tc>
                <w:tcPr>
                  <w:tcW w:w="1772" w:type="dxa"/>
                  <w:tcBorders>
                    <w:tl2br w:val="nil"/>
                    <w:tr2bl w:val="nil"/>
                  </w:tcBorders>
                  <w:noWrap w:val="0"/>
                  <w:vAlign w:val="center"/>
                </w:tcPr>
                <w:p w14:paraId="5880F0E4">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rightChars="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b w:val="0"/>
                      <w:bCs w:val="0"/>
                      <w:color w:val="auto"/>
                      <w:sz w:val="21"/>
                      <w:szCs w:val="21"/>
                      <w:highlight w:val="none"/>
                      <w:lang w:val="en-US" w:eastAsia="zh-CN"/>
                    </w:rPr>
                    <w:t>本项目为热力生产和供应及农产品初加工建设项目，非化工园区建设项目，</w:t>
                  </w:r>
                  <w:r>
                    <w:rPr>
                      <w:rFonts w:hint="default" w:ascii="Times New Roman" w:hAnsi="Times New Roman" w:eastAsia="宋体" w:cs="Times New Roman"/>
                      <w:smallCaps w:val="0"/>
                      <w:color w:val="auto"/>
                      <w:sz w:val="21"/>
                      <w:szCs w:val="21"/>
                      <w:highlight w:val="none"/>
                      <w:lang w:val="en-US" w:eastAsia="zh-CN"/>
                    </w:rPr>
                    <w:t>不属于</w:t>
                  </w:r>
                  <w:r>
                    <w:rPr>
                      <w:rFonts w:hint="default" w:ascii="Times New Roman" w:hAnsi="Times New Roman" w:eastAsia="宋体" w:cs="Times New Roman"/>
                      <w:color w:val="auto"/>
                      <w:sz w:val="21"/>
                      <w:szCs w:val="21"/>
                    </w:rPr>
                    <w:t>有色金属冶炼、焦化等行业</w:t>
                  </w:r>
                  <w:r>
                    <w:rPr>
                      <w:rFonts w:hint="default" w:ascii="Times New Roman" w:hAnsi="Times New Roman" w:eastAsia="宋体" w:cs="Times New Roman"/>
                      <w:color w:val="auto"/>
                      <w:sz w:val="21"/>
                      <w:szCs w:val="21"/>
                      <w:lang w:eastAsia="zh-CN"/>
                    </w:rPr>
                    <w:t>。</w:t>
                  </w:r>
                </w:p>
              </w:tc>
            </w:tr>
            <w:tr w14:paraId="0F9104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Borders>
                    <w:tl2br w:val="nil"/>
                    <w:tr2bl w:val="nil"/>
                  </w:tcBorders>
                  <w:noWrap w:val="0"/>
                  <w:vAlign w:val="center"/>
                </w:tcPr>
                <w:p w14:paraId="5FF335B8">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color w:val="auto"/>
                      <w:sz w:val="21"/>
                      <w:szCs w:val="21"/>
                      <w:highlight w:val="none"/>
                      <w:lang w:bidi="ar-SA"/>
                    </w:rPr>
                  </w:pPr>
                  <w:r>
                    <w:rPr>
                      <w:rFonts w:hint="default" w:ascii="Times New Roman" w:hAnsi="Times New Roman" w:eastAsia="宋体" w:cs="Times New Roman"/>
                      <w:color w:val="auto"/>
                      <w:sz w:val="21"/>
                      <w:szCs w:val="21"/>
                      <w:highlight w:val="none"/>
                      <w:lang w:bidi="ar-SA"/>
                    </w:rPr>
                    <w:t>资源利用效率要求</w:t>
                  </w:r>
                </w:p>
              </w:tc>
              <w:tc>
                <w:tcPr>
                  <w:tcW w:w="4324" w:type="dxa"/>
                  <w:tcBorders>
                    <w:tl2br w:val="nil"/>
                    <w:tr2bl w:val="nil"/>
                  </w:tcBorders>
                  <w:noWrap w:val="0"/>
                  <w:vAlign w:val="center"/>
                </w:tcPr>
                <w:p w14:paraId="33151E3C">
                  <w:pPr>
                    <w:keepNext w:val="0"/>
                    <w:keepLines w:val="0"/>
                    <w:pageBreakBefore w:val="0"/>
                    <w:widowControl/>
                    <w:numPr>
                      <w:ilvl w:val="0"/>
                      <w:numId w:val="0"/>
                    </w:numPr>
                    <w:suppressLineNumbers w:val="0"/>
                    <w:kinsoku/>
                    <w:wordWrap/>
                    <w:overflowPunct/>
                    <w:topLinePunct w:val="0"/>
                    <w:bidi w:val="0"/>
                    <w:adjustRightInd/>
                    <w:snapToGrid/>
                    <w:spacing w:before="0" w:beforeAutospacing="0" w:after="0" w:afterAutospacing="0" w:line="240" w:lineRule="auto"/>
                    <w:ind w:left="0" w:right="0" w:rightChars="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rPr>
                    <w:t>1.推进污水再生利用设施建设。2.公共建筑必须采用节水器具，限期淘汰公共建筑中不符合节水标准的水嘴、便器水箱等生活用水器具。</w:t>
                  </w:r>
                </w:p>
              </w:tc>
              <w:tc>
                <w:tcPr>
                  <w:tcW w:w="1772" w:type="dxa"/>
                  <w:tcBorders>
                    <w:tl2br w:val="nil"/>
                    <w:tr2bl w:val="nil"/>
                  </w:tcBorders>
                  <w:noWrap w:val="0"/>
                  <w:vAlign w:val="center"/>
                </w:tcPr>
                <w:p w14:paraId="018BA086">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rightChars="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sz w:val="21"/>
                      <w:szCs w:val="21"/>
                      <w:lang w:val="en-US" w:eastAsia="zh-CN"/>
                    </w:rPr>
                    <w:t>本项目</w:t>
                  </w:r>
                  <w:r>
                    <w:rPr>
                      <w:rFonts w:hint="default" w:ascii="Times New Roman" w:hAnsi="Times New Roman" w:cs="Times New Roman"/>
                      <w:color w:val="auto"/>
                      <w:sz w:val="21"/>
                      <w:szCs w:val="21"/>
                      <w:lang w:val="en-US" w:eastAsia="zh-CN"/>
                    </w:rPr>
                    <w:t>无生产废水、生活污水排入防渗旱厕，定期清掏，外运堆肥</w:t>
                  </w:r>
                  <w:r>
                    <w:rPr>
                      <w:rFonts w:hint="eastAsia" w:ascii="Times New Roman" w:hAnsi="Times New Roman" w:cs="Times New Roman"/>
                      <w:color w:val="auto"/>
                      <w:sz w:val="21"/>
                      <w:szCs w:val="21"/>
                      <w:lang w:val="en-US" w:eastAsia="zh-CN"/>
                    </w:rPr>
                    <w:t>。</w:t>
                  </w:r>
                </w:p>
              </w:tc>
            </w:tr>
          </w:tbl>
          <w:p w14:paraId="0C15CE1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right="0" w:righ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“一说明”</w:t>
            </w:r>
          </w:p>
          <w:p w14:paraId="1F4C83C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center"/>
              <w:textAlignment w:val="auto"/>
              <w:rPr>
                <w:rFonts w:hint="default" w:ascii="Times New Roman" w:hAnsi="Times New Roman" w:eastAsia="宋体" w:cs="宋体"/>
                <w:b/>
                <w:bCs/>
                <w:color w:val="auto"/>
                <w:sz w:val="24"/>
                <w:szCs w:val="24"/>
                <w:highlight w:val="none"/>
              </w:rPr>
            </w:pPr>
            <w:r>
              <w:rPr>
                <w:rFonts w:hint="eastAsia" w:ascii="Times New Roman" w:hAnsi="Times New Roman" w:eastAsia="宋体" w:cs="宋体"/>
                <w:b/>
                <w:bCs/>
                <w:color w:val="auto"/>
                <w:sz w:val="24"/>
                <w:szCs w:val="24"/>
                <w:highlight w:val="none"/>
                <w:lang w:eastAsia="zh-CN"/>
              </w:rPr>
              <w:t>表</w:t>
            </w:r>
            <w:r>
              <w:rPr>
                <w:rFonts w:hint="eastAsia" w:ascii="Times New Roman" w:hAnsi="Times New Roman" w:eastAsia="宋体" w:cs="宋体"/>
                <w:b/>
                <w:bCs/>
                <w:color w:val="auto"/>
                <w:sz w:val="24"/>
                <w:szCs w:val="24"/>
                <w:highlight w:val="none"/>
                <w:lang w:val="en-US" w:eastAsia="zh-CN"/>
              </w:rPr>
              <w:t xml:space="preserve">1-3 </w:t>
            </w:r>
            <w:r>
              <w:rPr>
                <w:rFonts w:hint="default" w:ascii="Times New Roman" w:hAnsi="Times New Roman" w:eastAsia="宋体" w:cs="宋体"/>
                <w:b/>
                <w:bCs/>
                <w:color w:val="auto"/>
                <w:sz w:val="24"/>
                <w:szCs w:val="24"/>
                <w:highlight w:val="none"/>
              </w:rPr>
              <w:t>建设项目符合性说明表</w:t>
            </w:r>
          </w:p>
          <w:tbl>
            <w:tblPr>
              <w:tblStyle w:val="39"/>
              <w:tblW w:w="485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33"/>
              <w:gridCol w:w="4622"/>
            </w:tblGrid>
            <w:tr w14:paraId="6E8C67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20" w:hRule="atLeast"/>
                <w:jc w:val="center"/>
              </w:trPr>
              <w:tc>
                <w:tcPr>
                  <w:tcW w:w="2550" w:type="dxa"/>
                  <w:tcBorders>
                    <w:tl2br w:val="nil"/>
                    <w:tr2bl w:val="nil"/>
                  </w:tcBorders>
                  <w:noWrap w:val="0"/>
                  <w:vAlign w:val="center"/>
                </w:tcPr>
                <w:p w14:paraId="51A3719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对照分析</w:t>
                  </w:r>
                </w:p>
              </w:tc>
              <w:tc>
                <w:tcPr>
                  <w:tcW w:w="4652" w:type="dxa"/>
                  <w:tcBorders>
                    <w:tl2br w:val="nil"/>
                    <w:tr2bl w:val="nil"/>
                  </w:tcBorders>
                  <w:noWrap w:val="0"/>
                  <w:vAlign w:val="center"/>
                </w:tcPr>
                <w:p w14:paraId="78AF503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本项目情况</w:t>
                  </w:r>
                </w:p>
              </w:tc>
            </w:tr>
            <w:tr w14:paraId="0B640F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2550" w:type="dxa"/>
                  <w:tcBorders>
                    <w:tl2br w:val="nil"/>
                    <w:tr2bl w:val="nil"/>
                  </w:tcBorders>
                  <w:noWrap w:val="0"/>
                  <w:vAlign w:val="center"/>
                </w:tcPr>
                <w:p w14:paraId="5771658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vertAlign w:val="baseline"/>
                      <w:lang w:val="en-US" w:eastAsia="zh-CN"/>
                    </w:rPr>
                  </w:pPr>
                  <w:r>
                    <w:rPr>
                      <w:rFonts w:hint="default" w:ascii="宋体" w:hAnsi="宋体" w:eastAsia="宋体" w:cs="宋体"/>
                      <w:color w:val="auto"/>
                      <w:sz w:val="21"/>
                      <w:szCs w:val="21"/>
                    </w:rPr>
                    <w:t>各类生态环境敏感区对照分析</w:t>
                  </w:r>
                </w:p>
              </w:tc>
              <w:tc>
                <w:tcPr>
                  <w:tcW w:w="4652" w:type="dxa"/>
                  <w:tcBorders>
                    <w:tl2br w:val="nil"/>
                    <w:tr2bl w:val="nil"/>
                  </w:tcBorders>
                  <w:noWrap w:val="0"/>
                  <w:vAlign w:val="center"/>
                </w:tcPr>
                <w:p w14:paraId="318F721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vertAlign w:val="baseline"/>
                      <w:lang w:val="en-US" w:eastAsia="zh-CN"/>
                    </w:rPr>
                  </w:pPr>
                  <w:r>
                    <w:rPr>
                      <w:rFonts w:hint="default" w:ascii="宋体" w:hAnsi="宋体" w:eastAsia="宋体" w:cs="宋体"/>
                      <w:color w:val="auto"/>
                      <w:sz w:val="21"/>
                      <w:szCs w:val="21"/>
                    </w:rPr>
                    <w:t>根据“一图”可知，本项目不涉及生态环境敏感区</w:t>
                  </w:r>
                  <w:r>
                    <w:rPr>
                      <w:rFonts w:hint="eastAsia"/>
                      <w:color w:val="auto"/>
                      <w:kern w:val="0"/>
                      <w:sz w:val="21"/>
                      <w:szCs w:val="21"/>
                      <w:lang w:eastAsia="zh-CN"/>
                    </w:rPr>
                    <w:t>。</w:t>
                  </w:r>
                </w:p>
              </w:tc>
            </w:tr>
            <w:tr w14:paraId="4A0F9B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2550" w:type="dxa"/>
                  <w:tcBorders>
                    <w:tl2br w:val="nil"/>
                    <w:tr2bl w:val="nil"/>
                  </w:tcBorders>
                  <w:noWrap w:val="0"/>
                  <w:vAlign w:val="center"/>
                </w:tcPr>
                <w:p w14:paraId="447142A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vertAlign w:val="baseline"/>
                      <w:lang w:val="en-US" w:eastAsia="zh-CN"/>
                    </w:rPr>
                  </w:pPr>
                  <w:r>
                    <w:rPr>
                      <w:rFonts w:hint="default" w:ascii="宋体" w:hAnsi="宋体" w:eastAsia="宋体" w:cs="宋体"/>
                      <w:color w:val="auto"/>
                      <w:sz w:val="21"/>
                      <w:szCs w:val="21"/>
                    </w:rPr>
                    <w:t>环境管控单元对照分析</w:t>
                  </w:r>
                </w:p>
              </w:tc>
              <w:tc>
                <w:tcPr>
                  <w:tcW w:w="4652" w:type="dxa"/>
                  <w:tcBorders>
                    <w:tl2br w:val="nil"/>
                    <w:tr2bl w:val="nil"/>
                  </w:tcBorders>
                  <w:noWrap w:val="0"/>
                  <w:vAlign w:val="center"/>
                </w:tcPr>
                <w:p w14:paraId="7C2C7EF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vertAlign w:val="baseline"/>
                      <w:lang w:val="en-US" w:eastAsia="zh-CN"/>
                    </w:rPr>
                  </w:pPr>
                  <w:r>
                    <w:rPr>
                      <w:rFonts w:hint="default" w:ascii="宋体" w:hAnsi="宋体" w:eastAsia="宋体" w:cs="宋体"/>
                      <w:color w:val="auto"/>
                      <w:sz w:val="21"/>
                      <w:szCs w:val="21"/>
                    </w:rPr>
                    <w:t>根据“一图”可知，本项目位于重点管控单元，根据“一表”可知本项目满足重点管控单元管控要求。</w:t>
                  </w:r>
                </w:p>
              </w:tc>
            </w:tr>
            <w:tr w14:paraId="752FE6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2550" w:type="dxa"/>
                  <w:tcBorders>
                    <w:tl2br w:val="nil"/>
                    <w:tr2bl w:val="nil"/>
                  </w:tcBorders>
                  <w:noWrap w:val="0"/>
                  <w:vAlign w:val="center"/>
                </w:tcPr>
                <w:p w14:paraId="7EEB5D2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vertAlign w:val="baseline"/>
                      <w:lang w:val="en-US" w:eastAsia="zh-CN"/>
                    </w:rPr>
                  </w:pPr>
                  <w:r>
                    <w:rPr>
                      <w:rFonts w:hint="default" w:ascii="宋体" w:hAnsi="宋体" w:eastAsia="宋体" w:cs="宋体"/>
                      <w:color w:val="auto"/>
                      <w:sz w:val="21"/>
                      <w:szCs w:val="21"/>
                    </w:rPr>
                    <w:t>未纳入环境管控单元的要素分区对照分析</w:t>
                  </w:r>
                </w:p>
              </w:tc>
              <w:tc>
                <w:tcPr>
                  <w:tcW w:w="4652" w:type="dxa"/>
                  <w:tcBorders>
                    <w:tl2br w:val="nil"/>
                    <w:tr2bl w:val="nil"/>
                  </w:tcBorders>
                  <w:noWrap w:val="0"/>
                  <w:vAlign w:val="center"/>
                </w:tcPr>
                <w:p w14:paraId="0E8F4FF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不涉及。</w:t>
                  </w:r>
                </w:p>
              </w:tc>
            </w:tr>
            <w:tr w14:paraId="797578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2550" w:type="dxa"/>
                  <w:tcBorders>
                    <w:tl2br w:val="nil"/>
                    <w:tr2bl w:val="nil"/>
                  </w:tcBorders>
                  <w:noWrap w:val="0"/>
                  <w:vAlign w:val="center"/>
                </w:tcPr>
                <w:p w14:paraId="4DE277F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其他对照分析</w:t>
                  </w:r>
                </w:p>
              </w:tc>
              <w:tc>
                <w:tcPr>
                  <w:tcW w:w="4652" w:type="dxa"/>
                  <w:tcBorders>
                    <w:tl2br w:val="nil"/>
                    <w:tr2bl w:val="nil"/>
                  </w:tcBorders>
                  <w:noWrap w:val="0"/>
                  <w:vAlign w:val="center"/>
                </w:tcPr>
                <w:p w14:paraId="40DC560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不涉及。</w:t>
                  </w:r>
                </w:p>
              </w:tc>
            </w:tr>
          </w:tbl>
          <w:p w14:paraId="7328EC9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根据《</w:t>
            </w:r>
            <w:r>
              <w:rPr>
                <w:rFonts w:hint="eastAsia" w:ascii="Times New Roman" w:hAnsi="Times New Roman" w:eastAsia="宋体" w:cs="Times New Roman"/>
                <w:color w:val="auto"/>
                <w:kern w:val="0"/>
                <w:sz w:val="24"/>
                <w:szCs w:val="24"/>
                <w:highlight w:val="none"/>
                <w:lang w:val="en-US" w:eastAsia="zh-CN"/>
              </w:rPr>
              <w:t>虎林市恒盛泰粮食经贸有限公司建设项目</w:t>
            </w:r>
            <w:r>
              <w:rPr>
                <w:rFonts w:hint="default" w:ascii="Times New Roman" w:hAnsi="Times New Roman" w:eastAsia="宋体" w:cs="Times New Roman"/>
                <w:color w:val="auto"/>
                <w:kern w:val="0"/>
                <w:sz w:val="24"/>
                <w:szCs w:val="24"/>
                <w:highlight w:val="none"/>
                <w:lang w:val="en-US" w:eastAsia="zh-CN"/>
              </w:rPr>
              <w:t>生态环境分区管控分析报告》可知本项目与生态保护红线无交集；与自然保护</w:t>
            </w:r>
            <w:r>
              <w:rPr>
                <w:rFonts w:hint="default"/>
                <w:color w:val="auto"/>
                <w:kern w:val="0"/>
                <w:sz w:val="24"/>
                <w:szCs w:val="24"/>
                <w:highlight w:val="none"/>
                <w:lang w:val="en-US" w:eastAsia="zh-CN"/>
              </w:rPr>
              <w:t>地无交集；与饮用水水源保护区无交集；与国家级水产种质资源保护区无交集；与环境管控单元优先保护单元无交集；与重点管控单元交集面积为0.0</w:t>
            </w:r>
            <w:r>
              <w:rPr>
                <w:rFonts w:hint="eastAsia"/>
                <w:color w:val="auto"/>
                <w:kern w:val="0"/>
                <w:sz w:val="24"/>
                <w:szCs w:val="24"/>
                <w:highlight w:val="none"/>
                <w:lang w:val="en-US" w:eastAsia="zh-CN"/>
              </w:rPr>
              <w:t>2</w:t>
            </w:r>
            <w:r>
              <w:rPr>
                <w:rFonts w:hint="default"/>
                <w:color w:val="auto"/>
                <w:kern w:val="0"/>
                <w:sz w:val="24"/>
                <w:szCs w:val="24"/>
                <w:highlight w:val="none"/>
                <w:lang w:val="en-US" w:eastAsia="zh-CN"/>
              </w:rPr>
              <w:t>平方公里</w:t>
            </w:r>
            <w:r>
              <w:rPr>
                <w:rFonts w:hint="eastAsia"/>
                <w:color w:val="auto"/>
                <w:kern w:val="0"/>
                <w:sz w:val="24"/>
                <w:szCs w:val="24"/>
                <w:highlight w:val="none"/>
                <w:lang w:val="en-US" w:eastAsia="zh-CN"/>
              </w:rPr>
              <w:t>，</w:t>
            </w:r>
            <w:r>
              <w:rPr>
                <w:rFonts w:hint="default"/>
                <w:color w:val="auto"/>
                <w:kern w:val="0"/>
                <w:sz w:val="24"/>
                <w:szCs w:val="24"/>
                <w:highlight w:val="none"/>
                <w:lang w:val="en-US" w:eastAsia="zh-CN"/>
              </w:rPr>
              <w:t>占项目占地面积的100.00%；与一般管控单元无交集；与地下水环境优先保护区无交集；与地下水环境重点管控区无交集；与地下水环境一般管控区交集面积为0.0</w:t>
            </w:r>
            <w:r>
              <w:rPr>
                <w:rFonts w:hint="eastAsia"/>
                <w:color w:val="auto"/>
                <w:kern w:val="0"/>
                <w:sz w:val="24"/>
                <w:szCs w:val="24"/>
                <w:highlight w:val="none"/>
                <w:lang w:val="en-US" w:eastAsia="zh-CN"/>
              </w:rPr>
              <w:t>2</w:t>
            </w:r>
            <w:r>
              <w:rPr>
                <w:rFonts w:hint="default"/>
                <w:color w:val="auto"/>
                <w:kern w:val="0"/>
                <w:sz w:val="24"/>
                <w:szCs w:val="24"/>
                <w:highlight w:val="none"/>
                <w:lang w:val="en-US" w:eastAsia="zh-CN"/>
              </w:rPr>
              <w:t>平方公里，占项目占地面积的100.00%。</w:t>
            </w:r>
          </w:p>
          <w:p w14:paraId="3DC45E1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color w:val="0000FF"/>
                <w:kern w:val="0"/>
                <w:sz w:val="24"/>
                <w:szCs w:val="24"/>
                <w:highlight w:val="none"/>
              </w:rPr>
            </w:pPr>
            <w:r>
              <w:rPr>
                <w:rFonts w:hint="default"/>
                <w:color w:val="auto"/>
                <w:kern w:val="0"/>
                <w:sz w:val="24"/>
                <w:szCs w:val="24"/>
                <w:highlight w:val="none"/>
                <w:lang w:val="en-US" w:eastAsia="zh-CN"/>
              </w:rPr>
              <w:t>综上，项目符合</w:t>
            </w:r>
            <w:r>
              <w:rPr>
                <w:rFonts w:hint="default" w:eastAsia="宋体"/>
                <w:color w:val="auto"/>
                <w:kern w:val="0"/>
                <w:sz w:val="24"/>
                <w:szCs w:val="24"/>
                <w:highlight w:val="none"/>
              </w:rPr>
              <w:t>《</w:t>
            </w:r>
            <w:r>
              <w:rPr>
                <w:rFonts w:hint="eastAsia" w:ascii="Times New Roman" w:hAnsi="Times New Roman" w:eastAsia="宋体" w:cs="Times New Roman"/>
                <w:color w:val="auto"/>
                <w:kern w:val="0"/>
                <w:sz w:val="24"/>
                <w:szCs w:val="24"/>
                <w:highlight w:val="none"/>
                <w:lang w:val="en-US" w:eastAsia="zh-CN"/>
              </w:rPr>
              <w:t>鸡西市生态环境准入清单</w:t>
            </w:r>
            <w:r>
              <w:rPr>
                <w:rFonts w:hint="default" w:eastAsia="宋体"/>
                <w:color w:val="auto"/>
                <w:kern w:val="0"/>
                <w:sz w:val="24"/>
                <w:szCs w:val="24"/>
                <w:highlight w:val="none"/>
              </w:rPr>
              <w:t>》</w:t>
            </w:r>
            <w:r>
              <w:rPr>
                <w:rFonts w:hint="default" w:ascii="Times New Roman" w:hAnsi="Times New Roman" w:eastAsia="宋体" w:cs="Times New Roman"/>
                <w:color w:val="auto"/>
                <w:kern w:val="0"/>
                <w:sz w:val="24"/>
                <w:szCs w:val="24"/>
                <w:highlight w:val="none"/>
              </w:rPr>
              <w:t>（</w:t>
            </w:r>
            <w:r>
              <w:rPr>
                <w:rFonts w:hint="eastAsia" w:ascii="Times New Roman" w:hAnsi="Times New Roman" w:eastAsia="宋体" w:cs="Times New Roman"/>
                <w:color w:val="auto"/>
                <w:kern w:val="0"/>
                <w:sz w:val="24"/>
                <w:szCs w:val="24"/>
                <w:highlight w:val="none"/>
                <w:lang w:val="en-US" w:eastAsia="zh-CN"/>
              </w:rPr>
              <w:t>2023年版</w:t>
            </w:r>
            <w:r>
              <w:rPr>
                <w:rFonts w:hint="default" w:ascii="Times New Roman" w:hAnsi="Times New Roman" w:eastAsia="宋体" w:cs="Times New Roman"/>
                <w:color w:val="auto"/>
                <w:kern w:val="0"/>
                <w:sz w:val="24"/>
                <w:szCs w:val="24"/>
                <w:highlight w:val="none"/>
              </w:rPr>
              <w:t>）</w:t>
            </w:r>
            <w:r>
              <w:rPr>
                <w:rFonts w:hint="default"/>
                <w:color w:val="auto"/>
                <w:kern w:val="0"/>
                <w:sz w:val="24"/>
                <w:szCs w:val="24"/>
                <w:highlight w:val="none"/>
                <w:lang w:val="en-US" w:eastAsia="zh-CN"/>
              </w:rPr>
              <w:t>要求。</w:t>
            </w:r>
          </w:p>
          <w:p w14:paraId="28F45F1F">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82" w:firstLineChars="200"/>
              <w:contextualSpacing/>
              <w:jc w:val="left"/>
              <w:textAlignment w:val="auto"/>
              <w:rPr>
                <w:rFonts w:hint="default" w:ascii="Times New Roman" w:hAnsi="Times New Roman" w:eastAsia="宋体" w:cs="Times New Roman"/>
                <w:color w:val="auto"/>
                <w:kern w:val="0"/>
                <w:sz w:val="24"/>
                <w:szCs w:val="24"/>
                <w:highlight w:val="none"/>
              </w:rPr>
            </w:pPr>
            <w:r>
              <w:rPr>
                <w:rFonts w:hint="eastAsia" w:cs="Times New Roman"/>
                <w:b/>
                <w:bCs/>
                <w:color w:val="auto"/>
                <w:kern w:val="0"/>
                <w:sz w:val="24"/>
                <w:szCs w:val="24"/>
                <w:highlight w:val="none"/>
                <w:lang w:val="en-US" w:eastAsia="zh-CN"/>
              </w:rPr>
              <w:t>3</w:t>
            </w:r>
            <w:r>
              <w:rPr>
                <w:rFonts w:hint="default" w:ascii="Times New Roman" w:hAnsi="Times New Roman" w:eastAsia="宋体" w:cs="Times New Roman"/>
                <w:b/>
                <w:bCs/>
                <w:color w:val="auto"/>
                <w:kern w:val="0"/>
                <w:sz w:val="24"/>
                <w:szCs w:val="24"/>
                <w:highlight w:val="none"/>
                <w:lang w:val="en-US" w:eastAsia="zh-CN"/>
              </w:rPr>
              <w:t>、</w:t>
            </w:r>
            <w:r>
              <w:rPr>
                <w:rFonts w:hint="default" w:ascii="Times New Roman" w:hAnsi="Times New Roman" w:eastAsia="宋体" w:cs="Times New Roman"/>
                <w:b/>
                <w:color w:val="auto"/>
                <w:kern w:val="0"/>
                <w:sz w:val="24"/>
                <w:szCs w:val="24"/>
                <w:highlight w:val="none"/>
              </w:rPr>
              <w:t>与《黑龙江省工业炉窑大气污染综合治理方案》（黑环发[2019]144号）符合性分析</w:t>
            </w:r>
          </w:p>
          <w:p w14:paraId="009DFFF2">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80" w:firstLineChars="200"/>
              <w:contextualSpacing/>
              <w:textAlignment w:val="auto"/>
              <w:rPr>
                <w:rFonts w:hint="eastAsia" w:ascii="Times New Roman" w:hAnsi="Times New Roman" w:eastAsia="宋体" w:cs="Times New Roman"/>
                <w:bCs/>
                <w:color w:val="auto"/>
                <w:kern w:val="0"/>
                <w:sz w:val="24"/>
                <w:szCs w:val="24"/>
                <w:highlight w:val="none"/>
                <w:lang w:eastAsia="zh-CN"/>
              </w:rPr>
            </w:pPr>
            <w:r>
              <w:rPr>
                <w:rFonts w:hint="default" w:ascii="Times New Roman" w:hAnsi="Times New Roman" w:eastAsia="宋体" w:cs="Times New Roman"/>
                <w:bCs/>
                <w:color w:val="auto"/>
                <w:kern w:val="0"/>
                <w:sz w:val="24"/>
                <w:szCs w:val="24"/>
                <w:highlight w:val="none"/>
              </w:rPr>
              <w:t>根据《黑龙江省工业炉窑大气污染综合治理方案》（黑环发[2019]144号），</w:t>
            </w:r>
            <w:r>
              <w:rPr>
                <w:rFonts w:hint="eastAsia" w:ascii="Times New Roman" w:hAnsi="Times New Roman" w:eastAsia="宋体" w:cs="Times New Roman"/>
                <w:bCs/>
                <w:color w:val="auto"/>
                <w:kern w:val="0"/>
                <w:sz w:val="24"/>
                <w:szCs w:val="24"/>
                <w:highlight w:val="none"/>
                <w:lang w:eastAsia="zh-CN"/>
              </w:rPr>
              <w:t>“</w:t>
            </w:r>
            <w:r>
              <w:rPr>
                <w:rFonts w:hint="default" w:ascii="Times New Roman" w:hAnsi="Times New Roman" w:eastAsia="宋体" w:cs="Times New Roman"/>
                <w:bCs/>
                <w:color w:val="auto"/>
                <w:kern w:val="0"/>
                <w:sz w:val="24"/>
                <w:szCs w:val="24"/>
                <w:highlight w:val="none"/>
              </w:rPr>
              <w:t>推进工业炉窑全面达标排放。已有行业排放标准的工业炉窑，严格执行行业排放标准相关规定，配套建设高效脱硫脱硝除尘设施，确保稳定达标排放。已核发排污许可证的，应严格按照许可要求执行</w:t>
            </w:r>
            <w:r>
              <w:rPr>
                <w:rFonts w:hint="eastAsia" w:ascii="Times New Roman" w:hAnsi="Times New Roman" w:eastAsia="宋体" w:cs="Times New Roman"/>
                <w:bCs/>
                <w:color w:val="auto"/>
                <w:kern w:val="0"/>
                <w:sz w:val="24"/>
                <w:szCs w:val="24"/>
                <w:highlight w:val="none"/>
                <w:lang w:eastAsia="zh-CN"/>
              </w:rPr>
              <w:t>”、“</w:t>
            </w:r>
            <w:r>
              <w:rPr>
                <w:rFonts w:hint="default" w:ascii="Times New Roman" w:hAnsi="Times New Roman" w:eastAsia="宋体" w:cs="Times New Roman"/>
                <w:bCs/>
                <w:color w:val="auto"/>
                <w:kern w:val="0"/>
                <w:sz w:val="24"/>
                <w:szCs w:val="24"/>
                <w:highlight w:val="none"/>
              </w:rPr>
              <w:t>严格项目环境准入。新建涉工业炉窑的建设项目，原则上要入园区，配套建设高效环保治理设施。加大落后产能和不达标工业炉窑淘汰力度。分行业清理《产业结构调整指导目录》淘汰类工业炉窑。对热效率低下、敞开未封闭，装备简易落后、自动化程度低，无组织排放突出，以及无治理设施或治理设施工作落后等严重污染环境的工业炉窑，依法责令停业关闭。</w:t>
            </w:r>
            <w:r>
              <w:rPr>
                <w:rFonts w:hint="eastAsia" w:ascii="Times New Roman" w:hAnsi="Times New Roman" w:eastAsia="宋体" w:cs="Times New Roman"/>
                <w:bCs/>
                <w:color w:val="auto"/>
                <w:kern w:val="0"/>
                <w:sz w:val="24"/>
                <w:szCs w:val="24"/>
                <w:highlight w:val="none"/>
                <w:lang w:eastAsia="zh-CN"/>
              </w:rPr>
              <w:t>”</w:t>
            </w:r>
          </w:p>
          <w:p w14:paraId="2FBBE697">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kern w:val="0"/>
                <w:sz w:val="24"/>
                <w:szCs w:val="24"/>
                <w:highlight w:val="none"/>
              </w:rPr>
            </w:pPr>
            <w:r>
              <w:rPr>
                <w:rFonts w:hint="eastAsia" w:cs="Times New Roman"/>
                <w:bCs/>
                <w:color w:val="auto"/>
                <w:kern w:val="0"/>
                <w:sz w:val="24"/>
                <w:szCs w:val="24"/>
                <w:highlight w:val="none"/>
                <w:lang w:val="en-US" w:eastAsia="zh-CN"/>
              </w:rPr>
              <w:t>符合性分析：</w:t>
            </w:r>
            <w:r>
              <w:rPr>
                <w:rFonts w:hint="default" w:ascii="Times New Roman" w:hAnsi="Times New Roman" w:eastAsia="宋体" w:cs="Times New Roman"/>
                <w:bCs/>
                <w:color w:val="auto"/>
                <w:kern w:val="0"/>
                <w:sz w:val="24"/>
                <w:szCs w:val="24"/>
                <w:highlight w:val="none"/>
              </w:rPr>
              <w:t>本项目</w:t>
            </w:r>
            <w:r>
              <w:rPr>
                <w:rFonts w:hint="eastAsia"/>
                <w:color w:val="auto"/>
                <w:sz w:val="24"/>
                <w:szCs w:val="24"/>
                <w:highlight w:val="none"/>
                <w:lang w:val="en-US" w:eastAsia="zh-CN"/>
              </w:rPr>
              <w:t>1台600万大卡的生物质链条热风炉</w:t>
            </w:r>
            <w:r>
              <w:rPr>
                <w:rFonts w:hint="default" w:ascii="Times New Roman" w:hAnsi="Times New Roman" w:eastAsia="宋体" w:cs="Times New Roman"/>
                <w:bCs/>
                <w:color w:val="auto"/>
                <w:kern w:val="0"/>
                <w:sz w:val="24"/>
                <w:szCs w:val="24"/>
                <w:highlight w:val="none"/>
              </w:rPr>
              <w:t>经除尘效率为9</w:t>
            </w:r>
            <w:r>
              <w:rPr>
                <w:rFonts w:hint="default" w:ascii="Times New Roman" w:hAnsi="Times New Roman" w:eastAsia="宋体" w:cs="Times New Roman"/>
                <w:bCs/>
                <w:color w:val="auto"/>
                <w:kern w:val="0"/>
                <w:sz w:val="24"/>
                <w:szCs w:val="24"/>
                <w:highlight w:val="none"/>
                <w:lang w:val="en-US" w:eastAsia="zh-CN"/>
              </w:rPr>
              <w:t>9</w:t>
            </w:r>
            <w:r>
              <w:rPr>
                <w:rFonts w:hint="eastAsia" w:cs="Times New Roman"/>
                <w:bCs/>
                <w:color w:val="auto"/>
                <w:kern w:val="0"/>
                <w:sz w:val="24"/>
                <w:szCs w:val="24"/>
                <w:highlight w:val="none"/>
                <w:lang w:val="en-US" w:eastAsia="zh-CN"/>
              </w:rPr>
              <w:t>.7</w:t>
            </w:r>
            <w:r>
              <w:rPr>
                <w:rFonts w:hint="default" w:ascii="Times New Roman" w:hAnsi="Times New Roman" w:eastAsia="宋体" w:cs="Times New Roman"/>
                <w:bCs/>
                <w:color w:val="auto"/>
                <w:kern w:val="0"/>
                <w:sz w:val="24"/>
                <w:szCs w:val="24"/>
                <w:highlight w:val="none"/>
              </w:rPr>
              <w:t>%的布袋除尘器处理后经</w:t>
            </w:r>
            <w:r>
              <w:rPr>
                <w:rFonts w:hint="eastAsia" w:cs="Times New Roman"/>
                <w:bCs/>
                <w:color w:val="auto"/>
                <w:kern w:val="0"/>
                <w:sz w:val="24"/>
                <w:szCs w:val="24"/>
                <w:highlight w:val="none"/>
                <w:lang w:val="en-US" w:eastAsia="zh-CN"/>
              </w:rPr>
              <w:t>一根</w:t>
            </w:r>
            <w:r>
              <w:rPr>
                <w:rFonts w:hint="eastAsia" w:cs="Times New Roman"/>
                <w:bCs/>
                <w:color w:val="auto"/>
                <w:kern w:val="0"/>
                <w:sz w:val="24"/>
                <w:szCs w:val="24"/>
                <w:highlight w:val="none"/>
                <w:lang w:eastAsia="zh-CN"/>
              </w:rPr>
              <w:t>1</w:t>
            </w:r>
            <w:r>
              <w:rPr>
                <w:rFonts w:hint="eastAsia" w:cs="Times New Roman"/>
                <w:bCs/>
                <w:color w:val="auto"/>
                <w:kern w:val="0"/>
                <w:sz w:val="24"/>
                <w:szCs w:val="24"/>
                <w:highlight w:val="none"/>
                <w:lang w:val="en-US" w:eastAsia="zh-CN"/>
              </w:rPr>
              <w:t>8m</w:t>
            </w:r>
            <w:r>
              <w:rPr>
                <w:rFonts w:hint="default" w:ascii="Times New Roman" w:hAnsi="Times New Roman" w:eastAsia="宋体" w:cs="Times New Roman"/>
                <w:bCs/>
                <w:color w:val="auto"/>
                <w:kern w:val="0"/>
                <w:sz w:val="24"/>
                <w:szCs w:val="24"/>
                <w:highlight w:val="none"/>
              </w:rPr>
              <w:t>高</w:t>
            </w:r>
            <w:r>
              <w:rPr>
                <w:rFonts w:hint="eastAsia" w:cs="Times New Roman"/>
                <w:color w:val="auto"/>
                <w:sz w:val="24"/>
                <w:szCs w:val="24"/>
                <w:highlight w:val="none"/>
                <w:lang w:eastAsia="zh-CN"/>
              </w:rPr>
              <w:t>烟囱（</w:t>
            </w:r>
            <w:r>
              <w:rPr>
                <w:rFonts w:hint="eastAsia" w:cs="Times New Roman"/>
                <w:color w:val="auto"/>
                <w:sz w:val="24"/>
                <w:szCs w:val="24"/>
                <w:highlight w:val="none"/>
                <w:lang w:val="en-US" w:eastAsia="zh-CN"/>
              </w:rPr>
              <w:t>DA001</w:t>
            </w:r>
            <w:r>
              <w:rPr>
                <w:rFonts w:hint="eastAsia" w:cs="Times New Roman"/>
                <w:color w:val="auto"/>
                <w:sz w:val="24"/>
                <w:szCs w:val="24"/>
                <w:highlight w:val="none"/>
                <w:lang w:eastAsia="zh-CN"/>
              </w:rPr>
              <w:t>）</w:t>
            </w:r>
            <w:r>
              <w:rPr>
                <w:rFonts w:hint="default" w:ascii="Times New Roman" w:hAnsi="Times New Roman" w:eastAsia="宋体" w:cs="Times New Roman"/>
                <w:bCs/>
                <w:color w:val="auto"/>
                <w:kern w:val="0"/>
                <w:sz w:val="24"/>
                <w:szCs w:val="24"/>
                <w:highlight w:val="none"/>
              </w:rPr>
              <w:t>排放，烟尘排放浓度、烟气黑度满足《工业炉窑大气污染物排放标准》（GB9078-1996）表2</w:t>
            </w:r>
            <w:r>
              <w:rPr>
                <w:rFonts w:hint="default" w:ascii="Times New Roman" w:hAnsi="Times New Roman" w:eastAsia="宋体" w:cs="Times New Roman"/>
                <w:bCs/>
                <w:color w:val="auto"/>
                <w:kern w:val="0"/>
                <w:sz w:val="24"/>
                <w:szCs w:val="24"/>
                <w:highlight w:val="none"/>
                <w:lang w:eastAsia="zh-CN"/>
              </w:rPr>
              <w:t>中</w:t>
            </w:r>
            <w:r>
              <w:rPr>
                <w:rFonts w:hint="default" w:ascii="Times New Roman" w:hAnsi="Times New Roman" w:eastAsia="宋体" w:cs="Times New Roman"/>
                <w:bCs/>
                <w:color w:val="auto"/>
                <w:kern w:val="0"/>
                <w:sz w:val="24"/>
                <w:szCs w:val="24"/>
                <w:highlight w:val="none"/>
              </w:rPr>
              <w:t>二级标准，SO</w:t>
            </w:r>
            <w:r>
              <w:rPr>
                <w:rFonts w:hint="default" w:ascii="Times New Roman" w:hAnsi="Times New Roman" w:eastAsia="宋体" w:cs="Times New Roman"/>
                <w:bCs/>
                <w:color w:val="auto"/>
                <w:kern w:val="0"/>
                <w:sz w:val="24"/>
                <w:szCs w:val="24"/>
                <w:highlight w:val="none"/>
                <w:vertAlign w:val="subscript"/>
              </w:rPr>
              <w:t>2</w:t>
            </w:r>
            <w:r>
              <w:rPr>
                <w:rFonts w:hint="default" w:ascii="Times New Roman" w:hAnsi="Times New Roman" w:eastAsia="宋体" w:cs="Times New Roman"/>
                <w:bCs/>
                <w:color w:val="auto"/>
                <w:kern w:val="0"/>
                <w:sz w:val="24"/>
                <w:szCs w:val="24"/>
                <w:highlight w:val="none"/>
              </w:rPr>
              <w:t>排放浓度满足《工业炉窑大气污染物排放标准》（GB9078-1996）表4</w:t>
            </w:r>
            <w:r>
              <w:rPr>
                <w:rFonts w:hint="default" w:ascii="Times New Roman" w:hAnsi="Times New Roman" w:eastAsia="宋体" w:cs="Times New Roman"/>
                <w:bCs/>
                <w:color w:val="auto"/>
                <w:kern w:val="0"/>
                <w:sz w:val="24"/>
                <w:szCs w:val="24"/>
                <w:highlight w:val="none"/>
                <w:lang w:eastAsia="zh-CN"/>
              </w:rPr>
              <w:t>中</w:t>
            </w:r>
            <w:r>
              <w:rPr>
                <w:rFonts w:hint="default" w:ascii="Times New Roman" w:hAnsi="Times New Roman" w:eastAsia="宋体" w:cs="Times New Roman"/>
                <w:bCs/>
                <w:color w:val="auto"/>
                <w:kern w:val="0"/>
                <w:sz w:val="24"/>
                <w:szCs w:val="24"/>
                <w:highlight w:val="none"/>
              </w:rPr>
              <w:t>二级标准。</w:t>
            </w:r>
          </w:p>
          <w:p w14:paraId="321BC988">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kern w:val="0"/>
                <w:sz w:val="24"/>
                <w:szCs w:val="24"/>
                <w:highlight w:val="none"/>
              </w:rPr>
            </w:pPr>
            <w:r>
              <w:rPr>
                <w:rFonts w:hint="default" w:ascii="Times New Roman" w:hAnsi="Times New Roman" w:eastAsia="宋体" w:cs="Times New Roman"/>
                <w:bCs/>
                <w:color w:val="auto"/>
                <w:kern w:val="0"/>
                <w:sz w:val="24"/>
                <w:szCs w:val="24"/>
                <w:highlight w:val="none"/>
              </w:rPr>
              <w:t>本项目不属于《产业结构调整指导目录》淘汰类工业炉窑，热风炉布置于封闭的热风炉房内。本项目</w:t>
            </w:r>
            <w:r>
              <w:rPr>
                <w:rFonts w:hint="eastAsia" w:cs="Times New Roman"/>
                <w:bCs/>
                <w:color w:val="auto"/>
                <w:kern w:val="0"/>
                <w:sz w:val="24"/>
                <w:szCs w:val="24"/>
                <w:highlight w:val="none"/>
                <w:lang w:eastAsia="zh-CN"/>
              </w:rPr>
              <w:t>生物质链条热风炉</w:t>
            </w:r>
            <w:r>
              <w:rPr>
                <w:rFonts w:hint="default" w:ascii="Times New Roman" w:hAnsi="Times New Roman" w:eastAsia="宋体" w:cs="Times New Roman"/>
                <w:bCs/>
                <w:color w:val="auto"/>
                <w:kern w:val="0"/>
                <w:sz w:val="24"/>
                <w:szCs w:val="24"/>
                <w:highlight w:val="none"/>
              </w:rPr>
              <w:t>产生的烟气，经过环保治理设施污染物达标排放，对周围环境及敏感目标影响较小。</w:t>
            </w:r>
          </w:p>
          <w:p w14:paraId="3002D5BE">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80" w:firstLineChars="200"/>
              <w:textAlignment w:val="auto"/>
              <w:rPr>
                <w:rFonts w:hint="eastAsia" w:cs="Times New Roman"/>
                <w:color w:val="auto"/>
                <w:sz w:val="24"/>
                <w:szCs w:val="24"/>
                <w:highlight w:val="none"/>
                <w:lang w:val="en-US" w:eastAsia="zh-CN"/>
              </w:rPr>
            </w:pPr>
            <w:r>
              <w:rPr>
                <w:rFonts w:hint="eastAsia" w:cs="Times New Roman"/>
                <w:bCs/>
                <w:color w:val="auto"/>
                <w:kern w:val="0"/>
                <w:sz w:val="24"/>
                <w:szCs w:val="24"/>
                <w:highlight w:val="none"/>
                <w:lang w:val="en-US" w:eastAsia="zh-CN"/>
              </w:rPr>
              <w:t>由于本项目为粮食烘干类项目，具有地域的特殊性，建成后主要服务周边农户，故</w:t>
            </w:r>
            <w:r>
              <w:rPr>
                <w:rFonts w:hint="default" w:ascii="Times New Roman" w:hAnsi="Times New Roman" w:eastAsia="宋体" w:cs="Times New Roman"/>
                <w:color w:val="auto"/>
                <w:sz w:val="24"/>
                <w:szCs w:val="24"/>
                <w:highlight w:val="none"/>
              </w:rPr>
              <w:t>本项目</w:t>
            </w:r>
            <w:r>
              <w:rPr>
                <w:rFonts w:hint="eastAsia" w:cs="Times New Roman"/>
                <w:color w:val="auto"/>
                <w:sz w:val="24"/>
                <w:szCs w:val="24"/>
                <w:highlight w:val="none"/>
                <w:lang w:val="en-US" w:eastAsia="zh-CN"/>
              </w:rPr>
              <w:t>不进入园区是可行的。</w:t>
            </w:r>
          </w:p>
          <w:p w14:paraId="04612664">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eastAsia" w:cs="Times New Roman"/>
                <w:bCs/>
                <w:color w:val="auto"/>
                <w:kern w:val="0"/>
                <w:sz w:val="24"/>
                <w:szCs w:val="24"/>
                <w:highlight w:val="none"/>
                <w:lang w:val="en-US" w:eastAsia="zh-CN"/>
              </w:rPr>
              <w:t>因此，</w:t>
            </w:r>
            <w:r>
              <w:rPr>
                <w:rFonts w:hint="default" w:ascii="Times New Roman" w:hAnsi="Times New Roman" w:eastAsia="宋体" w:cs="Times New Roman"/>
                <w:bCs/>
                <w:color w:val="auto"/>
                <w:kern w:val="0"/>
                <w:sz w:val="24"/>
                <w:szCs w:val="24"/>
                <w:highlight w:val="none"/>
              </w:rPr>
              <w:t>本项目建设符合《黑龙江省工业炉窑大气污染综合治理方案》（黑环发[2019]144号）相关要求。</w:t>
            </w:r>
          </w:p>
          <w:p w14:paraId="656BA7CD">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color w:val="auto"/>
                <w:kern w:val="0"/>
                <w:sz w:val="24"/>
                <w:szCs w:val="24"/>
                <w:highlight w:val="none"/>
              </w:rPr>
            </w:pPr>
            <w:r>
              <w:rPr>
                <w:rFonts w:hint="eastAsia"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w:t>
            </w:r>
            <w:r>
              <w:rPr>
                <w:rFonts w:hint="default" w:ascii="Times New Roman" w:hAnsi="Times New Roman" w:eastAsia="宋体" w:cs="Times New Roman"/>
                <w:b/>
                <w:color w:val="auto"/>
                <w:kern w:val="0"/>
                <w:sz w:val="24"/>
                <w:szCs w:val="24"/>
                <w:highlight w:val="none"/>
              </w:rPr>
              <w:t>与</w:t>
            </w:r>
            <w:r>
              <w:rPr>
                <w:rFonts w:hint="default" w:ascii="Times New Roman" w:hAnsi="Times New Roman" w:eastAsia="宋体" w:cs="Times New Roman"/>
                <w:b/>
                <w:color w:val="auto"/>
                <w:kern w:val="0"/>
                <w:sz w:val="24"/>
                <w:szCs w:val="24"/>
                <w:highlight w:val="none"/>
                <w:lang w:val="en-US" w:eastAsia="zh-CN"/>
              </w:rPr>
              <w:t>《环境空气细颗粒物污染综合防治技术政策》</w:t>
            </w:r>
            <w:r>
              <w:rPr>
                <w:rFonts w:hint="default" w:ascii="Times New Roman" w:hAnsi="Times New Roman" w:eastAsia="宋体" w:cs="Times New Roman"/>
                <w:b/>
                <w:color w:val="auto"/>
                <w:kern w:val="0"/>
                <w:sz w:val="24"/>
                <w:szCs w:val="24"/>
                <w:highlight w:val="none"/>
              </w:rPr>
              <w:t>符合性分析</w:t>
            </w:r>
          </w:p>
          <w:p w14:paraId="62F94E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根据《环境空气细颗粒物污染综合防治技术政策》，</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三、防治工业污染，对于排放细颗粒物的工业污染源，应按照生产工艺、排放方式和烟（废）气组成的特点，选取适用的污染防治技术。工业污染源有组织排放的颗粒物，宜采取袋除尘、电除尘、电袋除尘等高效除尘技术，鼓励火电机组和大型燃煤锅炉采用湿式电除尘等新技术</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细颗粒物污染防治技术简要说明中，一、工业污染防治技术，（一）有组织排放颗粒物（烟、粉尘）污染防治技术，包括袋式除尘、湿式电除尘技术、电袋复合除尘技术。（二）前体污染物（NO、SO</w:t>
            </w:r>
            <w:r>
              <w:rPr>
                <w:rFonts w:hint="default" w:ascii="Times New Roman" w:hAnsi="Times New Roman" w:eastAsia="宋体" w:cs="Times New Roman"/>
                <w:color w:val="auto"/>
                <w:kern w:val="0"/>
                <w:sz w:val="24"/>
                <w:szCs w:val="24"/>
                <w:highlight w:val="none"/>
                <w:vertAlign w:val="subscript"/>
                <w:lang w:val="en-US" w:eastAsia="zh-CN" w:bidi="ar-SA"/>
              </w:rPr>
              <w:t>2</w:t>
            </w:r>
            <w:r>
              <w:rPr>
                <w:rFonts w:hint="default" w:ascii="Times New Roman" w:hAnsi="Times New Roman" w:eastAsia="宋体" w:cs="Times New Roman"/>
                <w:color w:val="auto"/>
                <w:kern w:val="0"/>
                <w:sz w:val="24"/>
                <w:szCs w:val="24"/>
                <w:highlight w:val="none"/>
                <w:lang w:val="en-US" w:eastAsia="zh-CN" w:bidi="ar-SA"/>
              </w:rPr>
              <w:t>、VOCs、NH</w:t>
            </w:r>
            <w:r>
              <w:rPr>
                <w:rFonts w:hint="default" w:ascii="Times New Roman" w:hAnsi="Times New Roman" w:eastAsia="宋体" w:cs="Times New Roman"/>
                <w:color w:val="auto"/>
                <w:kern w:val="0"/>
                <w:sz w:val="24"/>
                <w:szCs w:val="24"/>
                <w:highlight w:val="none"/>
                <w:vertAlign w:val="subscript"/>
                <w:lang w:val="en-US" w:eastAsia="zh-CN" w:bidi="ar-SA"/>
              </w:rPr>
              <w:t>3</w:t>
            </w:r>
            <w:r>
              <w:rPr>
                <w:rFonts w:hint="default" w:ascii="Times New Roman" w:hAnsi="Times New Roman" w:eastAsia="宋体" w:cs="Times New Roman"/>
                <w:color w:val="auto"/>
                <w:kern w:val="0"/>
                <w:sz w:val="24"/>
                <w:szCs w:val="24"/>
                <w:highlight w:val="none"/>
                <w:lang w:val="en-US" w:eastAsia="zh-CN" w:bidi="ar-SA"/>
              </w:rPr>
              <w:t>等）净化技术，包括各种脱硫技术、氮氧化物的催化还原技术及烟气脱硝技术、挥发性有机物的燃烧净化与吸附回收技术、氨的水洗涤净化技术。（三）无组织排放颗粒物和前体污染物治理技术，包括适用于大气颗粒物及其前体物污染控制的密闭生产技术、粉状物料堆放场的遮风与抑尘技术</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w:t>
            </w:r>
          </w:p>
          <w:p w14:paraId="64BBB1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符合性分析：</w:t>
            </w:r>
            <w:r>
              <w:rPr>
                <w:rFonts w:hint="eastAsia" w:ascii="Times New Roman" w:hAnsi="Times New Roman" w:eastAsia="宋体" w:cs="Times New Roman"/>
                <w:b w:val="0"/>
                <w:bCs w:val="0"/>
                <w:color w:val="auto"/>
                <w:sz w:val="24"/>
                <w:szCs w:val="24"/>
                <w:highlight w:val="none"/>
                <w:lang w:val="en-US" w:eastAsia="zh-CN"/>
              </w:rPr>
              <w:t>本项目热风炉烟气通过布袋除尘器处理后经</w:t>
            </w:r>
            <w:r>
              <w:rPr>
                <w:rFonts w:hint="eastAsia" w:cs="Times New Roman"/>
                <w:b w:val="0"/>
                <w:bCs w:val="0"/>
                <w:color w:val="auto"/>
                <w:sz w:val="24"/>
                <w:szCs w:val="24"/>
                <w:highlight w:val="none"/>
                <w:lang w:val="en-US" w:eastAsia="zh-CN"/>
              </w:rPr>
              <w:t>18m烟囱（DA001）</w:t>
            </w:r>
            <w:r>
              <w:rPr>
                <w:rFonts w:hint="eastAsia" w:ascii="Times New Roman" w:hAnsi="Times New Roman" w:eastAsia="宋体" w:cs="Times New Roman"/>
                <w:b w:val="0"/>
                <w:bCs w:val="0"/>
                <w:color w:val="auto"/>
                <w:sz w:val="24"/>
                <w:szCs w:val="24"/>
                <w:highlight w:val="none"/>
                <w:lang w:val="en-US" w:eastAsia="zh-CN"/>
              </w:rPr>
              <w:t>高空排放，SO</w:t>
            </w:r>
            <w:r>
              <w:rPr>
                <w:rFonts w:hint="eastAsia" w:ascii="Times New Roman" w:hAnsi="Times New Roman" w:eastAsia="宋体" w:cs="Times New Roman"/>
                <w:b w:val="0"/>
                <w:bCs w:val="0"/>
                <w:color w:val="auto"/>
                <w:sz w:val="24"/>
                <w:szCs w:val="24"/>
                <w:highlight w:val="none"/>
                <w:vertAlign w:val="subscript"/>
                <w:lang w:val="en-US" w:eastAsia="zh-CN"/>
              </w:rPr>
              <w:t>2</w:t>
            </w:r>
            <w:r>
              <w:rPr>
                <w:rFonts w:hint="eastAsia" w:ascii="Times New Roman" w:hAnsi="Times New Roman" w:eastAsia="宋体" w:cs="Times New Roman"/>
                <w:b w:val="0"/>
                <w:bCs w:val="0"/>
                <w:color w:val="auto"/>
                <w:sz w:val="24"/>
                <w:szCs w:val="24"/>
                <w:highlight w:val="none"/>
                <w:lang w:val="en-US" w:eastAsia="zh-CN"/>
              </w:rPr>
              <w:t>排放浓度</w:t>
            </w:r>
            <w:r>
              <w:rPr>
                <w:rFonts w:hint="eastAsia" w:cs="Times New Roman"/>
                <w:b w:val="0"/>
                <w:bCs w:val="0"/>
                <w:color w:val="auto"/>
                <w:sz w:val="24"/>
                <w:szCs w:val="24"/>
                <w:highlight w:val="none"/>
                <w:lang w:val="en-US" w:eastAsia="zh-CN"/>
              </w:rPr>
              <w:t>符合</w:t>
            </w:r>
            <w:r>
              <w:rPr>
                <w:rFonts w:hint="eastAsia" w:ascii="Times New Roman" w:hAnsi="Times New Roman" w:eastAsia="宋体" w:cs="Times New Roman"/>
                <w:b w:val="0"/>
                <w:bCs w:val="0"/>
                <w:color w:val="auto"/>
                <w:sz w:val="24"/>
                <w:szCs w:val="24"/>
                <w:highlight w:val="none"/>
                <w:lang w:val="en-US" w:eastAsia="zh-CN"/>
              </w:rPr>
              <w:t>《工业炉窑大气污染物排放标准》（GB9078-1996）中的表4中的二级标准，</w:t>
            </w:r>
            <w:r>
              <w:rPr>
                <w:rFonts w:hint="eastAsia" w:cs="Times New Roman"/>
                <w:b w:val="0"/>
                <w:bCs w:val="0"/>
                <w:color w:val="auto"/>
                <w:sz w:val="24"/>
                <w:szCs w:val="24"/>
                <w:highlight w:val="none"/>
                <w:lang w:val="en-US" w:eastAsia="zh-CN"/>
              </w:rPr>
              <w:t>烟尘排放浓度及烟气黑度符合</w:t>
            </w:r>
            <w:r>
              <w:rPr>
                <w:rFonts w:hint="eastAsia" w:ascii="Times New Roman" w:hAnsi="Times New Roman" w:eastAsia="宋体" w:cs="Times New Roman"/>
                <w:b w:val="0"/>
                <w:bCs w:val="0"/>
                <w:color w:val="auto"/>
                <w:sz w:val="24"/>
                <w:szCs w:val="24"/>
                <w:highlight w:val="none"/>
                <w:lang w:val="en-US" w:eastAsia="zh-CN"/>
              </w:rPr>
              <w:t>《工业炉窑大气污染物排放标准》（GB9078-1996）中的表2中的二级标准。</w:t>
            </w:r>
          </w:p>
          <w:p w14:paraId="64B9A8DE">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color w:val="auto"/>
                <w:sz w:val="24"/>
                <w:szCs w:val="24"/>
                <w:highlight w:val="none"/>
                <w:lang w:eastAsia="zh-CN"/>
              </w:rPr>
            </w:pPr>
            <w:r>
              <w:rPr>
                <w:rFonts w:hint="eastAsia" w:ascii="Times New Roman" w:hAnsi="Times New Roman" w:eastAsia="宋体" w:cs="Times New Roman"/>
                <w:b w:val="0"/>
                <w:bCs w:val="0"/>
                <w:color w:val="auto"/>
                <w:sz w:val="24"/>
                <w:szCs w:val="24"/>
                <w:highlight w:val="none"/>
                <w:lang w:val="en-US" w:eastAsia="zh-CN"/>
              </w:rPr>
              <w:t>原料烘干、运输、筛分过程会有粉尘产生，此部分粉尘以无组织的形式排放。装卸工段采取粮仓密闭四周设置</w:t>
            </w:r>
            <w:r>
              <w:rPr>
                <w:rFonts w:hint="eastAsia" w:cs="Times New Roman"/>
                <w:b w:val="0"/>
                <w:bCs w:val="0"/>
                <w:color w:val="auto"/>
                <w:sz w:val="24"/>
                <w:szCs w:val="24"/>
                <w:highlight w:val="none"/>
                <w:lang w:val="en-US" w:eastAsia="zh-CN"/>
              </w:rPr>
              <w:t>临时</w:t>
            </w:r>
            <w:r>
              <w:rPr>
                <w:rFonts w:hint="eastAsia" w:ascii="Times New Roman" w:hAnsi="Times New Roman" w:eastAsia="宋体" w:cs="Times New Roman"/>
                <w:b w:val="0"/>
                <w:bCs w:val="0"/>
                <w:color w:val="auto"/>
                <w:sz w:val="24"/>
                <w:szCs w:val="24"/>
                <w:highlight w:val="none"/>
                <w:lang w:val="en-US" w:eastAsia="zh-CN"/>
              </w:rPr>
              <w:t>围挡、减小装卸高度等降尘措施，输送过程中输送带采取加罩密封，在设备连接处加密封垫或密封胶；清粮采用全密闭滚筒筛，产生的粉尘经处理后排放；烘干塔内部自带重力沉降室，烘干塔底部四周设置防尘挡板，粉尘受挡板格挡后受重力作用回落到烘干塔底部收尘设施中。燃料库密闭并定期洒水抑尘，减少粉尘扩散，厂界颗粒物排放浓度符合《大气污染物综合排放标准》（GB16297-1996）表2无组织排放浓度限值要求。</w:t>
            </w:r>
            <w:r>
              <w:rPr>
                <w:rFonts w:hint="default" w:ascii="Times New Roman" w:hAnsi="Times New Roman" w:eastAsia="宋体" w:cs="Times New Roman"/>
                <w:color w:val="auto"/>
                <w:sz w:val="24"/>
                <w:szCs w:val="24"/>
                <w:highlight w:val="none"/>
              </w:rPr>
              <w:t>因此本项目符合《</w:t>
            </w:r>
            <w:r>
              <w:rPr>
                <w:rFonts w:hint="default" w:ascii="Times New Roman" w:hAnsi="Times New Roman" w:eastAsia="宋体" w:cs="Times New Roman"/>
                <w:b w:val="0"/>
                <w:bCs/>
                <w:color w:val="auto"/>
                <w:kern w:val="0"/>
                <w:sz w:val="24"/>
                <w:szCs w:val="24"/>
                <w:highlight w:val="none"/>
                <w:lang w:val="en-US" w:eastAsia="zh-CN"/>
              </w:rPr>
              <w:t>环境空气细颗粒物污染综合防治技术政策</w:t>
            </w:r>
            <w:r>
              <w:rPr>
                <w:rFonts w:hint="default" w:ascii="Times New Roman" w:hAnsi="Times New Roman" w:eastAsia="宋体" w:cs="Times New Roman"/>
                <w:b w:val="0"/>
                <w:bCs/>
                <w:color w:val="auto"/>
                <w:sz w:val="24"/>
                <w:szCs w:val="24"/>
                <w:highlight w:val="none"/>
              </w:rPr>
              <w:t>》</w:t>
            </w:r>
            <w:r>
              <w:rPr>
                <w:rFonts w:hint="eastAsia" w:ascii="Times New Roman" w:hAnsi="Times New Roman" w:eastAsia="宋体" w:cs="Times New Roman"/>
                <w:b w:val="0"/>
                <w:bCs/>
                <w:color w:val="auto"/>
                <w:sz w:val="24"/>
                <w:szCs w:val="24"/>
                <w:highlight w:val="none"/>
                <w:lang w:eastAsia="zh-CN"/>
              </w:rPr>
              <w:t>。</w:t>
            </w:r>
          </w:p>
          <w:p w14:paraId="0385D552">
            <w:pPr>
              <w:pStyle w:val="149"/>
              <w:keepNext w:val="0"/>
              <w:keepLines w:val="0"/>
              <w:pageBreakBefore w:val="0"/>
              <w:widowControl w:val="0"/>
              <w:suppressLineNumbers w:val="0"/>
              <w:kinsoku/>
              <w:wordWrap/>
              <w:overflowPunct/>
              <w:topLinePunct w:val="0"/>
              <w:bidi w:val="0"/>
              <w:spacing w:before="0" w:beforeAutospacing="0" w:after="0" w:afterAutospacing="0"/>
              <w:ind w:left="0" w:right="0" w:firstLine="482" w:firstLineChars="200"/>
              <w:textAlignment w:val="auto"/>
              <w:rPr>
                <w:rFonts w:hint="default"/>
                <w:b/>
                <w:bCs/>
                <w:color w:val="auto"/>
                <w:sz w:val="24"/>
                <w:szCs w:val="24"/>
                <w:highlight w:val="none"/>
              </w:rPr>
            </w:pPr>
            <w:r>
              <w:rPr>
                <w:rFonts w:hint="eastAsia"/>
                <w:b/>
                <w:bCs/>
                <w:color w:val="auto"/>
                <w:sz w:val="24"/>
                <w:szCs w:val="24"/>
                <w:highlight w:val="none"/>
                <w:lang w:val="en-US" w:eastAsia="zh-CN"/>
              </w:rPr>
              <w:t>5</w:t>
            </w:r>
            <w:r>
              <w:rPr>
                <w:rFonts w:hint="eastAsia"/>
                <w:b/>
                <w:bCs/>
                <w:color w:val="auto"/>
                <w:sz w:val="24"/>
                <w:szCs w:val="24"/>
                <w:highlight w:val="none"/>
              </w:rPr>
              <w:t>、与《黑龙江省“十四五”生态环境保护规划》符合</w:t>
            </w:r>
            <w:r>
              <w:rPr>
                <w:rFonts w:hint="eastAsia"/>
                <w:b/>
                <w:bCs/>
                <w:color w:val="auto"/>
                <w:sz w:val="24"/>
                <w:szCs w:val="24"/>
                <w:highlight w:val="none"/>
                <w:lang w:eastAsia="zh-CN"/>
              </w:rPr>
              <w:t>性</w:t>
            </w:r>
            <w:r>
              <w:rPr>
                <w:rFonts w:hint="eastAsia"/>
                <w:b/>
                <w:bCs/>
                <w:color w:val="auto"/>
                <w:sz w:val="24"/>
                <w:szCs w:val="24"/>
                <w:highlight w:val="none"/>
              </w:rPr>
              <w:t>分析</w:t>
            </w:r>
          </w:p>
          <w:p w14:paraId="63404C9F">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color w:val="auto"/>
                <w:sz w:val="24"/>
                <w:szCs w:val="24"/>
                <w:highlight w:val="none"/>
                <w:lang w:eastAsia="zh-CN"/>
              </w:rPr>
            </w:pPr>
            <w:r>
              <w:rPr>
                <w:rFonts w:hint="eastAsia"/>
                <w:color w:val="auto"/>
                <w:sz w:val="24"/>
                <w:szCs w:val="24"/>
                <w:highlight w:val="none"/>
              </w:rPr>
              <w:t>本项目采用生物质成型燃料，不涉及燃煤燃料使用，可以达标排放，属于可行技术，确保污染物稳定达标排放；运营期生活污水排入防渗旱厕，定期清掏，外运堆肥，不外排</w:t>
            </w:r>
            <w:r>
              <w:rPr>
                <w:rFonts w:hint="eastAsia"/>
                <w:color w:val="auto"/>
                <w:sz w:val="24"/>
                <w:szCs w:val="24"/>
                <w:highlight w:val="none"/>
                <w:lang w:eastAsia="zh-CN"/>
              </w:rPr>
              <w:t>。</w:t>
            </w:r>
            <w:r>
              <w:rPr>
                <w:rFonts w:hint="eastAsia"/>
                <w:color w:val="auto"/>
                <w:sz w:val="24"/>
                <w:szCs w:val="24"/>
                <w:highlight w:val="none"/>
              </w:rPr>
              <w:t>不属于《黑龙江省“十四五”生态环境保护规划》中“重点行业大气污染治理工程、水生态环境提升重大工程、土壤和地下水污染治理重大工程”中要求内容，项目建设符合《黑龙江省“十四五”生态环境保护规划》要求。</w:t>
            </w:r>
          </w:p>
          <w:p w14:paraId="568A86AE">
            <w:pPr>
              <w:keepNext w:val="0"/>
              <w:keepLines w:val="0"/>
              <w:pageBreakBefore w:val="0"/>
              <w:suppressLineNumbers w:val="0"/>
              <w:kinsoku/>
              <w:wordWrap/>
              <w:overflowPunct/>
              <w:topLinePunct w:val="0"/>
              <w:bidi w:val="0"/>
              <w:spacing w:before="0" w:beforeAutospacing="0" w:after="0" w:afterAutospacing="0" w:line="360" w:lineRule="auto"/>
              <w:ind w:left="0" w:right="0" w:firstLine="482" w:firstLineChars="200"/>
              <w:textAlignment w:val="auto"/>
              <w:rPr>
                <w:rFonts w:hint="eastAsia" w:ascii="Times New Roman" w:hAnsi="Times New Roman" w:eastAsia="宋体" w:cs="Times New Roman"/>
                <w:b w:val="0"/>
                <w:bCs/>
                <w:color w:val="auto"/>
                <w:sz w:val="24"/>
                <w:szCs w:val="24"/>
                <w:highlight w:val="none"/>
                <w:lang w:eastAsia="zh-CN"/>
              </w:rPr>
            </w:pPr>
            <w:r>
              <w:rPr>
                <w:rFonts w:hint="eastAsia" w:cs="Times New Roman"/>
                <w:b/>
                <w:bCs w:val="0"/>
                <w:color w:val="auto"/>
                <w:sz w:val="24"/>
                <w:szCs w:val="24"/>
                <w:highlight w:val="none"/>
                <w:lang w:val="en-US" w:eastAsia="zh-CN"/>
              </w:rPr>
              <w:t>6</w:t>
            </w:r>
            <w:r>
              <w:rPr>
                <w:rFonts w:hint="eastAsia" w:ascii="Times New Roman" w:hAnsi="Times New Roman" w:eastAsia="宋体" w:cs="Times New Roman"/>
                <w:b/>
                <w:bCs w:val="0"/>
                <w:color w:val="auto"/>
                <w:sz w:val="24"/>
                <w:szCs w:val="24"/>
                <w:highlight w:val="none"/>
                <w:lang w:eastAsia="zh-CN"/>
              </w:rPr>
              <w:t>、与《工业炉窑大气污染综合治理方案》（环大气[2019]56号）符合性分析</w:t>
            </w:r>
          </w:p>
          <w:p w14:paraId="531BBD5F">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color w:val="auto"/>
                <w:sz w:val="24"/>
                <w:szCs w:val="24"/>
                <w:highlight w:val="none"/>
                <w:lang w:eastAsia="zh-CN"/>
              </w:rPr>
            </w:pPr>
            <w:r>
              <w:rPr>
                <w:rFonts w:hint="eastAsia" w:ascii="Times New Roman" w:hAnsi="Times New Roman" w:eastAsia="宋体" w:cs="Times New Roman"/>
                <w:b w:val="0"/>
                <w:bCs/>
                <w:color w:val="auto"/>
                <w:sz w:val="24"/>
                <w:szCs w:val="24"/>
                <w:highlight w:val="none"/>
                <w:lang w:eastAsia="zh-CN"/>
              </w:rPr>
              <w:t>加大产业结构调整力度。严格建设项目环境准入。新建涉工业炉窑的建设项目，原则上要入园区，配套建设高效环保治理设施。重点区域严格控制涉工业炉窑建设项目，严禁新增钢铁、焦化、电解铝、铸造、水泥和平板玻璃等产能；严格执行钢铁、水泥、平板玻璃等行业产能置换实施办法；原则上禁止新建燃料类煤气发生炉（园区现有企业统一建设的清洁煤制气中心除外）。</w:t>
            </w:r>
          </w:p>
          <w:p w14:paraId="66600E26">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color w:val="auto"/>
                <w:sz w:val="24"/>
                <w:szCs w:val="24"/>
                <w:highlight w:val="none"/>
                <w:lang w:eastAsia="zh-CN"/>
              </w:rPr>
            </w:pPr>
            <w:r>
              <w:rPr>
                <w:rFonts w:hint="eastAsia" w:ascii="Times New Roman" w:hAnsi="Times New Roman" w:eastAsia="宋体" w:cs="Times New Roman"/>
                <w:b w:val="0"/>
                <w:bCs/>
                <w:color w:val="auto"/>
                <w:sz w:val="24"/>
                <w:szCs w:val="24"/>
                <w:highlight w:val="none"/>
                <w:lang w:eastAsia="zh-CN"/>
              </w:rPr>
              <w:t>实施污染深度治理。推进工业炉窑全面达标排放。已有行业排放标准的工业炉窑，严格执行行业排放标准相关规定，配套建设高效脱硫脱硝除尘设施，确保稳定达标排放。已制定更严格地方排放标准的，按地方标准执行。重点区域钢铁、水泥、焦化、石化、化工、有色等行业，二氧化硫、氮氧化物、颗粒物、挥发性有机物（VOCs）排放全面执行大气污染物特别排放限值。已核发排污许可证的，应严格执行许可要求。</w:t>
            </w:r>
          </w:p>
          <w:p w14:paraId="4742D603">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color w:val="auto"/>
                <w:sz w:val="24"/>
                <w:szCs w:val="24"/>
                <w:highlight w:val="none"/>
                <w:lang w:eastAsia="zh-CN"/>
              </w:rPr>
            </w:pPr>
            <w:r>
              <w:rPr>
                <w:rFonts w:hint="eastAsia" w:ascii="Times New Roman" w:hAnsi="Times New Roman" w:eastAsia="宋体" w:cs="Times New Roman"/>
                <w:b w:val="0"/>
                <w:bCs/>
                <w:color w:val="auto"/>
                <w:sz w:val="24"/>
                <w:szCs w:val="24"/>
                <w:highlight w:val="none"/>
                <w:lang w:eastAsia="zh-CN"/>
              </w:rPr>
              <w:t>符合性分析</w:t>
            </w:r>
            <w:r>
              <w:rPr>
                <w:rFonts w:hint="eastAsia" w:cs="Times New Roman"/>
                <w:b w:val="0"/>
                <w:bCs/>
                <w:color w:val="auto"/>
                <w:sz w:val="24"/>
                <w:szCs w:val="24"/>
                <w:highlight w:val="none"/>
                <w:lang w:eastAsia="zh-CN"/>
              </w:rPr>
              <w:t>：</w:t>
            </w:r>
            <w:r>
              <w:rPr>
                <w:rFonts w:hint="eastAsia" w:ascii="Times New Roman" w:hAnsi="Times New Roman" w:eastAsia="宋体" w:cs="Times New Roman"/>
                <w:b w:val="0"/>
                <w:bCs/>
                <w:color w:val="auto"/>
                <w:sz w:val="24"/>
                <w:szCs w:val="24"/>
                <w:highlight w:val="none"/>
                <w:lang w:eastAsia="zh-CN"/>
              </w:rPr>
              <w:t>本项目</w:t>
            </w:r>
            <w:r>
              <w:rPr>
                <w:rFonts w:hint="eastAsia" w:cs="Times New Roman"/>
                <w:b w:val="0"/>
                <w:bCs/>
                <w:color w:val="auto"/>
                <w:sz w:val="24"/>
                <w:szCs w:val="24"/>
                <w:highlight w:val="none"/>
                <w:lang w:val="en-US" w:eastAsia="zh-CN"/>
              </w:rPr>
              <w:t>1</w:t>
            </w:r>
            <w:r>
              <w:rPr>
                <w:rFonts w:hint="eastAsia" w:ascii="Times New Roman" w:hAnsi="Times New Roman" w:eastAsia="宋体" w:cs="Times New Roman"/>
                <w:b w:val="0"/>
                <w:bCs/>
                <w:color w:val="auto"/>
                <w:sz w:val="24"/>
                <w:szCs w:val="24"/>
                <w:highlight w:val="none"/>
                <w:lang w:eastAsia="zh-CN"/>
              </w:rPr>
              <w:t>台燃</w:t>
            </w:r>
            <w:r>
              <w:rPr>
                <w:rFonts w:hint="eastAsia" w:cs="Times New Roman"/>
                <w:b w:val="0"/>
                <w:bCs/>
                <w:color w:val="auto"/>
                <w:sz w:val="24"/>
                <w:szCs w:val="24"/>
                <w:highlight w:val="none"/>
                <w:lang w:eastAsia="zh-CN"/>
              </w:rPr>
              <w:t>生物质链条热风炉</w:t>
            </w:r>
            <w:r>
              <w:rPr>
                <w:rFonts w:hint="eastAsia" w:ascii="Times New Roman" w:hAnsi="Times New Roman" w:eastAsia="宋体" w:cs="Times New Roman"/>
                <w:b w:val="0"/>
                <w:bCs/>
                <w:color w:val="auto"/>
                <w:sz w:val="24"/>
                <w:szCs w:val="24"/>
                <w:highlight w:val="none"/>
                <w:lang w:eastAsia="zh-CN"/>
              </w:rPr>
              <w:t>，用于粮食烘干，本项目厂址位于</w:t>
            </w:r>
            <w:r>
              <w:rPr>
                <w:rFonts w:hint="eastAsia" w:cs="Times New Roman"/>
                <w:b w:val="0"/>
                <w:bCs/>
                <w:color w:val="auto"/>
                <w:sz w:val="24"/>
                <w:szCs w:val="24"/>
                <w:highlight w:val="none"/>
                <w:lang w:val="en-US" w:eastAsia="zh-CN"/>
              </w:rPr>
              <w:t>黑龙江省鸡西市虎林市</w:t>
            </w:r>
            <w:r>
              <w:rPr>
                <w:rFonts w:hint="eastAsia" w:ascii="Times New Roman" w:hAnsi="Times New Roman" w:eastAsia="宋体" w:cs="Times New Roman"/>
                <w:b w:val="0"/>
                <w:bCs/>
                <w:color w:val="auto"/>
                <w:sz w:val="24"/>
                <w:szCs w:val="24"/>
                <w:highlight w:val="none"/>
                <w:lang w:eastAsia="zh-CN"/>
              </w:rPr>
              <w:t>，不属于《工业炉窑大气污染综合治理方案》重点区域，也不属于其附件4中的重点行业工业炉窑。</w:t>
            </w:r>
          </w:p>
          <w:p w14:paraId="45B11F91">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color w:val="auto"/>
                <w:sz w:val="24"/>
                <w:szCs w:val="24"/>
                <w:highlight w:val="none"/>
                <w:lang w:eastAsia="zh-CN"/>
              </w:rPr>
            </w:pPr>
            <w:r>
              <w:rPr>
                <w:rFonts w:hint="eastAsia" w:ascii="Times New Roman" w:hAnsi="Times New Roman" w:eastAsia="宋体" w:cs="Times New Roman"/>
                <w:b w:val="0"/>
                <w:bCs/>
                <w:color w:val="auto"/>
                <w:sz w:val="24"/>
                <w:szCs w:val="24"/>
                <w:highlight w:val="none"/>
                <w:lang w:eastAsia="zh-CN"/>
              </w:rPr>
              <w:t>本项目</w:t>
            </w:r>
            <w:r>
              <w:rPr>
                <w:rFonts w:hint="eastAsia" w:cs="Times New Roman"/>
                <w:b w:val="0"/>
                <w:bCs/>
                <w:color w:val="auto"/>
                <w:sz w:val="24"/>
                <w:szCs w:val="24"/>
                <w:highlight w:val="none"/>
                <w:lang w:eastAsia="zh-CN"/>
              </w:rPr>
              <w:t>生物质链条热风炉</w:t>
            </w:r>
            <w:r>
              <w:rPr>
                <w:rFonts w:hint="eastAsia" w:ascii="Times New Roman" w:hAnsi="Times New Roman" w:eastAsia="宋体" w:cs="Times New Roman"/>
                <w:b w:val="0"/>
                <w:bCs/>
                <w:color w:val="auto"/>
                <w:sz w:val="24"/>
                <w:szCs w:val="24"/>
                <w:highlight w:val="none"/>
                <w:lang w:eastAsia="zh-CN"/>
              </w:rPr>
              <w:t>烟气经除尘效率为99</w:t>
            </w:r>
            <w:r>
              <w:rPr>
                <w:rFonts w:hint="eastAsia" w:cs="Times New Roman"/>
                <w:b w:val="0"/>
                <w:bCs/>
                <w:color w:val="auto"/>
                <w:sz w:val="24"/>
                <w:szCs w:val="24"/>
                <w:highlight w:val="none"/>
                <w:lang w:val="en-US" w:eastAsia="zh-CN"/>
              </w:rPr>
              <w:t>.7</w:t>
            </w:r>
            <w:r>
              <w:rPr>
                <w:rFonts w:hint="eastAsia" w:ascii="Times New Roman" w:hAnsi="Times New Roman" w:eastAsia="宋体" w:cs="Times New Roman"/>
                <w:b w:val="0"/>
                <w:bCs/>
                <w:color w:val="auto"/>
                <w:sz w:val="24"/>
                <w:szCs w:val="24"/>
                <w:highlight w:val="none"/>
                <w:lang w:eastAsia="zh-CN"/>
              </w:rPr>
              <w:t>%的布袋除尘器处理后经</w:t>
            </w:r>
            <w:r>
              <w:rPr>
                <w:rFonts w:hint="eastAsia" w:cs="Times New Roman"/>
                <w:b w:val="0"/>
                <w:bCs/>
                <w:color w:val="auto"/>
                <w:sz w:val="24"/>
                <w:szCs w:val="24"/>
                <w:highlight w:val="none"/>
                <w:lang w:eastAsia="zh-CN"/>
              </w:rPr>
              <w:t>1</w:t>
            </w:r>
            <w:r>
              <w:rPr>
                <w:rFonts w:hint="eastAsia" w:cs="Times New Roman"/>
                <w:b w:val="0"/>
                <w:bCs/>
                <w:color w:val="auto"/>
                <w:sz w:val="24"/>
                <w:szCs w:val="24"/>
                <w:highlight w:val="none"/>
                <w:lang w:val="en-US" w:eastAsia="zh-CN"/>
              </w:rPr>
              <w:t>8</w:t>
            </w:r>
            <w:r>
              <w:rPr>
                <w:rFonts w:hint="eastAsia" w:cs="Times New Roman"/>
                <w:b w:val="0"/>
                <w:bCs/>
                <w:color w:val="auto"/>
                <w:sz w:val="24"/>
                <w:szCs w:val="24"/>
                <w:highlight w:val="none"/>
                <w:lang w:eastAsia="zh-CN"/>
              </w:rPr>
              <w:t>m高</w:t>
            </w:r>
            <w:r>
              <w:rPr>
                <w:rFonts w:hint="eastAsia" w:ascii="Times New Roman" w:hAnsi="Times New Roman" w:eastAsia="宋体" w:cs="Times New Roman"/>
                <w:b w:val="0"/>
                <w:bCs/>
                <w:color w:val="auto"/>
                <w:sz w:val="24"/>
                <w:szCs w:val="24"/>
                <w:highlight w:val="none"/>
                <w:lang w:eastAsia="zh-CN"/>
              </w:rPr>
              <w:t>烟囱排放，烟尘、烟气黑度排放浓度满足《工业炉窑大气污染物排放标准》（GB9078-1996）表2二级标准，SO</w:t>
            </w:r>
            <w:r>
              <w:rPr>
                <w:rFonts w:hint="eastAsia" w:ascii="Times New Roman" w:hAnsi="Times New Roman" w:eastAsia="宋体" w:cs="Times New Roman"/>
                <w:b w:val="0"/>
                <w:bCs/>
                <w:color w:val="auto"/>
                <w:sz w:val="24"/>
                <w:szCs w:val="24"/>
                <w:highlight w:val="none"/>
                <w:vertAlign w:val="subscript"/>
                <w:lang w:eastAsia="zh-CN"/>
              </w:rPr>
              <w:t>2</w:t>
            </w:r>
            <w:r>
              <w:rPr>
                <w:rFonts w:hint="eastAsia" w:ascii="Times New Roman" w:hAnsi="Times New Roman" w:eastAsia="宋体" w:cs="Times New Roman"/>
                <w:b w:val="0"/>
                <w:bCs/>
                <w:color w:val="auto"/>
                <w:sz w:val="24"/>
                <w:szCs w:val="24"/>
                <w:highlight w:val="none"/>
                <w:lang w:eastAsia="zh-CN"/>
              </w:rPr>
              <w:t>排放浓度满足《工业炉窑大气污染物排放标准》（GB9078-1996）表4二级标准。厂界颗粒物排放满足《大气污染物综合排放标准》（GB16297-1996）标准的要求。因此本项目建设符合《工业炉窑大气污染综合治理方案》（环大气[2019]56号）相关要求。</w:t>
            </w:r>
          </w:p>
          <w:p w14:paraId="050B89A6">
            <w:pPr>
              <w:keepNext w:val="0"/>
              <w:keepLines w:val="0"/>
              <w:pageBreakBefore w:val="0"/>
              <w:suppressLineNumbers w:val="0"/>
              <w:kinsoku/>
              <w:wordWrap/>
              <w:overflowPunct/>
              <w:topLinePunct w:val="0"/>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eastAsia" w:cs="Times New Roman"/>
                <w:b/>
                <w:bCs w:val="0"/>
                <w:color w:val="auto"/>
                <w:sz w:val="24"/>
                <w:szCs w:val="24"/>
                <w:highlight w:val="none"/>
                <w:lang w:val="en-US" w:eastAsia="zh-CN"/>
              </w:rPr>
              <w:t>7、与</w:t>
            </w:r>
            <w:r>
              <w:rPr>
                <w:rFonts w:hint="eastAsia" w:ascii="Times New Roman" w:hAnsi="Times New Roman" w:eastAsia="宋体" w:cs="Times New Roman"/>
                <w:b/>
                <w:bCs w:val="0"/>
                <w:color w:val="auto"/>
                <w:sz w:val="24"/>
                <w:szCs w:val="24"/>
                <w:highlight w:val="none"/>
                <w:lang w:eastAsia="zh-CN"/>
              </w:rPr>
              <w:t>《黑龙江省大气污染防治行动计划实施细则》</w:t>
            </w:r>
            <w:r>
              <w:rPr>
                <w:rFonts w:hint="eastAsia" w:cs="Times New Roman"/>
                <w:b/>
                <w:bCs w:val="0"/>
                <w:color w:val="auto"/>
                <w:sz w:val="24"/>
                <w:szCs w:val="24"/>
                <w:highlight w:val="none"/>
                <w:lang w:val="en-US" w:eastAsia="zh-CN"/>
              </w:rPr>
              <w:t>符合性分析</w:t>
            </w:r>
          </w:p>
          <w:p w14:paraId="652EE116">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color w:val="auto"/>
                <w:sz w:val="24"/>
                <w:szCs w:val="24"/>
                <w:highlight w:val="none"/>
                <w:lang w:eastAsia="zh-CN"/>
              </w:rPr>
            </w:pPr>
            <w:r>
              <w:rPr>
                <w:rFonts w:hint="eastAsia" w:ascii="Times New Roman" w:hAnsi="Times New Roman" w:eastAsia="宋体" w:cs="Times New Roman"/>
                <w:b w:val="0"/>
                <w:bCs/>
                <w:color w:val="auto"/>
                <w:sz w:val="24"/>
                <w:szCs w:val="24"/>
                <w:highlight w:val="none"/>
                <w:lang w:eastAsia="zh-CN"/>
              </w:rPr>
              <w:t>加强对燃煤锅炉及窑炉等治理。规模在20蒸吨及以上的燃煤锅炉要实施烟气脱硫，确保达标排放。循环硫化床锅炉要全部安装静电、布袋等高效除尘设施，实现达标排放，抛煤机和往复炉排等层燃锅炉要使用含硫量低于</w:t>
            </w:r>
            <w:r>
              <w:rPr>
                <w:rFonts w:hint="eastAsia" w:cs="Times New Roman"/>
                <w:b w:val="0"/>
                <w:bCs/>
                <w:color w:val="auto"/>
                <w:sz w:val="24"/>
                <w:szCs w:val="24"/>
                <w:highlight w:val="none"/>
                <w:lang w:val="en-US" w:eastAsia="zh-CN"/>
              </w:rPr>
              <w:t>0.</w:t>
            </w:r>
            <w:r>
              <w:rPr>
                <w:rFonts w:hint="eastAsia" w:ascii="Times New Roman" w:hAnsi="Times New Roman" w:eastAsia="宋体" w:cs="Times New Roman"/>
                <w:b w:val="0"/>
                <w:bCs/>
                <w:color w:val="auto"/>
                <w:sz w:val="24"/>
                <w:szCs w:val="24"/>
                <w:highlight w:val="none"/>
                <w:lang w:eastAsia="zh-CN"/>
              </w:rPr>
              <w:t>5%、灰分小于27%、全水分15%以下、低位发热量不低于4700千卡/公斤的洁净配煤，并综合考虑加大动力煤洗选力度、清洁能源替代等多种措施。冲天炉完成电炉改造，或实施每小时5吨以上热风炉和湿式除尘器改造，实现稳定达标排放。燃煤窑炉完成煤气发生炉、水煤浆燃烧器等技术改造或使用清洁能源，实现达标排放。</w:t>
            </w:r>
          </w:p>
          <w:p w14:paraId="60D378A8">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color w:val="auto"/>
                <w:sz w:val="24"/>
                <w:szCs w:val="24"/>
                <w:highlight w:val="none"/>
                <w:lang w:eastAsia="zh-CN"/>
              </w:rPr>
            </w:pPr>
            <w:r>
              <w:rPr>
                <w:rFonts w:hint="eastAsia" w:ascii="Times New Roman" w:hAnsi="Times New Roman" w:eastAsia="宋体" w:cs="Times New Roman"/>
                <w:b w:val="0"/>
                <w:bCs/>
                <w:color w:val="auto"/>
                <w:sz w:val="24"/>
                <w:szCs w:val="24"/>
                <w:highlight w:val="none"/>
                <w:lang w:eastAsia="zh-CN"/>
              </w:rPr>
              <w:t>扩大高污染燃料禁燃区范围。到2014年年底，各地要完成高污染燃料禁燃区划定和调整工作，并向社会公布。禁燃区面积不低于建成区面积的80%，并根据城市建成区的发展不断调整划定范围。禁燃区内禁止散烧原煤以及煤焦油、重油、渣油等燃料，禁止燃烧各种可燃废物，禁止燃用生物质燃料及污染物含量超过国家规定限值的柴油、煤油等高污染燃料。已建成的使用高污染燃料的各类设施要限期拆除或改造成使用管道天然气、液化石油气、电等清洁能源。</w:t>
            </w:r>
          </w:p>
          <w:p w14:paraId="4B0AD2CF">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eastAsia" w:cs="Times New Roman"/>
                <w:b w:val="0"/>
                <w:bCs/>
                <w:color w:val="auto"/>
                <w:sz w:val="24"/>
                <w:szCs w:val="24"/>
                <w:highlight w:val="none"/>
                <w:lang w:val="en-US" w:eastAsia="zh-CN"/>
              </w:rPr>
              <w:t>符合性分析：本项目新建</w:t>
            </w:r>
            <w:r>
              <w:rPr>
                <w:rFonts w:hint="eastAsia"/>
                <w:color w:val="auto"/>
                <w:sz w:val="24"/>
                <w:szCs w:val="24"/>
                <w:highlight w:val="none"/>
                <w:lang w:val="en-US" w:eastAsia="zh-CN"/>
              </w:rPr>
              <w:t>1台600万大卡的生物质链条热风炉</w:t>
            </w:r>
            <w:r>
              <w:rPr>
                <w:rFonts w:hint="eastAsia" w:cs="Times New Roman"/>
                <w:b w:val="0"/>
                <w:bCs/>
                <w:color w:val="auto"/>
                <w:sz w:val="24"/>
                <w:szCs w:val="24"/>
                <w:highlight w:val="none"/>
                <w:lang w:val="en-US" w:eastAsia="zh-CN"/>
              </w:rPr>
              <w:t>，配套设置布袋除尘器</w:t>
            </w:r>
            <w:r>
              <w:rPr>
                <w:rFonts w:hint="eastAsia" w:cs="Times New Roman"/>
                <w:color w:val="auto"/>
                <w:sz w:val="24"/>
                <w:szCs w:val="24"/>
                <w:highlight w:val="none"/>
                <w:lang w:val="en-US" w:eastAsia="zh-CN"/>
              </w:rPr>
              <w:t>，不属于高污染燃料。</w:t>
            </w:r>
          </w:p>
          <w:p w14:paraId="0C9C619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2" w:firstLineChars="200"/>
              <w:jc w:val="left"/>
              <w:textAlignment w:val="auto"/>
              <w:rPr>
                <w:rFonts w:hint="eastAsia" w:cs="Times New Roman"/>
                <w:b/>
                <w:bCs/>
                <w:color w:val="auto"/>
                <w:sz w:val="24"/>
                <w:szCs w:val="24"/>
                <w:lang w:val="en-US" w:eastAsia="zh-CN"/>
              </w:rPr>
            </w:pPr>
            <w:r>
              <w:rPr>
                <w:rFonts w:hint="eastAsia" w:cs="Times New Roman"/>
                <w:b/>
                <w:bCs/>
                <w:color w:val="auto"/>
                <w:sz w:val="24"/>
                <w:szCs w:val="24"/>
                <w:lang w:val="en-US" w:eastAsia="zh-CN"/>
              </w:rPr>
              <w:t>8、与《鸡西市空气质量持续改善行动计划贯彻落实方案》的符合性分析</w:t>
            </w:r>
          </w:p>
          <w:p w14:paraId="51624F4E">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（1）持续推进产业结构调整</w:t>
            </w:r>
          </w:p>
          <w:p w14:paraId="66272A09">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eastAsia"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坚决遏制“两高一低”项目盲目上马。严格环境准入要求。新建</w:t>
            </w:r>
            <w:r>
              <w:rPr>
                <w:rFonts w:hint="eastAsia" w:cs="Times New Roman"/>
                <w:b w:val="0"/>
                <w:bCs/>
                <w:color w:val="auto"/>
                <w:sz w:val="24"/>
                <w:szCs w:val="24"/>
                <w:highlight w:val="none"/>
                <w:lang w:val="en-US" w:eastAsia="zh-CN"/>
              </w:rPr>
              <w:t>、</w:t>
            </w:r>
            <w:r>
              <w:rPr>
                <w:rFonts w:hint="eastAsia" w:ascii="Times New Roman" w:hAnsi="Times New Roman" w:eastAsia="宋体" w:cs="Times New Roman"/>
                <w:b w:val="0"/>
                <w:bCs/>
                <w:color w:val="auto"/>
                <w:sz w:val="24"/>
                <w:szCs w:val="24"/>
                <w:highlight w:val="none"/>
                <w:lang w:val="en-US" w:eastAsia="zh-CN"/>
              </w:rPr>
              <w:t>改扩建“两高一低”项目应符合产业政策和相关法定规划，满足总量控制、碳达峰目标、生态环境准入清单、生态环境分区管控、相关规划环评等要求，原则上采用清洁运输方式。涉及产能置换的项目</w:t>
            </w:r>
            <w:r>
              <w:rPr>
                <w:rFonts w:hint="eastAsia" w:cs="Times New Roman"/>
                <w:b w:val="0"/>
                <w:bCs/>
                <w:color w:val="auto"/>
                <w:sz w:val="24"/>
                <w:szCs w:val="24"/>
                <w:highlight w:val="none"/>
                <w:lang w:val="en-US" w:eastAsia="zh-CN"/>
              </w:rPr>
              <w:t>，</w:t>
            </w:r>
            <w:r>
              <w:rPr>
                <w:rFonts w:hint="eastAsia" w:ascii="Times New Roman" w:hAnsi="Times New Roman" w:eastAsia="宋体" w:cs="Times New Roman"/>
                <w:b w:val="0"/>
                <w:bCs/>
                <w:color w:val="auto"/>
                <w:sz w:val="24"/>
                <w:szCs w:val="24"/>
                <w:highlight w:val="none"/>
                <w:lang w:val="en-US" w:eastAsia="zh-CN"/>
              </w:rPr>
              <w:t>被置换产能及其配套设施同步关停后，新建项目方能投产</w:t>
            </w:r>
            <w:r>
              <w:rPr>
                <w:rFonts w:hint="eastAsia" w:cs="Times New Roman"/>
                <w:b w:val="0"/>
                <w:bCs/>
                <w:color w:val="auto"/>
                <w:sz w:val="24"/>
                <w:szCs w:val="24"/>
                <w:highlight w:val="none"/>
                <w:lang w:val="en-US" w:eastAsia="zh-CN"/>
              </w:rPr>
              <w:t>。</w:t>
            </w:r>
          </w:p>
          <w:p w14:paraId="1A13F362">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加快退出重点行业落后产能。严格执行《产业结构调整指导目录》要求，加快退出淘汰类产能、工艺、装备，提高限制类产能</w:t>
            </w:r>
            <w:r>
              <w:rPr>
                <w:rFonts w:hint="eastAsia" w:cs="Times New Roman"/>
                <w:b w:val="0"/>
                <w:bCs/>
                <w:color w:val="auto"/>
                <w:sz w:val="24"/>
                <w:szCs w:val="24"/>
                <w:highlight w:val="none"/>
                <w:lang w:val="en-US" w:eastAsia="zh-CN"/>
              </w:rPr>
              <w:t>、</w:t>
            </w:r>
            <w:r>
              <w:rPr>
                <w:rFonts w:hint="eastAsia" w:ascii="Times New Roman" w:hAnsi="Times New Roman" w:eastAsia="宋体" w:cs="Times New Roman"/>
                <w:b w:val="0"/>
                <w:bCs/>
                <w:color w:val="auto"/>
                <w:sz w:val="24"/>
                <w:szCs w:val="24"/>
                <w:highlight w:val="none"/>
                <w:lang w:val="en-US" w:eastAsia="zh-CN"/>
              </w:rPr>
              <w:t>工艺、装备淘汰改造引导力度</w:t>
            </w:r>
            <w:r>
              <w:rPr>
                <w:rFonts w:hint="eastAsia" w:cs="Times New Roman"/>
                <w:b w:val="0"/>
                <w:bCs/>
                <w:color w:val="auto"/>
                <w:sz w:val="24"/>
                <w:szCs w:val="24"/>
                <w:highlight w:val="none"/>
                <w:lang w:val="en-US" w:eastAsia="zh-CN"/>
              </w:rPr>
              <w:t>。</w:t>
            </w:r>
          </w:p>
          <w:p w14:paraId="400ED6AA">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w:t>
            </w:r>
            <w:r>
              <w:rPr>
                <w:rFonts w:hint="eastAsia" w:cs="Times New Roman"/>
                <w:b w:val="0"/>
                <w:bCs/>
                <w:color w:val="auto"/>
                <w:sz w:val="24"/>
                <w:szCs w:val="24"/>
                <w:highlight w:val="none"/>
                <w:lang w:val="en-US" w:eastAsia="zh-CN"/>
              </w:rPr>
              <w:t>2</w:t>
            </w:r>
            <w:r>
              <w:rPr>
                <w:rFonts w:hint="eastAsia" w:ascii="Times New Roman" w:hAnsi="Times New Roman" w:eastAsia="宋体" w:cs="Times New Roman"/>
                <w:b w:val="0"/>
                <w:bCs/>
                <w:color w:val="auto"/>
                <w:sz w:val="24"/>
                <w:szCs w:val="24"/>
                <w:highlight w:val="none"/>
                <w:lang w:val="en-US" w:eastAsia="zh-CN"/>
              </w:rPr>
              <w:t>）持续优化改善能源结构</w:t>
            </w:r>
          </w:p>
          <w:p w14:paraId="319EEFA3">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实施工业炉窑清洁能源替代。有序推进以电代煤，积极稳妥推进以气代煤。安全稳妥推进使用高污染燃料的工业</w:t>
            </w:r>
            <w:r>
              <w:rPr>
                <w:rFonts w:hint="eastAsia" w:cs="Times New Roman"/>
                <w:b w:val="0"/>
                <w:bCs/>
                <w:color w:val="auto"/>
                <w:sz w:val="24"/>
                <w:szCs w:val="24"/>
                <w:highlight w:val="none"/>
                <w:lang w:val="en-US" w:eastAsia="zh-CN"/>
              </w:rPr>
              <w:t>炉窑</w:t>
            </w:r>
            <w:r>
              <w:rPr>
                <w:rFonts w:hint="eastAsia" w:ascii="Times New Roman" w:hAnsi="Times New Roman" w:eastAsia="宋体" w:cs="Times New Roman"/>
                <w:b w:val="0"/>
                <w:bCs/>
                <w:color w:val="auto"/>
                <w:sz w:val="24"/>
                <w:szCs w:val="24"/>
                <w:highlight w:val="none"/>
                <w:lang w:val="en-US" w:eastAsia="zh-CN"/>
              </w:rPr>
              <w:t>改用工业余热、电能、天然气等。支持企业实施工业炉窑节能改造、余热余压利用、集中供热替代等项目。</w:t>
            </w:r>
          </w:p>
          <w:p w14:paraId="4585F8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符合性分析：本项目为</w:t>
            </w:r>
            <w:r>
              <w:rPr>
                <w:rFonts w:hint="eastAsia" w:cs="Times New Roman"/>
                <w:b w:val="0"/>
                <w:bCs/>
                <w:color w:val="auto"/>
                <w:sz w:val="24"/>
                <w:szCs w:val="24"/>
                <w:highlight w:val="none"/>
                <w:lang w:val="en-US" w:eastAsia="zh-CN"/>
              </w:rPr>
              <w:t>粮食烘干项目</w:t>
            </w:r>
            <w:r>
              <w:rPr>
                <w:rFonts w:hint="eastAsia" w:ascii="Times New Roman" w:hAnsi="Times New Roman" w:eastAsia="宋体" w:cs="Times New Roman"/>
                <w:b w:val="0"/>
                <w:bCs/>
                <w:color w:val="auto"/>
                <w:sz w:val="24"/>
                <w:szCs w:val="24"/>
                <w:highlight w:val="none"/>
                <w:lang w:val="en-US" w:eastAsia="zh-CN"/>
              </w:rPr>
              <w:t>，</w:t>
            </w:r>
            <w:r>
              <w:rPr>
                <w:rFonts w:hint="eastAsia" w:cs="Times New Roman"/>
                <w:b w:val="0"/>
                <w:bCs/>
                <w:color w:val="auto"/>
                <w:sz w:val="24"/>
                <w:szCs w:val="24"/>
                <w:highlight w:val="none"/>
                <w:lang w:val="en-US" w:eastAsia="zh-CN"/>
              </w:rPr>
              <w:t>不属于高耗能、高排放、低水平项目。本项目为粮食烘干项目，属于《产业结构调整指导目录（2024年本）》中第一类“鼓励类”中第一项农林业 第26 条“农林牧渔产品储运。保鲜、加工与综合利用”；项目涉及的生产设备及生产工艺不属于《高耗能落后机电设备（产品）淘汰目录》中的高耗能落后机电设备（产品）；热风炉烟气通过除尘措施处理后经18m烟囱（DA001）排放，热风炉烟尘、SO</w:t>
            </w:r>
            <w:r>
              <w:rPr>
                <w:rFonts w:hint="eastAsia" w:cs="Times New Roman"/>
                <w:b w:val="0"/>
                <w:bCs/>
                <w:color w:val="auto"/>
                <w:sz w:val="24"/>
                <w:szCs w:val="24"/>
                <w:highlight w:val="none"/>
                <w:vertAlign w:val="subscript"/>
                <w:lang w:val="en-US" w:eastAsia="zh-CN"/>
              </w:rPr>
              <w:t>2</w:t>
            </w:r>
            <w:r>
              <w:rPr>
                <w:rFonts w:hint="eastAsia" w:cs="Times New Roman"/>
                <w:b w:val="0"/>
                <w:bCs/>
                <w:color w:val="auto"/>
                <w:sz w:val="24"/>
                <w:szCs w:val="24"/>
                <w:highlight w:val="none"/>
                <w:lang w:val="en-US" w:eastAsia="zh-CN"/>
              </w:rPr>
              <w:t>排放浓度均满足《工业炉窑大气污染物排放标准》（GB9078-1996）中的表2、表4中的二级标准。因此，本项目符合《鸡西市空气质量持续改善行动计划贯彻落实方案</w:t>
            </w:r>
            <w:r>
              <w:rPr>
                <w:rFonts w:hint="eastAsia" w:cs="Times New Roman"/>
                <w:b w:val="0"/>
                <w:bCs w:val="0"/>
                <w:color w:val="auto"/>
                <w:sz w:val="24"/>
                <w:szCs w:val="24"/>
                <w:lang w:val="en-US" w:eastAsia="zh-CN"/>
              </w:rPr>
              <w:t>》</w:t>
            </w:r>
            <w:r>
              <w:rPr>
                <w:rFonts w:hint="eastAsia" w:cs="Times New Roman"/>
                <w:b w:val="0"/>
                <w:bCs/>
                <w:color w:val="auto"/>
                <w:sz w:val="24"/>
                <w:szCs w:val="24"/>
                <w:highlight w:val="none"/>
                <w:lang w:val="en-US" w:eastAsia="zh-CN"/>
              </w:rPr>
              <w:t>相关要求。</w:t>
            </w:r>
          </w:p>
          <w:p w14:paraId="017ABE26">
            <w:pPr>
              <w:pStyle w:val="15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cs="Times New Roman"/>
                <w:b/>
                <w:bCs/>
                <w:color w:val="000000" w:themeColor="text1"/>
                <w:sz w:val="24"/>
                <w:szCs w:val="24"/>
                <w:lang w:val="en-US" w:eastAsia="zh-CN"/>
                <w14:textFill>
                  <w14:solidFill>
                    <w14:schemeClr w14:val="tx1"/>
                  </w14:solidFill>
                </w14:textFill>
              </w:rPr>
            </w:pPr>
            <w:r>
              <w:rPr>
                <w:rFonts w:hint="eastAsia" w:cs="Times New Roman"/>
                <w:b/>
                <w:bCs/>
                <w:color w:val="000000" w:themeColor="text1"/>
                <w:sz w:val="24"/>
                <w:szCs w:val="24"/>
                <w:lang w:val="en-US" w:eastAsia="zh-CN"/>
                <w14:textFill>
                  <w14:solidFill>
                    <w14:schemeClr w14:val="tx1"/>
                  </w14:solidFill>
                </w14:textFill>
              </w:rPr>
              <w:t>9、与《虎林市国土空间总体规划》</w:t>
            </w:r>
            <w:r>
              <w:rPr>
                <w:rFonts w:hint="eastAsia" w:eastAsia="宋体" w:cs="Times New Roman"/>
                <w:b/>
                <w:bCs/>
                <w:color w:val="000000" w:themeColor="text1"/>
                <w:kern w:val="2"/>
                <w:sz w:val="24"/>
                <w:szCs w:val="24"/>
                <w:highlight w:val="none"/>
                <w:lang w:val="en-US" w:eastAsia="zh-CN" w:bidi="ar-SA"/>
                <w14:textFill>
                  <w14:solidFill>
                    <w14:schemeClr w14:val="tx1"/>
                  </w14:solidFill>
                </w14:textFill>
              </w:rPr>
              <w:t>（2021-2035）</w:t>
            </w:r>
            <w:r>
              <w:rPr>
                <w:rFonts w:hint="eastAsia" w:cs="Times New Roman"/>
                <w:b/>
                <w:bCs/>
                <w:color w:val="000000" w:themeColor="text1"/>
                <w:sz w:val="24"/>
                <w:szCs w:val="24"/>
                <w:lang w:val="en-US" w:eastAsia="zh-CN"/>
                <w14:textFill>
                  <w14:solidFill>
                    <w14:schemeClr w14:val="tx1"/>
                  </w14:solidFill>
                </w14:textFill>
              </w:rPr>
              <w:t>的符合性分析</w:t>
            </w:r>
          </w:p>
          <w:p w14:paraId="360CC73A">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4"/>
                <w:szCs w:val="21"/>
                <w:lang w:val="en-US" w:eastAsia="zh-CN" w:bidi="ar-SA"/>
                <w14:textFill>
                  <w14:solidFill>
                    <w14:schemeClr w14:val="tx1"/>
                  </w14:solidFill>
                </w14:textFill>
              </w:rPr>
              <w:t>根据《虎林市国土空间总体规划》（</w:t>
            </w:r>
            <w:r>
              <w:rPr>
                <w:rFonts w:hint="default" w:ascii="Times New Roman" w:hAnsi="Times New Roman" w:eastAsia="宋体" w:cs="Times New Roman"/>
                <w:snapToGrid w:val="0"/>
                <w:color w:val="000000" w:themeColor="text1"/>
                <w:kern w:val="0"/>
                <w:sz w:val="24"/>
                <w:szCs w:val="21"/>
                <w:lang w:val="en-US" w:eastAsia="zh-CN" w:bidi="ar-SA"/>
                <w14:textFill>
                  <w14:solidFill>
                    <w14:schemeClr w14:val="tx1"/>
                  </w14:solidFill>
                </w14:textFill>
              </w:rPr>
              <w:t>2021-2035</w:t>
            </w:r>
            <w:r>
              <w:rPr>
                <w:rFonts w:hint="eastAsia" w:ascii="Times New Roman" w:hAnsi="Times New Roman" w:eastAsia="宋体" w:cs="Times New Roman"/>
                <w:snapToGrid w:val="0"/>
                <w:color w:val="000000" w:themeColor="text1"/>
                <w:kern w:val="0"/>
                <w:sz w:val="24"/>
                <w:szCs w:val="21"/>
                <w:lang w:val="en-US" w:eastAsia="zh-CN" w:bidi="ar-SA"/>
                <w14:textFill>
                  <w14:solidFill>
                    <w14:schemeClr w14:val="tx1"/>
                  </w14:solidFill>
                </w14:textFill>
              </w:rPr>
              <w:t>年）第三章 第一节</w:t>
            </w:r>
            <w:r>
              <w:rPr>
                <w:rFonts w:hint="default" w:ascii="Times New Roman" w:hAnsi="Times New Roman" w:eastAsia="宋体" w:cs="Times New Roman"/>
                <w:snapToGrid w:val="0"/>
                <w:color w:val="000000" w:themeColor="text1"/>
                <w:kern w:val="0"/>
                <w:sz w:val="24"/>
                <w:szCs w:val="21"/>
                <w:lang w:val="en-US" w:eastAsia="zh-CN" w:bidi="ar-SA"/>
                <w14:textFill>
                  <w14:solidFill>
                    <w14:schemeClr w14:val="tx1"/>
                  </w14:solidFill>
                </w14:textFill>
              </w:rPr>
              <w:t>统筹划定落实三条控制线</w:t>
            </w:r>
            <w:r>
              <w:rPr>
                <w:rFonts w:hint="eastAsia" w:ascii="Times New Roman" w:hAnsi="Times New Roman" w:eastAsia="宋体" w:cs="Times New Roman"/>
                <w:snapToGrid w:val="0"/>
                <w:color w:val="000000" w:themeColor="text1"/>
                <w:kern w:val="0"/>
                <w:sz w:val="24"/>
                <w:szCs w:val="21"/>
                <w:lang w:val="en-US" w:eastAsia="zh-CN" w:bidi="ar-SA"/>
                <w14:textFill>
                  <w14:solidFill>
                    <w14:schemeClr w14:val="tx1"/>
                  </w14:solidFill>
                </w14:textFill>
              </w:rPr>
              <w:t xml:space="preserve"> </w:t>
            </w:r>
            <w:bookmarkStart w:id="18" w:name="_Toc27569"/>
            <w:bookmarkStart w:id="19" w:name="_Toc7763"/>
            <w:bookmarkStart w:id="20" w:name="_Toc9209"/>
            <w:r>
              <w:rPr>
                <w:rFonts w:hint="default" w:ascii="Times New Roman" w:hAnsi="Times New Roman" w:eastAsia="宋体" w:cs="Times New Roman"/>
                <w:snapToGrid w:val="0"/>
                <w:color w:val="000000" w:themeColor="text1"/>
                <w:kern w:val="0"/>
                <w:sz w:val="24"/>
                <w:szCs w:val="21"/>
                <w:lang w:val="en-US" w:eastAsia="zh-CN" w:bidi="ar-SA"/>
                <w14:textFill>
                  <w14:solidFill>
                    <w14:schemeClr w14:val="tx1"/>
                  </w14:solidFill>
                </w14:textFill>
              </w:rPr>
              <w:t>第</w:t>
            </w:r>
            <w:r>
              <w:rPr>
                <w:rFonts w:hint="eastAsia" w:ascii="Times New Roman" w:hAnsi="Times New Roman" w:eastAsia="宋体" w:cs="Times New Roman"/>
                <w:snapToGrid w:val="0"/>
                <w:color w:val="000000" w:themeColor="text1"/>
                <w:kern w:val="0"/>
                <w:sz w:val="24"/>
                <w:szCs w:val="21"/>
                <w:lang w:val="en-US" w:eastAsia="zh-CN" w:bidi="ar-SA"/>
                <w14:textFill>
                  <w14:solidFill>
                    <w14:schemeClr w14:val="tx1"/>
                  </w14:solidFill>
                </w14:textFill>
              </w:rPr>
              <w:t>13</w:t>
            </w:r>
            <w:r>
              <w:rPr>
                <w:rFonts w:hint="default" w:ascii="Times New Roman" w:hAnsi="Times New Roman" w:eastAsia="宋体" w:cs="Times New Roman"/>
                <w:snapToGrid w:val="0"/>
                <w:color w:val="000000" w:themeColor="text1"/>
                <w:kern w:val="0"/>
                <w:sz w:val="24"/>
                <w:szCs w:val="21"/>
                <w:lang w:val="en-US" w:eastAsia="zh-CN" w:bidi="ar-SA"/>
                <w14:textFill>
                  <w14:solidFill>
                    <w14:schemeClr w14:val="tx1"/>
                  </w14:solidFill>
                </w14:textFill>
              </w:rPr>
              <w:t>条 优先划定耕地和永久基本农田保护红线</w:t>
            </w:r>
            <w:bookmarkEnd w:id="18"/>
            <w:bookmarkEnd w:id="19"/>
            <w:bookmarkEnd w:id="20"/>
            <w:r>
              <w:rPr>
                <w:rFonts w:hint="eastAsia" w:ascii="Times New Roman" w:hAnsi="Times New Roman" w:eastAsia="宋体" w:cs="Times New Roman"/>
                <w:snapToGrid w:val="0"/>
                <w:color w:val="000000" w:themeColor="text1"/>
                <w:kern w:val="0"/>
                <w:sz w:val="24"/>
                <w:szCs w:val="21"/>
                <w:lang w:val="en-US" w:eastAsia="zh-CN" w:bidi="ar-SA"/>
                <w14:textFill>
                  <w14:solidFill>
                    <w14:schemeClr w14:val="tx1"/>
                  </w14:solidFill>
                </w14:textFill>
              </w:rPr>
              <w:t xml:space="preserve"> 严格耕地和永久基本农田管控：永久基本农田全面实行特殊保护，落实到图斑地块</w:t>
            </w:r>
            <w:bookmarkStart w:id="21" w:name="hmcheck_04ae346c1af74cb48ca4da6cf6030b2c"/>
            <w:r>
              <w:rPr>
                <w:rFonts w:hint="eastAsia" w:ascii="Times New Roman" w:hAnsi="Times New Roman" w:eastAsia="宋体" w:cs="Times New Roman"/>
                <w:snapToGrid w:val="0"/>
                <w:color w:val="000000" w:themeColor="text1"/>
                <w:kern w:val="0"/>
                <w:sz w:val="24"/>
                <w:szCs w:val="21"/>
                <w:lang w:val="en-US" w:eastAsia="zh-CN" w:bidi="ar-SA"/>
                <w14:textFill>
                  <w14:solidFill>
                    <w14:schemeClr w14:val="tx1"/>
                  </w14:solidFill>
                </w14:textFill>
              </w:rPr>
              <w:t>并</w:t>
            </w:r>
            <w:bookmarkEnd w:id="21"/>
            <w:r>
              <w:rPr>
                <w:rFonts w:hint="eastAsia" w:ascii="Times New Roman" w:hAnsi="Times New Roman" w:eastAsia="宋体" w:cs="Times New Roman"/>
                <w:snapToGrid w:val="0"/>
                <w:color w:val="000000" w:themeColor="text1"/>
                <w:kern w:val="0"/>
                <w:sz w:val="24"/>
                <w:szCs w:val="21"/>
                <w:lang w:val="en-US" w:eastAsia="zh-CN" w:bidi="ar-SA"/>
                <w14:textFill>
                  <w14:solidFill>
                    <w14:schemeClr w14:val="tx1"/>
                  </w14:solidFill>
                </w14:textFill>
              </w:rPr>
              <w:t>上图入库，实现耕地数量、质量、生态“三位一体”保护，管住、建好、守牢永久基本农田。永久基本农田经依法划定后，任何单位和个人不得擅自占用或改变用途。能源、交通、水利、军事设施等重大建设项目选址确实难以避让永久基本农田的，经依法批准，按照数量不减、质量不降原则，在长期稳定利用的耕地上落实永久基本农田补划任务。</w:t>
            </w:r>
            <w:bookmarkStart w:id="22" w:name="_Toc7896"/>
            <w:bookmarkStart w:id="23" w:name="_Toc11252"/>
            <w:bookmarkStart w:id="24" w:name="_Toc3005"/>
            <w:r>
              <w:rPr>
                <w:rFonts w:hint="eastAsia" w:ascii="Times New Roman" w:hAnsi="Times New Roman" w:eastAsia="宋体" w:cs="Times New Roman"/>
                <w:snapToGrid w:val="0"/>
                <w:color w:val="000000" w:themeColor="text1"/>
                <w:kern w:val="0"/>
                <w:sz w:val="24"/>
                <w:szCs w:val="21"/>
                <w:lang w:val="en-US" w:eastAsia="zh-CN" w:bidi="ar-SA"/>
                <w14:textFill>
                  <w14:solidFill>
                    <w14:schemeClr w14:val="tx1"/>
                  </w14:solidFill>
                </w14:textFill>
              </w:rPr>
              <w:t>第14条 科学划定生态保护红线</w:t>
            </w:r>
            <w:bookmarkEnd w:id="22"/>
            <w:bookmarkEnd w:id="23"/>
            <w:bookmarkEnd w:id="24"/>
            <w:r>
              <w:rPr>
                <w:rFonts w:hint="eastAsia" w:ascii="Times New Roman" w:hAnsi="Times New Roman" w:eastAsia="宋体" w:cs="Times New Roman"/>
                <w:snapToGrid w:val="0"/>
                <w:color w:val="000000" w:themeColor="text1"/>
                <w:kern w:val="0"/>
                <w:sz w:val="24"/>
                <w:szCs w:val="21"/>
                <w:lang w:val="en-US" w:eastAsia="zh-CN" w:bidi="ar-SA"/>
                <w14:textFill>
                  <w14:solidFill>
                    <w14:schemeClr w14:val="tx1"/>
                  </w14:solidFill>
                </w14:textFill>
              </w:rPr>
              <w:t xml:space="preserve"> 加强生态保护红线管控：生态保护红线内禁止开发性、生产性建设活动，仅允许国家和省级规定的对生态功能不造成破坏的有限人为活动。建设项目涉及生态保护红线，属于允许有限人为活动的，涉及新增建设用地的，在农用地转用、土地征收时</w:t>
            </w:r>
            <w:bookmarkStart w:id="25" w:name="hmcheck_00b4277a23ee42c9b99e4e007b49d63f"/>
            <w:r>
              <w:rPr>
                <w:rFonts w:hint="eastAsia" w:ascii="Times New Roman" w:hAnsi="Times New Roman" w:eastAsia="宋体" w:cs="Times New Roman"/>
                <w:snapToGrid w:val="0"/>
                <w:color w:val="000000" w:themeColor="text1"/>
                <w:kern w:val="0"/>
                <w:sz w:val="24"/>
                <w:szCs w:val="21"/>
                <w:lang w:val="en-US" w:eastAsia="zh-CN" w:bidi="ar-SA"/>
                <w14:textFill>
                  <w14:solidFill>
                    <w14:schemeClr w14:val="tx1"/>
                  </w14:solidFill>
                </w14:textFill>
              </w:rPr>
              <w:t>附</w:t>
            </w:r>
            <w:bookmarkEnd w:id="25"/>
            <w:r>
              <w:rPr>
                <w:rFonts w:hint="eastAsia" w:ascii="Times New Roman" w:hAnsi="Times New Roman" w:eastAsia="宋体" w:cs="Times New Roman"/>
                <w:snapToGrid w:val="0"/>
                <w:color w:val="000000" w:themeColor="text1"/>
                <w:kern w:val="0"/>
                <w:sz w:val="24"/>
                <w:szCs w:val="21"/>
                <w:lang w:val="en-US" w:eastAsia="zh-CN" w:bidi="ar-SA"/>
                <w14:textFill>
                  <w14:solidFill>
                    <w14:schemeClr w14:val="tx1"/>
                  </w14:solidFill>
                </w14:textFill>
              </w:rPr>
              <w:t>省级人民政府符合允许有限人为活动的意见；国家重大项目确需占用生态保护红线的，省级人民政府提出农用地转用、土地征收申请时，同时附省级人民政府出具的不可避让论证意见，报国务院批准。生态保护红线内自然保护区、风景名胜区、饮用水水源保护区等区域，依照法律法规执行。</w:t>
            </w:r>
            <w:bookmarkStart w:id="26" w:name="_Toc22252"/>
            <w:bookmarkStart w:id="27" w:name="_Toc18757"/>
            <w:bookmarkStart w:id="28" w:name="_Toc31222"/>
            <w:r>
              <w:rPr>
                <w:rFonts w:hint="eastAsia" w:ascii="Times New Roman" w:hAnsi="Times New Roman" w:eastAsia="宋体" w:cs="Times New Roman"/>
                <w:snapToGrid w:val="0"/>
                <w:color w:val="000000" w:themeColor="text1"/>
                <w:kern w:val="0"/>
                <w:sz w:val="24"/>
                <w:szCs w:val="21"/>
                <w:lang w:val="en-US" w:eastAsia="zh-CN" w:bidi="ar-SA"/>
                <w14:textFill>
                  <w14:solidFill>
                    <w14:schemeClr w14:val="tx1"/>
                  </w14:solidFill>
                </w14:textFill>
              </w:rPr>
              <w:t>第15条 合理划定城镇开发边界</w:t>
            </w:r>
            <w:bookmarkEnd w:id="26"/>
            <w:bookmarkEnd w:id="27"/>
            <w:bookmarkEnd w:id="28"/>
            <w:r>
              <w:rPr>
                <w:rFonts w:hint="eastAsia" w:ascii="Times New Roman" w:hAnsi="Times New Roman" w:eastAsia="宋体" w:cs="Times New Roman"/>
                <w:snapToGrid w:val="0"/>
                <w:color w:val="000000" w:themeColor="text1"/>
                <w:kern w:val="0"/>
                <w:sz w:val="24"/>
                <w:szCs w:val="21"/>
                <w:lang w:val="en-US" w:eastAsia="zh-CN" w:bidi="ar-SA"/>
                <w14:textFill>
                  <w14:solidFill>
                    <w14:schemeClr w14:val="tx1"/>
                  </w14:solidFill>
                </w14:textFill>
              </w:rPr>
              <w:t xml:space="preserve"> 加强城镇开发边界管控：在城镇开发边界内建设，实行“详细规划+规划许可”的管制方式，并加强与水体保护线、绿地系统线、基础设施建设控制线、历史文化保护线等控制线的协同管控。严格城镇开发边界外空间准入，原则上除军事及安全保密、殡葬等特殊用地外，只能用于农业生产、乡村振兴、生态保护和交通等基础设施建设，不得进行城镇集中建设，不得设立各</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类开发区。</w:t>
            </w:r>
          </w:p>
          <w:p w14:paraId="0EDBF4CE">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根据《虎林市国土空间总体规划》（</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2021-2035</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 xml:space="preserve">年）第三章 </w:t>
            </w:r>
            <w:bookmarkStart w:id="29" w:name="_Toc181784435"/>
            <w:bookmarkStart w:id="30" w:name="_Toc181784575"/>
            <w:bookmarkStart w:id="31" w:name="_Toc28654"/>
            <w:bookmarkStart w:id="32" w:name="_Toc181784645"/>
            <w:bookmarkStart w:id="33" w:name="_Toc31586"/>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第二节 落实主体功能区战略</w:t>
            </w:r>
            <w:bookmarkEnd w:id="29"/>
            <w:bookmarkEnd w:id="30"/>
            <w:bookmarkEnd w:id="31"/>
            <w:bookmarkEnd w:id="32"/>
            <w:bookmarkEnd w:id="33"/>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 xml:space="preserve"> 第16条 </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巩固农产品主产区</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农产品主产区包括迎</w:t>
            </w:r>
            <w:r>
              <w:rPr>
                <w:rFonts w:hint="default" w:ascii="Times New Roman" w:hAnsi="Times New Roman" w:eastAsia="宋体" w:cs="Times New Roman"/>
                <w:b w:val="0"/>
                <w:bCs/>
                <w:color w:val="auto"/>
                <w:sz w:val="24"/>
                <w:szCs w:val="24"/>
                <w:highlight w:val="none"/>
                <w:lang w:val="en-US" w:eastAsia="zh-CN"/>
              </w:rPr>
              <w:t>春镇、东诚镇、宝东镇、新乐乡、伟光乡</w:t>
            </w:r>
            <w:r>
              <w:rPr>
                <w:rFonts w:hint="eastAsia" w:ascii="Times New Roman" w:hAnsi="Times New Roman" w:eastAsia="宋体" w:cs="Times New Roman"/>
                <w:b w:val="0"/>
                <w:bCs/>
                <w:color w:val="auto"/>
                <w:sz w:val="24"/>
                <w:szCs w:val="24"/>
                <w:highlight w:val="none"/>
                <w:lang w:val="en-US" w:eastAsia="zh-CN"/>
              </w:rPr>
              <w:t>5</w:t>
            </w:r>
            <w:r>
              <w:rPr>
                <w:rFonts w:hint="default" w:ascii="Times New Roman" w:hAnsi="Times New Roman" w:eastAsia="宋体" w:cs="Times New Roman"/>
                <w:b w:val="0"/>
                <w:bCs/>
                <w:color w:val="auto"/>
                <w:sz w:val="24"/>
                <w:szCs w:val="24"/>
                <w:highlight w:val="none"/>
                <w:lang w:val="en-US" w:eastAsia="zh-CN"/>
              </w:rPr>
              <w:t>个乡镇。</w:t>
            </w:r>
            <w:r>
              <w:rPr>
                <w:rFonts w:hint="eastAsia" w:ascii="Times New Roman" w:hAnsi="Times New Roman" w:eastAsia="宋体" w:cs="Times New Roman"/>
                <w:b w:val="0"/>
                <w:bCs/>
                <w:color w:val="auto"/>
                <w:sz w:val="24"/>
                <w:szCs w:val="24"/>
                <w:highlight w:val="none"/>
                <w:lang w:val="en-US" w:eastAsia="zh-CN"/>
              </w:rPr>
              <w:t xml:space="preserve">第17条 </w:t>
            </w:r>
            <w:r>
              <w:rPr>
                <w:rFonts w:hint="default" w:ascii="Times New Roman" w:hAnsi="Times New Roman" w:eastAsia="宋体" w:cs="Times New Roman"/>
                <w:b w:val="0"/>
                <w:bCs/>
                <w:color w:val="auto"/>
                <w:sz w:val="24"/>
                <w:szCs w:val="24"/>
                <w:highlight w:val="none"/>
                <w:lang w:val="en-US" w:eastAsia="zh-CN"/>
              </w:rPr>
              <w:t>筑牢重点生态功能</w:t>
            </w:r>
            <w:r>
              <w:rPr>
                <w:rFonts w:hint="eastAsia" w:ascii="Times New Roman" w:hAnsi="Times New Roman" w:eastAsia="宋体" w:cs="Times New Roman"/>
                <w:b w:val="0"/>
                <w:bCs/>
                <w:color w:val="auto"/>
                <w:sz w:val="24"/>
                <w:szCs w:val="24"/>
                <w:highlight w:val="none"/>
                <w:lang w:val="en-US" w:eastAsia="zh-CN"/>
              </w:rPr>
              <w:t>区：</w:t>
            </w:r>
            <w:r>
              <w:rPr>
                <w:rFonts w:hint="default" w:ascii="Times New Roman" w:hAnsi="Times New Roman" w:eastAsia="宋体" w:cs="Times New Roman"/>
                <w:b w:val="0"/>
                <w:bCs/>
                <w:color w:val="auto"/>
                <w:sz w:val="24"/>
                <w:szCs w:val="24"/>
                <w:highlight w:val="none"/>
                <w:lang w:val="en-US" w:eastAsia="zh-CN"/>
              </w:rPr>
              <w:t>重点生态功能区为杨岗镇、虎头镇、东方红镇、珍宝岛乡、阿北乡、虎林飞出地、八五一一农场、八五八农场、八五六农场、八五四农场、八五</w:t>
            </w:r>
            <w:r>
              <w:rPr>
                <w:rFonts w:hint="eastAsia" w:ascii="Times New Roman" w:hAnsi="Times New Roman" w:eastAsia="宋体" w:cs="Times New Roman"/>
                <w:b w:val="0"/>
                <w:bCs/>
                <w:color w:val="auto"/>
                <w:sz w:val="24"/>
                <w:szCs w:val="24"/>
                <w:highlight w:val="none"/>
                <w:lang w:val="en-US" w:eastAsia="zh-CN"/>
              </w:rPr>
              <w:t>〇</w:t>
            </w:r>
            <w:r>
              <w:rPr>
                <w:rFonts w:hint="default" w:ascii="Times New Roman" w:hAnsi="Times New Roman" w:eastAsia="宋体" w:cs="Times New Roman"/>
                <w:b w:val="0"/>
                <w:bCs/>
                <w:color w:val="auto"/>
                <w:sz w:val="24"/>
                <w:szCs w:val="24"/>
                <w:highlight w:val="none"/>
                <w:lang w:val="en-US" w:eastAsia="zh-CN"/>
              </w:rPr>
              <w:t>农场、云山农场、庆丰农场。</w:t>
            </w:r>
            <w:r>
              <w:rPr>
                <w:rFonts w:hint="eastAsia" w:ascii="Times New Roman" w:hAnsi="Times New Roman" w:eastAsia="宋体" w:cs="Times New Roman"/>
                <w:b w:val="0"/>
                <w:bCs/>
                <w:color w:val="auto"/>
                <w:sz w:val="24"/>
                <w:szCs w:val="24"/>
                <w:highlight w:val="none"/>
                <w:lang w:val="en-US" w:eastAsia="zh-CN"/>
              </w:rPr>
              <w:t xml:space="preserve">第19条 </w:t>
            </w:r>
            <w:r>
              <w:rPr>
                <w:rFonts w:hint="default" w:ascii="Times New Roman" w:hAnsi="Times New Roman" w:eastAsia="宋体" w:cs="Times New Roman"/>
                <w:b w:val="0"/>
                <w:bCs/>
                <w:color w:val="auto"/>
                <w:sz w:val="24"/>
                <w:szCs w:val="24"/>
                <w:highlight w:val="none"/>
                <w:lang w:val="en-US" w:eastAsia="zh-CN"/>
              </w:rPr>
              <w:t>保障边境地区建设</w:t>
            </w:r>
            <w:r>
              <w:rPr>
                <w:rFonts w:hint="eastAsia" w:ascii="Times New Roman" w:hAnsi="Times New Roman" w:eastAsia="宋体"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边境地区为虎头镇、珍宝岛乡、东方红镇、宝东镇、八五八农场、八五六农场。</w:t>
            </w:r>
          </w:p>
          <w:p w14:paraId="0A6D796D">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符合性分析：本项目位于黑龙江省鸡西市虎林市，项目用地为商业用地，不占用永久基本农田，不占用生态保护红线，</w:t>
            </w:r>
            <w:r>
              <w:rPr>
                <w:rFonts w:hint="eastAsia" w:ascii="Times New Roman" w:hAnsi="Times New Roman" w:eastAsia="宋体" w:cs="Times New Roman"/>
                <w:b w:val="0"/>
                <w:bCs w:val="0"/>
                <w:color w:val="auto"/>
                <w:sz w:val="24"/>
                <w:szCs w:val="24"/>
                <w:shd w:val="clear" w:color="auto" w:fill="auto"/>
                <w:lang w:val="en-US" w:eastAsia="zh-CN"/>
              </w:rPr>
              <w:t>符合国家有关规定，</w:t>
            </w:r>
            <w:r>
              <w:rPr>
                <w:rFonts w:hint="eastAsia" w:ascii="Times New Roman" w:hAnsi="Times New Roman" w:eastAsia="宋体" w:cs="Times New Roman"/>
                <w:b w:val="0"/>
                <w:bCs/>
                <w:color w:val="auto"/>
                <w:sz w:val="24"/>
                <w:szCs w:val="24"/>
                <w:highlight w:val="none"/>
                <w:lang w:val="en-US" w:eastAsia="zh-CN"/>
              </w:rPr>
              <w:t>符合《虎林市国土空间总体规划》（</w:t>
            </w:r>
            <w:r>
              <w:rPr>
                <w:rFonts w:hint="default" w:ascii="Times New Roman" w:hAnsi="Times New Roman" w:eastAsia="宋体" w:cs="Times New Roman"/>
                <w:b w:val="0"/>
                <w:bCs/>
                <w:color w:val="auto"/>
                <w:sz w:val="24"/>
                <w:szCs w:val="24"/>
                <w:highlight w:val="none"/>
                <w:lang w:val="en-US" w:eastAsia="zh-CN"/>
              </w:rPr>
              <w:t>2021-2035</w:t>
            </w:r>
            <w:r>
              <w:rPr>
                <w:rFonts w:hint="eastAsia" w:ascii="Times New Roman" w:hAnsi="Times New Roman" w:eastAsia="宋体" w:cs="Times New Roman"/>
                <w:b w:val="0"/>
                <w:bCs/>
                <w:color w:val="auto"/>
                <w:sz w:val="24"/>
                <w:szCs w:val="24"/>
                <w:highlight w:val="none"/>
                <w:lang w:val="en-US" w:eastAsia="zh-CN"/>
              </w:rPr>
              <w:t>年）的要求。</w:t>
            </w:r>
          </w:p>
          <w:p w14:paraId="4F926B68">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2" w:firstLineChars="200"/>
              <w:jc w:val="left"/>
              <w:textAlignment w:val="auto"/>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10、与《鸡西市“十四五”生态环境保护规划》的符合性分析</w:t>
            </w:r>
          </w:p>
          <w:p w14:paraId="2A87BA78">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实施大气环境质量目标管理。对照2035年远景目标，开展形势分析，逐步提高大气环境质量目标，持续改善城市大气环境质量。</w:t>
            </w:r>
          </w:p>
          <w:p w14:paraId="11971592">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开展工业炉窑深度治理。分类建立超低排放改造以外的重点涉工业炉窑行业清单，制定工业炉窑深度治理工作方案。严格排放标准要求，加强不达标工业炉窑的淘汰力度，加快淘汰中小型煤气发生炉。鼓励工业炉窑使用电、天然气等清洁能源或由周边热电厂供热。</w:t>
            </w:r>
          </w:p>
          <w:p w14:paraId="5B31A3AE">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加大燃煤污染治理力度。深入实施散煤污染治理“三重一改”攻坚行动，统筹全市棚户区、城中村、城乡结合部、商户和农村地区散煤污染治理，按照“煤炭集中使用、清洁利用”原则，重点削减散煤、工业锅炉、工业炉窑等非电用煤，以“煤改气”“煤改电”为主要方式，降低煤炭在能源消费中的比重。持续推进清洁取暖，加快生物质成型燃料供暖，构建绿色、节约、高效、协调、适用的清洁供暖体系。市主城区建成区基本实现散煤清零。加快淘汰全市建成区10-35蒸吨/小时燃煤锅炉，推进65蒸吨/小时及以上燃煤锅炉（含电力）超低排放改造，实现20蒸吨/小时及以上锅炉稳定达标排放全覆盖。</w:t>
            </w:r>
          </w:p>
          <w:p w14:paraId="637C40D4">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强化秸秆综合利用和禁烧。推进秸秆综合利用实施，合理安排“五化”利用，完善秸秆收储运体系，研发推广综合利用先进技术和设备。加强试点示范，拓宽利用路径，完善扶持政策，探索建立政府、企业与农民三方共赢的秸秆综合利用利益链接机制，实现秸秆综合利用水平全面提升。强化各级网格责任单位秸秆禁烧主体责任，健全市县乡村“四级”网格化监管体系，强化秸秆禁烧督查巡查，综合运用卫星遥感、高清视频监控等手段，不断提高禁烧监管水平，严格落实奖惩制度。到2025年，全市秸秆还田率达到60%以上，秸秆综合利用率达到90%。</w:t>
            </w:r>
          </w:p>
          <w:p w14:paraId="2C2F5BF3">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推进扬尘精细化管控。全面推行绿色施工，严格落实施工工地扬尘管控责任，加强施工扬尘监管执法。推进低尘机械化湿式清扫作业，加大城市出入口、城乡结合部等重要路段冲洗保洁力度，渣土车实施全闭运输，强化绿化用地扬尘治理。城市裸露地面、粉粒类物料堆放以及大型煤炭物料堆场，全面完成抑尘设施建设和物料输送系统封闭改造鼓励有条件的堆场实施全封闭改造。</w:t>
            </w:r>
          </w:p>
          <w:p w14:paraId="53E5BBF8">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符合性分析：</w:t>
            </w:r>
            <w:r>
              <w:rPr>
                <w:rFonts w:hint="default" w:ascii="Times New Roman" w:hAnsi="Times New Roman" w:eastAsia="宋体" w:cs="Times New Roman"/>
                <w:color w:val="auto"/>
                <w:sz w:val="24"/>
                <w:szCs w:val="24"/>
                <w:highlight w:val="none"/>
                <w:lang w:val="en-US" w:eastAsia="zh-CN"/>
              </w:rPr>
              <w:t>本项目建设一台600万kcal生物质热风炉，采用生物质成型燃料，不涉及燃煤燃料使用，可以达标排放，属于可行技术，确保污染物稳定达标排放</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项目建设符合《鸡西市“十四五”生态环境保护规划》要求。</w:t>
            </w:r>
          </w:p>
          <w:p w14:paraId="5FF2D88E">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2" w:firstLineChars="200"/>
              <w:jc w:val="left"/>
              <w:textAlignment w:val="auto"/>
              <w:rPr>
                <w:rFonts w:hint="eastAsia" w:ascii="Times New Roman" w:hAnsi="Times New Roman" w:eastAsia="宋体" w:cs="Times New Roman"/>
                <w:b/>
                <w:bCs/>
                <w:color w:val="auto"/>
                <w:sz w:val="24"/>
                <w:szCs w:val="24"/>
                <w:lang w:val="en-US" w:eastAsia="zh-CN"/>
              </w:rPr>
            </w:pPr>
            <w:r>
              <w:rPr>
                <w:rFonts w:hint="eastAsia" w:cs="Times New Roman"/>
                <w:b/>
                <w:bCs/>
                <w:color w:val="auto"/>
                <w:sz w:val="24"/>
                <w:szCs w:val="24"/>
                <w:lang w:val="en-US" w:eastAsia="zh-CN"/>
              </w:rPr>
              <w:t>11</w:t>
            </w:r>
            <w:r>
              <w:rPr>
                <w:rFonts w:hint="eastAsia" w:ascii="Times New Roman" w:hAnsi="Times New Roman" w:eastAsia="宋体" w:cs="Times New Roman"/>
                <w:b/>
                <w:bCs/>
                <w:color w:val="auto"/>
                <w:sz w:val="24"/>
                <w:szCs w:val="24"/>
                <w:lang w:val="en-US" w:eastAsia="zh-CN"/>
              </w:rPr>
              <w:t>、选址合理性分析</w:t>
            </w:r>
          </w:p>
          <w:p w14:paraId="0B0F00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（1）用地符合性分析</w:t>
            </w:r>
          </w:p>
          <w:p w14:paraId="27D38B1A">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本项目位于</w:t>
            </w:r>
            <w:r>
              <w:rPr>
                <w:rFonts w:hint="eastAsia" w:ascii="Times New Roman" w:hAnsi="Times New Roman" w:eastAsia="宋体" w:cs="Times New Roman"/>
                <w:color w:val="auto"/>
                <w:sz w:val="24"/>
                <w:szCs w:val="24"/>
                <w:lang w:val="en-US" w:eastAsia="zh-CN"/>
              </w:rPr>
              <w:t>黑龙江省鸡西市虎林市。厂区北侧为北兴路，东侧为小路，西侧为空地，南侧为耕农村。本</w:t>
            </w:r>
            <w:r>
              <w:rPr>
                <w:rFonts w:hint="default" w:ascii="Times New Roman" w:hAnsi="Times New Roman" w:eastAsia="宋体" w:cs="Times New Roman"/>
                <w:color w:val="auto"/>
                <w:sz w:val="24"/>
                <w:szCs w:val="24"/>
                <w:lang w:val="en-US" w:eastAsia="zh-CN"/>
              </w:rPr>
              <w:t>项目</w:t>
            </w:r>
            <w:r>
              <w:rPr>
                <w:rFonts w:hint="eastAsia" w:ascii="Times New Roman" w:hAnsi="Times New Roman" w:eastAsia="宋体" w:cs="Times New Roman"/>
                <w:color w:val="auto"/>
                <w:sz w:val="24"/>
                <w:szCs w:val="24"/>
                <w:lang w:val="en-US" w:eastAsia="zh-CN"/>
              </w:rPr>
              <w:t>所在</w:t>
            </w:r>
            <w:r>
              <w:rPr>
                <w:rFonts w:hint="default" w:ascii="Times New Roman" w:hAnsi="Times New Roman" w:eastAsia="宋体" w:cs="Times New Roman"/>
                <w:color w:val="auto"/>
                <w:sz w:val="24"/>
                <w:szCs w:val="24"/>
                <w:lang w:val="en-US" w:eastAsia="zh-CN"/>
              </w:rPr>
              <w:t>区域内无国家、省、市级自然保护区，风景名胜区，名胜古迹、饮用水水源地保护区等环境敏感目标</w:t>
            </w:r>
            <w:r>
              <w:rPr>
                <w:rFonts w:hint="eastAsia" w:ascii="Times New Roman" w:hAnsi="Times New Roman" w:eastAsia="宋体" w:cs="Times New Roman"/>
                <w:color w:val="auto"/>
                <w:sz w:val="24"/>
                <w:szCs w:val="24"/>
                <w:lang w:val="en-US" w:eastAsia="zh-CN"/>
              </w:rPr>
              <w:t>，本项目为扩建项目，利用现有建筑，不新增占地。本项目500m范围内也没有集中式地下水饮用水保护区。本项目</w:t>
            </w:r>
            <w:r>
              <w:rPr>
                <w:rFonts w:hint="default" w:ascii="Times New Roman" w:hAnsi="Times New Roman" w:eastAsia="宋体" w:cs="Times New Roman"/>
                <w:color w:val="auto"/>
                <w:sz w:val="24"/>
                <w:szCs w:val="24"/>
                <w:lang w:val="en-US" w:eastAsia="zh-CN"/>
              </w:rPr>
              <w:t>用地性质为</w:t>
            </w:r>
            <w:r>
              <w:rPr>
                <w:rFonts w:hint="eastAsia" w:ascii="Times New Roman" w:hAnsi="Times New Roman" w:eastAsia="宋体" w:cs="Times New Roman"/>
                <w:color w:val="auto"/>
                <w:sz w:val="24"/>
                <w:szCs w:val="24"/>
                <w:lang w:val="en-US" w:eastAsia="zh-CN"/>
              </w:rPr>
              <w:t>商业用地。</w:t>
            </w:r>
          </w:p>
          <w:p w14:paraId="6386FD70">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环境相容性</w:t>
            </w:r>
          </w:p>
          <w:p w14:paraId="13D0C48F">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根据现场调查，项目周围无自然保护区及珍稀动植物，项目所产生的各项污染物，在采取本评价所提出的各项治理措施后，均可做到达标排放或得到合理的处理处置，</w:t>
            </w:r>
            <w:r>
              <w:rPr>
                <w:rFonts w:hint="eastAsia" w:ascii="Times New Roman" w:hAnsi="Times New Roman" w:eastAsia="宋体" w:cs="Times New Roman"/>
                <w:color w:val="auto"/>
                <w:sz w:val="24"/>
                <w:szCs w:val="24"/>
                <w:lang w:val="en-US" w:eastAsia="zh-CN"/>
              </w:rPr>
              <w:t>本项目生产工艺简单，在落实各项大气污染治理措施后，对区域的大气污染影响较小</w:t>
            </w:r>
            <w:r>
              <w:rPr>
                <w:rFonts w:hint="default" w:ascii="Times New Roman" w:hAnsi="Times New Roman" w:eastAsia="宋体" w:cs="Times New Roman"/>
                <w:color w:val="auto"/>
                <w:sz w:val="24"/>
                <w:szCs w:val="24"/>
                <w:lang w:val="en-US" w:eastAsia="zh-CN"/>
              </w:rPr>
              <w:t>。项目所在区域基础设施配套完善，周围具有较完善的给水、供电、通信等</w:t>
            </w:r>
            <w:r>
              <w:rPr>
                <w:rFonts w:hint="eastAsia" w:ascii="Times New Roman" w:hAnsi="Times New Roman" w:eastAsia="宋体" w:cs="Times New Roman"/>
                <w:color w:val="auto"/>
                <w:sz w:val="24"/>
                <w:szCs w:val="24"/>
                <w:lang w:val="en-US" w:eastAsia="zh-CN"/>
              </w:rPr>
              <w:t>系统</w:t>
            </w:r>
            <w:r>
              <w:rPr>
                <w:rFonts w:hint="default" w:ascii="Times New Roman" w:hAnsi="Times New Roman" w:eastAsia="宋体" w:cs="Times New Roman"/>
                <w:color w:val="auto"/>
                <w:sz w:val="24"/>
                <w:szCs w:val="24"/>
                <w:lang w:val="en-US" w:eastAsia="zh-CN"/>
              </w:rPr>
              <w:t>，可以满足该项目生产需求。</w:t>
            </w:r>
          </w:p>
          <w:p w14:paraId="4925EF1B">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区所在地周围无饮用水保护区、基本农田保护区、生态脆弱区等社会关注区，根据《建设项目环境影响评价分类管理名录2021版》（生态保护部令第16号）中对环境敏感区的界定原则，本项目地处环境非敏感区。</w:t>
            </w:r>
          </w:p>
          <w:p w14:paraId="60688C63">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sz w:val="24"/>
                <w:szCs w:val="24"/>
                <w:lang w:val="en-US" w:eastAsia="zh-CN"/>
              </w:rPr>
            </w:pPr>
            <w:r>
              <w:rPr>
                <w:rFonts w:hint="default"/>
                <w:color w:val="auto"/>
                <w:sz w:val="24"/>
                <w:szCs w:val="24"/>
              </w:rPr>
              <w:t>本项目</w:t>
            </w:r>
            <w:r>
              <w:rPr>
                <w:rFonts w:hint="eastAsia"/>
                <w:color w:val="auto"/>
                <w:sz w:val="24"/>
                <w:szCs w:val="24"/>
                <w:lang w:val="en-US" w:eastAsia="zh-CN"/>
              </w:rPr>
              <w:t>热风炉房</w:t>
            </w:r>
            <w:r>
              <w:rPr>
                <w:rFonts w:hint="eastAsia"/>
                <w:color w:val="auto"/>
                <w:sz w:val="24"/>
                <w:szCs w:val="24"/>
                <w:lang w:eastAsia="zh-CN"/>
              </w:rPr>
              <w:t>均</w:t>
            </w:r>
            <w:r>
              <w:rPr>
                <w:rFonts w:hint="eastAsia"/>
                <w:color w:val="auto"/>
                <w:sz w:val="24"/>
                <w:szCs w:val="24"/>
              </w:rPr>
              <w:t>已建成，</w:t>
            </w:r>
            <w:r>
              <w:rPr>
                <w:rFonts w:hint="eastAsia"/>
                <w:color w:val="auto"/>
                <w:sz w:val="24"/>
                <w:szCs w:val="24"/>
                <w:lang w:eastAsia="zh-CN"/>
              </w:rPr>
              <w:t>厂区平面布置</w:t>
            </w:r>
            <w:r>
              <w:rPr>
                <w:rFonts w:hint="default"/>
                <w:color w:val="auto"/>
                <w:sz w:val="24"/>
                <w:szCs w:val="24"/>
              </w:rPr>
              <w:t>可以满足车辆进出和厂区内物料转运的要求，方便物料运输及装卸。</w:t>
            </w:r>
            <w:r>
              <w:rPr>
                <w:rFonts w:hint="default" w:ascii="Times New Roman" w:hAnsi="Times New Roman" w:eastAsia="宋体" w:cs="Times New Roman"/>
                <w:color w:val="auto"/>
                <w:sz w:val="24"/>
                <w:szCs w:val="24"/>
                <w:lang w:val="en-US" w:eastAsia="zh-CN"/>
              </w:rPr>
              <w:t>项目区周边无社会关注的自然保护区、风景区、名胜古迹和其他需要特别保护的敏感目标</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同时，本项目工艺及产品对外环境无特殊要求，无其他制约因素，故本项目与外环境相容。</w:t>
            </w:r>
          </w:p>
          <w:p w14:paraId="3D42DEEA">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综上所述，从用地规划符合性、环境相容性等方面考虑，本项目建设选址比较合理。</w:t>
            </w:r>
          </w:p>
          <w:p w14:paraId="7144D778">
            <w:pPr>
              <w:pStyle w:val="14"/>
              <w:keepNext w:val="0"/>
              <w:keepLines w:val="0"/>
              <w:suppressLineNumbers w:val="0"/>
              <w:spacing w:beforeAutospacing="0" w:afterAutospacing="0"/>
              <w:ind w:left="0"/>
              <w:rPr>
                <w:rFonts w:hint="default"/>
                <w:lang w:val="en-US" w:eastAsia="zh-CN"/>
              </w:rPr>
            </w:pPr>
          </w:p>
          <w:p w14:paraId="5E2F2CE1">
            <w:pPr>
              <w:pStyle w:val="15"/>
              <w:keepNext w:val="0"/>
              <w:keepLines w:val="0"/>
              <w:suppressLineNumbers w:val="0"/>
              <w:spacing w:before="0" w:beforeAutospacing="0" w:after="0" w:afterAutospacing="0"/>
              <w:ind w:left="0" w:right="0"/>
              <w:rPr>
                <w:rFonts w:hint="default"/>
                <w:lang w:val="en-US" w:eastAsia="zh-CN"/>
              </w:rPr>
            </w:pPr>
          </w:p>
          <w:p w14:paraId="0E36CD47">
            <w:pPr>
              <w:pStyle w:val="16"/>
              <w:keepNext w:val="0"/>
              <w:keepLines w:val="0"/>
              <w:suppressLineNumbers w:val="0"/>
              <w:spacing w:before="0" w:beforeAutospacing="0" w:after="0" w:afterAutospacing="0"/>
              <w:ind w:right="0"/>
              <w:rPr>
                <w:rFonts w:hint="default"/>
                <w:lang w:val="en-US" w:eastAsia="zh-CN"/>
              </w:rPr>
            </w:pPr>
          </w:p>
          <w:p w14:paraId="61256C5A">
            <w:pPr>
              <w:keepNext w:val="0"/>
              <w:keepLines w:val="0"/>
              <w:suppressLineNumbers w:val="0"/>
              <w:spacing w:before="0" w:beforeAutospacing="0" w:after="0" w:afterAutospacing="0"/>
              <w:ind w:left="0" w:right="0"/>
              <w:rPr>
                <w:rFonts w:hint="default"/>
                <w:lang w:val="en-US" w:eastAsia="zh-CN"/>
              </w:rPr>
            </w:pPr>
          </w:p>
          <w:p w14:paraId="7FC9B444">
            <w:pPr>
              <w:pStyle w:val="2"/>
              <w:keepNext w:val="0"/>
              <w:keepLines w:val="0"/>
              <w:suppressLineNumbers w:val="0"/>
              <w:spacing w:before="0" w:beforeAutospacing="0" w:after="0" w:afterAutospacing="0"/>
              <w:ind w:left="0" w:right="0"/>
              <w:rPr>
                <w:rFonts w:hint="default"/>
                <w:szCs w:val="20"/>
                <w:lang w:val="en-US" w:eastAsia="zh-CN"/>
              </w:rPr>
            </w:pPr>
          </w:p>
          <w:p w14:paraId="3D825050">
            <w:pPr>
              <w:pStyle w:val="2"/>
              <w:keepNext w:val="0"/>
              <w:keepLines w:val="0"/>
              <w:suppressLineNumbers w:val="0"/>
              <w:spacing w:before="0" w:beforeAutospacing="0" w:after="0" w:afterAutospacing="0"/>
              <w:ind w:left="0" w:right="0"/>
              <w:rPr>
                <w:rFonts w:hint="default"/>
                <w:szCs w:val="20"/>
                <w:lang w:val="en-US" w:eastAsia="zh-CN"/>
              </w:rPr>
            </w:pPr>
          </w:p>
          <w:p w14:paraId="62310938">
            <w:pPr>
              <w:pStyle w:val="2"/>
              <w:keepNext w:val="0"/>
              <w:keepLines w:val="0"/>
              <w:suppressLineNumbers w:val="0"/>
              <w:spacing w:before="0" w:beforeAutospacing="0" w:after="0" w:afterAutospacing="0"/>
              <w:ind w:left="0" w:right="0"/>
              <w:rPr>
                <w:rFonts w:hint="default"/>
                <w:szCs w:val="20"/>
                <w:lang w:val="en-US" w:eastAsia="zh-CN"/>
              </w:rPr>
            </w:pPr>
          </w:p>
          <w:p w14:paraId="24E21E55">
            <w:pPr>
              <w:pStyle w:val="2"/>
              <w:keepNext w:val="0"/>
              <w:keepLines w:val="0"/>
              <w:suppressLineNumbers w:val="0"/>
              <w:spacing w:before="0" w:beforeAutospacing="0" w:after="0" w:afterAutospacing="0"/>
              <w:ind w:left="0" w:right="0"/>
              <w:rPr>
                <w:rFonts w:hint="default"/>
                <w:szCs w:val="20"/>
                <w:lang w:val="en-US" w:eastAsia="zh-CN"/>
              </w:rPr>
            </w:pPr>
          </w:p>
          <w:p w14:paraId="155B170A">
            <w:pPr>
              <w:pStyle w:val="2"/>
              <w:keepNext w:val="0"/>
              <w:keepLines w:val="0"/>
              <w:suppressLineNumbers w:val="0"/>
              <w:spacing w:before="0" w:beforeAutospacing="0" w:after="0" w:afterAutospacing="0"/>
              <w:ind w:left="0" w:right="0"/>
              <w:rPr>
                <w:rFonts w:hint="default"/>
                <w:szCs w:val="20"/>
                <w:lang w:val="en-US" w:eastAsia="zh-CN"/>
              </w:rPr>
            </w:pPr>
          </w:p>
          <w:p w14:paraId="280EEEC6">
            <w:pPr>
              <w:pStyle w:val="2"/>
              <w:keepNext w:val="0"/>
              <w:keepLines w:val="0"/>
              <w:suppressLineNumbers w:val="0"/>
              <w:spacing w:before="0" w:beforeAutospacing="0" w:after="0" w:afterAutospacing="0"/>
              <w:ind w:left="0" w:right="0"/>
              <w:rPr>
                <w:rFonts w:hint="default"/>
                <w:szCs w:val="20"/>
                <w:lang w:val="en-US" w:eastAsia="zh-CN"/>
              </w:rPr>
            </w:pPr>
          </w:p>
          <w:p w14:paraId="115CF186">
            <w:pPr>
              <w:pStyle w:val="2"/>
              <w:keepNext w:val="0"/>
              <w:keepLines w:val="0"/>
              <w:suppressLineNumbers w:val="0"/>
              <w:spacing w:before="0" w:beforeAutospacing="0" w:after="0" w:afterAutospacing="0"/>
              <w:ind w:left="0" w:right="0"/>
              <w:rPr>
                <w:rFonts w:hint="default"/>
                <w:szCs w:val="20"/>
                <w:lang w:val="en-US" w:eastAsia="zh-CN"/>
              </w:rPr>
            </w:pPr>
          </w:p>
          <w:p w14:paraId="0140345D">
            <w:pPr>
              <w:pStyle w:val="2"/>
              <w:keepNext w:val="0"/>
              <w:keepLines w:val="0"/>
              <w:suppressLineNumbers w:val="0"/>
              <w:spacing w:before="0" w:beforeAutospacing="0" w:after="0" w:afterAutospacing="0"/>
              <w:ind w:left="0" w:right="0"/>
              <w:rPr>
                <w:rFonts w:hint="default"/>
                <w:szCs w:val="20"/>
                <w:lang w:val="en-US" w:eastAsia="zh-CN"/>
              </w:rPr>
            </w:pPr>
          </w:p>
          <w:p w14:paraId="390141E6">
            <w:pPr>
              <w:pStyle w:val="2"/>
              <w:keepNext w:val="0"/>
              <w:keepLines w:val="0"/>
              <w:suppressLineNumbers w:val="0"/>
              <w:spacing w:before="0" w:beforeAutospacing="0" w:after="0" w:afterAutospacing="0"/>
              <w:ind w:left="0" w:right="0"/>
              <w:rPr>
                <w:rFonts w:hint="default"/>
                <w:szCs w:val="20"/>
                <w:lang w:val="en-US" w:eastAsia="zh-CN"/>
              </w:rPr>
            </w:pPr>
          </w:p>
          <w:p w14:paraId="520B8106">
            <w:pPr>
              <w:pStyle w:val="2"/>
              <w:keepNext w:val="0"/>
              <w:keepLines w:val="0"/>
              <w:suppressLineNumbers w:val="0"/>
              <w:spacing w:before="0" w:beforeAutospacing="0" w:after="0" w:afterAutospacing="0"/>
              <w:ind w:left="0" w:right="0"/>
              <w:rPr>
                <w:rFonts w:hint="default"/>
                <w:szCs w:val="20"/>
                <w:lang w:val="en-US" w:eastAsia="zh-CN"/>
              </w:rPr>
            </w:pPr>
          </w:p>
          <w:p w14:paraId="43C1C75E">
            <w:pPr>
              <w:pStyle w:val="2"/>
              <w:keepNext w:val="0"/>
              <w:keepLines w:val="0"/>
              <w:suppressLineNumbers w:val="0"/>
              <w:spacing w:before="0" w:beforeAutospacing="0" w:after="0" w:afterAutospacing="0"/>
              <w:ind w:left="0" w:right="0"/>
              <w:rPr>
                <w:rFonts w:hint="default"/>
                <w:szCs w:val="20"/>
                <w:lang w:val="en-US" w:eastAsia="zh-CN"/>
              </w:rPr>
            </w:pPr>
          </w:p>
          <w:p w14:paraId="5E4CCF40">
            <w:pPr>
              <w:pStyle w:val="2"/>
              <w:keepNext w:val="0"/>
              <w:keepLines w:val="0"/>
              <w:suppressLineNumbers w:val="0"/>
              <w:spacing w:before="0" w:beforeAutospacing="0" w:after="0" w:afterAutospacing="0"/>
              <w:ind w:left="0" w:right="0"/>
              <w:rPr>
                <w:rFonts w:hint="default"/>
                <w:szCs w:val="20"/>
                <w:lang w:val="en-US" w:eastAsia="zh-CN"/>
              </w:rPr>
            </w:pPr>
          </w:p>
          <w:p w14:paraId="5C188154">
            <w:pPr>
              <w:pStyle w:val="2"/>
              <w:keepNext w:val="0"/>
              <w:keepLines w:val="0"/>
              <w:suppressLineNumbers w:val="0"/>
              <w:spacing w:before="0" w:beforeAutospacing="0" w:after="0" w:afterAutospacing="0"/>
              <w:ind w:left="0" w:right="0"/>
              <w:rPr>
                <w:rFonts w:hint="default"/>
                <w:szCs w:val="20"/>
                <w:lang w:val="en-US" w:eastAsia="zh-CN"/>
              </w:rPr>
            </w:pPr>
          </w:p>
          <w:p w14:paraId="4D3EF8F0">
            <w:pPr>
              <w:pStyle w:val="2"/>
              <w:keepNext w:val="0"/>
              <w:keepLines w:val="0"/>
              <w:suppressLineNumbers w:val="0"/>
              <w:spacing w:before="0" w:beforeAutospacing="0" w:after="0" w:afterAutospacing="0"/>
              <w:ind w:left="0" w:right="0"/>
              <w:rPr>
                <w:rFonts w:hint="default"/>
                <w:szCs w:val="20"/>
                <w:lang w:val="en-US" w:eastAsia="zh-CN"/>
              </w:rPr>
            </w:pPr>
          </w:p>
          <w:p w14:paraId="724F53B9">
            <w:pPr>
              <w:pStyle w:val="2"/>
              <w:keepNext w:val="0"/>
              <w:keepLines w:val="0"/>
              <w:suppressLineNumbers w:val="0"/>
              <w:spacing w:before="0" w:beforeAutospacing="0" w:after="0" w:afterAutospacing="0"/>
              <w:ind w:left="0" w:right="0"/>
              <w:rPr>
                <w:rFonts w:hint="default"/>
                <w:szCs w:val="20"/>
                <w:lang w:val="en-US" w:eastAsia="zh-CN"/>
              </w:rPr>
            </w:pPr>
          </w:p>
          <w:p w14:paraId="3E147344">
            <w:pPr>
              <w:pStyle w:val="2"/>
              <w:keepNext w:val="0"/>
              <w:keepLines w:val="0"/>
              <w:suppressLineNumbers w:val="0"/>
              <w:spacing w:before="0" w:beforeAutospacing="0" w:after="0" w:afterAutospacing="0"/>
              <w:ind w:left="0" w:right="0"/>
              <w:rPr>
                <w:rFonts w:hint="default"/>
                <w:szCs w:val="20"/>
                <w:lang w:val="en-US" w:eastAsia="zh-CN"/>
              </w:rPr>
            </w:pPr>
          </w:p>
          <w:p w14:paraId="30893DC5">
            <w:pPr>
              <w:pStyle w:val="2"/>
              <w:keepNext w:val="0"/>
              <w:keepLines w:val="0"/>
              <w:suppressLineNumbers w:val="0"/>
              <w:spacing w:before="0" w:beforeAutospacing="0" w:after="0" w:afterAutospacing="0"/>
              <w:ind w:left="0" w:right="0"/>
              <w:rPr>
                <w:rFonts w:hint="default"/>
                <w:szCs w:val="20"/>
                <w:lang w:val="en-US" w:eastAsia="zh-CN"/>
              </w:rPr>
            </w:pPr>
          </w:p>
          <w:p w14:paraId="24E526BE">
            <w:pPr>
              <w:pStyle w:val="2"/>
              <w:keepNext w:val="0"/>
              <w:keepLines w:val="0"/>
              <w:suppressLineNumbers w:val="0"/>
              <w:spacing w:before="0" w:beforeAutospacing="0" w:after="0" w:afterAutospacing="0"/>
              <w:ind w:left="0" w:right="0"/>
              <w:rPr>
                <w:rFonts w:hint="default"/>
                <w:szCs w:val="20"/>
                <w:lang w:val="en-US" w:eastAsia="zh-CN"/>
              </w:rPr>
            </w:pPr>
          </w:p>
          <w:p w14:paraId="765E5877">
            <w:pPr>
              <w:pStyle w:val="2"/>
              <w:keepNext w:val="0"/>
              <w:keepLines w:val="0"/>
              <w:suppressLineNumbers w:val="0"/>
              <w:spacing w:before="0" w:beforeAutospacing="0" w:after="0" w:afterAutospacing="0"/>
              <w:ind w:left="0" w:right="0"/>
              <w:rPr>
                <w:rFonts w:hint="default"/>
                <w:szCs w:val="20"/>
                <w:lang w:val="en-US" w:eastAsia="zh-CN"/>
              </w:rPr>
            </w:pPr>
          </w:p>
          <w:p w14:paraId="63689A19">
            <w:pPr>
              <w:pStyle w:val="2"/>
              <w:keepNext w:val="0"/>
              <w:keepLines w:val="0"/>
              <w:suppressLineNumbers w:val="0"/>
              <w:spacing w:before="0" w:beforeAutospacing="0" w:after="0" w:afterAutospacing="0"/>
              <w:ind w:left="0" w:right="0"/>
              <w:rPr>
                <w:rFonts w:hint="default"/>
                <w:szCs w:val="20"/>
                <w:lang w:val="en-US" w:eastAsia="zh-CN"/>
              </w:rPr>
            </w:pPr>
          </w:p>
          <w:p w14:paraId="2C7E72AC">
            <w:pPr>
              <w:pStyle w:val="2"/>
              <w:keepNext w:val="0"/>
              <w:keepLines w:val="0"/>
              <w:suppressLineNumbers w:val="0"/>
              <w:spacing w:before="0" w:beforeAutospacing="0" w:after="0" w:afterAutospacing="0"/>
              <w:ind w:left="0" w:right="0"/>
              <w:rPr>
                <w:rFonts w:hint="default"/>
                <w:szCs w:val="20"/>
                <w:lang w:val="en-US" w:eastAsia="zh-CN"/>
              </w:rPr>
            </w:pPr>
          </w:p>
          <w:p w14:paraId="383A3E9D">
            <w:pPr>
              <w:pStyle w:val="2"/>
              <w:keepNext w:val="0"/>
              <w:keepLines w:val="0"/>
              <w:suppressLineNumbers w:val="0"/>
              <w:spacing w:before="0" w:beforeAutospacing="0" w:after="0" w:afterAutospacing="0"/>
              <w:ind w:left="0" w:right="0"/>
              <w:rPr>
                <w:rFonts w:hint="default"/>
                <w:szCs w:val="20"/>
                <w:lang w:val="en-US" w:eastAsia="zh-CN"/>
              </w:rPr>
            </w:pPr>
          </w:p>
          <w:p w14:paraId="47750E96">
            <w:pPr>
              <w:pStyle w:val="2"/>
              <w:keepNext w:val="0"/>
              <w:keepLines w:val="0"/>
              <w:suppressLineNumbers w:val="0"/>
              <w:spacing w:before="0" w:beforeAutospacing="0" w:after="0" w:afterAutospacing="0"/>
              <w:ind w:left="0" w:right="0"/>
              <w:rPr>
                <w:rFonts w:hint="default"/>
                <w:szCs w:val="20"/>
                <w:lang w:val="en-US" w:eastAsia="zh-CN"/>
              </w:rPr>
            </w:pPr>
          </w:p>
          <w:p w14:paraId="0F77D77B">
            <w:pPr>
              <w:pStyle w:val="2"/>
              <w:keepNext w:val="0"/>
              <w:keepLines w:val="0"/>
              <w:suppressLineNumbers w:val="0"/>
              <w:spacing w:before="0" w:beforeAutospacing="0" w:after="0" w:afterAutospacing="0"/>
              <w:ind w:left="0" w:right="0"/>
              <w:rPr>
                <w:rFonts w:hint="default"/>
                <w:szCs w:val="20"/>
                <w:lang w:val="en-US" w:eastAsia="zh-CN"/>
              </w:rPr>
            </w:pPr>
          </w:p>
          <w:p w14:paraId="14D3F436">
            <w:pPr>
              <w:pStyle w:val="2"/>
              <w:keepNext w:val="0"/>
              <w:keepLines w:val="0"/>
              <w:suppressLineNumbers w:val="0"/>
              <w:spacing w:before="0" w:beforeAutospacing="0" w:after="0" w:afterAutospacing="0"/>
              <w:ind w:left="0" w:right="0"/>
              <w:rPr>
                <w:rFonts w:hint="default"/>
                <w:szCs w:val="20"/>
                <w:lang w:val="en-US" w:eastAsia="zh-CN"/>
              </w:rPr>
            </w:pPr>
          </w:p>
          <w:p w14:paraId="6C9A93E5">
            <w:pPr>
              <w:pStyle w:val="2"/>
              <w:keepNext w:val="0"/>
              <w:keepLines w:val="0"/>
              <w:suppressLineNumbers w:val="0"/>
              <w:spacing w:before="0" w:beforeAutospacing="0" w:after="0" w:afterAutospacing="0"/>
              <w:ind w:left="0" w:right="0"/>
              <w:rPr>
                <w:rFonts w:hint="default"/>
                <w:szCs w:val="20"/>
                <w:lang w:val="en-US" w:eastAsia="zh-CN"/>
              </w:rPr>
            </w:pPr>
          </w:p>
          <w:p w14:paraId="279ADA16">
            <w:pPr>
              <w:pStyle w:val="2"/>
              <w:keepNext w:val="0"/>
              <w:keepLines w:val="0"/>
              <w:suppressLineNumbers w:val="0"/>
              <w:spacing w:before="0" w:beforeAutospacing="0" w:after="0" w:afterAutospacing="0"/>
              <w:ind w:left="0" w:right="0"/>
              <w:rPr>
                <w:rFonts w:hint="default"/>
                <w:szCs w:val="20"/>
                <w:lang w:val="en-US" w:eastAsia="zh-CN"/>
              </w:rPr>
            </w:pPr>
          </w:p>
          <w:p w14:paraId="558D0B6A">
            <w:pPr>
              <w:pStyle w:val="2"/>
              <w:keepNext w:val="0"/>
              <w:keepLines w:val="0"/>
              <w:suppressLineNumbers w:val="0"/>
              <w:spacing w:before="0" w:beforeAutospacing="0" w:after="0" w:afterAutospacing="0"/>
              <w:ind w:left="0" w:right="0"/>
              <w:rPr>
                <w:rFonts w:hint="default"/>
                <w:szCs w:val="20"/>
                <w:lang w:val="en-US" w:eastAsia="zh-CN"/>
              </w:rPr>
            </w:pPr>
          </w:p>
          <w:p w14:paraId="63EBE26A">
            <w:pPr>
              <w:pStyle w:val="2"/>
              <w:keepNext w:val="0"/>
              <w:keepLines w:val="0"/>
              <w:suppressLineNumbers w:val="0"/>
              <w:spacing w:before="0" w:beforeAutospacing="0" w:after="0" w:afterAutospacing="0"/>
              <w:ind w:left="0" w:right="0"/>
              <w:rPr>
                <w:rFonts w:hint="default"/>
                <w:szCs w:val="20"/>
                <w:lang w:val="en-US" w:eastAsia="zh-CN"/>
              </w:rPr>
            </w:pPr>
          </w:p>
        </w:tc>
      </w:tr>
      <w:bookmarkEnd w:id="17"/>
    </w:tbl>
    <w:p w14:paraId="5F8BDFE5">
      <w:pPr>
        <w:spacing w:line="360" w:lineRule="auto"/>
        <w:outlineLvl w:val="9"/>
        <w:rPr>
          <w:rFonts w:hint="default" w:ascii="Times New Roman" w:hAnsi="Times New Roman" w:eastAsia="黑体" w:cs="Times New Roman"/>
          <w:color w:val="FF0000"/>
          <w:sz w:val="30"/>
          <w:highlight w:val="none"/>
        </w:rPr>
        <w:sectPr>
          <w:footerReference r:id="rId4" w:type="default"/>
          <w:pgSz w:w="11850" w:h="16783"/>
          <w:pgMar w:top="1701" w:right="1531" w:bottom="1701" w:left="1531" w:header="851" w:footer="1077" w:gutter="0"/>
          <w:pgBorders>
            <w:top w:val="none" w:sz="0" w:space="0"/>
            <w:left w:val="none" w:sz="0" w:space="0"/>
            <w:bottom w:val="none" w:sz="0" w:space="0"/>
            <w:right w:val="none" w:sz="0" w:space="0"/>
          </w:pgBorders>
          <w:pgNumType w:fmt="decimal" w:start="1"/>
          <w:cols w:space="0" w:num="1"/>
          <w:docGrid w:type="lines" w:linePitch="312" w:charSpace="0"/>
        </w:sectPr>
      </w:pPr>
    </w:p>
    <w:p w14:paraId="0BDC5708">
      <w:pPr>
        <w:pStyle w:val="34"/>
        <w:spacing w:before="0" w:beforeAutospacing="0" w:after="0" w:afterAutospacing="0"/>
        <w:jc w:val="center"/>
        <w:outlineLvl w:val="0"/>
        <w:rPr>
          <w:rFonts w:hint="default" w:ascii="Times New Roman" w:hAnsi="Times New Roman" w:eastAsia="黑体" w:cs="Times New Roman"/>
          <w:snapToGrid w:val="0"/>
          <w:color w:val="auto"/>
          <w:kern w:val="21"/>
          <w:sz w:val="30"/>
          <w:szCs w:val="30"/>
          <w:highlight w:val="none"/>
        </w:rPr>
      </w:pPr>
      <w:bookmarkStart w:id="34" w:name="_Toc20676"/>
      <w:bookmarkStart w:id="35" w:name="_Toc24978"/>
      <w:bookmarkStart w:id="36" w:name="_Toc28278"/>
      <w:bookmarkStart w:id="37" w:name="_Toc30253"/>
      <w:bookmarkStart w:id="38" w:name="_Toc24911"/>
      <w:bookmarkStart w:id="39" w:name="_Toc12912"/>
      <w:r>
        <w:rPr>
          <w:rFonts w:hint="default" w:ascii="Times New Roman" w:hAnsi="Times New Roman" w:eastAsia="黑体" w:cs="Times New Roman"/>
          <w:snapToGrid w:val="0"/>
          <w:color w:val="auto"/>
          <w:kern w:val="21"/>
          <w:sz w:val="30"/>
          <w:szCs w:val="30"/>
          <w:highlight w:val="none"/>
        </w:rPr>
        <w:t>二、建设项目工程分析</w:t>
      </w:r>
      <w:bookmarkEnd w:id="34"/>
      <w:bookmarkEnd w:id="35"/>
      <w:bookmarkEnd w:id="36"/>
      <w:bookmarkEnd w:id="37"/>
      <w:bookmarkEnd w:id="38"/>
      <w:bookmarkEnd w:id="39"/>
    </w:p>
    <w:tbl>
      <w:tblPr>
        <w:tblStyle w:val="38"/>
        <w:tblW w:w="913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5"/>
        <w:gridCol w:w="8381"/>
      </w:tblGrid>
      <w:tr w14:paraId="64FC15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755" w:type="dxa"/>
            <w:vAlign w:val="center"/>
          </w:tcPr>
          <w:p w14:paraId="7203D0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FF0000"/>
                <w:kern w:val="21"/>
                <w:sz w:val="24"/>
                <w:szCs w:val="24"/>
                <w:highlight w:val="none"/>
              </w:rPr>
            </w:pPr>
            <w:r>
              <w:rPr>
                <w:rFonts w:hint="default" w:ascii="Times New Roman" w:hAnsi="Times New Roman" w:cs="Times New Roman"/>
                <w:color w:val="auto"/>
                <w:kern w:val="21"/>
                <w:sz w:val="24"/>
                <w:szCs w:val="24"/>
                <w:highlight w:val="none"/>
              </w:rPr>
              <w:t>建设内容</w:t>
            </w:r>
          </w:p>
        </w:tc>
        <w:tc>
          <w:tcPr>
            <w:tcW w:w="8381" w:type="dxa"/>
            <w:vAlign w:val="center"/>
          </w:tcPr>
          <w:p w14:paraId="1B05A64C">
            <w:pPr>
              <w:keepNext w:val="0"/>
              <w:keepLines w:val="0"/>
              <w:pageBreakBefore w:val="0"/>
              <w:suppressLineNumbers w:val="0"/>
              <w:wordWrap/>
              <w:overflowPunct/>
              <w:topLinePunct w:val="0"/>
              <w:bidi w:val="0"/>
              <w:spacing w:before="0" w:beforeAutospacing="0" w:after="0" w:afterAutospacing="0" w:line="360" w:lineRule="auto"/>
              <w:ind w:left="0" w:right="0" w:firstLine="482" w:firstLineChars="200"/>
              <w:rPr>
                <w:rFonts w:hint="default"/>
                <w:b/>
                <w:bCs/>
                <w:color w:val="auto"/>
                <w:sz w:val="24"/>
                <w:szCs w:val="24"/>
                <w:highlight w:val="none"/>
              </w:rPr>
            </w:pPr>
            <w:r>
              <w:rPr>
                <w:rFonts w:hint="default"/>
                <w:b/>
                <w:bCs/>
                <w:color w:val="auto"/>
                <w:sz w:val="24"/>
                <w:szCs w:val="24"/>
                <w:highlight w:val="none"/>
              </w:rPr>
              <w:t>一、项目概况</w:t>
            </w:r>
          </w:p>
          <w:p w14:paraId="38593D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eastAsia="宋体"/>
                <w:color w:val="auto"/>
                <w:sz w:val="24"/>
                <w:szCs w:val="24"/>
                <w:highlight w:val="none"/>
                <w:lang w:eastAsia="zh-CN"/>
              </w:rPr>
            </w:pPr>
            <w:r>
              <w:rPr>
                <w:rFonts w:hint="eastAsia"/>
                <w:color w:val="auto"/>
                <w:sz w:val="24"/>
                <w:szCs w:val="24"/>
                <w:highlight w:val="none"/>
              </w:rPr>
              <w:t>（1）</w:t>
            </w:r>
            <w:r>
              <w:rPr>
                <w:rFonts w:hint="default"/>
                <w:color w:val="auto"/>
                <w:sz w:val="24"/>
                <w:szCs w:val="24"/>
                <w:highlight w:val="none"/>
              </w:rPr>
              <w:t>项目名称：</w:t>
            </w:r>
            <w:r>
              <w:rPr>
                <w:rFonts w:hint="eastAsia" w:ascii="Times New Roman" w:hAnsi="Times New Roman" w:eastAsia="宋体" w:cs="Times New Roman"/>
                <w:color w:val="auto"/>
                <w:spacing w:val="-1"/>
                <w:sz w:val="24"/>
                <w:szCs w:val="24"/>
                <w:highlight w:val="none"/>
                <w:lang w:val="en-US" w:eastAsia="zh-CN"/>
              </w:rPr>
              <w:t>虎林市恒盛泰粮食经贸有限公司</w:t>
            </w:r>
            <w:r>
              <w:rPr>
                <w:rFonts w:hint="eastAsia" w:eastAsia="宋体" w:cs="Times New Roman"/>
                <w:color w:val="auto"/>
                <w:spacing w:val="-1"/>
                <w:sz w:val="24"/>
                <w:szCs w:val="24"/>
                <w:highlight w:val="none"/>
                <w:lang w:val="en-US" w:eastAsia="zh-CN"/>
              </w:rPr>
              <w:t>建设</w:t>
            </w:r>
            <w:r>
              <w:rPr>
                <w:rFonts w:hint="eastAsia"/>
                <w:color w:val="auto"/>
                <w:sz w:val="24"/>
                <w:szCs w:val="24"/>
                <w:highlight w:val="none"/>
                <w:lang w:eastAsia="zh-CN"/>
              </w:rPr>
              <w:t>项目</w:t>
            </w:r>
          </w:p>
          <w:p w14:paraId="0AF01D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color w:val="auto"/>
                <w:sz w:val="24"/>
                <w:szCs w:val="24"/>
                <w:highlight w:val="none"/>
              </w:rPr>
            </w:pPr>
            <w:r>
              <w:rPr>
                <w:rFonts w:hint="eastAsia"/>
                <w:color w:val="auto"/>
                <w:sz w:val="24"/>
                <w:szCs w:val="24"/>
                <w:highlight w:val="none"/>
              </w:rPr>
              <w:t>（2）建设单位：</w:t>
            </w:r>
            <w:r>
              <w:rPr>
                <w:rFonts w:hint="eastAsia" w:ascii="Times New Roman" w:hAnsi="Times New Roman" w:eastAsia="宋体" w:cs="Times New Roman"/>
                <w:color w:val="auto"/>
                <w:spacing w:val="-1"/>
                <w:sz w:val="24"/>
                <w:szCs w:val="24"/>
                <w:highlight w:val="none"/>
                <w:lang w:val="en-US" w:eastAsia="zh-CN"/>
              </w:rPr>
              <w:t>虎林市恒盛泰粮食经贸有限公司</w:t>
            </w:r>
          </w:p>
          <w:p w14:paraId="7D394D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color w:val="auto"/>
                <w:sz w:val="24"/>
                <w:szCs w:val="24"/>
                <w:highlight w:val="none"/>
              </w:rPr>
              <w:t>（3）建设地点：</w:t>
            </w:r>
            <w:r>
              <w:rPr>
                <w:rFonts w:hint="eastAsia" w:ascii="Times New Roman" w:hAnsi="Times New Roman" w:eastAsia="宋体" w:cs="Times New Roman"/>
                <w:color w:val="auto"/>
                <w:spacing w:val="-1"/>
                <w:sz w:val="24"/>
                <w:szCs w:val="24"/>
                <w:highlight w:val="none"/>
                <w:lang w:val="en-US" w:eastAsia="zh-CN"/>
              </w:rPr>
              <w:t>黑龙江省</w:t>
            </w:r>
            <w:r>
              <w:rPr>
                <w:rFonts w:hint="eastAsia" w:cs="Times New Roman"/>
                <w:color w:val="auto"/>
                <w:spacing w:val="-1"/>
                <w:sz w:val="24"/>
                <w:szCs w:val="24"/>
                <w:highlight w:val="none"/>
                <w:lang w:val="en-US" w:eastAsia="zh-CN"/>
              </w:rPr>
              <w:t>鸡西市</w:t>
            </w:r>
            <w:r>
              <w:rPr>
                <w:rFonts w:hint="eastAsia" w:ascii="Times New Roman" w:hAnsi="Times New Roman" w:eastAsia="宋体" w:cs="Times New Roman"/>
                <w:color w:val="auto"/>
                <w:spacing w:val="-1"/>
                <w:sz w:val="24"/>
                <w:szCs w:val="24"/>
                <w:highlight w:val="none"/>
                <w:lang w:val="en-US" w:eastAsia="zh-CN"/>
              </w:rPr>
              <w:t>虎林市东方红街道岗东委</w:t>
            </w:r>
          </w:p>
          <w:p w14:paraId="7DB813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eastAsia="宋体"/>
                <w:color w:val="auto"/>
                <w:sz w:val="24"/>
                <w:szCs w:val="24"/>
                <w:highlight w:val="none"/>
                <w:lang w:val="en-US" w:eastAsia="zh-CN"/>
              </w:rPr>
            </w:pPr>
            <w:r>
              <w:rPr>
                <w:rFonts w:hint="eastAsia"/>
                <w:color w:val="auto"/>
                <w:sz w:val="24"/>
                <w:szCs w:val="24"/>
                <w:highlight w:val="none"/>
              </w:rPr>
              <w:t>（4）</w:t>
            </w:r>
            <w:r>
              <w:rPr>
                <w:rFonts w:hint="default"/>
                <w:color w:val="auto"/>
                <w:sz w:val="24"/>
                <w:szCs w:val="24"/>
                <w:highlight w:val="none"/>
              </w:rPr>
              <w:t>建设性质：</w:t>
            </w:r>
            <w:r>
              <w:rPr>
                <w:rFonts w:hint="eastAsia" w:ascii="Times New Roman" w:hAnsi="Times New Roman" w:eastAsia="宋体" w:cs="Times New Roman"/>
                <w:color w:val="auto"/>
                <w:sz w:val="24"/>
                <w:szCs w:val="24"/>
                <w:highlight w:val="none"/>
                <w:lang w:val="en-US" w:eastAsia="zh-CN"/>
              </w:rPr>
              <w:t>扩</w:t>
            </w:r>
            <w:r>
              <w:rPr>
                <w:rFonts w:hint="eastAsia"/>
                <w:color w:val="auto"/>
                <w:sz w:val="24"/>
                <w:szCs w:val="24"/>
                <w:highlight w:val="none"/>
                <w:lang w:val="en-US" w:eastAsia="zh-CN"/>
              </w:rPr>
              <w:t>建</w:t>
            </w:r>
          </w:p>
          <w:p w14:paraId="346372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color w:val="auto"/>
                <w:sz w:val="24"/>
                <w:szCs w:val="24"/>
                <w:highlight w:val="none"/>
              </w:rPr>
            </w:pPr>
            <w:r>
              <w:rPr>
                <w:rFonts w:hint="eastAsia"/>
                <w:color w:val="auto"/>
                <w:sz w:val="24"/>
                <w:szCs w:val="24"/>
                <w:highlight w:val="none"/>
              </w:rPr>
              <w:t>（5）</w:t>
            </w:r>
            <w:r>
              <w:rPr>
                <w:rFonts w:hint="default"/>
                <w:color w:val="auto"/>
                <w:sz w:val="24"/>
                <w:szCs w:val="24"/>
                <w:highlight w:val="none"/>
              </w:rPr>
              <w:t>项目总投资：</w:t>
            </w:r>
            <w:r>
              <w:rPr>
                <w:rFonts w:hint="eastAsia"/>
                <w:color w:val="auto"/>
                <w:sz w:val="24"/>
                <w:szCs w:val="24"/>
                <w:highlight w:val="none"/>
                <w:lang w:val="en-US" w:eastAsia="zh-CN"/>
              </w:rPr>
              <w:t>800</w:t>
            </w:r>
            <w:r>
              <w:rPr>
                <w:rFonts w:hint="default"/>
                <w:color w:val="auto"/>
                <w:sz w:val="24"/>
                <w:szCs w:val="24"/>
                <w:highlight w:val="none"/>
              </w:rPr>
              <w:t>万元</w:t>
            </w:r>
          </w:p>
          <w:p w14:paraId="1CECA88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cs="Times New Roman"/>
                <w:b/>
                <w:bCs/>
                <w:color w:val="auto"/>
                <w:kern w:val="21"/>
                <w:sz w:val="24"/>
                <w:szCs w:val="24"/>
                <w:highlight w:val="none"/>
              </w:rPr>
            </w:pPr>
            <w:r>
              <w:rPr>
                <w:rFonts w:hint="default" w:ascii="Times New Roman" w:hAnsi="Times New Roman" w:cs="Times New Roman"/>
                <w:b/>
                <w:bCs/>
                <w:color w:val="auto"/>
                <w:kern w:val="21"/>
                <w:sz w:val="24"/>
                <w:szCs w:val="24"/>
                <w:highlight w:val="none"/>
              </w:rPr>
              <w:t>1、建设内容及规模</w:t>
            </w:r>
          </w:p>
          <w:p w14:paraId="234DAD6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1"/>
                <w:sz w:val="24"/>
                <w:szCs w:val="24"/>
                <w:highlight w:val="none"/>
                <w:lang w:val="en-US" w:eastAsia="zh-CN"/>
              </w:rPr>
            </w:pPr>
            <w:r>
              <w:rPr>
                <w:rFonts w:hint="eastAsia" w:cs="Times New Roman"/>
                <w:color w:val="auto"/>
                <w:kern w:val="21"/>
                <w:sz w:val="24"/>
                <w:szCs w:val="24"/>
                <w:highlight w:val="none"/>
                <w:lang w:val="en-US" w:eastAsia="zh-CN"/>
              </w:rPr>
              <w:t>本项目为扩建项目，不新增占地</w:t>
            </w:r>
            <w:r>
              <w:rPr>
                <w:rFonts w:hint="default" w:ascii="Times New Roman" w:hAnsi="Times New Roman" w:cs="Times New Roman"/>
                <w:color w:val="auto"/>
                <w:kern w:val="0"/>
                <w:sz w:val="24"/>
                <w:szCs w:val="24"/>
                <w:highlight w:val="none"/>
                <w:lang w:val="en-US" w:eastAsia="zh-CN"/>
              </w:rPr>
              <w:t>。</w:t>
            </w:r>
            <w:r>
              <w:rPr>
                <w:rFonts w:hint="eastAsia" w:cs="Times New Roman"/>
                <w:color w:val="auto"/>
                <w:kern w:val="0"/>
                <w:sz w:val="24"/>
                <w:szCs w:val="24"/>
                <w:highlight w:val="none"/>
                <w:lang w:val="en-US" w:eastAsia="zh-CN"/>
              </w:rPr>
              <w:t>本项目拆除原有1台3t/h燃煤热风炉及烘干塔，本次</w:t>
            </w:r>
            <w:r>
              <w:rPr>
                <w:rFonts w:hint="eastAsia"/>
                <w:color w:val="auto"/>
                <w:sz w:val="24"/>
                <w:szCs w:val="24"/>
                <w:highlight w:val="none"/>
                <w:lang w:val="en-US" w:eastAsia="zh-CN"/>
              </w:rPr>
              <w:t>烘干粮食量增多，因此</w:t>
            </w:r>
            <w:r>
              <w:rPr>
                <w:rFonts w:hint="eastAsia" w:cs="Times New Roman"/>
                <w:color w:val="auto"/>
                <w:kern w:val="0"/>
                <w:sz w:val="24"/>
                <w:szCs w:val="24"/>
                <w:highlight w:val="none"/>
                <w:lang w:val="en-US" w:eastAsia="zh-CN"/>
              </w:rPr>
              <w:t>新建</w:t>
            </w:r>
            <w:r>
              <w:rPr>
                <w:rFonts w:hint="default" w:ascii="Times New Roman" w:hAnsi="Times New Roman" w:eastAsia="宋体" w:cs="Times New Roman"/>
                <w:color w:val="auto"/>
                <w:kern w:val="0"/>
                <w:sz w:val="24"/>
                <w:szCs w:val="24"/>
                <w:highlight w:val="none"/>
                <w:lang w:val="en-US" w:eastAsia="zh-CN" w:bidi="ar-SA"/>
              </w:rPr>
              <w:t>1台</w:t>
            </w:r>
            <w:r>
              <w:rPr>
                <w:rFonts w:hint="eastAsia" w:ascii="Times New Roman" w:hAnsi="Times New Roman" w:eastAsia="宋体" w:cs="Times New Roman"/>
                <w:color w:val="auto"/>
                <w:kern w:val="0"/>
                <w:sz w:val="24"/>
                <w:szCs w:val="24"/>
                <w:highlight w:val="none"/>
                <w:lang w:val="en-US" w:eastAsia="zh-CN" w:bidi="ar-SA"/>
              </w:rPr>
              <w:t>600万大卡</w:t>
            </w:r>
            <w:r>
              <w:rPr>
                <w:rFonts w:hint="default" w:ascii="Times New Roman" w:hAnsi="Times New Roman" w:eastAsia="宋体" w:cs="Times New Roman"/>
                <w:color w:val="auto"/>
                <w:kern w:val="0"/>
                <w:sz w:val="24"/>
                <w:szCs w:val="24"/>
                <w:highlight w:val="none"/>
                <w:lang w:val="en-US" w:eastAsia="zh-CN" w:bidi="ar-SA"/>
              </w:rPr>
              <w:t>燃生物质</w:t>
            </w:r>
            <w:r>
              <w:rPr>
                <w:rFonts w:hint="eastAsia" w:ascii="Times New Roman" w:hAnsi="Times New Roman" w:eastAsia="宋体" w:cs="Times New Roman"/>
                <w:color w:val="auto"/>
                <w:kern w:val="0"/>
                <w:sz w:val="24"/>
                <w:szCs w:val="24"/>
                <w:highlight w:val="none"/>
                <w:lang w:val="en-US" w:eastAsia="zh-CN" w:bidi="ar-SA"/>
              </w:rPr>
              <w:t>热风炉</w:t>
            </w:r>
            <w:r>
              <w:rPr>
                <w:rFonts w:hint="eastAsia" w:cs="Times New Roman"/>
                <w:color w:val="auto"/>
                <w:kern w:val="0"/>
                <w:sz w:val="24"/>
                <w:szCs w:val="24"/>
                <w:highlight w:val="none"/>
                <w:lang w:val="en-US" w:eastAsia="zh-CN" w:bidi="ar-SA"/>
              </w:rPr>
              <w:t>及</w:t>
            </w:r>
            <w:r>
              <w:rPr>
                <w:rFonts w:hint="eastAsia" w:ascii="Times New Roman" w:hAnsi="Times New Roman" w:cs="Times New Roman"/>
                <w:color w:val="auto"/>
                <w:kern w:val="0"/>
                <w:sz w:val="24"/>
                <w:szCs w:val="24"/>
                <w:highlight w:val="none"/>
                <w:lang w:val="en-US" w:eastAsia="zh-CN"/>
              </w:rPr>
              <w:t>1</w:t>
            </w:r>
            <w:r>
              <w:rPr>
                <w:rFonts w:hint="default" w:ascii="Times New Roman" w:hAnsi="Times New Roman" w:cs="Times New Roman"/>
                <w:color w:val="auto"/>
                <w:kern w:val="0"/>
                <w:sz w:val="24"/>
                <w:szCs w:val="24"/>
                <w:highlight w:val="none"/>
                <w:lang w:val="en-US" w:eastAsia="zh-CN"/>
              </w:rPr>
              <w:t>座烘干塔</w:t>
            </w:r>
            <w:r>
              <w:rPr>
                <w:rFonts w:hint="eastAsia" w:ascii="Times New Roman" w:hAnsi="Times New Roman" w:cs="Times New Roman"/>
                <w:color w:val="auto"/>
                <w:kern w:val="0"/>
                <w:sz w:val="24"/>
                <w:szCs w:val="24"/>
                <w:highlight w:val="none"/>
                <w:lang w:val="en-US" w:eastAsia="zh-CN"/>
              </w:rPr>
              <w:t>，</w:t>
            </w:r>
            <w:r>
              <w:rPr>
                <w:rFonts w:hint="default" w:ascii="Times New Roman" w:hAnsi="Times New Roman" w:eastAsia="宋体" w:cs="Times New Roman"/>
                <w:color w:val="auto"/>
                <w:kern w:val="2"/>
                <w:sz w:val="24"/>
                <w:szCs w:val="24"/>
                <w:highlight w:val="none"/>
                <w:lang w:val="en-US" w:eastAsia="zh-CN" w:bidi="ar"/>
              </w:rPr>
              <w:t>烘干能力为500t/</w:t>
            </w:r>
            <w:r>
              <w:rPr>
                <w:rFonts w:hint="eastAsia" w:eastAsia="宋体" w:cs="Times New Roman"/>
                <w:color w:val="auto"/>
                <w:kern w:val="2"/>
                <w:sz w:val="24"/>
                <w:szCs w:val="24"/>
                <w:highlight w:val="none"/>
                <w:lang w:val="en-US" w:eastAsia="zh-CN" w:bidi="ar"/>
              </w:rPr>
              <w:t>d</w:t>
            </w:r>
            <w:r>
              <w:rPr>
                <w:rFonts w:hint="eastAsia" w:ascii="Times New Roman" w:hAnsi="Times New Roman" w:eastAsia="宋体" w:cs="Times New Roman"/>
                <w:color w:val="auto"/>
                <w:kern w:val="0"/>
                <w:sz w:val="24"/>
                <w:szCs w:val="24"/>
                <w:highlight w:val="none"/>
                <w:lang w:val="en-US" w:eastAsia="zh-CN" w:bidi="ar-SA"/>
              </w:rPr>
              <w:t>，</w:t>
            </w:r>
            <w:r>
              <w:rPr>
                <w:rFonts w:hint="eastAsia" w:ascii="Times New Roman" w:hAnsi="Times New Roman" w:cs="Times New Roman"/>
                <w:color w:val="auto"/>
                <w:kern w:val="0"/>
                <w:sz w:val="24"/>
                <w:szCs w:val="24"/>
                <w:highlight w:val="none"/>
                <w:lang w:val="en-US" w:eastAsia="zh-CN"/>
              </w:rPr>
              <w:t>用于</w:t>
            </w:r>
            <w:r>
              <w:rPr>
                <w:rFonts w:hint="eastAsia" w:cs="Times New Roman"/>
                <w:color w:val="auto"/>
                <w:kern w:val="21"/>
                <w:sz w:val="24"/>
                <w:szCs w:val="24"/>
                <w:highlight w:val="none"/>
                <w:vertAlign w:val="baseline"/>
                <w:lang w:val="en-US" w:eastAsia="zh-CN"/>
              </w:rPr>
              <w:t>生产用热</w:t>
            </w:r>
            <w:r>
              <w:rPr>
                <w:rFonts w:hint="default" w:ascii="Times New Roman" w:hAnsi="Times New Roman" w:cs="Times New Roman"/>
                <w:color w:val="auto"/>
                <w:kern w:val="21"/>
                <w:sz w:val="24"/>
                <w:szCs w:val="24"/>
                <w:highlight w:val="none"/>
              </w:rPr>
              <w:t>。</w:t>
            </w:r>
          </w:p>
          <w:p w14:paraId="524065A1">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eastAsia" w:ascii="Times New Roman" w:hAnsi="Times New Roman" w:eastAsia="宋体" w:cs="Times New Roman"/>
                <w:snapToGrid w:val="0"/>
                <w:color w:val="auto"/>
                <w:sz w:val="24"/>
                <w:szCs w:val="24"/>
                <w:highlight w:val="none"/>
                <w:lang w:eastAsia="zh-CN"/>
              </w:rPr>
            </w:pPr>
            <w:r>
              <w:rPr>
                <w:rFonts w:hint="default" w:ascii="Times New Roman" w:hAnsi="Times New Roman" w:eastAsia="宋体" w:cs="Times New Roman"/>
                <w:b/>
                <w:bCs/>
                <w:snapToGrid w:val="0"/>
                <w:color w:val="auto"/>
                <w:sz w:val="24"/>
                <w:szCs w:val="24"/>
                <w:highlight w:val="none"/>
              </w:rPr>
              <w:t>表2-</w:t>
            </w:r>
            <w:r>
              <w:rPr>
                <w:rFonts w:hint="eastAsia" w:cs="Times New Roman"/>
                <w:b/>
                <w:bCs/>
                <w:snapToGrid w:val="0"/>
                <w:color w:val="auto"/>
                <w:sz w:val="24"/>
                <w:szCs w:val="24"/>
                <w:highlight w:val="none"/>
                <w:lang w:val="en-US" w:eastAsia="zh-CN"/>
              </w:rPr>
              <w:t xml:space="preserve">1 </w:t>
            </w:r>
            <w:r>
              <w:rPr>
                <w:rFonts w:hint="default" w:ascii="Times New Roman" w:hAnsi="Times New Roman" w:eastAsia="宋体" w:cs="Times New Roman"/>
                <w:b/>
                <w:bCs/>
                <w:snapToGrid w:val="0"/>
                <w:color w:val="auto"/>
                <w:sz w:val="24"/>
                <w:szCs w:val="24"/>
                <w:highlight w:val="none"/>
              </w:rPr>
              <w:t>主要建设内容及规模一览表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7"/>
              <w:gridCol w:w="1188"/>
              <w:gridCol w:w="5009"/>
              <w:gridCol w:w="821"/>
            </w:tblGrid>
            <w:tr w14:paraId="3C1D3B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2" w:type="pct"/>
                  <w:tcBorders>
                    <w:tl2br w:val="nil"/>
                    <w:tr2bl w:val="nil"/>
                  </w:tcBorders>
                  <w:noWrap w:val="0"/>
                  <w:vAlign w:val="center"/>
                </w:tcPr>
                <w:p w14:paraId="289D3AC2">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工程类别</w:t>
                  </w:r>
                </w:p>
              </w:tc>
              <w:tc>
                <w:tcPr>
                  <w:tcW w:w="727" w:type="pct"/>
                  <w:tcBorders>
                    <w:tl2br w:val="nil"/>
                    <w:tr2bl w:val="nil"/>
                  </w:tcBorders>
                  <w:noWrap w:val="0"/>
                  <w:vAlign w:val="center"/>
                </w:tcPr>
                <w:p w14:paraId="537D10AF">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项目名称</w:t>
                  </w:r>
                </w:p>
              </w:tc>
              <w:tc>
                <w:tcPr>
                  <w:tcW w:w="3067" w:type="pct"/>
                  <w:tcBorders>
                    <w:tl2br w:val="nil"/>
                    <w:tr2bl w:val="nil"/>
                  </w:tcBorders>
                  <w:noWrap w:val="0"/>
                  <w:vAlign w:val="center"/>
                </w:tcPr>
                <w:p w14:paraId="154E6E6F">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工程建设内容及规模</w:t>
                  </w:r>
                </w:p>
              </w:tc>
              <w:tc>
                <w:tcPr>
                  <w:tcW w:w="502" w:type="pct"/>
                  <w:tcBorders>
                    <w:tl2br w:val="nil"/>
                    <w:tr2bl w:val="nil"/>
                  </w:tcBorders>
                  <w:noWrap w:val="0"/>
                  <w:vAlign w:val="center"/>
                </w:tcPr>
                <w:p w14:paraId="638C9DAD">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备注</w:t>
                  </w:r>
                </w:p>
              </w:tc>
            </w:tr>
            <w:tr w14:paraId="1BE3DD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2" w:type="pct"/>
                  <w:vMerge w:val="restart"/>
                  <w:tcBorders>
                    <w:tl2br w:val="nil"/>
                    <w:tr2bl w:val="nil"/>
                  </w:tcBorders>
                  <w:noWrap w:val="0"/>
                  <w:vAlign w:val="center"/>
                </w:tcPr>
                <w:p w14:paraId="0249E11B">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主体工程</w:t>
                  </w:r>
                </w:p>
              </w:tc>
              <w:tc>
                <w:tcPr>
                  <w:tcW w:w="727" w:type="pct"/>
                  <w:tcBorders>
                    <w:tl2br w:val="nil"/>
                    <w:tr2bl w:val="nil"/>
                  </w:tcBorders>
                  <w:noWrap w:val="0"/>
                  <w:vAlign w:val="center"/>
                </w:tcPr>
                <w:p w14:paraId="411EF52A">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烘干</w:t>
                  </w:r>
                  <w:r>
                    <w:rPr>
                      <w:rFonts w:hint="default" w:ascii="Times New Roman" w:hAnsi="Times New Roman" w:cs="Times New Roman"/>
                      <w:color w:val="auto"/>
                      <w:sz w:val="21"/>
                      <w:szCs w:val="21"/>
                      <w:highlight w:val="none"/>
                      <w:lang w:val="en-US" w:eastAsia="zh-CN"/>
                    </w:rPr>
                    <w:t>塔</w:t>
                  </w:r>
                </w:p>
              </w:tc>
              <w:tc>
                <w:tcPr>
                  <w:tcW w:w="3067" w:type="pct"/>
                  <w:tcBorders>
                    <w:tl2br w:val="nil"/>
                    <w:tr2bl w:val="nil"/>
                  </w:tcBorders>
                  <w:noWrap w:val="0"/>
                  <w:vAlign w:val="center"/>
                </w:tcPr>
                <w:p w14:paraId="31EFDA4F">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Style w:val="124"/>
                      <w:rFonts w:hint="default" w:ascii="Times New Roman" w:hAnsi="Times New Roman" w:eastAsia="宋体" w:cs="Times New Roman"/>
                      <w:color w:val="auto"/>
                      <w:sz w:val="21"/>
                      <w:szCs w:val="21"/>
                      <w:highlight w:val="none"/>
                      <w:lang w:val="en-US"/>
                    </w:rPr>
                    <w:t>烘干塔1座，</w:t>
                  </w:r>
                  <w:r>
                    <w:rPr>
                      <w:rFonts w:hint="default" w:ascii="Times New Roman" w:hAnsi="Times New Roman" w:eastAsia="宋体" w:cs="Times New Roman"/>
                      <w:color w:val="auto"/>
                      <w:kern w:val="2"/>
                      <w:sz w:val="21"/>
                      <w:szCs w:val="21"/>
                      <w:highlight w:val="none"/>
                      <w:lang w:val="en-US" w:eastAsia="zh-CN" w:bidi="ar"/>
                    </w:rPr>
                    <w:t>烘干能力为500t/d，</w:t>
                  </w:r>
                  <w:r>
                    <w:rPr>
                      <w:rFonts w:hint="default" w:ascii="Times New Roman" w:hAnsi="Times New Roman" w:cs="Times New Roman"/>
                      <w:color w:val="auto"/>
                      <w:sz w:val="21"/>
                      <w:szCs w:val="21"/>
                      <w:highlight w:val="none"/>
                      <w:lang w:eastAsia="zh-CN"/>
                    </w:rPr>
                    <w:t>烘干</w:t>
                  </w:r>
                  <w:r>
                    <w:rPr>
                      <w:rFonts w:hint="default" w:ascii="Times New Roman" w:hAnsi="Times New Roman" w:cs="Times New Roman"/>
                      <w:color w:val="auto"/>
                      <w:sz w:val="21"/>
                      <w:szCs w:val="21"/>
                      <w:highlight w:val="none"/>
                      <w:lang w:val="en-US" w:eastAsia="zh-CN"/>
                    </w:rPr>
                    <w:t>塔占地面积15m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kern w:val="2"/>
                      <w:sz w:val="21"/>
                      <w:szCs w:val="21"/>
                      <w:highlight w:val="none"/>
                      <w:lang w:val="en-US" w:eastAsia="zh-CN" w:bidi="ar"/>
                    </w:rPr>
                    <w:t>年运行</w:t>
                  </w:r>
                  <w:r>
                    <w:rPr>
                      <w:rFonts w:hint="eastAsia" w:cs="Times New Roman"/>
                      <w:color w:val="auto"/>
                      <w:kern w:val="2"/>
                      <w:sz w:val="21"/>
                      <w:szCs w:val="21"/>
                      <w:highlight w:val="none"/>
                      <w:u w:val="none"/>
                      <w:lang w:val="en-US" w:eastAsia="zh-CN" w:bidi="ar"/>
                    </w:rPr>
                    <w:t>50</w:t>
                  </w:r>
                  <w:r>
                    <w:rPr>
                      <w:rFonts w:hint="default" w:ascii="Times New Roman" w:hAnsi="Times New Roman" w:eastAsia="宋体" w:cs="Times New Roman"/>
                      <w:color w:val="auto"/>
                      <w:kern w:val="2"/>
                      <w:sz w:val="21"/>
                      <w:szCs w:val="21"/>
                      <w:highlight w:val="none"/>
                      <w:u w:val="none"/>
                      <w:lang w:val="en-US" w:eastAsia="zh-CN" w:bidi="ar"/>
                    </w:rPr>
                    <w:t>天、24</w:t>
                  </w:r>
                  <w:r>
                    <w:rPr>
                      <w:rFonts w:hint="default" w:ascii="Times New Roman" w:hAnsi="Times New Roman" w:eastAsia="宋体" w:cs="Times New Roman"/>
                      <w:color w:val="auto"/>
                      <w:kern w:val="2"/>
                      <w:sz w:val="21"/>
                      <w:szCs w:val="21"/>
                      <w:highlight w:val="none"/>
                      <w:lang w:val="en-US" w:eastAsia="zh-CN" w:bidi="ar"/>
                    </w:rPr>
                    <w:t>小时，年烘干玉米</w:t>
                  </w:r>
                  <w:r>
                    <w:rPr>
                      <w:rFonts w:hint="eastAsia" w:cs="Times New Roman"/>
                      <w:color w:val="auto"/>
                      <w:kern w:val="2"/>
                      <w:sz w:val="21"/>
                      <w:szCs w:val="21"/>
                      <w:highlight w:val="none"/>
                      <w:lang w:val="en-US" w:eastAsia="zh-CN" w:bidi="ar"/>
                    </w:rPr>
                    <w:t>12500</w:t>
                  </w:r>
                  <w:r>
                    <w:rPr>
                      <w:rFonts w:hint="default" w:ascii="Times New Roman" w:hAnsi="Times New Roman" w:eastAsia="宋体" w:cs="Times New Roman"/>
                      <w:color w:val="auto"/>
                      <w:kern w:val="2"/>
                      <w:sz w:val="21"/>
                      <w:szCs w:val="21"/>
                      <w:highlight w:val="none"/>
                      <w:lang w:val="en-US" w:eastAsia="zh-CN" w:bidi="ar"/>
                    </w:rPr>
                    <w:t>吨、水稻</w:t>
                  </w:r>
                  <w:r>
                    <w:rPr>
                      <w:rFonts w:hint="eastAsia" w:cs="Times New Roman"/>
                      <w:color w:val="auto"/>
                      <w:kern w:val="2"/>
                      <w:sz w:val="21"/>
                      <w:szCs w:val="21"/>
                      <w:highlight w:val="none"/>
                      <w:lang w:val="en-US" w:eastAsia="zh-CN" w:bidi="ar"/>
                    </w:rPr>
                    <w:t>12500</w:t>
                  </w:r>
                  <w:r>
                    <w:rPr>
                      <w:rFonts w:hint="default" w:ascii="Times New Roman" w:hAnsi="Times New Roman" w:eastAsia="宋体" w:cs="Times New Roman"/>
                      <w:color w:val="auto"/>
                      <w:kern w:val="2"/>
                      <w:sz w:val="21"/>
                      <w:szCs w:val="21"/>
                      <w:highlight w:val="none"/>
                      <w:lang w:val="en-US" w:eastAsia="zh-CN" w:bidi="ar"/>
                    </w:rPr>
                    <w:t>吨。</w:t>
                  </w:r>
                </w:p>
              </w:tc>
              <w:tc>
                <w:tcPr>
                  <w:tcW w:w="502" w:type="pct"/>
                  <w:tcBorders>
                    <w:tl2br w:val="nil"/>
                    <w:tr2bl w:val="nil"/>
                  </w:tcBorders>
                  <w:noWrap w:val="0"/>
                  <w:vAlign w:val="center"/>
                </w:tcPr>
                <w:p w14:paraId="70E61122">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新建</w:t>
                  </w:r>
                </w:p>
              </w:tc>
            </w:tr>
            <w:tr w14:paraId="00CB76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2" w:type="pct"/>
                  <w:vMerge w:val="continue"/>
                  <w:tcBorders>
                    <w:tl2br w:val="nil"/>
                    <w:tr2bl w:val="nil"/>
                  </w:tcBorders>
                  <w:noWrap w:val="0"/>
                  <w:vAlign w:val="center"/>
                </w:tcPr>
                <w:p w14:paraId="21291BA0">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27" w:type="pct"/>
                  <w:tcBorders>
                    <w:tl2br w:val="nil"/>
                    <w:tr2bl w:val="nil"/>
                  </w:tcBorders>
                  <w:noWrap w:val="0"/>
                  <w:vAlign w:val="center"/>
                </w:tcPr>
                <w:p w14:paraId="7F4C0A1C">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热风炉房</w:t>
                  </w:r>
                </w:p>
              </w:tc>
              <w:tc>
                <w:tcPr>
                  <w:tcW w:w="3067" w:type="pct"/>
                  <w:tcBorders>
                    <w:tl2br w:val="nil"/>
                    <w:tr2bl w:val="nil"/>
                  </w:tcBorders>
                  <w:noWrap w:val="0"/>
                  <w:vAlign w:val="center"/>
                </w:tcPr>
                <w:p w14:paraId="37C7F758">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
                    </w:rPr>
                  </w:pPr>
                  <w:r>
                    <w:rPr>
                      <w:rFonts w:hint="default" w:ascii="Times New Roman" w:hAnsi="Times New Roman" w:eastAsia="宋体" w:cs="Times New Roman"/>
                      <w:color w:val="auto"/>
                      <w:kern w:val="2"/>
                      <w:sz w:val="21"/>
                      <w:szCs w:val="21"/>
                      <w:highlight w:val="none"/>
                      <w:u w:val="none"/>
                      <w:lang w:val="en-US" w:eastAsia="zh-CN" w:bidi="ar"/>
                    </w:rPr>
                    <w:t>为烘干工艺提供热源，设置1台</w:t>
                  </w:r>
                  <w:r>
                    <w:rPr>
                      <w:rFonts w:hint="default" w:ascii="Times New Roman" w:hAnsi="Times New Roman" w:eastAsia="宋体" w:cs="Times New Roman"/>
                      <w:color w:val="auto"/>
                      <w:kern w:val="0"/>
                      <w:sz w:val="21"/>
                      <w:szCs w:val="21"/>
                      <w:highlight w:val="none"/>
                      <w:lang w:val="en-US" w:eastAsia="zh-CN" w:bidi="ar-SA"/>
                    </w:rPr>
                    <w:t>600万大卡（10t/h）</w:t>
                  </w:r>
                  <w:r>
                    <w:rPr>
                      <w:rFonts w:hint="default" w:ascii="Times New Roman" w:hAnsi="Times New Roman" w:cs="Times New Roman"/>
                      <w:color w:val="auto"/>
                      <w:sz w:val="21"/>
                      <w:szCs w:val="21"/>
                      <w:highlight w:val="none"/>
                      <w:u w:val="none"/>
                      <w:lang w:val="en-US" w:eastAsia="zh-CN"/>
                    </w:rPr>
                    <w:t>生物质链条热风炉</w:t>
                  </w:r>
                  <w:r>
                    <w:rPr>
                      <w:rFonts w:hint="default" w:ascii="Times New Roman" w:hAnsi="Times New Roman" w:eastAsia="宋体" w:cs="Times New Roman"/>
                      <w:color w:val="auto"/>
                      <w:kern w:val="2"/>
                      <w:sz w:val="21"/>
                      <w:szCs w:val="21"/>
                      <w:highlight w:val="none"/>
                      <w:u w:val="none"/>
                      <w:lang w:val="en-US" w:eastAsia="zh-CN" w:bidi="ar"/>
                    </w:rPr>
                    <w:t>。热风炉房建筑面积288</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u w:val="none"/>
                      <w:lang w:eastAsia="zh-CN"/>
                    </w:rPr>
                    <w:t>，</w:t>
                  </w:r>
                  <w:r>
                    <w:rPr>
                      <w:rFonts w:hint="default" w:ascii="Times New Roman" w:hAnsi="Times New Roman" w:cs="Times New Roman"/>
                      <w:color w:val="auto"/>
                      <w:sz w:val="21"/>
                      <w:szCs w:val="21"/>
                      <w:highlight w:val="none"/>
                      <w:u w:val="none"/>
                      <w:lang w:val="en-US" w:eastAsia="zh-CN"/>
                    </w:rPr>
                    <w:t>高度约</w:t>
                  </w:r>
                  <w:r>
                    <w:rPr>
                      <w:rFonts w:hint="default" w:ascii="Times New Roman" w:hAnsi="Times New Roman" w:eastAsia="宋体" w:cs="Times New Roman"/>
                      <w:color w:val="auto"/>
                      <w:kern w:val="2"/>
                      <w:sz w:val="21"/>
                      <w:szCs w:val="21"/>
                      <w:highlight w:val="none"/>
                      <w:u w:val="none"/>
                      <w:lang w:val="en-US" w:eastAsia="zh-CN" w:bidi="ar"/>
                    </w:rPr>
                    <w:t>7</w:t>
                  </w:r>
                  <w:r>
                    <w:rPr>
                      <w:rFonts w:hint="default" w:ascii="Times New Roman" w:hAnsi="Times New Roman" w:cs="Times New Roman"/>
                      <w:color w:val="auto"/>
                      <w:sz w:val="21"/>
                      <w:szCs w:val="21"/>
                      <w:highlight w:val="none"/>
                      <w:u w:val="none"/>
                      <w:lang w:val="en-US" w:eastAsia="zh-CN"/>
                    </w:rPr>
                    <w:t>m。</w:t>
                  </w:r>
                  <w:r>
                    <w:rPr>
                      <w:rFonts w:hint="eastAsia"/>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原</w:t>
                  </w:r>
                  <w:r>
                    <w:rPr>
                      <w:rFonts w:hint="eastAsia" w:cs="Times New Roman"/>
                      <w:color w:val="auto"/>
                      <w:sz w:val="21"/>
                      <w:szCs w:val="21"/>
                      <w:highlight w:val="none"/>
                      <w:lang w:val="en-US" w:eastAsia="zh-CN"/>
                    </w:rPr>
                    <w:t>热风炉房</w:t>
                  </w:r>
                  <w:r>
                    <w:rPr>
                      <w:rFonts w:hint="eastAsia" w:ascii="Times New Roman" w:hAnsi="Times New Roman" w:eastAsia="宋体" w:cs="Times New Roman"/>
                      <w:color w:val="auto"/>
                      <w:sz w:val="21"/>
                      <w:szCs w:val="21"/>
                      <w:highlight w:val="none"/>
                      <w:lang w:val="en-US" w:eastAsia="zh-CN"/>
                    </w:rPr>
                    <w:t>为一台</w:t>
                  </w:r>
                  <w:r>
                    <w:rPr>
                      <w:rFonts w:hint="eastAsia"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lang w:val="en-US" w:eastAsia="zh-CN"/>
                    </w:rPr>
                    <w:t>t</w:t>
                  </w:r>
                  <w:r>
                    <w:rPr>
                      <w:rFonts w:hint="eastAsia" w:cs="Times New Roman"/>
                      <w:color w:val="auto"/>
                      <w:sz w:val="21"/>
                      <w:szCs w:val="21"/>
                      <w:highlight w:val="none"/>
                      <w:lang w:val="en-US" w:eastAsia="zh-CN"/>
                    </w:rPr>
                    <w:t>/h</w:t>
                  </w:r>
                  <w:r>
                    <w:rPr>
                      <w:rFonts w:hint="eastAsia" w:ascii="Times New Roman" w:hAnsi="Times New Roman" w:eastAsia="宋体" w:cs="Times New Roman"/>
                      <w:color w:val="auto"/>
                      <w:sz w:val="21"/>
                      <w:szCs w:val="21"/>
                      <w:highlight w:val="none"/>
                      <w:lang w:val="en-US" w:eastAsia="zh-CN"/>
                    </w:rPr>
                    <w:t>的</w:t>
                  </w:r>
                  <w:r>
                    <w:rPr>
                      <w:rFonts w:hint="eastAsia" w:cs="Times New Roman"/>
                      <w:color w:val="auto"/>
                      <w:sz w:val="21"/>
                      <w:szCs w:val="21"/>
                      <w:highlight w:val="none"/>
                      <w:lang w:val="en-US" w:eastAsia="zh-CN"/>
                    </w:rPr>
                    <w:t>燃煤热风炉</w:t>
                  </w:r>
                  <w:r>
                    <w:rPr>
                      <w:rFonts w:hint="eastAsia" w:ascii="Times New Roman" w:hAnsi="Times New Roman" w:eastAsia="宋体" w:cs="Times New Roman"/>
                      <w:color w:val="auto"/>
                      <w:sz w:val="21"/>
                      <w:szCs w:val="21"/>
                      <w:highlight w:val="none"/>
                      <w:lang w:val="en-US" w:eastAsia="zh-CN"/>
                    </w:rPr>
                    <w:t>，配套</w:t>
                  </w:r>
                  <w:r>
                    <w:rPr>
                      <w:rFonts w:hint="eastAsia" w:cs="Times New Roman"/>
                      <w:color w:val="auto"/>
                      <w:sz w:val="21"/>
                      <w:szCs w:val="21"/>
                      <w:highlight w:val="none"/>
                      <w:lang w:val="en-US" w:eastAsia="zh-CN"/>
                    </w:rPr>
                    <w:t>旋风</w:t>
                  </w:r>
                  <w:r>
                    <w:rPr>
                      <w:rFonts w:hint="eastAsia" w:ascii="Times New Roman" w:hAnsi="Times New Roman" w:eastAsia="宋体" w:cs="Times New Roman"/>
                      <w:color w:val="auto"/>
                      <w:sz w:val="21"/>
                      <w:szCs w:val="21"/>
                      <w:highlight w:val="none"/>
                      <w:lang w:val="en-US" w:eastAsia="zh-CN"/>
                    </w:rPr>
                    <w:t>除尘装置，</w:t>
                  </w:r>
                  <w:r>
                    <w:rPr>
                      <w:rFonts w:hint="eastAsia" w:cs="Times New Roman"/>
                      <w:color w:val="auto"/>
                      <w:sz w:val="21"/>
                      <w:szCs w:val="21"/>
                      <w:highlight w:val="none"/>
                      <w:lang w:val="en-US" w:eastAsia="zh-CN"/>
                    </w:rPr>
                    <w:t>热风炉</w:t>
                  </w:r>
                  <w:r>
                    <w:rPr>
                      <w:rFonts w:hint="eastAsia" w:ascii="Times New Roman" w:hAnsi="Times New Roman" w:eastAsia="宋体" w:cs="Times New Roman"/>
                      <w:color w:val="auto"/>
                      <w:sz w:val="21"/>
                      <w:szCs w:val="21"/>
                      <w:highlight w:val="none"/>
                      <w:lang w:val="en-US" w:eastAsia="zh-CN"/>
                    </w:rPr>
                    <w:t>烟气通过35m高烟囱排放。以煤为燃料，年燃煤量为</w:t>
                  </w:r>
                  <w:r>
                    <w:rPr>
                      <w:rFonts w:hint="eastAsia" w:cs="Times New Roman"/>
                      <w:color w:val="auto"/>
                      <w:sz w:val="21"/>
                      <w:szCs w:val="21"/>
                      <w:highlight w:val="none"/>
                      <w:lang w:val="en-US" w:eastAsia="zh-CN"/>
                    </w:rPr>
                    <w:t>600</w:t>
                  </w:r>
                  <w:r>
                    <w:rPr>
                      <w:rFonts w:hint="eastAsia" w:ascii="Times New Roman" w:hAnsi="Times New Roman" w:eastAsia="宋体" w:cs="Times New Roman"/>
                      <w:color w:val="auto"/>
                      <w:sz w:val="21"/>
                      <w:szCs w:val="21"/>
                      <w:highlight w:val="none"/>
                      <w:lang w:val="en-US" w:eastAsia="zh-CN"/>
                    </w:rPr>
                    <w:t>t/a。）</w:t>
                  </w:r>
                </w:p>
              </w:tc>
              <w:tc>
                <w:tcPr>
                  <w:tcW w:w="502" w:type="pct"/>
                  <w:tcBorders>
                    <w:tl2br w:val="nil"/>
                    <w:tr2bl w:val="nil"/>
                  </w:tcBorders>
                  <w:noWrap w:val="0"/>
                  <w:vAlign w:val="center"/>
                </w:tcPr>
                <w:p w14:paraId="04A61522">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热风炉房利旧，热风炉、排气筒新建</w:t>
                  </w:r>
                </w:p>
              </w:tc>
            </w:tr>
            <w:tr w14:paraId="27E8A1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2" w:type="pct"/>
                  <w:vMerge w:val="restart"/>
                  <w:tcBorders>
                    <w:tl2br w:val="nil"/>
                    <w:tr2bl w:val="nil"/>
                  </w:tcBorders>
                  <w:noWrap w:val="0"/>
                  <w:vAlign w:val="center"/>
                </w:tcPr>
                <w:p w14:paraId="5A82D5A0">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储运工程</w:t>
                  </w:r>
                </w:p>
              </w:tc>
              <w:tc>
                <w:tcPr>
                  <w:tcW w:w="727" w:type="pct"/>
                  <w:tcBorders>
                    <w:tl2br w:val="nil"/>
                    <w:tr2bl w:val="nil"/>
                  </w:tcBorders>
                  <w:shd w:val="clear" w:color="auto" w:fill="auto"/>
                  <w:noWrap w:val="0"/>
                  <w:vAlign w:val="center"/>
                </w:tcPr>
                <w:p w14:paraId="12FD8BD8">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Arial" w:cs="Times New Roman"/>
                      <w:snapToGrid w:val="0"/>
                      <w:color w:val="auto"/>
                      <w:kern w:val="0"/>
                      <w:sz w:val="21"/>
                      <w:szCs w:val="21"/>
                      <w:highlight w:val="none"/>
                      <w:u w:val="none"/>
                      <w:lang w:val="en-US" w:eastAsia="zh-CN" w:bidi="ar-SA"/>
                    </w:rPr>
                  </w:pPr>
                  <w:r>
                    <w:rPr>
                      <w:rFonts w:hint="default" w:ascii="Times New Roman" w:hAnsi="Times New Roman" w:cs="Times New Roman"/>
                      <w:snapToGrid w:val="0"/>
                      <w:color w:val="auto"/>
                      <w:kern w:val="0"/>
                      <w:sz w:val="21"/>
                      <w:szCs w:val="21"/>
                      <w:highlight w:val="none"/>
                      <w:u w:val="none"/>
                      <w:lang w:val="en-US" w:eastAsia="zh-CN" w:bidi="ar-SA"/>
                    </w:rPr>
                    <w:t>原粮仓</w:t>
                  </w:r>
                </w:p>
              </w:tc>
              <w:tc>
                <w:tcPr>
                  <w:tcW w:w="3067" w:type="pct"/>
                  <w:tcBorders>
                    <w:tl2br w:val="nil"/>
                    <w:tr2bl w:val="nil"/>
                  </w:tcBorders>
                  <w:shd w:val="clear" w:color="auto" w:fill="auto"/>
                  <w:noWrap w:val="0"/>
                  <w:vAlign w:val="center"/>
                </w:tcPr>
                <w:p w14:paraId="7BEB046D">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Arial" w:cs="Times New Roman"/>
                      <w:snapToGrid w:val="0"/>
                      <w:color w:val="auto"/>
                      <w:kern w:val="0"/>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设置</w:t>
                  </w:r>
                  <w:r>
                    <w:rPr>
                      <w:rFonts w:hint="eastAsia" w:cs="Times New Roman"/>
                      <w:color w:val="auto"/>
                      <w:sz w:val="21"/>
                      <w:szCs w:val="21"/>
                      <w:highlight w:val="none"/>
                      <w:u w:val="none"/>
                      <w:lang w:val="en-US" w:eastAsia="zh-CN"/>
                    </w:rPr>
                    <w:t>10</w:t>
                  </w:r>
                  <w:r>
                    <w:rPr>
                      <w:rFonts w:hint="default" w:ascii="Times New Roman" w:hAnsi="Times New Roman" w:eastAsia="宋体" w:cs="Times New Roman"/>
                      <w:color w:val="auto"/>
                      <w:sz w:val="21"/>
                      <w:szCs w:val="21"/>
                      <w:highlight w:val="none"/>
                      <w:u w:val="none"/>
                      <w:lang w:val="en-US" w:eastAsia="zh-CN"/>
                    </w:rPr>
                    <w:t>00t</w:t>
                  </w:r>
                  <w:r>
                    <w:rPr>
                      <w:rFonts w:hint="default" w:ascii="Times New Roman" w:hAnsi="Times New Roman" w:cs="Times New Roman"/>
                      <w:snapToGrid w:val="0"/>
                      <w:color w:val="auto"/>
                      <w:kern w:val="0"/>
                      <w:sz w:val="21"/>
                      <w:szCs w:val="21"/>
                      <w:highlight w:val="none"/>
                      <w:u w:val="none"/>
                      <w:lang w:val="en-US" w:eastAsia="zh-CN" w:bidi="ar-SA"/>
                    </w:rPr>
                    <w:t>原粮仓</w:t>
                  </w:r>
                  <w:r>
                    <w:rPr>
                      <w:rFonts w:hint="eastAsia" w:cs="Times New Roman"/>
                      <w:snapToGrid w:val="0"/>
                      <w:color w:val="auto"/>
                      <w:kern w:val="0"/>
                      <w:sz w:val="21"/>
                      <w:szCs w:val="21"/>
                      <w:highlight w:val="none"/>
                      <w:u w:val="none"/>
                      <w:lang w:val="en-US" w:eastAsia="zh-CN" w:bidi="ar-SA"/>
                    </w:rPr>
                    <w:t>1</w:t>
                  </w:r>
                  <w:r>
                    <w:rPr>
                      <w:rFonts w:hint="default" w:ascii="Times New Roman" w:hAnsi="Times New Roman" w:cs="Times New Roman"/>
                      <w:snapToGrid w:val="0"/>
                      <w:color w:val="auto"/>
                      <w:kern w:val="0"/>
                      <w:sz w:val="21"/>
                      <w:szCs w:val="21"/>
                      <w:highlight w:val="none"/>
                      <w:u w:val="none"/>
                      <w:lang w:val="en-US" w:eastAsia="zh-CN" w:bidi="ar-SA"/>
                    </w:rPr>
                    <w:t>座</w:t>
                  </w:r>
                  <w:r>
                    <w:rPr>
                      <w:rFonts w:hint="default" w:ascii="Times New Roman" w:hAnsi="Times New Roman" w:cs="Times New Roman"/>
                      <w:color w:val="auto"/>
                      <w:sz w:val="21"/>
                      <w:szCs w:val="21"/>
                      <w:highlight w:val="none"/>
                      <w:u w:val="none"/>
                    </w:rPr>
                    <w:t>，</w:t>
                  </w:r>
                  <w:r>
                    <w:rPr>
                      <w:rFonts w:hint="default" w:ascii="Times New Roman" w:hAnsi="Times New Roman" w:eastAsia="宋体" w:cs="Times New Roman"/>
                      <w:color w:val="auto"/>
                      <w:sz w:val="21"/>
                      <w:szCs w:val="21"/>
                      <w:highlight w:val="none"/>
                      <w:u w:val="none"/>
                      <w:lang w:val="en-US" w:eastAsia="zh-CN"/>
                    </w:rPr>
                    <w:t>占地</w:t>
                  </w:r>
                  <w:r>
                    <w:rPr>
                      <w:rFonts w:hint="default" w:ascii="Times New Roman" w:hAnsi="Times New Roman" w:cs="Times New Roman"/>
                      <w:color w:val="auto"/>
                      <w:sz w:val="21"/>
                      <w:szCs w:val="21"/>
                      <w:highlight w:val="none"/>
                      <w:u w:val="none"/>
                    </w:rPr>
                    <w:t>面积</w:t>
                  </w:r>
                  <w:r>
                    <w:rPr>
                      <w:rFonts w:hint="eastAsia" w:cs="Times New Roman"/>
                      <w:color w:val="auto"/>
                      <w:sz w:val="21"/>
                      <w:szCs w:val="21"/>
                      <w:highlight w:val="none"/>
                      <w:u w:val="none"/>
                      <w:lang w:val="en-US" w:eastAsia="zh-CN"/>
                    </w:rPr>
                    <w:t>143</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u w:val="none"/>
                    </w:rPr>
                    <w:t>。</w:t>
                  </w:r>
                  <w:r>
                    <w:rPr>
                      <w:rFonts w:hint="default" w:ascii="Times New Roman" w:hAnsi="Times New Roman" w:cs="Times New Roman"/>
                      <w:color w:val="auto"/>
                      <w:sz w:val="21"/>
                      <w:szCs w:val="21"/>
                      <w:highlight w:val="none"/>
                      <w:u w:val="none"/>
                      <w:lang w:val="en-US" w:eastAsia="zh-CN"/>
                    </w:rPr>
                    <w:t>高度约</w:t>
                  </w:r>
                  <w:r>
                    <w:rPr>
                      <w:rFonts w:hint="default" w:ascii="Times New Roman" w:hAnsi="Times New Roman" w:eastAsia="宋体" w:cs="Times New Roman"/>
                      <w:color w:val="auto"/>
                      <w:kern w:val="2"/>
                      <w:sz w:val="21"/>
                      <w:szCs w:val="21"/>
                      <w:highlight w:val="none"/>
                      <w:u w:val="none"/>
                      <w:lang w:val="en-US" w:eastAsia="zh-CN" w:bidi="ar"/>
                    </w:rPr>
                    <w:t>25</w:t>
                  </w:r>
                  <w:r>
                    <w:rPr>
                      <w:rFonts w:hint="default" w:ascii="Times New Roman" w:hAnsi="Times New Roman" w:cs="Times New Roman"/>
                      <w:color w:val="auto"/>
                      <w:sz w:val="21"/>
                      <w:szCs w:val="21"/>
                      <w:highlight w:val="none"/>
                      <w:u w:val="none"/>
                      <w:lang w:val="en-US" w:eastAsia="zh-CN"/>
                    </w:rPr>
                    <w:t>m，</w:t>
                  </w:r>
                  <w:r>
                    <w:rPr>
                      <w:rFonts w:hint="default" w:ascii="Times New Roman" w:hAnsi="Times New Roman" w:cs="Times New Roman"/>
                      <w:color w:val="auto"/>
                      <w:sz w:val="21"/>
                      <w:szCs w:val="21"/>
                      <w:highlight w:val="none"/>
                      <w:u w:val="none"/>
                    </w:rPr>
                    <w:t>年最大储存能力为</w:t>
                  </w:r>
                  <w:r>
                    <w:rPr>
                      <w:rFonts w:hint="eastAsia" w:cs="Times New Roman"/>
                      <w:color w:val="auto"/>
                      <w:kern w:val="2"/>
                      <w:sz w:val="21"/>
                      <w:szCs w:val="21"/>
                      <w:highlight w:val="none"/>
                      <w:u w:val="none"/>
                      <w:lang w:val="en-US" w:eastAsia="zh-CN" w:bidi="ar"/>
                    </w:rPr>
                    <w:t>10</w:t>
                  </w:r>
                  <w:r>
                    <w:rPr>
                      <w:rFonts w:hint="default" w:ascii="Times New Roman" w:hAnsi="Times New Roman" w:eastAsia="宋体" w:cs="Times New Roman"/>
                      <w:color w:val="auto"/>
                      <w:kern w:val="2"/>
                      <w:sz w:val="21"/>
                      <w:szCs w:val="21"/>
                      <w:highlight w:val="none"/>
                      <w:u w:val="none"/>
                      <w:lang w:val="en-US" w:eastAsia="zh-CN" w:bidi="ar"/>
                    </w:rPr>
                    <w:t>00</w:t>
                  </w:r>
                  <w:r>
                    <w:rPr>
                      <w:rFonts w:hint="default" w:ascii="Times New Roman" w:hAnsi="Times New Roman" w:cs="Times New Roman"/>
                      <w:color w:val="auto"/>
                      <w:sz w:val="21"/>
                      <w:szCs w:val="21"/>
                      <w:highlight w:val="none"/>
                      <w:u w:val="none"/>
                    </w:rPr>
                    <w:t>吨。用于储存</w:t>
                  </w:r>
                  <w:r>
                    <w:rPr>
                      <w:rFonts w:hint="default" w:ascii="Times New Roman" w:hAnsi="Times New Roman" w:eastAsia="宋体" w:cs="Times New Roman"/>
                      <w:color w:val="auto"/>
                      <w:sz w:val="21"/>
                      <w:szCs w:val="21"/>
                      <w:highlight w:val="none"/>
                      <w:u w:val="none"/>
                      <w:lang w:val="en-US" w:eastAsia="zh-CN"/>
                    </w:rPr>
                    <w:t>原粮</w:t>
                  </w:r>
                  <w:r>
                    <w:rPr>
                      <w:rFonts w:hint="default" w:ascii="Times New Roman" w:hAnsi="Times New Roman" w:cs="Times New Roman"/>
                      <w:color w:val="auto"/>
                      <w:sz w:val="21"/>
                      <w:szCs w:val="21"/>
                      <w:highlight w:val="none"/>
                      <w:u w:val="none"/>
                    </w:rPr>
                    <w:t>。</w:t>
                  </w:r>
                  <w:r>
                    <w:rPr>
                      <w:rFonts w:hint="default" w:ascii="Times New Roman" w:hAnsi="Times New Roman" w:cs="Times New Roman"/>
                      <w:color w:val="auto"/>
                      <w:sz w:val="21"/>
                      <w:szCs w:val="21"/>
                      <w:highlight w:val="none"/>
                      <w:u w:val="none"/>
                      <w:lang w:val="en-US" w:eastAsia="zh-CN"/>
                    </w:rPr>
                    <w:t>用输送机进行转运。</w:t>
                  </w:r>
                </w:p>
              </w:tc>
              <w:tc>
                <w:tcPr>
                  <w:tcW w:w="502" w:type="pct"/>
                  <w:tcBorders>
                    <w:tl2br w:val="nil"/>
                    <w:tr2bl w:val="nil"/>
                  </w:tcBorders>
                  <w:noWrap w:val="0"/>
                  <w:vAlign w:val="center"/>
                </w:tcPr>
                <w:p w14:paraId="081CA9AB">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rPr>
                  </w:pPr>
                  <w:r>
                    <w:rPr>
                      <w:rFonts w:hint="eastAsia"/>
                      <w:color w:val="auto"/>
                      <w:sz w:val="21"/>
                      <w:szCs w:val="21"/>
                      <w:highlight w:val="none"/>
                      <w:lang w:val="en-US" w:eastAsia="zh-CN"/>
                    </w:rPr>
                    <w:t>利旧</w:t>
                  </w:r>
                </w:p>
              </w:tc>
            </w:tr>
            <w:tr w14:paraId="77209E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2" w:type="pct"/>
                  <w:vMerge w:val="continue"/>
                  <w:tcBorders>
                    <w:tl2br w:val="nil"/>
                    <w:tr2bl w:val="nil"/>
                  </w:tcBorders>
                  <w:noWrap w:val="0"/>
                  <w:vAlign w:val="center"/>
                </w:tcPr>
                <w:p w14:paraId="79E0BE21">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27" w:type="pct"/>
                  <w:tcBorders>
                    <w:tl2br w:val="nil"/>
                    <w:tr2bl w:val="nil"/>
                  </w:tcBorders>
                  <w:shd w:val="clear" w:color="auto" w:fill="auto"/>
                  <w:noWrap w:val="0"/>
                  <w:vAlign w:val="center"/>
                </w:tcPr>
                <w:p w14:paraId="3E4E1B75">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储粮场</w:t>
                  </w:r>
                </w:p>
              </w:tc>
              <w:tc>
                <w:tcPr>
                  <w:tcW w:w="3067" w:type="pct"/>
                  <w:tcBorders>
                    <w:tl2br w:val="nil"/>
                    <w:tr2bl w:val="nil"/>
                  </w:tcBorders>
                  <w:shd w:val="clear" w:color="auto" w:fill="auto"/>
                  <w:noWrap w:val="0"/>
                  <w:vAlign w:val="center"/>
                </w:tcPr>
                <w:p w14:paraId="2ED68275">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snapToGrid w:val="0"/>
                      <w:color w:val="auto"/>
                      <w:kern w:val="2"/>
                      <w:sz w:val="21"/>
                      <w:szCs w:val="21"/>
                      <w:highlight w:val="none"/>
                      <w:lang w:val="en-US" w:eastAsia="zh-CN" w:bidi="ar"/>
                    </w:rPr>
                  </w:pPr>
                  <w:r>
                    <w:rPr>
                      <w:rFonts w:hint="default" w:ascii="Times New Roman" w:hAnsi="Times New Roman" w:eastAsia="宋体" w:cs="Times New Roman"/>
                      <w:color w:val="auto"/>
                      <w:sz w:val="21"/>
                      <w:szCs w:val="21"/>
                      <w:highlight w:val="none"/>
                      <w:u w:val="none"/>
                      <w:lang w:val="en-US" w:eastAsia="zh-CN"/>
                    </w:rPr>
                    <w:t>占地</w:t>
                  </w:r>
                  <w:r>
                    <w:rPr>
                      <w:rFonts w:hint="default" w:ascii="Times New Roman" w:hAnsi="Times New Roman" w:cs="Times New Roman"/>
                      <w:color w:val="auto"/>
                      <w:sz w:val="21"/>
                      <w:szCs w:val="21"/>
                      <w:highlight w:val="none"/>
                      <w:u w:val="none"/>
                    </w:rPr>
                    <w:t>面积</w:t>
                  </w:r>
                  <w:r>
                    <w:rPr>
                      <w:rFonts w:hint="eastAsia" w:cs="Times New Roman"/>
                      <w:color w:val="auto"/>
                      <w:sz w:val="21"/>
                      <w:szCs w:val="21"/>
                      <w:highlight w:val="none"/>
                      <w:u w:val="none"/>
                      <w:lang w:val="en-US" w:eastAsia="zh-CN"/>
                    </w:rPr>
                    <w:t>5000</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eastAsia="zh-CN"/>
                    </w:rPr>
                    <w:t>。</w:t>
                  </w:r>
                </w:p>
              </w:tc>
              <w:tc>
                <w:tcPr>
                  <w:tcW w:w="502" w:type="pct"/>
                  <w:tcBorders>
                    <w:tl2br w:val="nil"/>
                    <w:tr2bl w:val="nil"/>
                  </w:tcBorders>
                  <w:noWrap w:val="0"/>
                  <w:vAlign w:val="center"/>
                </w:tcPr>
                <w:p w14:paraId="36BBC3FA">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eastAsia"/>
                      <w:color w:val="auto"/>
                      <w:sz w:val="21"/>
                      <w:szCs w:val="21"/>
                      <w:highlight w:val="none"/>
                      <w:lang w:val="en-US" w:eastAsia="zh-CN"/>
                    </w:rPr>
                    <w:t>利旧</w:t>
                  </w:r>
                </w:p>
              </w:tc>
            </w:tr>
            <w:tr w14:paraId="28B50F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2" w:type="pct"/>
                  <w:vMerge w:val="continue"/>
                  <w:tcBorders>
                    <w:tl2br w:val="nil"/>
                    <w:tr2bl w:val="nil"/>
                  </w:tcBorders>
                  <w:noWrap w:val="0"/>
                  <w:vAlign w:val="center"/>
                </w:tcPr>
                <w:p w14:paraId="5D2D3C14">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27" w:type="pct"/>
                  <w:tcBorders>
                    <w:tl2br w:val="nil"/>
                    <w:tr2bl w:val="nil"/>
                  </w:tcBorders>
                  <w:shd w:val="clear" w:color="auto" w:fill="auto"/>
                  <w:noWrap w:val="0"/>
                  <w:vAlign w:val="center"/>
                </w:tcPr>
                <w:p w14:paraId="4E475FFA">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eastAsia" w:ascii="Times New Roman" w:hAnsi="Times New Roman" w:cs="Times New Roman"/>
                      <w:color w:val="auto"/>
                      <w:sz w:val="21"/>
                      <w:szCs w:val="21"/>
                      <w:highlight w:val="none"/>
                      <w:lang w:val="en-US" w:eastAsia="zh-CN"/>
                    </w:rPr>
                  </w:pPr>
                  <w:r>
                    <w:rPr>
                      <w:rFonts w:hint="eastAsia"/>
                      <w:color w:val="auto"/>
                      <w:sz w:val="21"/>
                      <w:szCs w:val="21"/>
                      <w:highlight w:val="none"/>
                      <w:lang w:val="en-US" w:eastAsia="zh-CN"/>
                    </w:rPr>
                    <w:t>晾晒场</w:t>
                  </w:r>
                </w:p>
              </w:tc>
              <w:tc>
                <w:tcPr>
                  <w:tcW w:w="3067" w:type="pct"/>
                  <w:tcBorders>
                    <w:tl2br w:val="nil"/>
                    <w:tr2bl w:val="nil"/>
                  </w:tcBorders>
                  <w:shd w:val="clear" w:color="auto" w:fill="auto"/>
                  <w:noWrap w:val="0"/>
                  <w:vAlign w:val="center"/>
                </w:tcPr>
                <w:p w14:paraId="14D39C9B">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占地</w:t>
                  </w:r>
                  <w:r>
                    <w:rPr>
                      <w:rFonts w:hint="default" w:ascii="Times New Roman" w:hAnsi="Times New Roman" w:cs="Times New Roman"/>
                      <w:color w:val="auto"/>
                      <w:sz w:val="21"/>
                      <w:szCs w:val="21"/>
                      <w:highlight w:val="none"/>
                      <w:u w:val="none"/>
                    </w:rPr>
                    <w:t>面积</w:t>
                  </w:r>
                  <w:r>
                    <w:rPr>
                      <w:rFonts w:hint="eastAsia" w:cs="Times New Roman"/>
                      <w:color w:val="auto"/>
                      <w:sz w:val="21"/>
                      <w:szCs w:val="21"/>
                      <w:highlight w:val="none"/>
                      <w:u w:val="none"/>
                      <w:lang w:val="en-US" w:eastAsia="zh-CN"/>
                    </w:rPr>
                    <w:t>80</w:t>
                  </w:r>
                  <w:r>
                    <w:rPr>
                      <w:rFonts w:hint="eastAsia" w:ascii="Times New Roman" w:hAnsi="Times New Roman" w:cs="Times New Roman"/>
                      <w:color w:val="auto"/>
                      <w:sz w:val="21"/>
                      <w:szCs w:val="21"/>
                      <w:highlight w:val="none"/>
                      <w:u w:val="none"/>
                      <w:lang w:val="en-US" w:eastAsia="zh-CN"/>
                    </w:rPr>
                    <w:t>00</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eastAsia="zh-CN"/>
                    </w:rPr>
                    <w:t>。</w:t>
                  </w:r>
                </w:p>
              </w:tc>
              <w:tc>
                <w:tcPr>
                  <w:tcW w:w="502" w:type="pct"/>
                  <w:tcBorders>
                    <w:tl2br w:val="nil"/>
                    <w:tr2bl w:val="nil"/>
                  </w:tcBorders>
                  <w:noWrap w:val="0"/>
                  <w:vAlign w:val="center"/>
                </w:tcPr>
                <w:p w14:paraId="29A5D83F">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利旧</w:t>
                  </w:r>
                </w:p>
              </w:tc>
            </w:tr>
            <w:tr w14:paraId="3044D0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2" w:type="pct"/>
                  <w:vMerge w:val="continue"/>
                  <w:tcBorders>
                    <w:tl2br w:val="nil"/>
                    <w:tr2bl w:val="nil"/>
                  </w:tcBorders>
                  <w:noWrap w:val="0"/>
                  <w:vAlign w:val="center"/>
                </w:tcPr>
                <w:p w14:paraId="58486CD8">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27" w:type="pct"/>
                  <w:tcBorders>
                    <w:tl2br w:val="nil"/>
                    <w:tr2bl w:val="nil"/>
                  </w:tcBorders>
                  <w:noWrap w:val="0"/>
                  <w:vAlign w:val="center"/>
                </w:tcPr>
                <w:p w14:paraId="393A4EE4">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生物质库</w:t>
                  </w:r>
                </w:p>
              </w:tc>
              <w:tc>
                <w:tcPr>
                  <w:tcW w:w="3067" w:type="pct"/>
                  <w:tcBorders>
                    <w:tl2br w:val="nil"/>
                    <w:tr2bl w:val="nil"/>
                  </w:tcBorders>
                  <w:noWrap w:val="0"/>
                  <w:vAlign w:val="center"/>
                </w:tcPr>
                <w:p w14:paraId="75C40520">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位于</w:t>
                  </w:r>
                  <w:r>
                    <w:rPr>
                      <w:rFonts w:hint="default" w:ascii="Times New Roman" w:hAnsi="Times New Roman" w:cs="Times New Roman"/>
                      <w:color w:val="auto"/>
                      <w:sz w:val="21"/>
                      <w:szCs w:val="21"/>
                      <w:highlight w:val="none"/>
                      <w:lang w:val="en-US" w:eastAsia="zh-CN"/>
                    </w:rPr>
                    <w:t>锅炉房</w:t>
                  </w:r>
                  <w:r>
                    <w:rPr>
                      <w:rFonts w:hint="default" w:ascii="Times New Roman" w:hAnsi="Times New Roman" w:eastAsia="宋体" w:cs="Times New Roman"/>
                      <w:color w:val="auto"/>
                      <w:sz w:val="21"/>
                      <w:szCs w:val="21"/>
                      <w:highlight w:val="none"/>
                      <w:lang w:eastAsia="zh-CN"/>
                    </w:rPr>
                    <w:t>内，</w:t>
                  </w:r>
                  <w:r>
                    <w:rPr>
                      <w:rFonts w:hint="default" w:ascii="Times New Roman" w:hAnsi="Times New Roman" w:cs="Times New Roman"/>
                      <w:color w:val="auto"/>
                      <w:sz w:val="21"/>
                      <w:szCs w:val="21"/>
                      <w:highlight w:val="none"/>
                    </w:rPr>
                    <w:t>用于储存本项目用生物质燃料</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可存生物质</w:t>
                  </w:r>
                  <w:r>
                    <w:rPr>
                      <w:rFonts w:hint="default" w:ascii="Times New Roman" w:hAnsi="Times New Roman" w:cs="Times New Roman"/>
                      <w:color w:val="auto"/>
                      <w:sz w:val="21"/>
                      <w:szCs w:val="21"/>
                      <w:highlight w:val="none"/>
                      <w:lang w:eastAsia="zh-CN"/>
                    </w:rPr>
                    <w:t>颗粒</w:t>
                  </w:r>
                  <w:r>
                    <w:rPr>
                      <w:rFonts w:hint="default" w:ascii="Times New Roman" w:hAnsi="Times New Roman" w:cs="Times New Roman"/>
                      <w:color w:val="auto"/>
                      <w:sz w:val="21"/>
                      <w:szCs w:val="21"/>
                      <w:highlight w:val="none"/>
                    </w:rPr>
                    <w:t>燃料</w:t>
                  </w:r>
                  <w:r>
                    <w:rPr>
                      <w:rFonts w:hint="default" w:ascii="Times New Roman" w:hAnsi="Times New Roman" w:cs="Times New Roman"/>
                      <w:color w:val="auto"/>
                      <w:sz w:val="21"/>
                      <w:szCs w:val="21"/>
                      <w:highlight w:val="none"/>
                      <w:lang w:val="en-US" w:eastAsia="zh-CN"/>
                    </w:rPr>
                    <w:t>100</w:t>
                  </w:r>
                  <w:r>
                    <w:rPr>
                      <w:rFonts w:hint="default" w:ascii="Times New Roman" w:hAnsi="Times New Roman" w:cs="Times New Roman"/>
                      <w:color w:val="auto"/>
                      <w:sz w:val="21"/>
                      <w:szCs w:val="21"/>
                      <w:highlight w:val="none"/>
                    </w:rPr>
                    <w:t>t</w:t>
                  </w:r>
                  <w:r>
                    <w:rPr>
                      <w:rFonts w:hint="default" w:ascii="Times New Roman" w:hAnsi="Times New Roman" w:eastAsia="宋体" w:cs="Times New Roman"/>
                      <w:color w:val="auto"/>
                      <w:sz w:val="21"/>
                      <w:szCs w:val="21"/>
                      <w:highlight w:val="none"/>
                      <w:lang w:eastAsia="zh-CN"/>
                    </w:rPr>
                    <w:t>。</w:t>
                  </w:r>
                </w:p>
              </w:tc>
              <w:tc>
                <w:tcPr>
                  <w:tcW w:w="502" w:type="pct"/>
                  <w:tcBorders>
                    <w:tl2br w:val="nil"/>
                    <w:tr2bl w:val="nil"/>
                  </w:tcBorders>
                  <w:noWrap w:val="0"/>
                  <w:vAlign w:val="center"/>
                </w:tcPr>
                <w:p w14:paraId="188861D4">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利旧</w:t>
                  </w:r>
                </w:p>
              </w:tc>
            </w:tr>
            <w:tr w14:paraId="34EE2F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2" w:type="pct"/>
                  <w:vMerge w:val="continue"/>
                  <w:tcBorders>
                    <w:tl2br w:val="nil"/>
                    <w:tr2bl w:val="nil"/>
                  </w:tcBorders>
                  <w:noWrap w:val="0"/>
                  <w:vAlign w:val="center"/>
                </w:tcPr>
                <w:p w14:paraId="5F43F89B">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27" w:type="pct"/>
                  <w:tcBorders>
                    <w:tl2br w:val="nil"/>
                    <w:tr2bl w:val="nil"/>
                  </w:tcBorders>
                  <w:noWrap w:val="0"/>
                  <w:vAlign w:val="center"/>
                </w:tcPr>
                <w:p w14:paraId="05718FC9">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灰渣库</w:t>
                  </w:r>
                </w:p>
              </w:tc>
              <w:tc>
                <w:tcPr>
                  <w:tcW w:w="3067" w:type="pct"/>
                  <w:tcBorders>
                    <w:tl2br w:val="nil"/>
                    <w:tr2bl w:val="nil"/>
                  </w:tcBorders>
                  <w:noWrap w:val="0"/>
                  <w:vAlign w:val="center"/>
                </w:tcPr>
                <w:p w14:paraId="56EC5210">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位于</w:t>
                  </w:r>
                  <w:r>
                    <w:rPr>
                      <w:rFonts w:hint="default" w:ascii="Times New Roman" w:hAnsi="Times New Roman" w:cs="Times New Roman"/>
                      <w:color w:val="auto"/>
                      <w:sz w:val="21"/>
                      <w:szCs w:val="21"/>
                      <w:highlight w:val="none"/>
                      <w:lang w:val="en-US" w:eastAsia="zh-CN"/>
                    </w:rPr>
                    <w:t>锅炉房</w:t>
                  </w:r>
                  <w:r>
                    <w:rPr>
                      <w:rFonts w:hint="eastAsia" w:cs="Times New Roman"/>
                      <w:color w:val="auto"/>
                      <w:sz w:val="21"/>
                      <w:szCs w:val="21"/>
                      <w:highlight w:val="none"/>
                      <w:lang w:val="en-US" w:eastAsia="zh-CN"/>
                    </w:rPr>
                    <w:t>内</w:t>
                  </w:r>
                  <w:r>
                    <w:rPr>
                      <w:rFonts w:hint="default" w:ascii="Times New Roman" w:hAnsi="Times New Roman" w:cs="Times New Roman"/>
                      <w:color w:val="auto"/>
                      <w:sz w:val="21"/>
                      <w:szCs w:val="21"/>
                      <w:highlight w:val="none"/>
                      <w:lang w:val="en-US" w:eastAsia="zh-CN"/>
                    </w:rPr>
                    <w:t>南侧</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cs="Times New Roman"/>
                      <w:color w:val="auto"/>
                      <w:sz w:val="21"/>
                      <w:szCs w:val="21"/>
                      <w:highlight w:val="none"/>
                    </w:rPr>
                    <w:t>用于储存本项目燃烧生物质压块产生的草木灰</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可存草木灰</w:t>
                  </w:r>
                  <w:r>
                    <w:rPr>
                      <w:rFonts w:hint="default" w:ascii="Times New Roman" w:hAnsi="Times New Roman" w:cs="Times New Roman"/>
                      <w:color w:val="auto"/>
                      <w:sz w:val="21"/>
                      <w:szCs w:val="21"/>
                      <w:highlight w:val="none"/>
                      <w:lang w:val="en-US" w:eastAsia="zh-CN"/>
                    </w:rPr>
                    <w:t>30</w:t>
                  </w:r>
                  <w:r>
                    <w:rPr>
                      <w:rFonts w:hint="default" w:ascii="Times New Roman" w:hAnsi="Times New Roman" w:cs="Times New Roman"/>
                      <w:color w:val="auto"/>
                      <w:sz w:val="21"/>
                      <w:szCs w:val="21"/>
                      <w:highlight w:val="none"/>
                    </w:rPr>
                    <w:t>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kern w:val="2"/>
                      <w:sz w:val="21"/>
                      <w:szCs w:val="21"/>
                      <w:highlight w:val="none"/>
                      <w:lang w:val="en-US" w:eastAsia="zh-CN" w:bidi="ar"/>
                    </w:rPr>
                    <w:t>灰渣库建筑面积32</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高度约4m。</w:t>
                  </w:r>
                </w:p>
              </w:tc>
              <w:tc>
                <w:tcPr>
                  <w:tcW w:w="502" w:type="pct"/>
                  <w:tcBorders>
                    <w:tl2br w:val="nil"/>
                    <w:tr2bl w:val="nil"/>
                  </w:tcBorders>
                  <w:noWrap w:val="0"/>
                  <w:vAlign w:val="center"/>
                </w:tcPr>
                <w:p w14:paraId="1A0E5AD6">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利旧</w:t>
                  </w:r>
                </w:p>
              </w:tc>
            </w:tr>
            <w:tr w14:paraId="314898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2" w:type="pct"/>
                  <w:vMerge w:val="restart"/>
                  <w:tcBorders>
                    <w:tl2br w:val="nil"/>
                    <w:tr2bl w:val="nil"/>
                  </w:tcBorders>
                  <w:noWrap w:val="0"/>
                  <w:vAlign w:val="center"/>
                </w:tcPr>
                <w:p w14:paraId="3C553B42">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辅助工程</w:t>
                  </w:r>
                </w:p>
              </w:tc>
              <w:tc>
                <w:tcPr>
                  <w:tcW w:w="727" w:type="pct"/>
                  <w:tcBorders>
                    <w:tl2br w:val="nil"/>
                    <w:tr2bl w:val="nil"/>
                  </w:tcBorders>
                  <w:noWrap w:val="0"/>
                  <w:vAlign w:val="center"/>
                </w:tcPr>
                <w:p w14:paraId="70F539C6">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办公室</w:t>
                  </w:r>
                </w:p>
              </w:tc>
              <w:tc>
                <w:tcPr>
                  <w:tcW w:w="3067" w:type="pct"/>
                  <w:tcBorders>
                    <w:tl2br w:val="nil"/>
                    <w:tr2bl w:val="nil"/>
                  </w:tcBorders>
                  <w:noWrap w:val="0"/>
                  <w:vAlign w:val="center"/>
                </w:tcPr>
                <w:p w14:paraId="4F6B9F9C">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u w:val="none"/>
                      <w:lang w:val="en-US"/>
                    </w:rPr>
                  </w:pPr>
                  <w:r>
                    <w:rPr>
                      <w:rFonts w:hint="default" w:ascii="Times New Roman" w:hAnsi="Times New Roman" w:eastAsia="宋体" w:cs="Times New Roman"/>
                      <w:color w:val="auto"/>
                      <w:sz w:val="21"/>
                      <w:szCs w:val="21"/>
                      <w:highlight w:val="none"/>
                      <w:u w:val="none"/>
                      <w:lang w:val="en-US" w:eastAsia="zh-CN"/>
                    </w:rPr>
                    <w:t>建筑面积</w:t>
                  </w:r>
                  <w:r>
                    <w:rPr>
                      <w:rFonts w:hint="eastAsia" w:cs="Times New Roman"/>
                      <w:color w:val="auto"/>
                      <w:sz w:val="21"/>
                      <w:szCs w:val="21"/>
                      <w:highlight w:val="none"/>
                      <w:u w:val="none"/>
                      <w:lang w:val="en-US" w:eastAsia="zh-CN"/>
                    </w:rPr>
                    <w:t>550</w:t>
                  </w:r>
                  <w:r>
                    <w:rPr>
                      <w:rFonts w:hint="default" w:ascii="Times New Roman" w:hAnsi="Times New Roman" w:cs="Times New Roman"/>
                      <w:color w:val="auto"/>
                      <w:sz w:val="21"/>
                      <w:szCs w:val="21"/>
                      <w:highlight w:val="none"/>
                      <w:u w:val="none"/>
                    </w:rPr>
                    <w:t>平方米，共</w:t>
                  </w:r>
                  <w:r>
                    <w:rPr>
                      <w:rFonts w:hint="default" w:ascii="Times New Roman" w:hAnsi="Times New Roman" w:cs="Times New Roman"/>
                      <w:color w:val="auto"/>
                      <w:sz w:val="21"/>
                      <w:szCs w:val="21"/>
                      <w:highlight w:val="none"/>
                      <w:u w:val="none"/>
                      <w:lang w:val="en-US" w:eastAsia="zh-CN"/>
                    </w:rPr>
                    <w:t>1</w:t>
                  </w:r>
                  <w:r>
                    <w:rPr>
                      <w:rFonts w:hint="default" w:ascii="Times New Roman" w:hAnsi="Times New Roman" w:cs="Times New Roman"/>
                      <w:color w:val="auto"/>
                      <w:sz w:val="21"/>
                      <w:szCs w:val="21"/>
                      <w:highlight w:val="none"/>
                      <w:u w:val="none"/>
                    </w:rPr>
                    <w:t>层</w:t>
                  </w:r>
                  <w:r>
                    <w:rPr>
                      <w:rFonts w:hint="default" w:ascii="Times New Roman" w:hAnsi="Times New Roman" w:cs="Times New Roman"/>
                      <w:color w:val="auto"/>
                      <w:sz w:val="21"/>
                      <w:szCs w:val="21"/>
                      <w:highlight w:val="none"/>
                      <w:u w:val="none"/>
                      <w:lang w:eastAsia="zh-CN"/>
                    </w:rPr>
                    <w:t>，</w:t>
                  </w:r>
                  <w:r>
                    <w:rPr>
                      <w:rFonts w:hint="default" w:ascii="Times New Roman" w:hAnsi="Times New Roman" w:cs="Times New Roman"/>
                      <w:color w:val="auto"/>
                      <w:sz w:val="21"/>
                      <w:szCs w:val="21"/>
                      <w:highlight w:val="none"/>
                      <w:u w:val="none"/>
                      <w:lang w:val="en-US" w:eastAsia="zh-CN"/>
                    </w:rPr>
                    <w:t>高度约</w:t>
                  </w:r>
                  <w:r>
                    <w:rPr>
                      <w:rFonts w:hint="default" w:ascii="Times New Roman" w:hAnsi="Times New Roman" w:eastAsia="宋体" w:cs="Times New Roman"/>
                      <w:color w:val="auto"/>
                      <w:kern w:val="2"/>
                      <w:sz w:val="21"/>
                      <w:szCs w:val="21"/>
                      <w:highlight w:val="none"/>
                      <w:u w:val="none"/>
                      <w:lang w:val="en-US" w:eastAsia="zh-CN" w:bidi="ar"/>
                    </w:rPr>
                    <w:t>3.5</w:t>
                  </w:r>
                  <w:r>
                    <w:rPr>
                      <w:rFonts w:hint="default" w:ascii="Times New Roman" w:hAnsi="Times New Roman" w:cs="Times New Roman"/>
                      <w:color w:val="auto"/>
                      <w:sz w:val="21"/>
                      <w:szCs w:val="21"/>
                      <w:highlight w:val="none"/>
                      <w:u w:val="none"/>
                      <w:lang w:val="en-US" w:eastAsia="zh-CN"/>
                    </w:rPr>
                    <w:t>m。</w:t>
                  </w:r>
                </w:p>
              </w:tc>
              <w:tc>
                <w:tcPr>
                  <w:tcW w:w="502" w:type="pct"/>
                  <w:tcBorders>
                    <w:tl2br w:val="nil"/>
                    <w:tr2bl w:val="nil"/>
                  </w:tcBorders>
                  <w:shd w:val="clear" w:color="auto" w:fill="auto"/>
                  <w:noWrap w:val="0"/>
                  <w:vAlign w:val="center"/>
                </w:tcPr>
                <w:p w14:paraId="5060EDF1">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利旧</w:t>
                  </w:r>
                </w:p>
              </w:tc>
            </w:tr>
            <w:tr w14:paraId="542505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2" w:type="pct"/>
                  <w:vMerge w:val="continue"/>
                  <w:tcBorders>
                    <w:tl2br w:val="nil"/>
                    <w:tr2bl w:val="nil"/>
                  </w:tcBorders>
                  <w:noWrap w:val="0"/>
                  <w:vAlign w:val="center"/>
                </w:tcPr>
                <w:p w14:paraId="0CC58592">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245" w:type="dxa"/>
                  <w:tcBorders>
                    <w:tl2br w:val="nil"/>
                    <w:tr2bl w:val="nil"/>
                  </w:tcBorders>
                  <w:noWrap w:val="0"/>
                  <w:vAlign w:val="center"/>
                </w:tcPr>
                <w:p w14:paraId="46BE8CD8">
                  <w:pPr>
                    <w:pStyle w:val="167"/>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auto"/>
                      <w:sz w:val="21"/>
                      <w:szCs w:val="21"/>
                      <w:highlight w:val="none"/>
                      <w:u w:val="none"/>
                      <w:lang w:val="en-US" w:eastAsia="zh-CN"/>
                    </w:rPr>
                  </w:pPr>
                  <w:r>
                    <w:rPr>
                      <w:rFonts w:hint="eastAsia"/>
                      <w:color w:val="auto"/>
                      <w:sz w:val="21"/>
                      <w:szCs w:val="21"/>
                      <w:highlight w:val="none"/>
                      <w:lang w:val="en-US" w:eastAsia="zh-CN"/>
                    </w:rPr>
                    <w:t>化验室</w:t>
                  </w:r>
                </w:p>
              </w:tc>
              <w:tc>
                <w:tcPr>
                  <w:tcW w:w="5252" w:type="dxa"/>
                  <w:tcBorders>
                    <w:tl2br w:val="nil"/>
                    <w:tr2bl w:val="nil"/>
                  </w:tcBorders>
                  <w:noWrap w:val="0"/>
                  <w:vAlign w:val="center"/>
                </w:tcPr>
                <w:p w14:paraId="0D4EEF05">
                  <w:pPr>
                    <w:pStyle w:val="167"/>
                    <w:keepNext w:val="0"/>
                    <w:keepLines w:val="0"/>
                    <w:suppressLineNumbers w:val="0"/>
                    <w:bidi w:val="0"/>
                    <w:spacing w:before="0" w:beforeAutospacing="0" w:after="0" w:afterAutospacing="0"/>
                    <w:ind w:left="0" w:leftChars="0" w:right="0" w:firstLine="0" w:firstLineChars="0"/>
                    <w:jc w:val="both"/>
                    <w:rPr>
                      <w:rFonts w:hint="default" w:ascii="Times New Roman" w:hAnsi="Times New Roman" w:eastAsia="宋体" w:cs="Times New Roman"/>
                      <w:color w:val="auto"/>
                      <w:sz w:val="21"/>
                      <w:szCs w:val="21"/>
                      <w:highlight w:val="none"/>
                      <w:u w:val="none"/>
                      <w:lang w:val="en-US" w:eastAsia="zh-CN"/>
                    </w:rPr>
                  </w:pPr>
                  <w:r>
                    <w:rPr>
                      <w:rFonts w:hint="eastAsia"/>
                      <w:color w:val="auto"/>
                      <w:sz w:val="21"/>
                      <w:szCs w:val="21"/>
                      <w:highlight w:val="none"/>
                      <w:lang w:val="en-US" w:eastAsia="zh-CN"/>
                    </w:rPr>
                    <w:t>建筑面积约为18</w:t>
                  </w:r>
                  <w:r>
                    <w:rPr>
                      <w:rFonts w:hint="default"/>
                      <w:color w:val="auto"/>
                      <w:sz w:val="21"/>
                      <w:szCs w:val="21"/>
                      <w:highlight w:val="none"/>
                    </w:rPr>
                    <w:t>m</w:t>
                  </w:r>
                  <w:r>
                    <w:rPr>
                      <w:rFonts w:hint="default"/>
                      <w:color w:val="auto"/>
                      <w:sz w:val="21"/>
                      <w:szCs w:val="21"/>
                      <w:highlight w:val="none"/>
                      <w:vertAlign w:val="superscript"/>
                    </w:rPr>
                    <w:t>2</w:t>
                  </w:r>
                  <w:r>
                    <w:rPr>
                      <w:rFonts w:hint="default"/>
                      <w:color w:val="auto"/>
                      <w:sz w:val="21"/>
                      <w:szCs w:val="21"/>
                      <w:highlight w:val="none"/>
                    </w:rPr>
                    <w:t>，</w:t>
                  </w:r>
                  <w:r>
                    <w:rPr>
                      <w:rFonts w:hint="eastAsia"/>
                      <w:color w:val="auto"/>
                      <w:sz w:val="21"/>
                      <w:szCs w:val="21"/>
                      <w:highlight w:val="none"/>
                      <w:lang w:val="en-US" w:eastAsia="zh-CN"/>
                    </w:rPr>
                    <w:t>高度约为3m，仅</w:t>
                  </w:r>
                  <w:r>
                    <w:rPr>
                      <w:rFonts w:hint="eastAsia"/>
                      <w:color w:val="auto"/>
                      <w:sz w:val="21"/>
                      <w:szCs w:val="21"/>
                      <w:highlight w:val="none"/>
                    </w:rPr>
                    <w:t>用于化验玉米</w:t>
                  </w:r>
                  <w:r>
                    <w:rPr>
                      <w:rFonts w:hint="eastAsia"/>
                      <w:color w:val="auto"/>
                      <w:sz w:val="21"/>
                      <w:szCs w:val="21"/>
                      <w:highlight w:val="none"/>
                      <w:lang w:eastAsia="zh-CN"/>
                    </w:rPr>
                    <w:t>、</w:t>
                  </w:r>
                  <w:r>
                    <w:rPr>
                      <w:rFonts w:hint="eastAsia"/>
                      <w:color w:val="auto"/>
                      <w:sz w:val="21"/>
                      <w:szCs w:val="21"/>
                      <w:highlight w:val="none"/>
                      <w:lang w:val="en-US" w:eastAsia="zh-CN"/>
                    </w:rPr>
                    <w:t>水稻</w:t>
                  </w:r>
                  <w:r>
                    <w:rPr>
                      <w:rFonts w:hint="eastAsia"/>
                      <w:color w:val="auto"/>
                      <w:sz w:val="21"/>
                      <w:szCs w:val="21"/>
                      <w:highlight w:val="none"/>
                    </w:rPr>
                    <w:t>的水</w:t>
                  </w:r>
                  <w:r>
                    <w:rPr>
                      <w:rFonts w:hint="eastAsia"/>
                      <w:color w:val="auto"/>
                      <w:sz w:val="21"/>
                      <w:szCs w:val="21"/>
                      <w:highlight w:val="none"/>
                      <w:lang w:val="en-US" w:eastAsia="zh-CN"/>
                    </w:rPr>
                    <w:t>分</w:t>
                  </w:r>
                  <w:r>
                    <w:rPr>
                      <w:rFonts w:hint="eastAsia"/>
                      <w:color w:val="auto"/>
                      <w:sz w:val="21"/>
                      <w:szCs w:val="21"/>
                      <w:highlight w:val="none"/>
                      <w:lang w:eastAsia="zh-CN"/>
                    </w:rPr>
                    <w:t>，</w:t>
                  </w:r>
                  <w:r>
                    <w:rPr>
                      <w:rFonts w:hint="default"/>
                      <w:color w:val="auto"/>
                      <w:sz w:val="21"/>
                      <w:szCs w:val="21"/>
                      <w:highlight w:val="none"/>
                    </w:rPr>
                    <w:t>为简单的物理实验，不产生化验室</w:t>
                  </w:r>
                  <w:r>
                    <w:rPr>
                      <w:rFonts w:hint="eastAsia"/>
                      <w:color w:val="auto"/>
                      <w:sz w:val="21"/>
                      <w:szCs w:val="21"/>
                      <w:highlight w:val="none"/>
                    </w:rPr>
                    <w:t>废气、</w:t>
                  </w:r>
                  <w:r>
                    <w:rPr>
                      <w:rFonts w:hint="default"/>
                      <w:color w:val="auto"/>
                      <w:sz w:val="21"/>
                      <w:szCs w:val="21"/>
                      <w:highlight w:val="none"/>
                    </w:rPr>
                    <w:t>废液。</w:t>
                  </w:r>
                </w:p>
              </w:tc>
              <w:tc>
                <w:tcPr>
                  <w:tcW w:w="502" w:type="pct"/>
                  <w:tcBorders>
                    <w:tl2br w:val="nil"/>
                    <w:tr2bl w:val="nil"/>
                  </w:tcBorders>
                  <w:shd w:val="clear" w:color="auto" w:fill="auto"/>
                  <w:noWrap w:val="0"/>
                  <w:vAlign w:val="center"/>
                </w:tcPr>
                <w:p w14:paraId="2D88A208">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r>
                    <w:rPr>
                      <w:rFonts w:hint="eastAsia"/>
                      <w:color w:val="auto"/>
                      <w:sz w:val="21"/>
                      <w:szCs w:val="21"/>
                      <w:highlight w:val="none"/>
                      <w:lang w:val="en-US" w:eastAsia="zh-CN"/>
                    </w:rPr>
                    <w:t>利旧</w:t>
                  </w:r>
                </w:p>
              </w:tc>
            </w:tr>
            <w:tr w14:paraId="77B14B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2" w:type="pct"/>
                  <w:vMerge w:val="restart"/>
                  <w:tcBorders>
                    <w:tl2br w:val="nil"/>
                    <w:tr2bl w:val="nil"/>
                  </w:tcBorders>
                  <w:noWrap w:val="0"/>
                  <w:vAlign w:val="center"/>
                </w:tcPr>
                <w:p w14:paraId="4B10A3F9">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公用工程</w:t>
                  </w:r>
                </w:p>
              </w:tc>
              <w:tc>
                <w:tcPr>
                  <w:tcW w:w="727" w:type="pct"/>
                  <w:tcBorders>
                    <w:tl2br w:val="nil"/>
                    <w:tr2bl w:val="nil"/>
                  </w:tcBorders>
                  <w:noWrap w:val="0"/>
                  <w:vAlign w:val="center"/>
                </w:tcPr>
                <w:p w14:paraId="43BB60FD">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供水</w:t>
                  </w:r>
                </w:p>
              </w:tc>
              <w:tc>
                <w:tcPr>
                  <w:tcW w:w="3067" w:type="pct"/>
                  <w:tcBorders>
                    <w:tl2br w:val="nil"/>
                    <w:tr2bl w:val="nil"/>
                  </w:tcBorders>
                  <w:noWrap w:val="0"/>
                  <w:vAlign w:val="center"/>
                </w:tcPr>
                <w:p w14:paraId="30BB27A6">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无生产用水，生活用水市政管网。</w:t>
                  </w:r>
                </w:p>
              </w:tc>
              <w:tc>
                <w:tcPr>
                  <w:tcW w:w="502" w:type="pct"/>
                  <w:tcBorders>
                    <w:tl2br w:val="nil"/>
                    <w:tr2bl w:val="nil"/>
                  </w:tcBorders>
                  <w:shd w:val="clear" w:color="auto" w:fill="auto"/>
                  <w:noWrap w:val="0"/>
                  <w:vAlign w:val="center"/>
                </w:tcPr>
                <w:p w14:paraId="574288FB">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依托</w:t>
                  </w:r>
                </w:p>
              </w:tc>
            </w:tr>
            <w:tr w14:paraId="2CDE85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2" w:type="pct"/>
                  <w:vMerge w:val="continue"/>
                  <w:tcBorders>
                    <w:tl2br w:val="nil"/>
                    <w:tr2bl w:val="nil"/>
                  </w:tcBorders>
                  <w:noWrap w:val="0"/>
                  <w:vAlign w:val="center"/>
                </w:tcPr>
                <w:p w14:paraId="1D216651">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27" w:type="pct"/>
                  <w:tcBorders>
                    <w:tl2br w:val="nil"/>
                    <w:tr2bl w:val="nil"/>
                  </w:tcBorders>
                  <w:noWrap w:val="0"/>
                  <w:vAlign w:val="center"/>
                </w:tcPr>
                <w:p w14:paraId="7D078D14">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排水</w:t>
                  </w:r>
                </w:p>
              </w:tc>
              <w:tc>
                <w:tcPr>
                  <w:tcW w:w="3067" w:type="pct"/>
                  <w:tcBorders>
                    <w:tl2br w:val="nil"/>
                    <w:tr2bl w:val="nil"/>
                  </w:tcBorders>
                  <w:noWrap w:val="0"/>
                  <w:vAlign w:val="center"/>
                </w:tcPr>
                <w:p w14:paraId="72E592F2">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无生产废水、生活污水排入防渗旱厕，定期清掏，外运堆肥</w:t>
                  </w:r>
                  <w:r>
                    <w:rPr>
                      <w:rFonts w:hint="eastAsia" w:cs="Times New Roman"/>
                      <w:color w:val="auto"/>
                      <w:sz w:val="21"/>
                      <w:szCs w:val="21"/>
                      <w:highlight w:val="none"/>
                      <w:lang w:val="en-US" w:eastAsia="zh-CN"/>
                    </w:rPr>
                    <w:t>。</w:t>
                  </w:r>
                </w:p>
              </w:tc>
              <w:tc>
                <w:tcPr>
                  <w:tcW w:w="502" w:type="pct"/>
                  <w:tcBorders>
                    <w:tl2br w:val="nil"/>
                    <w:tr2bl w:val="nil"/>
                  </w:tcBorders>
                  <w:noWrap w:val="0"/>
                  <w:vAlign w:val="center"/>
                </w:tcPr>
                <w:p w14:paraId="42E682A6">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依托</w:t>
                  </w:r>
                </w:p>
              </w:tc>
            </w:tr>
            <w:tr w14:paraId="584C6C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2" w:type="pct"/>
                  <w:vMerge w:val="continue"/>
                  <w:tcBorders>
                    <w:tl2br w:val="nil"/>
                    <w:tr2bl w:val="nil"/>
                  </w:tcBorders>
                  <w:noWrap w:val="0"/>
                  <w:vAlign w:val="center"/>
                </w:tcPr>
                <w:p w14:paraId="51E094A6">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27" w:type="pct"/>
                  <w:tcBorders>
                    <w:tl2br w:val="nil"/>
                    <w:tr2bl w:val="nil"/>
                  </w:tcBorders>
                  <w:noWrap w:val="0"/>
                  <w:vAlign w:val="center"/>
                </w:tcPr>
                <w:p w14:paraId="5BF7CE7F">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供暖</w:t>
                  </w:r>
                </w:p>
              </w:tc>
              <w:tc>
                <w:tcPr>
                  <w:tcW w:w="3067" w:type="pct"/>
                  <w:tcBorders>
                    <w:tl2br w:val="nil"/>
                    <w:tr2bl w:val="nil"/>
                  </w:tcBorders>
                  <w:noWrap w:val="0"/>
                  <w:vAlign w:val="center"/>
                </w:tcPr>
                <w:p w14:paraId="7C01CDB9">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w:t>
                  </w:r>
                  <w:r>
                    <w:rPr>
                      <w:rFonts w:hint="default" w:ascii="Times New Roman" w:hAnsi="Times New Roman" w:eastAsia="宋体" w:cs="Times New Roman"/>
                      <w:color w:val="auto"/>
                      <w:sz w:val="21"/>
                      <w:szCs w:val="21"/>
                      <w:highlight w:val="none"/>
                      <w:lang w:eastAsia="zh-CN"/>
                    </w:rPr>
                    <w:t>生产用热由热风炉提供</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办公室冬季使用</w:t>
                  </w:r>
                  <w:r>
                    <w:rPr>
                      <w:rFonts w:hint="eastAsia" w:cs="Times New Roman"/>
                      <w:color w:val="auto"/>
                      <w:sz w:val="21"/>
                      <w:szCs w:val="21"/>
                      <w:highlight w:val="none"/>
                      <w:lang w:val="en-US" w:eastAsia="zh-CN"/>
                    </w:rPr>
                    <w:t>电采暖</w:t>
                  </w:r>
                  <w:r>
                    <w:rPr>
                      <w:rFonts w:hint="default" w:ascii="Times New Roman" w:hAnsi="Times New Roman" w:cs="Times New Roman"/>
                      <w:color w:val="auto"/>
                      <w:sz w:val="21"/>
                      <w:szCs w:val="21"/>
                      <w:highlight w:val="none"/>
                      <w:lang w:val="en-US" w:eastAsia="zh-CN"/>
                    </w:rPr>
                    <w:t>。</w:t>
                  </w:r>
                </w:p>
              </w:tc>
              <w:tc>
                <w:tcPr>
                  <w:tcW w:w="502" w:type="pct"/>
                  <w:tcBorders>
                    <w:tl2br w:val="nil"/>
                    <w:tr2bl w:val="nil"/>
                  </w:tcBorders>
                  <w:noWrap w:val="0"/>
                  <w:vAlign w:val="center"/>
                </w:tcPr>
                <w:p w14:paraId="4AC562CC">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依托</w:t>
                  </w:r>
                </w:p>
              </w:tc>
            </w:tr>
            <w:tr w14:paraId="5A89CA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2" w:type="pct"/>
                  <w:vMerge w:val="continue"/>
                  <w:tcBorders>
                    <w:tl2br w:val="nil"/>
                    <w:tr2bl w:val="nil"/>
                  </w:tcBorders>
                  <w:noWrap w:val="0"/>
                  <w:vAlign w:val="center"/>
                </w:tcPr>
                <w:p w14:paraId="6206C8DE">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27" w:type="pct"/>
                  <w:tcBorders>
                    <w:tl2br w:val="nil"/>
                    <w:tr2bl w:val="nil"/>
                  </w:tcBorders>
                  <w:noWrap w:val="0"/>
                  <w:vAlign w:val="center"/>
                </w:tcPr>
                <w:p w14:paraId="252471DF">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供电</w:t>
                  </w:r>
                </w:p>
              </w:tc>
              <w:tc>
                <w:tcPr>
                  <w:tcW w:w="3067" w:type="pct"/>
                  <w:tcBorders>
                    <w:tl2br w:val="nil"/>
                    <w:tr2bl w:val="nil"/>
                  </w:tcBorders>
                  <w:noWrap w:val="0"/>
                  <w:vAlign w:val="center"/>
                </w:tcPr>
                <w:p w14:paraId="53E2CD1E">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当地供电所提供。</w:t>
                  </w:r>
                </w:p>
              </w:tc>
              <w:tc>
                <w:tcPr>
                  <w:tcW w:w="502" w:type="pct"/>
                  <w:tcBorders>
                    <w:tl2br w:val="nil"/>
                    <w:tr2bl w:val="nil"/>
                  </w:tcBorders>
                  <w:noWrap w:val="0"/>
                  <w:vAlign w:val="center"/>
                </w:tcPr>
                <w:p w14:paraId="474D9DEC">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依托</w:t>
                  </w:r>
                </w:p>
              </w:tc>
            </w:tr>
            <w:tr w14:paraId="627848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2" w:type="pct"/>
                  <w:vMerge w:val="restart"/>
                  <w:tcBorders>
                    <w:tl2br w:val="nil"/>
                    <w:tr2bl w:val="nil"/>
                  </w:tcBorders>
                  <w:noWrap w:val="0"/>
                  <w:vAlign w:val="center"/>
                </w:tcPr>
                <w:p w14:paraId="0A9CF0D7">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环保工程</w:t>
                  </w:r>
                </w:p>
              </w:tc>
              <w:tc>
                <w:tcPr>
                  <w:tcW w:w="727" w:type="pct"/>
                  <w:vMerge w:val="restart"/>
                  <w:tcBorders>
                    <w:tl2br w:val="nil"/>
                    <w:tr2bl w:val="nil"/>
                  </w:tcBorders>
                  <w:noWrap w:val="0"/>
                  <w:vAlign w:val="center"/>
                </w:tcPr>
                <w:p w14:paraId="2263A37C">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废气防治措施</w:t>
                  </w:r>
                </w:p>
              </w:tc>
              <w:tc>
                <w:tcPr>
                  <w:tcW w:w="3067" w:type="pct"/>
                  <w:tcBorders>
                    <w:tl2br w:val="nil"/>
                    <w:tr2bl w:val="nil"/>
                  </w:tcBorders>
                  <w:noWrap w:val="0"/>
                  <w:vAlign w:val="center"/>
                </w:tcPr>
                <w:p w14:paraId="572CFE90">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eastAsia"/>
                      <w:color w:val="auto"/>
                      <w:highlight w:val="none"/>
                      <w:lang w:val="en-US" w:eastAsia="zh-CN"/>
                    </w:rPr>
                    <w:t>①</w:t>
                  </w:r>
                  <w:r>
                    <w:rPr>
                      <w:rFonts w:hint="default" w:ascii="Times New Roman" w:hAnsi="Times New Roman" w:cs="Times New Roman"/>
                      <w:color w:val="auto"/>
                      <w:sz w:val="21"/>
                      <w:szCs w:val="21"/>
                      <w:highlight w:val="none"/>
                      <w:lang w:eastAsia="zh-CN"/>
                    </w:rPr>
                    <w:t>热风炉烟气：本项目</w:t>
                  </w:r>
                  <w:r>
                    <w:rPr>
                      <w:rFonts w:hint="default" w:ascii="Times New Roman" w:hAnsi="Times New Roman" w:cs="Times New Roman"/>
                      <w:color w:val="auto"/>
                      <w:sz w:val="21"/>
                      <w:szCs w:val="21"/>
                      <w:highlight w:val="none"/>
                    </w:rPr>
                    <w:t>热风炉</w:t>
                  </w:r>
                  <w:r>
                    <w:rPr>
                      <w:rFonts w:hint="default" w:ascii="Times New Roman" w:hAnsi="Times New Roman" w:cs="Times New Roman"/>
                      <w:color w:val="auto"/>
                      <w:sz w:val="21"/>
                      <w:szCs w:val="21"/>
                      <w:highlight w:val="none"/>
                      <w:lang w:eastAsia="zh-CN"/>
                    </w:rPr>
                    <w:t>烟</w:t>
                  </w:r>
                  <w:r>
                    <w:rPr>
                      <w:rFonts w:hint="default" w:ascii="Times New Roman" w:hAnsi="Times New Roman" w:cs="Times New Roman"/>
                      <w:color w:val="auto"/>
                      <w:sz w:val="21"/>
                      <w:szCs w:val="21"/>
                      <w:highlight w:val="none"/>
                    </w:rPr>
                    <w:t>气</w:t>
                  </w:r>
                  <w:r>
                    <w:rPr>
                      <w:rFonts w:hint="eastAsia" w:cs="Times New Roman"/>
                      <w:color w:val="auto"/>
                      <w:sz w:val="21"/>
                      <w:szCs w:val="21"/>
                      <w:highlight w:val="none"/>
                      <w:lang w:val="en-US" w:eastAsia="zh-CN"/>
                    </w:rPr>
                    <w:t>经</w:t>
                  </w:r>
                  <w:r>
                    <w:rPr>
                      <w:rFonts w:hint="default" w:ascii="Times New Roman" w:hAnsi="Times New Roman" w:cs="Times New Roman"/>
                      <w:color w:val="auto"/>
                      <w:sz w:val="21"/>
                      <w:szCs w:val="21"/>
                      <w:highlight w:val="none"/>
                      <w:lang w:eastAsia="zh-CN"/>
                    </w:rPr>
                    <w:t>布袋除尘器</w:t>
                  </w:r>
                  <w:r>
                    <w:rPr>
                      <w:rFonts w:hint="eastAsia" w:cs="Times New Roman"/>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eastAsia="zh-CN"/>
                    </w:rPr>
                    <w:t>除尘效率为99</w:t>
                  </w:r>
                  <w:r>
                    <w:rPr>
                      <w:rFonts w:hint="eastAsia" w:cs="Times New Roman"/>
                      <w:b w:val="0"/>
                      <w:bCs/>
                      <w:color w:val="auto"/>
                      <w:sz w:val="21"/>
                      <w:szCs w:val="21"/>
                      <w:highlight w:val="none"/>
                      <w:lang w:val="en-US" w:eastAsia="zh-CN"/>
                    </w:rPr>
                    <w:t>.7</w:t>
                  </w:r>
                  <w:r>
                    <w:rPr>
                      <w:rFonts w:hint="eastAsia" w:ascii="Times New Roman" w:hAnsi="Times New Roman" w:eastAsia="宋体" w:cs="Times New Roman"/>
                      <w:b w:val="0"/>
                      <w:bCs/>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处理</w:t>
                  </w:r>
                  <w:r>
                    <w:rPr>
                      <w:rFonts w:hint="default" w:ascii="Times New Roman" w:hAnsi="Times New Roman" w:cs="Times New Roman"/>
                      <w:color w:val="auto"/>
                      <w:sz w:val="21"/>
                      <w:szCs w:val="21"/>
                      <w:highlight w:val="none"/>
                      <w:lang w:eastAsia="zh-CN"/>
                    </w:rPr>
                    <w:t>后经</w:t>
                  </w:r>
                  <w:r>
                    <w:rPr>
                      <w:rFonts w:hint="default"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eastAsia="zh-CN"/>
                    </w:rPr>
                    <w:t>烟囱（</w:t>
                  </w:r>
                  <w:r>
                    <w:rPr>
                      <w:rFonts w:hint="default" w:ascii="Times New Roman" w:hAnsi="Times New Roman" w:cs="Times New Roman"/>
                      <w:color w:val="auto"/>
                      <w:sz w:val="21"/>
                      <w:szCs w:val="21"/>
                      <w:highlight w:val="none"/>
                      <w:lang w:val="en-US" w:eastAsia="zh-CN"/>
                    </w:rPr>
                    <w:t>DA001）</w:t>
                  </w:r>
                  <w:r>
                    <w:rPr>
                      <w:rFonts w:hint="default" w:ascii="Times New Roman" w:hAnsi="Times New Roman" w:cs="Times New Roman"/>
                      <w:color w:val="auto"/>
                      <w:sz w:val="21"/>
                      <w:szCs w:val="21"/>
                      <w:highlight w:val="none"/>
                      <w:lang w:eastAsia="zh-CN"/>
                    </w:rPr>
                    <w:t>高空排放，SO</w:t>
                  </w:r>
                  <w:r>
                    <w:rPr>
                      <w:rFonts w:hint="default" w:ascii="Times New Roman" w:hAnsi="Times New Roman" w:cs="Times New Roman"/>
                      <w:color w:val="auto"/>
                      <w:sz w:val="21"/>
                      <w:szCs w:val="21"/>
                      <w:highlight w:val="none"/>
                      <w:vertAlign w:val="subscript"/>
                      <w:lang w:eastAsia="zh-CN"/>
                    </w:rPr>
                    <w:t>2</w:t>
                  </w:r>
                  <w:r>
                    <w:rPr>
                      <w:rFonts w:hint="default" w:ascii="Times New Roman" w:hAnsi="Times New Roman" w:cs="Times New Roman"/>
                      <w:color w:val="auto"/>
                      <w:sz w:val="21"/>
                      <w:szCs w:val="21"/>
                      <w:highlight w:val="none"/>
                      <w:lang w:eastAsia="zh-CN"/>
                    </w:rPr>
                    <w:t>排放浓度</w:t>
                  </w:r>
                  <w:r>
                    <w:rPr>
                      <w:rFonts w:hint="default" w:ascii="Times New Roman" w:hAnsi="Times New Roman" w:cs="Times New Roman"/>
                      <w:color w:val="auto"/>
                      <w:sz w:val="21"/>
                      <w:szCs w:val="21"/>
                      <w:highlight w:val="none"/>
                      <w:lang w:val="en-US" w:eastAsia="zh-CN"/>
                    </w:rPr>
                    <w:t>符合</w:t>
                  </w:r>
                  <w:r>
                    <w:rPr>
                      <w:rFonts w:hint="default" w:ascii="Times New Roman" w:hAnsi="Times New Roman" w:cs="Times New Roman"/>
                      <w:color w:val="auto"/>
                      <w:sz w:val="21"/>
                      <w:szCs w:val="21"/>
                      <w:highlight w:val="none"/>
                      <w:lang w:eastAsia="zh-CN"/>
                    </w:rPr>
                    <w:t>《工业炉窑大气污染物排放标准》（GB9078-1996）中的表4中的二级标准，烟尘排放浓度及烟气黑度符合《工业炉窑大气污染物排放标准》（GB9078-1996）中的表2中的二级标准。</w:t>
                  </w:r>
                  <w:r>
                    <w:rPr>
                      <w:rFonts w:hint="eastAsia" w:cs="Times New Roman"/>
                      <w:color w:val="auto"/>
                      <w:kern w:val="0"/>
                      <w:sz w:val="21"/>
                      <w:szCs w:val="21"/>
                      <w:highlight w:val="none"/>
                      <w:lang w:val="en-US" w:eastAsia="zh-CN"/>
                    </w:rPr>
                    <w:t>热风炉房</w:t>
                  </w:r>
                  <w:r>
                    <w:rPr>
                      <w:rFonts w:hint="default" w:ascii="Times New Roman" w:hAnsi="Times New Roman" w:eastAsia="宋体" w:cs="Times New Roman"/>
                      <w:bCs/>
                      <w:color w:val="auto"/>
                      <w:kern w:val="0"/>
                      <w:sz w:val="21"/>
                      <w:szCs w:val="21"/>
                      <w:highlight w:val="none"/>
                      <w:lang w:eastAsia="zh-CN"/>
                    </w:rPr>
                    <w:t>无组织排放粉尘执行《工业炉窑大气污染物排放标准》（GB9078-1996）表3要求</w:t>
                  </w:r>
                  <w:r>
                    <w:rPr>
                      <w:rFonts w:hint="eastAsia" w:cs="Times New Roman"/>
                      <w:bCs/>
                      <w:color w:val="auto"/>
                      <w:kern w:val="0"/>
                      <w:sz w:val="24"/>
                      <w:szCs w:val="24"/>
                      <w:highlight w:val="none"/>
                      <w:lang w:eastAsia="zh-CN"/>
                    </w:rPr>
                    <w:t>。</w:t>
                  </w:r>
                </w:p>
              </w:tc>
              <w:tc>
                <w:tcPr>
                  <w:tcW w:w="502" w:type="pct"/>
                  <w:tcBorders>
                    <w:tl2br w:val="nil"/>
                    <w:tr2bl w:val="nil"/>
                  </w:tcBorders>
                  <w:noWrap w:val="0"/>
                  <w:vAlign w:val="center"/>
                </w:tcPr>
                <w:p w14:paraId="3566CB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新建</w:t>
                  </w:r>
                </w:p>
              </w:tc>
            </w:tr>
            <w:tr w14:paraId="4C3477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2" w:type="pct"/>
                  <w:vMerge w:val="continue"/>
                  <w:tcBorders>
                    <w:tl2br w:val="nil"/>
                    <w:tr2bl w:val="nil"/>
                  </w:tcBorders>
                  <w:noWrap w:val="0"/>
                  <w:vAlign w:val="center"/>
                </w:tcPr>
                <w:p w14:paraId="6E0A9BEA">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27" w:type="pct"/>
                  <w:vMerge w:val="continue"/>
                  <w:tcBorders>
                    <w:tl2br w:val="nil"/>
                    <w:tr2bl w:val="nil"/>
                  </w:tcBorders>
                  <w:noWrap w:val="0"/>
                  <w:vAlign w:val="center"/>
                </w:tcPr>
                <w:p w14:paraId="70D03E15">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3067" w:type="pct"/>
                  <w:tcBorders>
                    <w:tl2br w:val="nil"/>
                    <w:tr2bl w:val="nil"/>
                  </w:tcBorders>
                  <w:noWrap w:val="0"/>
                  <w:vAlign w:val="center"/>
                </w:tcPr>
                <w:p w14:paraId="4CB664C1">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②</w:t>
                  </w:r>
                  <w:r>
                    <w:rPr>
                      <w:rFonts w:hint="eastAsia" w:ascii="Times New Roman" w:hAnsi="Times New Roman" w:eastAsia="宋体" w:cs="Times New Roman"/>
                      <w:color w:val="auto"/>
                      <w:sz w:val="21"/>
                      <w:szCs w:val="21"/>
                      <w:highlight w:val="none"/>
                      <w:lang w:eastAsia="zh-CN"/>
                    </w:rPr>
                    <w:t>原料</w:t>
                  </w:r>
                  <w:r>
                    <w:rPr>
                      <w:rFonts w:hint="default" w:ascii="Times New Roman" w:hAnsi="Times New Roman" w:eastAsia="宋体" w:cs="Times New Roman"/>
                      <w:color w:val="auto"/>
                      <w:sz w:val="21"/>
                      <w:szCs w:val="21"/>
                      <w:highlight w:val="none"/>
                      <w:lang w:eastAsia="zh-CN"/>
                    </w:rPr>
                    <w:t>输送装卸粉尘</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装卸工段采取粮仓密闭四周设置临时围挡</w:t>
                  </w:r>
                  <w:r>
                    <w:rPr>
                      <w:rFonts w:hint="default" w:ascii="Times New Roman" w:hAnsi="Times New Roman" w:eastAsia="宋体" w:cs="Times New Roman"/>
                      <w:color w:val="auto"/>
                      <w:sz w:val="21"/>
                      <w:szCs w:val="21"/>
                      <w:highlight w:val="none"/>
                      <w:lang w:eastAsia="zh-CN"/>
                    </w:rPr>
                    <w:t>、减小装卸高度等降尘措施，输送过程中输送带采取加罩密封，在设备连接处加密封垫或密封胶</w:t>
                  </w:r>
                  <w:r>
                    <w:rPr>
                      <w:rFonts w:hint="eastAsia" w:ascii="Times New Roman" w:hAnsi="Times New Roman" w:eastAsia="宋体" w:cs="Times New Roman"/>
                      <w:color w:val="auto"/>
                      <w:sz w:val="21"/>
                      <w:szCs w:val="21"/>
                      <w:highlight w:val="none"/>
                      <w:lang w:eastAsia="zh-CN"/>
                    </w:rPr>
                    <w:t>；</w:t>
                  </w:r>
                </w:p>
                <w:p w14:paraId="5142ED8C">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③</w:t>
                  </w:r>
                  <w:r>
                    <w:rPr>
                      <w:rFonts w:hint="default" w:ascii="Times New Roman" w:hAnsi="Times New Roman" w:eastAsia="宋体" w:cs="Times New Roman"/>
                      <w:color w:val="auto"/>
                      <w:sz w:val="21"/>
                      <w:szCs w:val="21"/>
                      <w:highlight w:val="none"/>
                      <w:lang w:eastAsia="zh-CN"/>
                    </w:rPr>
                    <w:t>筛分粉尘</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清粮采用全密闭滚筒筛</w:t>
                  </w:r>
                  <w:r>
                    <w:rPr>
                      <w:rFonts w:hint="eastAsia" w:ascii="Times New Roman" w:hAnsi="Times New Roman" w:eastAsia="宋体" w:cs="Times New Roman"/>
                      <w:color w:val="auto"/>
                      <w:sz w:val="21"/>
                      <w:szCs w:val="21"/>
                      <w:highlight w:val="none"/>
                      <w:lang w:eastAsia="zh-CN"/>
                    </w:rPr>
                    <w:t>；</w:t>
                  </w:r>
                </w:p>
                <w:p w14:paraId="2DE9579B">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④烘干粉尘</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烘干塔内部自带重力沉降室，烘干塔底部四周设置防尘挡板，粉尘受挡板格挡后受重力作用回落到烘干塔底部收尘设施中</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可有效阻止粉尘外逸</w:t>
                  </w:r>
                  <w:r>
                    <w:rPr>
                      <w:rFonts w:hint="eastAsia" w:ascii="Times New Roman" w:hAnsi="Times New Roman" w:eastAsia="宋体" w:cs="Times New Roman"/>
                      <w:color w:val="auto"/>
                      <w:sz w:val="21"/>
                      <w:szCs w:val="21"/>
                      <w:highlight w:val="none"/>
                      <w:lang w:eastAsia="zh-CN"/>
                    </w:rPr>
                    <w:t>；</w:t>
                  </w:r>
                </w:p>
                <w:p w14:paraId="72A01651">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⑤</w:t>
                  </w:r>
                  <w:r>
                    <w:rPr>
                      <w:rFonts w:hint="default" w:ascii="Times New Roman" w:hAnsi="Times New Roman" w:eastAsia="宋体" w:cs="Times New Roman"/>
                      <w:color w:val="auto"/>
                      <w:sz w:val="21"/>
                      <w:szCs w:val="21"/>
                      <w:highlight w:val="none"/>
                      <w:lang w:eastAsia="zh-CN"/>
                    </w:rPr>
                    <w:t>热风炉</w:t>
                  </w:r>
                  <w:r>
                    <w:rPr>
                      <w:rFonts w:hint="eastAsia" w:ascii="Times New Roman" w:hAnsi="Times New Roman" w:eastAsia="宋体" w:cs="Times New Roman"/>
                      <w:color w:val="auto"/>
                      <w:sz w:val="21"/>
                      <w:szCs w:val="21"/>
                      <w:highlight w:val="none"/>
                      <w:lang w:val="en-US" w:eastAsia="zh-CN"/>
                    </w:rPr>
                    <w:t>房</w:t>
                  </w:r>
                  <w:r>
                    <w:rPr>
                      <w:rFonts w:hint="default" w:ascii="Times New Roman" w:hAnsi="Times New Roman" w:eastAsia="宋体" w:cs="Times New Roman"/>
                      <w:color w:val="auto"/>
                      <w:sz w:val="21"/>
                      <w:szCs w:val="21"/>
                      <w:highlight w:val="none"/>
                      <w:lang w:eastAsia="zh-CN"/>
                    </w:rPr>
                    <w:t>灰渣储运扬尘</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热风炉房</w:t>
                  </w:r>
                  <w:r>
                    <w:rPr>
                      <w:rFonts w:hint="default" w:ascii="Times New Roman" w:hAnsi="Times New Roman" w:eastAsia="宋体" w:cs="Times New Roman"/>
                      <w:color w:val="auto"/>
                      <w:sz w:val="21"/>
                      <w:szCs w:val="21"/>
                      <w:highlight w:val="none"/>
                      <w:lang w:eastAsia="zh-CN"/>
                    </w:rPr>
                    <w:t>密闭并定期洒水抑尘，减少粉尘扩散</w:t>
                  </w:r>
                  <w:r>
                    <w:rPr>
                      <w:rFonts w:hint="eastAsia" w:ascii="Times New Roman" w:hAnsi="Times New Roman" w:eastAsia="宋体" w:cs="Times New Roman"/>
                      <w:color w:val="auto"/>
                      <w:sz w:val="21"/>
                      <w:szCs w:val="21"/>
                      <w:highlight w:val="none"/>
                      <w:lang w:eastAsia="zh-CN"/>
                    </w:rPr>
                    <w:t>。</w:t>
                  </w:r>
                </w:p>
              </w:tc>
              <w:tc>
                <w:tcPr>
                  <w:tcW w:w="502" w:type="pct"/>
                  <w:tcBorders>
                    <w:tl2br w:val="nil"/>
                    <w:tr2bl w:val="nil"/>
                  </w:tcBorders>
                  <w:noWrap w:val="0"/>
                  <w:vAlign w:val="center"/>
                </w:tcPr>
                <w:p w14:paraId="647BCE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eastAsia"/>
                      <w:color w:val="auto"/>
                      <w:sz w:val="21"/>
                      <w:szCs w:val="21"/>
                      <w:highlight w:val="none"/>
                      <w:lang w:val="en-US" w:eastAsia="zh-CN"/>
                    </w:rPr>
                    <w:t>新建</w:t>
                  </w:r>
                </w:p>
              </w:tc>
            </w:tr>
            <w:tr w14:paraId="494861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2" w:type="pct"/>
                  <w:vMerge w:val="continue"/>
                  <w:tcBorders>
                    <w:tl2br w:val="nil"/>
                    <w:tr2bl w:val="nil"/>
                  </w:tcBorders>
                  <w:noWrap w:val="0"/>
                  <w:vAlign w:val="center"/>
                </w:tcPr>
                <w:p w14:paraId="65DB2BD5">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27" w:type="pct"/>
                  <w:tcBorders>
                    <w:tl2br w:val="nil"/>
                    <w:tr2bl w:val="nil"/>
                  </w:tcBorders>
                  <w:noWrap w:val="0"/>
                  <w:vAlign w:val="center"/>
                </w:tcPr>
                <w:p w14:paraId="378AD251">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废水防治措施</w:t>
                  </w:r>
                </w:p>
              </w:tc>
              <w:tc>
                <w:tcPr>
                  <w:tcW w:w="3067" w:type="pct"/>
                  <w:tcBorders>
                    <w:tl2br w:val="nil"/>
                    <w:tr2bl w:val="nil"/>
                  </w:tcBorders>
                  <w:noWrap w:val="0"/>
                  <w:vAlign w:val="center"/>
                </w:tcPr>
                <w:p w14:paraId="1F423B2F">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本项目无生产废水，生活污水排入防渗旱厕，定期清掏，外运堆肥。</w:t>
                  </w:r>
                </w:p>
              </w:tc>
              <w:tc>
                <w:tcPr>
                  <w:tcW w:w="502" w:type="pct"/>
                  <w:tcBorders>
                    <w:tl2br w:val="nil"/>
                    <w:tr2bl w:val="nil"/>
                  </w:tcBorders>
                  <w:noWrap w:val="0"/>
                  <w:vAlign w:val="center"/>
                </w:tcPr>
                <w:p w14:paraId="7F1614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依托</w:t>
                  </w:r>
                </w:p>
              </w:tc>
            </w:tr>
            <w:tr w14:paraId="650B1A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2" w:type="pct"/>
                  <w:vMerge w:val="continue"/>
                  <w:tcBorders>
                    <w:tl2br w:val="nil"/>
                    <w:tr2bl w:val="nil"/>
                  </w:tcBorders>
                  <w:noWrap w:val="0"/>
                  <w:vAlign w:val="center"/>
                </w:tcPr>
                <w:p w14:paraId="65170DE1">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27" w:type="pct"/>
                  <w:tcBorders>
                    <w:tl2br w:val="nil"/>
                    <w:tr2bl w:val="nil"/>
                  </w:tcBorders>
                  <w:noWrap w:val="0"/>
                  <w:vAlign w:val="center"/>
                </w:tcPr>
                <w:p w14:paraId="44B78C1C">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噪声防治措施</w:t>
                  </w:r>
                </w:p>
              </w:tc>
              <w:tc>
                <w:tcPr>
                  <w:tcW w:w="3067" w:type="pct"/>
                  <w:tcBorders>
                    <w:tl2br w:val="nil"/>
                    <w:tr2bl w:val="nil"/>
                  </w:tcBorders>
                  <w:noWrap w:val="0"/>
                  <w:vAlign w:val="center"/>
                </w:tcPr>
                <w:p w14:paraId="6531FBD4">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低噪设备、隔声、减振、消声、距离衰减</w:t>
                  </w:r>
                  <w:r>
                    <w:rPr>
                      <w:rFonts w:hint="default"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本项目厂界东、南、北侧噪声执行《工业企业厂界环境噪声排放标准》GB12348-2008）2类标准限值要求，厂界东侧执行《工业企业厂界环境噪声排放标准》（GB 12348-2008）表1中4类标准要求。</w:t>
                  </w:r>
                </w:p>
              </w:tc>
              <w:tc>
                <w:tcPr>
                  <w:tcW w:w="502" w:type="pct"/>
                  <w:tcBorders>
                    <w:tl2br w:val="nil"/>
                    <w:tr2bl w:val="nil"/>
                  </w:tcBorders>
                  <w:noWrap w:val="0"/>
                  <w:vAlign w:val="center"/>
                </w:tcPr>
                <w:p w14:paraId="0A8F57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新建</w:t>
                  </w:r>
                </w:p>
              </w:tc>
            </w:tr>
            <w:tr w14:paraId="590991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2" w:type="pct"/>
                  <w:vMerge w:val="continue"/>
                  <w:tcBorders>
                    <w:tl2br w:val="nil"/>
                    <w:tr2bl w:val="nil"/>
                  </w:tcBorders>
                  <w:noWrap w:val="0"/>
                  <w:vAlign w:val="center"/>
                </w:tcPr>
                <w:p w14:paraId="4011F6DA">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27" w:type="pct"/>
                  <w:tcBorders>
                    <w:tl2br w:val="nil"/>
                    <w:tr2bl w:val="nil"/>
                  </w:tcBorders>
                  <w:noWrap w:val="0"/>
                  <w:vAlign w:val="center"/>
                </w:tcPr>
                <w:p w14:paraId="673086D6">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固体废物防治措施</w:t>
                  </w:r>
                </w:p>
              </w:tc>
              <w:tc>
                <w:tcPr>
                  <w:tcW w:w="3067" w:type="pct"/>
                  <w:tcBorders>
                    <w:tl2br w:val="nil"/>
                    <w:tr2bl w:val="nil"/>
                  </w:tcBorders>
                  <w:noWrap w:val="0"/>
                  <w:vAlign w:val="center"/>
                </w:tcPr>
                <w:p w14:paraId="1031EDA0">
                  <w:pPr>
                    <w:keepNext w:val="0"/>
                    <w:keepLines w:val="0"/>
                    <w:pageBreakBefore w:val="0"/>
                    <w:suppressLineNumbers w:val="0"/>
                    <w:wordWrap/>
                    <w:overflowPunct/>
                    <w:topLinePunct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生活垃圾</w:t>
                  </w:r>
                  <w:r>
                    <w:rPr>
                      <w:rFonts w:hint="eastAsia"/>
                      <w:color w:val="auto"/>
                      <w:szCs w:val="21"/>
                      <w:highlight w:val="none"/>
                    </w:rPr>
                    <w:t>集中收集，由市政环卫部门统一清运</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装卸粉尘、烘干粉尘、热风炉炉渣、布袋集尘灰，集中收集，外售综合利用；废旧布袋，厂家回收；清筛杂质</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交由具有相应处理能力或经营范围的单位利用和处置。</w:t>
                  </w:r>
                </w:p>
              </w:tc>
              <w:tc>
                <w:tcPr>
                  <w:tcW w:w="502" w:type="pct"/>
                  <w:tcBorders>
                    <w:tl2br w:val="nil"/>
                    <w:tr2bl w:val="nil"/>
                  </w:tcBorders>
                  <w:noWrap w:val="0"/>
                  <w:vAlign w:val="center"/>
                </w:tcPr>
                <w:p w14:paraId="411EC2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依托</w:t>
                  </w:r>
                </w:p>
              </w:tc>
            </w:tr>
          </w:tbl>
          <w:p w14:paraId="16197BFB">
            <w:pPr>
              <w:keepNext w:val="0"/>
              <w:keepLines w:val="0"/>
              <w:pageBreakBefore w:val="0"/>
              <w:suppressLineNumbers w:val="0"/>
              <w:wordWrap/>
              <w:overflowPunct/>
              <w:topLinePunct w:val="0"/>
              <w:bidi w:val="0"/>
              <w:adjustRightInd w:val="0"/>
              <w:snapToGrid w:val="0"/>
              <w:spacing w:before="0" w:beforeAutospacing="0" w:after="0" w:afterAutospacing="0" w:line="360" w:lineRule="auto"/>
              <w:ind w:left="0" w:right="0" w:firstLine="482" w:firstLineChars="200"/>
              <w:rPr>
                <w:rFonts w:hint="default"/>
                <w:b/>
                <w:color w:val="auto"/>
                <w:sz w:val="24"/>
                <w:szCs w:val="24"/>
                <w:highlight w:val="none"/>
              </w:rPr>
            </w:pPr>
            <w:r>
              <w:rPr>
                <w:rFonts w:hint="default" w:ascii="Times New Roman" w:hAnsi="Times New Roman" w:cs="Times New Roman"/>
                <w:b/>
                <w:bCs/>
                <w:color w:val="auto"/>
                <w:kern w:val="0"/>
                <w:sz w:val="24"/>
                <w:szCs w:val="24"/>
                <w:highlight w:val="none"/>
              </w:rPr>
              <w:t>2、</w:t>
            </w:r>
            <w:r>
              <w:rPr>
                <w:rFonts w:hint="default"/>
                <w:b/>
                <w:color w:val="auto"/>
                <w:sz w:val="24"/>
                <w:szCs w:val="24"/>
                <w:highlight w:val="none"/>
              </w:rPr>
              <w:t>主要产品及产能</w:t>
            </w:r>
          </w:p>
          <w:p w14:paraId="2AC2590B">
            <w:pPr>
              <w:keepNext w:val="0"/>
              <w:keepLines w:val="0"/>
              <w:pageBreakBefore w:val="0"/>
              <w:suppressLineNumbers w:val="0"/>
              <w:wordWrap/>
              <w:overflowPunct/>
              <w:topLinePunct w:val="0"/>
              <w:bidi w:val="0"/>
              <w:adjustRightInd w:val="0"/>
              <w:snapToGrid w:val="0"/>
              <w:spacing w:before="0" w:beforeAutospacing="0" w:after="0" w:afterAutospacing="0" w:line="360" w:lineRule="auto"/>
              <w:ind w:left="0" w:right="0" w:firstLine="480" w:firstLineChars="200"/>
              <w:rPr>
                <w:rFonts w:hint="default"/>
                <w:bCs/>
                <w:color w:val="auto"/>
                <w:sz w:val="24"/>
                <w:szCs w:val="24"/>
                <w:highlight w:val="none"/>
              </w:rPr>
            </w:pPr>
            <w:r>
              <w:rPr>
                <w:rFonts w:hint="default"/>
                <w:bCs/>
                <w:color w:val="auto"/>
                <w:sz w:val="24"/>
                <w:szCs w:val="24"/>
                <w:highlight w:val="none"/>
              </w:rPr>
              <w:t>本项目产品方案详见表2-</w:t>
            </w:r>
            <w:r>
              <w:rPr>
                <w:rFonts w:hint="eastAsia"/>
                <w:bCs/>
                <w:color w:val="auto"/>
                <w:sz w:val="24"/>
                <w:szCs w:val="24"/>
                <w:highlight w:val="none"/>
                <w:lang w:val="en-US" w:eastAsia="zh-CN"/>
              </w:rPr>
              <w:t>2</w:t>
            </w:r>
            <w:r>
              <w:rPr>
                <w:rFonts w:hint="default"/>
                <w:bCs/>
                <w:color w:val="auto"/>
                <w:sz w:val="24"/>
                <w:szCs w:val="24"/>
                <w:highlight w:val="none"/>
              </w:rPr>
              <w:t>。</w:t>
            </w:r>
          </w:p>
          <w:p w14:paraId="402FC8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
                <w:color w:val="auto"/>
                <w:sz w:val="24"/>
                <w:szCs w:val="24"/>
                <w:highlight w:val="none"/>
                <w:lang w:eastAsia="zh-CN"/>
              </w:rPr>
            </w:pPr>
            <w:r>
              <w:rPr>
                <w:rFonts w:hint="default"/>
                <w:b/>
                <w:color w:val="auto"/>
                <w:sz w:val="24"/>
                <w:szCs w:val="24"/>
                <w:highlight w:val="none"/>
              </w:rPr>
              <w:t>表2-</w:t>
            </w:r>
            <w:r>
              <w:rPr>
                <w:rFonts w:hint="eastAsia"/>
                <w:b/>
                <w:color w:val="auto"/>
                <w:sz w:val="24"/>
                <w:szCs w:val="24"/>
                <w:highlight w:val="none"/>
                <w:lang w:val="en-US" w:eastAsia="zh-CN"/>
              </w:rPr>
              <w:t xml:space="preserve">2 </w:t>
            </w:r>
            <w:r>
              <w:rPr>
                <w:rFonts w:hint="default"/>
                <w:b/>
                <w:color w:val="auto"/>
                <w:sz w:val="24"/>
                <w:szCs w:val="24"/>
                <w:highlight w:val="none"/>
              </w:rPr>
              <w:t>主要产品及产能</w:t>
            </w:r>
          </w:p>
          <w:tbl>
            <w:tblPr>
              <w:tblStyle w:val="39"/>
              <w:tblW w:w="819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7"/>
              <w:gridCol w:w="1358"/>
              <w:gridCol w:w="1465"/>
              <w:gridCol w:w="1274"/>
              <w:gridCol w:w="1274"/>
              <w:gridCol w:w="1674"/>
            </w:tblGrid>
            <w:tr w14:paraId="770249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1147" w:type="dxa"/>
                  <w:tcBorders>
                    <w:tl2br w:val="nil"/>
                    <w:tr2bl w:val="nil"/>
                  </w:tcBorders>
                  <w:vAlign w:val="center"/>
                </w:tcPr>
                <w:p w14:paraId="23653DE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1358" w:type="dxa"/>
                  <w:tcBorders>
                    <w:tl2br w:val="nil"/>
                    <w:tr2bl w:val="nil"/>
                  </w:tcBorders>
                  <w:vAlign w:val="center"/>
                </w:tcPr>
                <w:p w14:paraId="01E3214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产品名称</w:t>
                  </w:r>
                </w:p>
              </w:tc>
              <w:tc>
                <w:tcPr>
                  <w:tcW w:w="1465" w:type="dxa"/>
                  <w:tcBorders>
                    <w:tl2br w:val="nil"/>
                    <w:tr2bl w:val="nil"/>
                  </w:tcBorders>
                  <w:vAlign w:val="center"/>
                </w:tcPr>
                <w:p w14:paraId="67CD9DC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年产量</w:t>
                  </w:r>
                </w:p>
              </w:tc>
              <w:tc>
                <w:tcPr>
                  <w:tcW w:w="1274" w:type="dxa"/>
                  <w:tcBorders>
                    <w:tl2br w:val="nil"/>
                    <w:tr2bl w:val="nil"/>
                  </w:tcBorders>
                  <w:vAlign w:val="center"/>
                </w:tcPr>
                <w:p w14:paraId="2D64D5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原有工程</w:t>
                  </w:r>
                </w:p>
              </w:tc>
              <w:tc>
                <w:tcPr>
                  <w:tcW w:w="1274" w:type="dxa"/>
                  <w:tcBorders>
                    <w:tl2br w:val="nil"/>
                    <w:tr2bl w:val="nil"/>
                  </w:tcBorders>
                  <w:vAlign w:val="center"/>
                </w:tcPr>
                <w:p w14:paraId="47C05B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单位</w:t>
                  </w:r>
                </w:p>
              </w:tc>
              <w:tc>
                <w:tcPr>
                  <w:tcW w:w="1674" w:type="dxa"/>
                  <w:tcBorders>
                    <w:tl2br w:val="nil"/>
                    <w:tr2bl w:val="nil"/>
                  </w:tcBorders>
                  <w:vAlign w:val="center"/>
                </w:tcPr>
                <w:p w14:paraId="7D4336E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备注</w:t>
                  </w:r>
                </w:p>
              </w:tc>
            </w:tr>
            <w:tr w14:paraId="71DA0A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47" w:type="dxa"/>
                  <w:tcBorders>
                    <w:tl2br w:val="nil"/>
                    <w:tr2bl w:val="nil"/>
                  </w:tcBorders>
                  <w:vAlign w:val="center"/>
                </w:tcPr>
                <w:p w14:paraId="1D690DE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358" w:type="dxa"/>
                  <w:tcBorders>
                    <w:tl2br w:val="nil"/>
                    <w:tr2bl w:val="nil"/>
                  </w:tcBorders>
                  <w:vAlign w:val="center"/>
                </w:tcPr>
                <w:p w14:paraId="2AF4F3E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水稻</w:t>
                  </w:r>
                </w:p>
              </w:tc>
              <w:tc>
                <w:tcPr>
                  <w:tcW w:w="1465" w:type="dxa"/>
                  <w:tcBorders>
                    <w:tl2br w:val="nil"/>
                    <w:tr2bl w:val="nil"/>
                  </w:tcBorders>
                  <w:vAlign w:val="center"/>
                </w:tcPr>
                <w:p w14:paraId="369F3A0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11871.67</w:t>
                  </w:r>
                </w:p>
              </w:tc>
              <w:tc>
                <w:tcPr>
                  <w:tcW w:w="1274" w:type="dxa"/>
                  <w:tcBorders>
                    <w:tl2br w:val="nil"/>
                    <w:tr2bl w:val="nil"/>
                  </w:tcBorders>
                  <w:vAlign w:val="center"/>
                </w:tcPr>
                <w:p w14:paraId="491C59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274" w:type="dxa"/>
                  <w:tcBorders>
                    <w:tl2br w:val="nil"/>
                    <w:tr2bl w:val="nil"/>
                  </w:tcBorders>
                  <w:vAlign w:val="center"/>
                </w:tcPr>
                <w:p w14:paraId="2550A2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t/a</w:t>
                  </w:r>
                </w:p>
              </w:tc>
              <w:tc>
                <w:tcPr>
                  <w:tcW w:w="1674" w:type="dxa"/>
                  <w:tcBorders>
                    <w:tl2br w:val="nil"/>
                    <w:tr2bl w:val="nil"/>
                  </w:tcBorders>
                  <w:vAlign w:val="center"/>
                </w:tcPr>
                <w:p w14:paraId="5E5A5CE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含水率15</w:t>
                  </w:r>
                  <w:r>
                    <w:rPr>
                      <w:rFonts w:hint="eastAsia" w:ascii="Times New Roman" w:hAnsi="Times New Roman" w:eastAsia="宋体" w:cs="Times New Roman"/>
                      <w:color w:val="auto"/>
                      <w:sz w:val="21"/>
                      <w:szCs w:val="21"/>
                      <w:highlight w:val="none"/>
                      <w:lang w:val="en-US" w:eastAsia="zh-CN"/>
                    </w:rPr>
                    <w:t>%</w:t>
                  </w:r>
                </w:p>
              </w:tc>
            </w:tr>
            <w:tr w14:paraId="79D6DA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1147" w:type="dxa"/>
                  <w:tcBorders>
                    <w:tl2br w:val="nil"/>
                    <w:tr2bl w:val="nil"/>
                  </w:tcBorders>
                  <w:vAlign w:val="center"/>
                </w:tcPr>
                <w:p w14:paraId="0F091C4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358" w:type="dxa"/>
                  <w:tcBorders>
                    <w:tl2br w:val="nil"/>
                    <w:tr2bl w:val="nil"/>
                  </w:tcBorders>
                  <w:vAlign w:val="center"/>
                </w:tcPr>
                <w:p w14:paraId="3261141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玉米</w:t>
                  </w:r>
                </w:p>
              </w:tc>
              <w:tc>
                <w:tcPr>
                  <w:tcW w:w="1465" w:type="dxa"/>
                  <w:tcBorders>
                    <w:tl2br w:val="nil"/>
                    <w:tr2bl w:val="nil"/>
                  </w:tcBorders>
                  <w:vAlign w:val="center"/>
                </w:tcPr>
                <w:p w14:paraId="6D643FD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10000</w:t>
                  </w:r>
                </w:p>
              </w:tc>
              <w:tc>
                <w:tcPr>
                  <w:tcW w:w="1274" w:type="dxa"/>
                  <w:tcBorders>
                    <w:tl2br w:val="nil"/>
                    <w:tr2bl w:val="nil"/>
                  </w:tcBorders>
                  <w:vAlign w:val="center"/>
                </w:tcPr>
                <w:p w14:paraId="6E38F78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4000</w:t>
                  </w:r>
                </w:p>
              </w:tc>
              <w:tc>
                <w:tcPr>
                  <w:tcW w:w="1274" w:type="dxa"/>
                  <w:tcBorders>
                    <w:tl2br w:val="nil"/>
                    <w:tr2bl w:val="nil"/>
                  </w:tcBorders>
                  <w:vAlign w:val="center"/>
                </w:tcPr>
                <w:p w14:paraId="249CB7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t/a</w:t>
                  </w:r>
                </w:p>
              </w:tc>
              <w:tc>
                <w:tcPr>
                  <w:tcW w:w="1674" w:type="dxa"/>
                  <w:tcBorders>
                    <w:tl2br w:val="nil"/>
                    <w:tr2bl w:val="nil"/>
                  </w:tcBorders>
                  <w:vAlign w:val="center"/>
                </w:tcPr>
                <w:p w14:paraId="2A00247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含水率14%</w:t>
                  </w:r>
                </w:p>
              </w:tc>
            </w:tr>
          </w:tbl>
          <w:p w14:paraId="6D5EB567">
            <w:pPr>
              <w:keepNext w:val="0"/>
              <w:keepLines w:val="0"/>
              <w:pageBreakBefore w:val="0"/>
              <w:widowControl/>
              <w:suppressLineNumbers w:val="0"/>
              <w:wordWrap/>
              <w:overflowPunct/>
              <w:topLinePunct w:val="0"/>
              <w:bidi w:val="0"/>
              <w:spacing w:before="0" w:beforeAutospacing="0" w:after="0" w:afterAutospacing="0" w:line="360" w:lineRule="auto"/>
              <w:ind w:left="0" w:right="0" w:firstLine="482" w:firstLineChars="200"/>
              <w:rPr>
                <w:rFonts w:hint="default" w:ascii="Times New Roman" w:hAnsi="Times New Roman" w:cs="Times New Roman"/>
                <w:b/>
                <w:bCs/>
                <w:color w:val="auto"/>
                <w:kern w:val="0"/>
                <w:sz w:val="24"/>
                <w:szCs w:val="24"/>
                <w:highlight w:val="none"/>
              </w:rPr>
            </w:pPr>
            <w:r>
              <w:rPr>
                <w:rFonts w:hint="eastAsia" w:cs="Times New Roman"/>
                <w:b/>
                <w:bCs/>
                <w:color w:val="auto"/>
                <w:kern w:val="0"/>
                <w:sz w:val="24"/>
                <w:szCs w:val="24"/>
                <w:highlight w:val="none"/>
                <w:lang w:val="en-US" w:eastAsia="zh-CN"/>
              </w:rPr>
              <w:t>3、</w:t>
            </w:r>
            <w:r>
              <w:rPr>
                <w:rFonts w:hint="default" w:ascii="Times New Roman" w:hAnsi="Times New Roman" w:cs="Times New Roman"/>
                <w:b/>
                <w:bCs/>
                <w:color w:val="auto"/>
                <w:kern w:val="0"/>
                <w:sz w:val="24"/>
                <w:szCs w:val="24"/>
                <w:highlight w:val="none"/>
              </w:rPr>
              <w:t>主要设备</w:t>
            </w:r>
          </w:p>
          <w:p w14:paraId="239FF876">
            <w:pPr>
              <w:keepNext w:val="0"/>
              <w:keepLines w:val="0"/>
              <w:pageBreakBefore w:val="0"/>
              <w:widowControl/>
              <w:suppressLineNumbers w:val="0"/>
              <w:wordWrap/>
              <w:overflowPunct/>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b/>
                <w:bCs/>
                <w:snapToGrid w:val="0"/>
                <w:color w:val="auto"/>
                <w:sz w:val="24"/>
                <w:szCs w:val="24"/>
                <w:highlight w:val="none"/>
              </w:rPr>
            </w:pPr>
            <w:r>
              <w:rPr>
                <w:rFonts w:hint="default" w:ascii="Times New Roman" w:hAnsi="Times New Roman" w:cs="Times New Roman"/>
                <w:color w:val="auto"/>
                <w:kern w:val="0"/>
                <w:sz w:val="24"/>
                <w:szCs w:val="24"/>
                <w:highlight w:val="none"/>
              </w:rPr>
              <w:t>主要设备见表2-</w:t>
            </w:r>
            <w:r>
              <w:rPr>
                <w:rFonts w:hint="eastAsia" w:cs="Times New Roman"/>
                <w:color w:val="auto"/>
                <w:kern w:val="0"/>
                <w:sz w:val="24"/>
                <w:szCs w:val="24"/>
                <w:highlight w:val="none"/>
                <w:lang w:val="en-US" w:eastAsia="zh-CN"/>
              </w:rPr>
              <w:t>3</w:t>
            </w:r>
            <w:r>
              <w:rPr>
                <w:rFonts w:hint="default" w:ascii="Times New Roman" w:hAnsi="Times New Roman" w:cs="Times New Roman"/>
                <w:color w:val="auto"/>
                <w:kern w:val="0"/>
                <w:sz w:val="24"/>
                <w:szCs w:val="24"/>
                <w:highlight w:val="none"/>
              </w:rPr>
              <w:t>。</w:t>
            </w:r>
          </w:p>
          <w:p w14:paraId="29DDE3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snapToGrid w:val="0"/>
                <w:color w:val="auto"/>
                <w:sz w:val="24"/>
                <w:szCs w:val="24"/>
                <w:highlight w:val="none"/>
              </w:rPr>
            </w:pPr>
            <w:r>
              <w:rPr>
                <w:rFonts w:hint="default" w:ascii="Times New Roman" w:hAnsi="Times New Roman" w:eastAsia="宋体" w:cs="Times New Roman"/>
                <w:b/>
                <w:bCs/>
                <w:snapToGrid w:val="0"/>
                <w:color w:val="auto"/>
                <w:sz w:val="24"/>
                <w:szCs w:val="24"/>
                <w:highlight w:val="none"/>
              </w:rPr>
              <w:t>表2-</w:t>
            </w:r>
            <w:r>
              <w:rPr>
                <w:rFonts w:hint="eastAsia" w:cs="Times New Roman"/>
                <w:b/>
                <w:bCs/>
                <w:snapToGrid w:val="0"/>
                <w:color w:val="auto"/>
                <w:sz w:val="24"/>
                <w:szCs w:val="24"/>
                <w:highlight w:val="none"/>
                <w:lang w:val="en-US" w:eastAsia="zh-CN"/>
              </w:rPr>
              <w:t xml:space="preserve">3 </w:t>
            </w:r>
            <w:r>
              <w:rPr>
                <w:rFonts w:hint="default" w:ascii="Times New Roman" w:hAnsi="Times New Roman" w:eastAsia="宋体" w:cs="Times New Roman"/>
                <w:b/>
                <w:bCs/>
                <w:snapToGrid w:val="0"/>
                <w:color w:val="auto"/>
                <w:sz w:val="24"/>
                <w:szCs w:val="24"/>
                <w:highlight w:val="none"/>
              </w:rPr>
              <w:t>主要设备一览表</w:t>
            </w:r>
          </w:p>
          <w:tbl>
            <w:tblPr>
              <w:tblStyle w:val="146"/>
              <w:tblW w:w="4995" w:type="pct"/>
              <w:tblInd w:w="0" w:type="dxa"/>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
            <w:tblGrid>
              <w:gridCol w:w="1532"/>
              <w:gridCol w:w="2895"/>
              <w:gridCol w:w="1934"/>
              <w:gridCol w:w="1797"/>
            </w:tblGrid>
            <w:tr w14:paraId="5FB8852A">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938" w:type="pct"/>
                  <w:tcBorders>
                    <w:tl2br w:val="nil"/>
                    <w:tr2bl w:val="nil"/>
                  </w:tcBorders>
                  <w:vAlign w:val="center"/>
                </w:tcPr>
                <w:p w14:paraId="329AD32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1774" w:type="pct"/>
                  <w:tcBorders>
                    <w:tl2br w:val="nil"/>
                    <w:tr2bl w:val="nil"/>
                  </w:tcBorders>
                  <w:vAlign w:val="center"/>
                </w:tcPr>
                <w:p w14:paraId="431C914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产品名称</w:t>
                  </w:r>
                </w:p>
              </w:tc>
              <w:tc>
                <w:tcPr>
                  <w:tcW w:w="1185" w:type="pct"/>
                  <w:tcBorders>
                    <w:tl2br w:val="nil"/>
                    <w:tr2bl w:val="nil"/>
                  </w:tcBorders>
                  <w:vAlign w:val="center"/>
                </w:tcPr>
                <w:p w14:paraId="60DF3A1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数量</w:t>
                  </w:r>
                </w:p>
              </w:tc>
              <w:tc>
                <w:tcPr>
                  <w:tcW w:w="1101" w:type="pct"/>
                  <w:tcBorders>
                    <w:tl2br w:val="nil"/>
                    <w:tr2bl w:val="nil"/>
                  </w:tcBorders>
                  <w:vAlign w:val="center"/>
                </w:tcPr>
                <w:p w14:paraId="501ED17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单位</w:t>
                  </w:r>
                </w:p>
              </w:tc>
            </w:tr>
            <w:tr w14:paraId="4CDC856A">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938" w:type="pct"/>
                  <w:tcBorders>
                    <w:tl2br w:val="nil"/>
                    <w:tr2bl w:val="nil"/>
                  </w:tcBorders>
                  <w:vAlign w:val="center"/>
                </w:tcPr>
                <w:p w14:paraId="5C27A0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774" w:type="pct"/>
                  <w:tcBorders>
                    <w:tl2br w:val="nil"/>
                    <w:tr2bl w:val="nil"/>
                  </w:tcBorders>
                  <w:vAlign w:val="center"/>
                </w:tcPr>
                <w:p w14:paraId="76FBC1C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带式输送机</w:t>
                  </w:r>
                </w:p>
              </w:tc>
              <w:tc>
                <w:tcPr>
                  <w:tcW w:w="1185" w:type="pct"/>
                  <w:tcBorders>
                    <w:tl2br w:val="nil"/>
                    <w:tr2bl w:val="nil"/>
                  </w:tcBorders>
                  <w:vAlign w:val="center"/>
                </w:tcPr>
                <w:p w14:paraId="582B443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1101" w:type="pct"/>
                  <w:tcBorders>
                    <w:tl2br w:val="nil"/>
                    <w:tr2bl w:val="nil"/>
                  </w:tcBorders>
                  <w:vAlign w:val="center"/>
                </w:tcPr>
                <w:p w14:paraId="0C3B1C35">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r>
            <w:tr w14:paraId="487B0369">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938" w:type="pct"/>
                  <w:tcBorders>
                    <w:tl2br w:val="nil"/>
                    <w:tr2bl w:val="nil"/>
                  </w:tcBorders>
                  <w:vAlign w:val="center"/>
                </w:tcPr>
                <w:p w14:paraId="75572A1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774" w:type="pct"/>
                  <w:tcBorders>
                    <w:tl2br w:val="nil"/>
                    <w:tr2bl w:val="nil"/>
                  </w:tcBorders>
                  <w:vAlign w:val="center"/>
                </w:tcPr>
                <w:p w14:paraId="5774962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斗式提升机</w:t>
                  </w:r>
                </w:p>
              </w:tc>
              <w:tc>
                <w:tcPr>
                  <w:tcW w:w="1185" w:type="pct"/>
                  <w:tcBorders>
                    <w:tl2br w:val="nil"/>
                    <w:tr2bl w:val="nil"/>
                  </w:tcBorders>
                  <w:vAlign w:val="center"/>
                </w:tcPr>
                <w:p w14:paraId="592E1EB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101" w:type="pct"/>
                  <w:tcBorders>
                    <w:tl2br w:val="nil"/>
                    <w:tr2bl w:val="nil"/>
                  </w:tcBorders>
                  <w:vAlign w:val="center"/>
                </w:tcPr>
                <w:p w14:paraId="2A8282B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r>
            <w:tr w14:paraId="18D3A8D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938" w:type="pct"/>
                  <w:tcBorders>
                    <w:tl2br w:val="nil"/>
                    <w:tr2bl w:val="nil"/>
                  </w:tcBorders>
                  <w:vAlign w:val="center"/>
                </w:tcPr>
                <w:p w14:paraId="52EDC1AD">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1774" w:type="pct"/>
                  <w:tcBorders>
                    <w:tl2br w:val="nil"/>
                    <w:tr2bl w:val="nil"/>
                  </w:tcBorders>
                  <w:vAlign w:val="center"/>
                </w:tcPr>
                <w:p w14:paraId="164C2BE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电子衡</w:t>
                  </w:r>
                </w:p>
              </w:tc>
              <w:tc>
                <w:tcPr>
                  <w:tcW w:w="1185" w:type="pct"/>
                  <w:tcBorders>
                    <w:tl2br w:val="nil"/>
                    <w:tr2bl w:val="nil"/>
                  </w:tcBorders>
                  <w:vAlign w:val="center"/>
                </w:tcPr>
                <w:p w14:paraId="35E2633C">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1101" w:type="pct"/>
                  <w:tcBorders>
                    <w:tl2br w:val="nil"/>
                    <w:tr2bl w:val="nil"/>
                  </w:tcBorders>
                  <w:vAlign w:val="center"/>
                </w:tcPr>
                <w:p w14:paraId="31AB080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r>
            <w:tr w14:paraId="493F4DB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938" w:type="pct"/>
                  <w:tcBorders>
                    <w:tl2br w:val="nil"/>
                    <w:tr2bl w:val="nil"/>
                  </w:tcBorders>
                  <w:vAlign w:val="center"/>
                </w:tcPr>
                <w:p w14:paraId="43094876">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1774" w:type="pct"/>
                  <w:tcBorders>
                    <w:tl2br w:val="nil"/>
                    <w:tr2bl w:val="nil"/>
                  </w:tcBorders>
                  <w:vAlign w:val="center"/>
                </w:tcPr>
                <w:p w14:paraId="125EF4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风机</w:t>
                  </w:r>
                </w:p>
              </w:tc>
              <w:tc>
                <w:tcPr>
                  <w:tcW w:w="1185" w:type="pct"/>
                  <w:tcBorders>
                    <w:tl2br w:val="nil"/>
                    <w:tr2bl w:val="nil"/>
                  </w:tcBorders>
                  <w:vAlign w:val="center"/>
                </w:tcPr>
                <w:p w14:paraId="1039C4A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c>
                <w:tcPr>
                  <w:tcW w:w="1101" w:type="pct"/>
                  <w:tcBorders>
                    <w:tl2br w:val="nil"/>
                    <w:tr2bl w:val="nil"/>
                  </w:tcBorders>
                  <w:vAlign w:val="center"/>
                </w:tcPr>
                <w:p w14:paraId="703FE29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台</w:t>
                  </w:r>
                </w:p>
              </w:tc>
            </w:tr>
            <w:tr w14:paraId="7DF2BFC9">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938" w:type="pct"/>
                  <w:tcBorders>
                    <w:tl2br w:val="nil"/>
                    <w:tr2bl w:val="nil"/>
                  </w:tcBorders>
                  <w:vAlign w:val="center"/>
                </w:tcPr>
                <w:p w14:paraId="02F14A45">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c>
                <w:tcPr>
                  <w:tcW w:w="1774" w:type="pct"/>
                  <w:tcBorders>
                    <w:tl2br w:val="nil"/>
                    <w:tr2bl w:val="nil"/>
                  </w:tcBorders>
                  <w:vAlign w:val="center"/>
                </w:tcPr>
                <w:p w14:paraId="1EED39BC">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容重器</w:t>
                  </w:r>
                </w:p>
              </w:tc>
              <w:tc>
                <w:tcPr>
                  <w:tcW w:w="1185" w:type="pct"/>
                  <w:tcBorders>
                    <w:tl2br w:val="nil"/>
                    <w:tr2bl w:val="nil"/>
                  </w:tcBorders>
                  <w:vAlign w:val="center"/>
                </w:tcPr>
                <w:p w14:paraId="72B43A7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1101" w:type="pct"/>
                  <w:tcBorders>
                    <w:tl2br w:val="nil"/>
                    <w:tr2bl w:val="nil"/>
                  </w:tcBorders>
                  <w:vAlign w:val="center"/>
                </w:tcPr>
                <w:p w14:paraId="5357BE8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台</w:t>
                  </w:r>
                </w:p>
              </w:tc>
            </w:tr>
            <w:tr w14:paraId="18563C0B">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938" w:type="pct"/>
                  <w:tcBorders>
                    <w:tl2br w:val="nil"/>
                    <w:tr2bl w:val="nil"/>
                  </w:tcBorders>
                  <w:vAlign w:val="center"/>
                </w:tcPr>
                <w:p w14:paraId="1AE608A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p>
              </w:tc>
              <w:tc>
                <w:tcPr>
                  <w:tcW w:w="1774" w:type="pct"/>
                  <w:tcBorders>
                    <w:tl2br w:val="nil"/>
                    <w:tr2bl w:val="nil"/>
                  </w:tcBorders>
                  <w:vAlign w:val="center"/>
                </w:tcPr>
                <w:p w14:paraId="2ADA2A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水分测量仪</w:t>
                  </w:r>
                </w:p>
              </w:tc>
              <w:tc>
                <w:tcPr>
                  <w:tcW w:w="1185" w:type="pct"/>
                  <w:tcBorders>
                    <w:tl2br w:val="nil"/>
                    <w:tr2bl w:val="nil"/>
                  </w:tcBorders>
                  <w:vAlign w:val="center"/>
                </w:tcPr>
                <w:p w14:paraId="0333C3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101" w:type="pct"/>
                  <w:tcBorders>
                    <w:tl2br w:val="nil"/>
                    <w:tr2bl w:val="nil"/>
                  </w:tcBorders>
                  <w:vAlign w:val="center"/>
                </w:tcPr>
                <w:p w14:paraId="66B2D58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台</w:t>
                  </w:r>
                </w:p>
              </w:tc>
            </w:tr>
            <w:tr w14:paraId="7B0AF14B">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938" w:type="pct"/>
                  <w:tcBorders>
                    <w:tl2br w:val="nil"/>
                    <w:tr2bl w:val="nil"/>
                  </w:tcBorders>
                  <w:vAlign w:val="center"/>
                </w:tcPr>
                <w:p w14:paraId="4536321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w:t>
                  </w:r>
                </w:p>
              </w:tc>
              <w:tc>
                <w:tcPr>
                  <w:tcW w:w="1774" w:type="pct"/>
                  <w:tcBorders>
                    <w:tl2br w:val="nil"/>
                    <w:tr2bl w:val="nil"/>
                  </w:tcBorders>
                  <w:vAlign w:val="center"/>
                </w:tcPr>
                <w:p w14:paraId="4DD8CCB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卤素仪</w:t>
                  </w:r>
                </w:p>
              </w:tc>
              <w:tc>
                <w:tcPr>
                  <w:tcW w:w="1185" w:type="pct"/>
                  <w:tcBorders>
                    <w:tl2br w:val="nil"/>
                    <w:tr2bl w:val="nil"/>
                  </w:tcBorders>
                  <w:vAlign w:val="center"/>
                </w:tcPr>
                <w:p w14:paraId="3F06882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1101" w:type="pct"/>
                  <w:tcBorders>
                    <w:tl2br w:val="nil"/>
                    <w:tr2bl w:val="nil"/>
                  </w:tcBorders>
                  <w:vAlign w:val="center"/>
                </w:tcPr>
                <w:p w14:paraId="068CA22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台</w:t>
                  </w:r>
                </w:p>
              </w:tc>
            </w:tr>
            <w:tr w14:paraId="5BC28922">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938" w:type="pct"/>
                  <w:tcBorders>
                    <w:tl2br w:val="nil"/>
                    <w:tr2bl w:val="nil"/>
                  </w:tcBorders>
                  <w:vAlign w:val="center"/>
                </w:tcPr>
                <w:p w14:paraId="5C94E2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w:t>
                  </w:r>
                </w:p>
              </w:tc>
              <w:tc>
                <w:tcPr>
                  <w:tcW w:w="1774" w:type="pct"/>
                  <w:tcBorders>
                    <w:tl2br w:val="nil"/>
                    <w:tr2bl w:val="nil"/>
                  </w:tcBorders>
                  <w:vAlign w:val="center"/>
                </w:tcPr>
                <w:p w14:paraId="57D1F0E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烘干箱</w:t>
                  </w:r>
                </w:p>
              </w:tc>
              <w:tc>
                <w:tcPr>
                  <w:tcW w:w="1185" w:type="pct"/>
                  <w:tcBorders>
                    <w:tl2br w:val="nil"/>
                    <w:tr2bl w:val="nil"/>
                  </w:tcBorders>
                  <w:vAlign w:val="center"/>
                </w:tcPr>
                <w:p w14:paraId="331F2AF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1101" w:type="pct"/>
                  <w:tcBorders>
                    <w:tl2br w:val="nil"/>
                    <w:tr2bl w:val="nil"/>
                  </w:tcBorders>
                  <w:vAlign w:val="center"/>
                </w:tcPr>
                <w:p w14:paraId="7E6291C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台</w:t>
                  </w:r>
                </w:p>
              </w:tc>
            </w:tr>
            <w:tr w14:paraId="1B97FF3A">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938" w:type="pct"/>
                  <w:tcBorders>
                    <w:tl2br w:val="nil"/>
                    <w:tr2bl w:val="nil"/>
                  </w:tcBorders>
                  <w:vAlign w:val="center"/>
                </w:tcPr>
                <w:p w14:paraId="709025F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w:t>
                  </w:r>
                </w:p>
              </w:tc>
              <w:tc>
                <w:tcPr>
                  <w:tcW w:w="1774" w:type="pct"/>
                  <w:tcBorders>
                    <w:tl2br w:val="nil"/>
                    <w:tr2bl w:val="nil"/>
                  </w:tcBorders>
                  <w:vAlign w:val="center"/>
                </w:tcPr>
                <w:p w14:paraId="32AD6B2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粉碎机</w:t>
                  </w:r>
                </w:p>
              </w:tc>
              <w:tc>
                <w:tcPr>
                  <w:tcW w:w="1185" w:type="pct"/>
                  <w:tcBorders>
                    <w:tl2br w:val="nil"/>
                    <w:tr2bl w:val="nil"/>
                  </w:tcBorders>
                  <w:vAlign w:val="center"/>
                </w:tcPr>
                <w:p w14:paraId="4DA3E8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1101" w:type="pct"/>
                  <w:tcBorders>
                    <w:tl2br w:val="nil"/>
                    <w:tr2bl w:val="nil"/>
                  </w:tcBorders>
                  <w:vAlign w:val="center"/>
                </w:tcPr>
                <w:p w14:paraId="10A134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台</w:t>
                  </w:r>
                </w:p>
              </w:tc>
            </w:tr>
            <w:tr w14:paraId="310A73A1">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938" w:type="pct"/>
                  <w:tcBorders>
                    <w:tl2br w:val="nil"/>
                    <w:tr2bl w:val="nil"/>
                  </w:tcBorders>
                  <w:shd w:val="clear" w:color="auto" w:fill="auto"/>
                  <w:vAlign w:val="center"/>
                </w:tcPr>
                <w:p w14:paraId="2FEEAAAE">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1774" w:type="pct"/>
                  <w:tcBorders>
                    <w:tl2br w:val="nil"/>
                    <w:tr2bl w:val="nil"/>
                  </w:tcBorders>
                  <w:shd w:val="clear" w:color="auto" w:fill="auto"/>
                  <w:vAlign w:val="center"/>
                </w:tcPr>
                <w:p w14:paraId="4BFC149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烘干塔</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500t/d</w:t>
                  </w:r>
                  <w:r>
                    <w:rPr>
                      <w:rFonts w:hint="eastAsia" w:ascii="Times New Roman" w:hAnsi="Times New Roman" w:eastAsia="宋体" w:cs="Times New Roman"/>
                      <w:color w:val="auto"/>
                      <w:sz w:val="21"/>
                      <w:szCs w:val="21"/>
                      <w:highlight w:val="none"/>
                      <w:lang w:val="en-US" w:eastAsia="zh-CN"/>
                    </w:rPr>
                    <w:t>）</w:t>
                  </w:r>
                </w:p>
              </w:tc>
              <w:tc>
                <w:tcPr>
                  <w:tcW w:w="1185" w:type="pct"/>
                  <w:tcBorders>
                    <w:tl2br w:val="nil"/>
                    <w:tr2bl w:val="nil"/>
                  </w:tcBorders>
                  <w:shd w:val="clear" w:color="auto" w:fill="auto"/>
                  <w:vAlign w:val="center"/>
                </w:tcPr>
                <w:p w14:paraId="46059DC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1101" w:type="pct"/>
                  <w:tcBorders>
                    <w:tl2br w:val="nil"/>
                    <w:tr2bl w:val="nil"/>
                  </w:tcBorders>
                  <w:shd w:val="clear" w:color="auto" w:fill="auto"/>
                  <w:vAlign w:val="center"/>
                </w:tcPr>
                <w:p w14:paraId="6315290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座</w:t>
                  </w:r>
                </w:p>
              </w:tc>
            </w:tr>
            <w:tr w14:paraId="528A176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938" w:type="pct"/>
                  <w:tcBorders>
                    <w:tl2br w:val="nil"/>
                    <w:tr2bl w:val="nil"/>
                  </w:tcBorders>
                  <w:shd w:val="clear" w:color="auto" w:fill="auto"/>
                  <w:vAlign w:val="center"/>
                </w:tcPr>
                <w:p w14:paraId="39CD2E0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w:t>
                  </w:r>
                </w:p>
              </w:tc>
              <w:tc>
                <w:tcPr>
                  <w:tcW w:w="1774" w:type="pct"/>
                  <w:tcBorders>
                    <w:tl2br w:val="nil"/>
                    <w:tr2bl w:val="nil"/>
                  </w:tcBorders>
                  <w:vAlign w:val="center"/>
                </w:tcPr>
                <w:p w14:paraId="69CB976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600</w:t>
                  </w:r>
                  <w:r>
                    <w:rPr>
                      <w:rFonts w:hint="default" w:ascii="Times New Roman" w:hAnsi="Times New Roman" w:eastAsia="宋体" w:cs="Times New Roman"/>
                      <w:color w:val="auto"/>
                      <w:sz w:val="21"/>
                      <w:szCs w:val="21"/>
                      <w:highlight w:val="none"/>
                      <w:lang w:val="en-US" w:eastAsia="zh-CN"/>
                    </w:rPr>
                    <w:t>万大卡</w:t>
                  </w:r>
                  <w:r>
                    <w:rPr>
                      <w:rFonts w:hint="eastAsia" w:ascii="Times New Roman" w:hAnsi="Times New Roman" w:eastAsia="宋体" w:cs="Times New Roman"/>
                      <w:color w:val="auto"/>
                      <w:sz w:val="21"/>
                      <w:szCs w:val="21"/>
                      <w:highlight w:val="none"/>
                      <w:lang w:val="en-US" w:eastAsia="zh-CN"/>
                    </w:rPr>
                    <w:t>生物质链条</w:t>
                  </w:r>
                  <w:r>
                    <w:rPr>
                      <w:rFonts w:hint="default" w:ascii="Times New Roman" w:hAnsi="Times New Roman" w:eastAsia="宋体" w:cs="Times New Roman"/>
                      <w:color w:val="auto"/>
                      <w:sz w:val="21"/>
                      <w:szCs w:val="21"/>
                      <w:highlight w:val="none"/>
                      <w:lang w:val="en-US" w:eastAsia="zh-CN"/>
                    </w:rPr>
                    <w:t>热风炉</w:t>
                  </w:r>
                </w:p>
              </w:tc>
              <w:tc>
                <w:tcPr>
                  <w:tcW w:w="1185" w:type="pct"/>
                  <w:tcBorders>
                    <w:tl2br w:val="nil"/>
                    <w:tr2bl w:val="nil"/>
                  </w:tcBorders>
                  <w:vAlign w:val="center"/>
                </w:tcPr>
                <w:p w14:paraId="18D122C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101" w:type="pct"/>
                  <w:tcBorders>
                    <w:tl2br w:val="nil"/>
                    <w:tr2bl w:val="nil"/>
                  </w:tcBorders>
                  <w:vAlign w:val="center"/>
                </w:tcPr>
                <w:p w14:paraId="3699630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台</w:t>
                  </w:r>
                </w:p>
              </w:tc>
            </w:tr>
            <w:tr w14:paraId="289F4FA2">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938" w:type="pct"/>
                  <w:tcBorders>
                    <w:tl2br w:val="nil"/>
                    <w:tr2bl w:val="nil"/>
                  </w:tcBorders>
                  <w:shd w:val="clear" w:color="auto" w:fill="auto"/>
                  <w:vAlign w:val="center"/>
                </w:tcPr>
                <w:p w14:paraId="74DCA2E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1774" w:type="pct"/>
                  <w:tcBorders>
                    <w:tl2br w:val="nil"/>
                    <w:tr2bl w:val="nil"/>
                  </w:tcBorders>
                  <w:shd w:val="clear" w:color="auto" w:fill="auto"/>
                  <w:vAlign w:val="center"/>
                </w:tcPr>
                <w:p w14:paraId="14FC5C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布袋除尘器</w:t>
                  </w:r>
                </w:p>
              </w:tc>
              <w:tc>
                <w:tcPr>
                  <w:tcW w:w="1185" w:type="pct"/>
                  <w:tcBorders>
                    <w:tl2br w:val="nil"/>
                    <w:tr2bl w:val="nil"/>
                  </w:tcBorders>
                  <w:shd w:val="clear" w:color="auto" w:fill="auto"/>
                  <w:vAlign w:val="center"/>
                </w:tcPr>
                <w:p w14:paraId="1197C2F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1101" w:type="pct"/>
                  <w:tcBorders>
                    <w:tl2br w:val="nil"/>
                    <w:tr2bl w:val="nil"/>
                  </w:tcBorders>
                  <w:shd w:val="clear" w:color="auto" w:fill="auto"/>
                  <w:vAlign w:val="center"/>
                </w:tcPr>
                <w:p w14:paraId="7077C82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r>
            <w:tr w14:paraId="1A6A4FA1">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938" w:type="pct"/>
                  <w:tcBorders>
                    <w:tl2br w:val="nil"/>
                    <w:tr2bl w:val="nil"/>
                  </w:tcBorders>
                  <w:shd w:val="clear" w:color="auto" w:fill="auto"/>
                  <w:vAlign w:val="center"/>
                </w:tcPr>
                <w:p w14:paraId="63A34FF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w:t>
                  </w:r>
                </w:p>
              </w:tc>
              <w:tc>
                <w:tcPr>
                  <w:tcW w:w="1774" w:type="pct"/>
                  <w:tcBorders>
                    <w:tl2br w:val="nil"/>
                    <w:tr2bl w:val="nil"/>
                  </w:tcBorders>
                  <w:shd w:val="clear" w:color="auto" w:fill="auto"/>
                  <w:vAlign w:val="center"/>
                </w:tcPr>
                <w:p w14:paraId="5C11DBDE">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滚筒</w:t>
                  </w:r>
                  <w:r>
                    <w:rPr>
                      <w:rFonts w:hint="default" w:ascii="Times New Roman" w:hAnsi="Times New Roman" w:eastAsia="宋体" w:cs="Times New Roman"/>
                      <w:color w:val="auto"/>
                      <w:sz w:val="21"/>
                      <w:szCs w:val="21"/>
                      <w:highlight w:val="none"/>
                      <w:lang w:val="en-US" w:eastAsia="zh-CN"/>
                    </w:rPr>
                    <w:t>筛</w:t>
                  </w:r>
                </w:p>
              </w:tc>
              <w:tc>
                <w:tcPr>
                  <w:tcW w:w="1185" w:type="pct"/>
                  <w:tcBorders>
                    <w:tl2br w:val="nil"/>
                    <w:tr2bl w:val="nil"/>
                  </w:tcBorders>
                  <w:shd w:val="clear" w:color="auto" w:fill="auto"/>
                  <w:vAlign w:val="center"/>
                </w:tcPr>
                <w:p w14:paraId="2A513CD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101" w:type="pct"/>
                  <w:tcBorders>
                    <w:tl2br w:val="nil"/>
                    <w:tr2bl w:val="nil"/>
                  </w:tcBorders>
                  <w:shd w:val="clear" w:color="auto" w:fill="auto"/>
                  <w:vAlign w:val="center"/>
                </w:tcPr>
                <w:p w14:paraId="5D1882D7">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个</w:t>
                  </w:r>
                </w:p>
              </w:tc>
            </w:tr>
          </w:tbl>
          <w:p w14:paraId="4D08F6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eastAsia="宋体" w:cs="Times New Roman"/>
                <w:b/>
                <w:bCs/>
                <w:color w:val="auto"/>
                <w:kern w:val="0"/>
                <w:sz w:val="24"/>
                <w:szCs w:val="24"/>
                <w:highlight w:val="none"/>
                <w:lang w:val="en-US" w:eastAsia="zh-CN"/>
              </w:rPr>
            </w:pPr>
            <w:r>
              <w:rPr>
                <w:rFonts w:hint="eastAsia" w:cs="Times New Roman"/>
                <w:b/>
                <w:bCs/>
                <w:color w:val="auto"/>
                <w:kern w:val="0"/>
                <w:sz w:val="24"/>
                <w:szCs w:val="24"/>
                <w:highlight w:val="none"/>
                <w:lang w:val="en-US" w:eastAsia="zh-CN"/>
              </w:rPr>
              <w:t>4</w:t>
            </w:r>
            <w:r>
              <w:rPr>
                <w:rFonts w:hint="default" w:ascii="Times New Roman" w:hAnsi="Times New Roman" w:cs="Times New Roman"/>
                <w:b/>
                <w:bCs/>
                <w:color w:val="auto"/>
                <w:kern w:val="0"/>
                <w:sz w:val="24"/>
                <w:szCs w:val="24"/>
                <w:highlight w:val="none"/>
              </w:rPr>
              <w:t>、原辅材料</w:t>
            </w:r>
          </w:p>
          <w:p w14:paraId="24F3FA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snapToGrid w:val="0"/>
                <w:color w:val="auto"/>
                <w:sz w:val="24"/>
                <w:szCs w:val="24"/>
                <w:highlight w:val="none"/>
                <w:lang w:eastAsia="zh-CN"/>
              </w:rPr>
            </w:pPr>
            <w:r>
              <w:rPr>
                <w:rFonts w:hint="default" w:ascii="Times New Roman" w:hAnsi="Times New Roman" w:eastAsia="宋体" w:cs="Times New Roman"/>
                <w:b/>
                <w:bCs/>
                <w:snapToGrid w:val="0"/>
                <w:color w:val="auto"/>
                <w:sz w:val="24"/>
                <w:szCs w:val="24"/>
                <w:highlight w:val="none"/>
              </w:rPr>
              <w:t>表2-</w:t>
            </w:r>
            <w:r>
              <w:rPr>
                <w:rFonts w:hint="eastAsia" w:cs="Times New Roman"/>
                <w:b/>
                <w:bCs/>
                <w:snapToGrid w:val="0"/>
                <w:color w:val="auto"/>
                <w:sz w:val="24"/>
                <w:szCs w:val="24"/>
                <w:highlight w:val="none"/>
                <w:lang w:val="en-US" w:eastAsia="zh-CN"/>
              </w:rPr>
              <w:t xml:space="preserve">4 </w:t>
            </w:r>
            <w:r>
              <w:rPr>
                <w:rFonts w:hint="default" w:ascii="Times New Roman" w:hAnsi="Times New Roman" w:eastAsia="宋体" w:cs="Times New Roman"/>
                <w:b/>
                <w:bCs/>
                <w:snapToGrid w:val="0"/>
                <w:color w:val="auto"/>
                <w:sz w:val="24"/>
                <w:szCs w:val="24"/>
                <w:highlight w:val="none"/>
              </w:rPr>
              <w:t>原辅材料消耗一览表</w:t>
            </w:r>
          </w:p>
          <w:tbl>
            <w:tblPr>
              <w:tblStyle w:val="39"/>
              <w:tblW w:w="817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7"/>
              <w:gridCol w:w="2130"/>
              <w:gridCol w:w="930"/>
              <w:gridCol w:w="1688"/>
              <w:gridCol w:w="1583"/>
              <w:gridCol w:w="1049"/>
            </w:tblGrid>
            <w:tr w14:paraId="247D7B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797" w:type="dxa"/>
                  <w:tcBorders>
                    <w:tl2br w:val="nil"/>
                    <w:tr2bl w:val="nil"/>
                  </w:tcBorders>
                  <w:vAlign w:val="center"/>
                </w:tcPr>
                <w:p w14:paraId="13A10C9D">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序号</w:t>
                  </w:r>
                </w:p>
              </w:tc>
              <w:tc>
                <w:tcPr>
                  <w:tcW w:w="2130" w:type="dxa"/>
                  <w:tcBorders>
                    <w:tl2br w:val="nil"/>
                    <w:tr2bl w:val="nil"/>
                  </w:tcBorders>
                  <w:vAlign w:val="center"/>
                </w:tcPr>
                <w:p w14:paraId="6D7BA53F">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原辅材料名称</w:t>
                  </w:r>
                </w:p>
              </w:tc>
              <w:tc>
                <w:tcPr>
                  <w:tcW w:w="930" w:type="dxa"/>
                  <w:tcBorders>
                    <w:tl2br w:val="nil"/>
                    <w:tr2bl w:val="nil"/>
                  </w:tcBorders>
                  <w:vAlign w:val="center"/>
                </w:tcPr>
                <w:p w14:paraId="5A4686C7">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单位</w:t>
                  </w:r>
                </w:p>
              </w:tc>
              <w:tc>
                <w:tcPr>
                  <w:tcW w:w="1688" w:type="dxa"/>
                  <w:tcBorders>
                    <w:tl2br w:val="nil"/>
                    <w:tr2bl w:val="nil"/>
                  </w:tcBorders>
                  <w:vAlign w:val="center"/>
                </w:tcPr>
                <w:p w14:paraId="1A2C9D7C">
                  <w:pPr>
                    <w:keepNext w:val="0"/>
                    <w:keepLines w:val="0"/>
                    <w:suppressLineNumbers w:val="0"/>
                    <w:spacing w:before="46" w:beforeAutospacing="0" w:after="0" w:afterAutospacing="0" w:line="228" w:lineRule="auto"/>
                    <w:ind w:left="0" w:right="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原有工程年用量</w:t>
                  </w:r>
                </w:p>
              </w:tc>
              <w:tc>
                <w:tcPr>
                  <w:tcW w:w="1583" w:type="dxa"/>
                  <w:tcBorders>
                    <w:tl2br w:val="nil"/>
                    <w:tr2bl w:val="nil"/>
                  </w:tcBorders>
                  <w:vAlign w:val="center"/>
                </w:tcPr>
                <w:p w14:paraId="5E754C24">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本项目年用量</w:t>
                  </w:r>
                </w:p>
              </w:tc>
              <w:tc>
                <w:tcPr>
                  <w:tcW w:w="1049" w:type="dxa"/>
                  <w:tcBorders>
                    <w:tl2br w:val="nil"/>
                    <w:tr2bl w:val="nil"/>
                  </w:tcBorders>
                  <w:vAlign w:val="center"/>
                </w:tcPr>
                <w:p w14:paraId="03EBDD15">
                  <w:pPr>
                    <w:keepNext w:val="0"/>
                    <w:keepLines w:val="0"/>
                    <w:suppressLineNumbers w:val="0"/>
                    <w:spacing w:before="46" w:beforeAutospacing="0" w:after="0" w:afterAutospacing="0" w:line="228" w:lineRule="auto"/>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来源</w:t>
                  </w:r>
                </w:p>
              </w:tc>
            </w:tr>
            <w:tr w14:paraId="37BF94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797" w:type="dxa"/>
                  <w:tcBorders>
                    <w:tl2br w:val="nil"/>
                    <w:tr2bl w:val="nil"/>
                  </w:tcBorders>
                  <w:vAlign w:val="center"/>
                </w:tcPr>
                <w:p w14:paraId="6C60FD88">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2130" w:type="dxa"/>
                  <w:tcBorders>
                    <w:tl2br w:val="nil"/>
                    <w:tr2bl w:val="nil"/>
                  </w:tcBorders>
                  <w:vAlign w:val="center"/>
                </w:tcPr>
                <w:p w14:paraId="0EA1638D">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水稻</w:t>
                  </w:r>
                  <w:r>
                    <w:rPr>
                      <w:rFonts w:hint="eastAsia" w:ascii="Times New Roman" w:hAnsi="Times New Roman" w:eastAsia="宋体" w:cs="Times New Roman"/>
                      <w:color w:val="auto"/>
                      <w:sz w:val="21"/>
                      <w:szCs w:val="21"/>
                      <w:highlight w:val="none"/>
                      <w:lang w:val="en-US" w:eastAsia="zh-CN"/>
                    </w:rPr>
                    <w:t>（含水率20%）</w:t>
                  </w:r>
                </w:p>
              </w:tc>
              <w:tc>
                <w:tcPr>
                  <w:tcW w:w="930" w:type="dxa"/>
                  <w:tcBorders>
                    <w:tl2br w:val="nil"/>
                    <w:tr2bl w:val="nil"/>
                  </w:tcBorders>
                  <w:vAlign w:val="center"/>
                </w:tcPr>
                <w:p w14:paraId="43C66336">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t/a</w:t>
                  </w:r>
                </w:p>
              </w:tc>
              <w:tc>
                <w:tcPr>
                  <w:tcW w:w="1688" w:type="dxa"/>
                  <w:tcBorders>
                    <w:tl2br w:val="nil"/>
                    <w:tr2bl w:val="nil"/>
                  </w:tcBorders>
                  <w:vAlign w:val="center"/>
                </w:tcPr>
                <w:p w14:paraId="5C9E829A">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583" w:type="dxa"/>
                  <w:tcBorders>
                    <w:tl2br w:val="nil"/>
                    <w:tr2bl w:val="nil"/>
                  </w:tcBorders>
                  <w:vAlign w:val="center"/>
                </w:tcPr>
                <w:p w14:paraId="3D284AA3">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12500</w:t>
                  </w:r>
                </w:p>
              </w:tc>
              <w:tc>
                <w:tcPr>
                  <w:tcW w:w="1049" w:type="dxa"/>
                  <w:tcBorders>
                    <w:tl2br w:val="nil"/>
                    <w:tr2bl w:val="nil"/>
                  </w:tcBorders>
                  <w:vAlign w:val="center"/>
                </w:tcPr>
                <w:p w14:paraId="121AB4DE">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外购</w:t>
                  </w:r>
                </w:p>
              </w:tc>
            </w:tr>
            <w:tr w14:paraId="150922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797" w:type="dxa"/>
                  <w:tcBorders>
                    <w:tl2br w:val="nil"/>
                    <w:tr2bl w:val="nil"/>
                  </w:tcBorders>
                  <w:vAlign w:val="center"/>
                </w:tcPr>
                <w:p w14:paraId="132C4769">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2130" w:type="dxa"/>
                  <w:tcBorders>
                    <w:tl2br w:val="nil"/>
                    <w:tr2bl w:val="nil"/>
                  </w:tcBorders>
                  <w:vAlign w:val="center"/>
                </w:tcPr>
                <w:p w14:paraId="54CCBEBC">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玉米（含水率30%）</w:t>
                  </w:r>
                </w:p>
              </w:tc>
              <w:tc>
                <w:tcPr>
                  <w:tcW w:w="930" w:type="dxa"/>
                  <w:tcBorders>
                    <w:tl2br w:val="nil"/>
                    <w:tr2bl w:val="nil"/>
                  </w:tcBorders>
                  <w:vAlign w:val="center"/>
                </w:tcPr>
                <w:p w14:paraId="125E381A">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t/a</w:t>
                  </w:r>
                </w:p>
              </w:tc>
              <w:tc>
                <w:tcPr>
                  <w:tcW w:w="1688" w:type="dxa"/>
                  <w:tcBorders>
                    <w:tl2br w:val="nil"/>
                    <w:tr2bl w:val="nil"/>
                  </w:tcBorders>
                  <w:vAlign w:val="center"/>
                </w:tcPr>
                <w:p w14:paraId="2F5C93DE">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4000</w:t>
                  </w:r>
                </w:p>
              </w:tc>
              <w:tc>
                <w:tcPr>
                  <w:tcW w:w="1583" w:type="dxa"/>
                  <w:tcBorders>
                    <w:tl2br w:val="nil"/>
                    <w:tr2bl w:val="nil"/>
                  </w:tcBorders>
                  <w:vAlign w:val="center"/>
                </w:tcPr>
                <w:p w14:paraId="02C3BE3C">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12500</w:t>
                  </w:r>
                </w:p>
              </w:tc>
              <w:tc>
                <w:tcPr>
                  <w:tcW w:w="1049" w:type="dxa"/>
                  <w:tcBorders>
                    <w:tl2br w:val="nil"/>
                    <w:tr2bl w:val="nil"/>
                  </w:tcBorders>
                  <w:vAlign w:val="center"/>
                </w:tcPr>
                <w:p w14:paraId="429BC38B">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外购</w:t>
                  </w:r>
                </w:p>
              </w:tc>
            </w:tr>
            <w:tr w14:paraId="7D750B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797" w:type="dxa"/>
                  <w:tcBorders>
                    <w:tl2br w:val="nil"/>
                    <w:tr2bl w:val="nil"/>
                  </w:tcBorders>
                  <w:vAlign w:val="center"/>
                </w:tcPr>
                <w:p w14:paraId="0641DCFB">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2130" w:type="dxa"/>
                  <w:tcBorders>
                    <w:tl2br w:val="nil"/>
                    <w:tr2bl w:val="nil"/>
                  </w:tcBorders>
                  <w:vAlign w:val="center"/>
                </w:tcPr>
                <w:p w14:paraId="5F5E01D8">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生物质颗粒</w:t>
                  </w:r>
                </w:p>
              </w:tc>
              <w:tc>
                <w:tcPr>
                  <w:tcW w:w="930" w:type="dxa"/>
                  <w:tcBorders>
                    <w:tl2br w:val="nil"/>
                    <w:tr2bl w:val="nil"/>
                  </w:tcBorders>
                  <w:vAlign w:val="center"/>
                </w:tcPr>
                <w:p w14:paraId="24539218">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t/a</w:t>
                  </w:r>
                </w:p>
              </w:tc>
              <w:tc>
                <w:tcPr>
                  <w:tcW w:w="1688" w:type="dxa"/>
                  <w:tcBorders>
                    <w:tl2br w:val="nil"/>
                    <w:tr2bl w:val="nil"/>
                  </w:tcBorders>
                  <w:vAlign w:val="center"/>
                </w:tcPr>
                <w:p w14:paraId="60B07DE4">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583" w:type="dxa"/>
                  <w:tcBorders>
                    <w:tl2br w:val="nil"/>
                    <w:tr2bl w:val="nil"/>
                  </w:tcBorders>
                  <w:vAlign w:val="center"/>
                </w:tcPr>
                <w:p w14:paraId="2BD558B5">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1383.49</w:t>
                  </w:r>
                </w:p>
              </w:tc>
              <w:tc>
                <w:tcPr>
                  <w:tcW w:w="1049" w:type="dxa"/>
                  <w:tcBorders>
                    <w:tl2br w:val="nil"/>
                    <w:tr2bl w:val="nil"/>
                  </w:tcBorders>
                  <w:vAlign w:val="center"/>
                </w:tcPr>
                <w:p w14:paraId="0023DA60">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外购</w:t>
                  </w:r>
                </w:p>
              </w:tc>
            </w:tr>
            <w:tr w14:paraId="147C3B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797" w:type="dxa"/>
                  <w:tcBorders>
                    <w:tl2br w:val="nil"/>
                    <w:tr2bl w:val="nil"/>
                  </w:tcBorders>
                  <w:vAlign w:val="center"/>
                </w:tcPr>
                <w:p w14:paraId="2FA80D62">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c>
                <w:tcPr>
                  <w:tcW w:w="2130" w:type="dxa"/>
                  <w:tcBorders>
                    <w:tl2br w:val="nil"/>
                    <w:tr2bl w:val="nil"/>
                  </w:tcBorders>
                  <w:vAlign w:val="center"/>
                </w:tcPr>
                <w:p w14:paraId="5A8D0F4D">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煤</w:t>
                  </w:r>
                </w:p>
              </w:tc>
              <w:tc>
                <w:tcPr>
                  <w:tcW w:w="930" w:type="dxa"/>
                  <w:tcBorders>
                    <w:tl2br w:val="nil"/>
                    <w:tr2bl w:val="nil"/>
                  </w:tcBorders>
                  <w:vAlign w:val="center"/>
                </w:tcPr>
                <w:p w14:paraId="7713825F">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t/a</w:t>
                  </w:r>
                </w:p>
              </w:tc>
              <w:tc>
                <w:tcPr>
                  <w:tcW w:w="1688" w:type="dxa"/>
                  <w:tcBorders>
                    <w:tl2br w:val="nil"/>
                    <w:tr2bl w:val="nil"/>
                  </w:tcBorders>
                  <w:vAlign w:val="center"/>
                </w:tcPr>
                <w:p w14:paraId="4831F36F">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600</w:t>
                  </w:r>
                </w:p>
              </w:tc>
              <w:tc>
                <w:tcPr>
                  <w:tcW w:w="1583" w:type="dxa"/>
                  <w:tcBorders>
                    <w:tl2br w:val="nil"/>
                    <w:tr2bl w:val="nil"/>
                  </w:tcBorders>
                  <w:vAlign w:val="center"/>
                </w:tcPr>
                <w:p w14:paraId="3F783938">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049" w:type="dxa"/>
                  <w:tcBorders>
                    <w:tl2br w:val="nil"/>
                    <w:tr2bl w:val="nil"/>
                  </w:tcBorders>
                  <w:vAlign w:val="center"/>
                </w:tcPr>
                <w:p w14:paraId="1C6A2BC2">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外购</w:t>
                  </w:r>
                </w:p>
              </w:tc>
            </w:tr>
          </w:tbl>
          <w:p w14:paraId="29D07187">
            <w:pPr>
              <w:pStyle w:val="160"/>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eastAsia="宋体"/>
                <w:color w:val="auto"/>
                <w:sz w:val="24"/>
                <w:szCs w:val="24"/>
                <w:highlight w:val="none"/>
              </w:rPr>
            </w:pPr>
            <w:r>
              <w:rPr>
                <w:rFonts w:hint="eastAsia" w:eastAsia="宋体"/>
                <w:color w:val="auto"/>
                <w:sz w:val="24"/>
                <w:szCs w:val="24"/>
                <w:highlight w:val="none"/>
              </w:rPr>
              <w:t>表2-</w:t>
            </w:r>
            <w:r>
              <w:rPr>
                <w:rFonts w:hint="eastAsia"/>
                <w:color w:val="auto"/>
                <w:sz w:val="24"/>
                <w:szCs w:val="24"/>
                <w:highlight w:val="none"/>
                <w:lang w:val="en-US" w:eastAsia="zh-CN"/>
              </w:rPr>
              <w:t>5</w:t>
            </w:r>
            <w:r>
              <w:rPr>
                <w:rFonts w:hint="eastAsia" w:eastAsia="宋体"/>
                <w:color w:val="auto"/>
                <w:sz w:val="24"/>
                <w:szCs w:val="24"/>
                <w:highlight w:val="none"/>
              </w:rPr>
              <w:t xml:space="preserve"> 物料平衡表</w:t>
            </w:r>
          </w:p>
          <w:tbl>
            <w:tblPr>
              <w:tblStyle w:val="38"/>
              <w:tblW w:w="4991" w:type="pct"/>
              <w:jc w:val="center"/>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Layout w:type="fixed"/>
              <w:tblCellMar>
                <w:top w:w="0" w:type="dxa"/>
                <w:left w:w="108" w:type="dxa"/>
                <w:bottom w:w="0" w:type="dxa"/>
                <w:right w:w="108" w:type="dxa"/>
              </w:tblCellMar>
            </w:tblPr>
            <w:tblGrid>
              <w:gridCol w:w="2134"/>
              <w:gridCol w:w="1212"/>
              <w:gridCol w:w="2926"/>
              <w:gridCol w:w="1877"/>
            </w:tblGrid>
            <w:tr w14:paraId="7783DD13">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320" w:hRule="atLeast"/>
                <w:jc w:val="center"/>
              </w:trPr>
              <w:tc>
                <w:tcPr>
                  <w:tcW w:w="1309" w:type="pct"/>
                  <w:tcBorders>
                    <w:tl2br w:val="nil"/>
                    <w:tr2bl w:val="nil"/>
                  </w:tcBorders>
                  <w:vAlign w:val="center"/>
                </w:tcPr>
                <w:p w14:paraId="6E8A2CB4">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原料</w:t>
                  </w:r>
                </w:p>
              </w:tc>
              <w:tc>
                <w:tcPr>
                  <w:tcW w:w="743" w:type="pct"/>
                  <w:tcBorders>
                    <w:tl2br w:val="nil"/>
                    <w:tr2bl w:val="nil"/>
                  </w:tcBorders>
                  <w:vAlign w:val="center"/>
                </w:tcPr>
                <w:p w14:paraId="44C7B5AF">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进料量（t/a）</w:t>
                  </w:r>
                </w:p>
              </w:tc>
              <w:tc>
                <w:tcPr>
                  <w:tcW w:w="1795" w:type="pct"/>
                  <w:tcBorders>
                    <w:tl2br w:val="nil"/>
                    <w:tr2bl w:val="nil"/>
                  </w:tcBorders>
                  <w:vAlign w:val="center"/>
                </w:tcPr>
                <w:p w14:paraId="701D619E">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产生</w:t>
                  </w:r>
                </w:p>
              </w:tc>
              <w:tc>
                <w:tcPr>
                  <w:tcW w:w="1151" w:type="pct"/>
                  <w:tcBorders>
                    <w:tl2br w:val="nil"/>
                    <w:tr2bl w:val="nil"/>
                  </w:tcBorders>
                  <w:vAlign w:val="center"/>
                </w:tcPr>
                <w:p w14:paraId="668EF1CE">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产生量（t/a）</w:t>
                  </w:r>
                </w:p>
              </w:tc>
            </w:tr>
            <w:tr w14:paraId="03B5101A">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320" w:hRule="atLeast"/>
                <w:jc w:val="center"/>
              </w:trPr>
              <w:tc>
                <w:tcPr>
                  <w:tcW w:w="1309" w:type="pct"/>
                  <w:tcBorders>
                    <w:tl2br w:val="nil"/>
                    <w:tr2bl w:val="nil"/>
                  </w:tcBorders>
                  <w:vAlign w:val="center"/>
                </w:tcPr>
                <w:p w14:paraId="1E230243">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水稻</w:t>
                  </w:r>
                  <w:r>
                    <w:rPr>
                      <w:rFonts w:hint="default" w:ascii="Times New Roman" w:hAnsi="Times New Roman" w:eastAsia="宋体" w:cs="Times New Roman"/>
                      <w:color w:val="auto"/>
                      <w:sz w:val="21"/>
                      <w:szCs w:val="21"/>
                      <w:highlight w:val="none"/>
                      <w:lang w:val="fr-FR" w:eastAsia="zh-CN"/>
                    </w:rPr>
                    <w:t>（</w:t>
                  </w:r>
                  <w:r>
                    <w:rPr>
                      <w:rFonts w:hint="default" w:ascii="Times New Roman" w:hAnsi="Times New Roman" w:eastAsia="宋体" w:cs="Times New Roman"/>
                      <w:color w:val="auto"/>
                      <w:sz w:val="21"/>
                      <w:szCs w:val="21"/>
                      <w:highlight w:val="none"/>
                      <w:lang w:val="en-US" w:eastAsia="zh-CN"/>
                    </w:rPr>
                    <w:t>含水率</w:t>
                  </w:r>
                  <w:r>
                    <w:rPr>
                      <w:rFonts w:hint="eastAsia" w:ascii="Times New Roman" w:hAnsi="Times New Roman" w:eastAsia="宋体"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fr-FR" w:eastAsia="zh-CN"/>
                    </w:rPr>
                    <w:t>）</w:t>
                  </w:r>
                </w:p>
              </w:tc>
              <w:tc>
                <w:tcPr>
                  <w:tcW w:w="743" w:type="pct"/>
                  <w:tcBorders>
                    <w:tl2br w:val="nil"/>
                    <w:tr2bl w:val="nil"/>
                  </w:tcBorders>
                  <w:vAlign w:val="center"/>
                </w:tcPr>
                <w:p w14:paraId="040E17AB">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12500</w:t>
                  </w:r>
                </w:p>
              </w:tc>
              <w:tc>
                <w:tcPr>
                  <w:tcW w:w="1795" w:type="pct"/>
                  <w:tcBorders>
                    <w:tl2br w:val="nil"/>
                    <w:tr2bl w:val="nil"/>
                  </w:tcBorders>
                  <w:vAlign w:val="center"/>
                </w:tcPr>
                <w:p w14:paraId="550C52CA">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水稻</w:t>
                  </w:r>
                  <w:r>
                    <w:rPr>
                      <w:rFonts w:hint="default" w:ascii="Times New Roman" w:hAnsi="Times New Roman" w:eastAsia="宋体" w:cs="Times New Roman"/>
                      <w:color w:val="auto"/>
                      <w:sz w:val="21"/>
                      <w:szCs w:val="21"/>
                      <w:highlight w:val="none"/>
                      <w:lang w:val="en-US" w:eastAsia="zh-CN"/>
                    </w:rPr>
                    <w:t>（烘干后含水率为</w:t>
                  </w:r>
                  <w:r>
                    <w:rPr>
                      <w:rFonts w:hint="eastAsia"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lang w:val="en-US" w:eastAsia="zh-CN"/>
                    </w:rPr>
                    <w:t>%）</w:t>
                  </w:r>
                </w:p>
              </w:tc>
              <w:tc>
                <w:tcPr>
                  <w:tcW w:w="1151" w:type="pct"/>
                  <w:tcBorders>
                    <w:tl2br w:val="nil"/>
                    <w:tr2bl w:val="nil"/>
                  </w:tcBorders>
                  <w:vAlign w:val="center"/>
                </w:tcPr>
                <w:p w14:paraId="19DFBC9E">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11871.67</w:t>
                  </w:r>
                </w:p>
              </w:tc>
            </w:tr>
            <w:tr w14:paraId="2E38C6E6">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320" w:hRule="atLeast"/>
                <w:jc w:val="center"/>
              </w:trPr>
              <w:tc>
                <w:tcPr>
                  <w:tcW w:w="1309" w:type="pct"/>
                  <w:vMerge w:val="restart"/>
                  <w:tcBorders>
                    <w:tl2br w:val="nil"/>
                    <w:tr2bl w:val="nil"/>
                  </w:tcBorders>
                  <w:vAlign w:val="center"/>
                </w:tcPr>
                <w:p w14:paraId="6F96F8F2">
                  <w:pPr>
                    <w:keepNext w:val="0"/>
                    <w:keepLines w:val="0"/>
                    <w:suppressLineNumbers w:val="0"/>
                    <w:spacing w:before="46" w:beforeAutospacing="0" w:after="0" w:afterAutospacing="0" w:line="228" w:lineRule="auto"/>
                    <w:ind w:left="0" w:right="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玉米（含水率30%）</w:t>
                  </w:r>
                </w:p>
              </w:tc>
              <w:tc>
                <w:tcPr>
                  <w:tcW w:w="743" w:type="pct"/>
                  <w:vMerge w:val="restart"/>
                  <w:tcBorders>
                    <w:tl2br w:val="nil"/>
                    <w:tr2bl w:val="nil"/>
                  </w:tcBorders>
                  <w:vAlign w:val="center"/>
                </w:tcPr>
                <w:p w14:paraId="57777750">
                  <w:pPr>
                    <w:keepNext w:val="0"/>
                    <w:keepLines w:val="0"/>
                    <w:suppressLineNumbers w:val="0"/>
                    <w:spacing w:before="46" w:beforeAutospacing="0" w:after="0" w:afterAutospacing="0" w:line="228" w:lineRule="auto"/>
                    <w:ind w:left="0" w:right="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12500</w:t>
                  </w:r>
                </w:p>
              </w:tc>
              <w:tc>
                <w:tcPr>
                  <w:tcW w:w="1795" w:type="pct"/>
                  <w:tcBorders>
                    <w:tl2br w:val="nil"/>
                    <w:tr2bl w:val="nil"/>
                  </w:tcBorders>
                  <w:vAlign w:val="center"/>
                </w:tcPr>
                <w:p w14:paraId="240A806A">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玉米</w:t>
                  </w:r>
                  <w:r>
                    <w:rPr>
                      <w:rFonts w:hint="default" w:ascii="Times New Roman" w:hAnsi="Times New Roman" w:eastAsia="宋体" w:cs="Times New Roman"/>
                      <w:color w:val="auto"/>
                      <w:sz w:val="21"/>
                      <w:szCs w:val="21"/>
                      <w:highlight w:val="none"/>
                      <w:lang w:val="en-US" w:eastAsia="zh-CN"/>
                    </w:rPr>
                    <w:t>（烘干后含水率为</w:t>
                  </w:r>
                  <w:r>
                    <w:rPr>
                      <w:rFonts w:hint="eastAsia" w:ascii="Times New Roman" w:hAnsi="Times New Roman" w:eastAsia="宋体" w:cs="Times New Roman"/>
                      <w:color w:val="auto"/>
                      <w:sz w:val="21"/>
                      <w:szCs w:val="21"/>
                      <w:highlight w:val="none"/>
                      <w:lang w:val="en-US" w:eastAsia="zh-CN"/>
                    </w:rPr>
                    <w:t>14</w:t>
                  </w:r>
                  <w:r>
                    <w:rPr>
                      <w:rFonts w:hint="default" w:ascii="Times New Roman" w:hAnsi="Times New Roman" w:eastAsia="宋体" w:cs="Times New Roman"/>
                      <w:color w:val="auto"/>
                      <w:sz w:val="21"/>
                      <w:szCs w:val="21"/>
                      <w:highlight w:val="none"/>
                      <w:lang w:val="en-US" w:eastAsia="zh-CN"/>
                    </w:rPr>
                    <w:t>%）</w:t>
                  </w:r>
                </w:p>
              </w:tc>
              <w:tc>
                <w:tcPr>
                  <w:tcW w:w="1151" w:type="pct"/>
                  <w:tcBorders>
                    <w:tl2br w:val="nil"/>
                    <w:tr2bl w:val="nil"/>
                  </w:tcBorders>
                  <w:vAlign w:val="center"/>
                </w:tcPr>
                <w:p w14:paraId="7CFB9D68">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10000</w:t>
                  </w:r>
                </w:p>
              </w:tc>
            </w:tr>
            <w:tr w14:paraId="42FE9E97">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320" w:hRule="atLeast"/>
                <w:jc w:val="center"/>
              </w:trPr>
              <w:tc>
                <w:tcPr>
                  <w:tcW w:w="1309" w:type="pct"/>
                  <w:vMerge w:val="continue"/>
                  <w:tcBorders>
                    <w:tl2br w:val="nil"/>
                    <w:tr2bl w:val="nil"/>
                  </w:tcBorders>
                  <w:vAlign w:val="center"/>
                </w:tcPr>
                <w:p w14:paraId="2A6B48ED">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p>
              </w:tc>
              <w:tc>
                <w:tcPr>
                  <w:tcW w:w="743" w:type="pct"/>
                  <w:vMerge w:val="continue"/>
                  <w:tcBorders>
                    <w:tl2br w:val="nil"/>
                    <w:tr2bl w:val="nil"/>
                  </w:tcBorders>
                  <w:vAlign w:val="center"/>
                </w:tcPr>
                <w:p w14:paraId="6B3FC206">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p>
              </w:tc>
              <w:tc>
                <w:tcPr>
                  <w:tcW w:w="1795" w:type="pct"/>
                  <w:tcBorders>
                    <w:tl2br w:val="nil"/>
                    <w:tr2bl w:val="nil"/>
                  </w:tcBorders>
                  <w:vAlign w:val="center"/>
                </w:tcPr>
                <w:p w14:paraId="0638C304">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蒸发水分</w:t>
                  </w:r>
                </w:p>
              </w:tc>
              <w:tc>
                <w:tcPr>
                  <w:tcW w:w="1151" w:type="pct"/>
                  <w:tcBorders>
                    <w:tl2br w:val="nil"/>
                    <w:tr2bl w:val="nil"/>
                  </w:tcBorders>
                  <w:vAlign w:val="center"/>
                </w:tcPr>
                <w:p w14:paraId="7CF52FD0">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3060.87</w:t>
                  </w:r>
                </w:p>
              </w:tc>
            </w:tr>
            <w:tr w14:paraId="26BE563C">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320" w:hRule="atLeast"/>
                <w:jc w:val="center"/>
              </w:trPr>
              <w:tc>
                <w:tcPr>
                  <w:tcW w:w="1309" w:type="pct"/>
                  <w:vMerge w:val="continue"/>
                  <w:tcBorders>
                    <w:tl2br w:val="nil"/>
                    <w:tr2bl w:val="nil"/>
                  </w:tcBorders>
                  <w:vAlign w:val="center"/>
                </w:tcPr>
                <w:p w14:paraId="1A0CBD8A">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p>
              </w:tc>
              <w:tc>
                <w:tcPr>
                  <w:tcW w:w="743" w:type="pct"/>
                  <w:vMerge w:val="continue"/>
                  <w:tcBorders>
                    <w:tl2br w:val="nil"/>
                    <w:tr2bl w:val="nil"/>
                  </w:tcBorders>
                  <w:vAlign w:val="center"/>
                </w:tcPr>
                <w:p w14:paraId="7A9BC243">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p>
              </w:tc>
              <w:tc>
                <w:tcPr>
                  <w:tcW w:w="1795" w:type="pct"/>
                  <w:tcBorders>
                    <w:tl2br w:val="nil"/>
                    <w:tr2bl w:val="nil"/>
                  </w:tcBorders>
                  <w:vAlign w:val="center"/>
                </w:tcPr>
                <w:p w14:paraId="7B899881">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烘干、输送装卸、筛分粉尘</w:t>
                  </w:r>
                </w:p>
              </w:tc>
              <w:tc>
                <w:tcPr>
                  <w:tcW w:w="1151" w:type="pct"/>
                  <w:tcBorders>
                    <w:tl2br w:val="nil"/>
                    <w:tr2bl w:val="nil"/>
                  </w:tcBorders>
                  <w:vAlign w:val="center"/>
                </w:tcPr>
                <w:p w14:paraId="0CF23D49">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bCs/>
                      <w:color w:val="auto"/>
                      <w:sz w:val="21"/>
                      <w:szCs w:val="21"/>
                      <w:highlight w:val="none"/>
                      <w:lang w:val="en-US" w:eastAsia="zh-CN"/>
                    </w:rPr>
                    <w:t>42.46</w:t>
                  </w:r>
                </w:p>
              </w:tc>
            </w:tr>
            <w:tr w14:paraId="0D9AC5EF">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320" w:hRule="atLeast"/>
                <w:jc w:val="center"/>
              </w:trPr>
              <w:tc>
                <w:tcPr>
                  <w:tcW w:w="1309" w:type="pct"/>
                  <w:vMerge w:val="continue"/>
                  <w:tcBorders>
                    <w:tl2br w:val="nil"/>
                    <w:tr2bl w:val="nil"/>
                  </w:tcBorders>
                  <w:vAlign w:val="center"/>
                </w:tcPr>
                <w:p w14:paraId="2D5C5B20">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p>
              </w:tc>
              <w:tc>
                <w:tcPr>
                  <w:tcW w:w="743" w:type="pct"/>
                  <w:vMerge w:val="continue"/>
                  <w:tcBorders>
                    <w:tl2br w:val="nil"/>
                    <w:tr2bl w:val="nil"/>
                  </w:tcBorders>
                  <w:vAlign w:val="center"/>
                </w:tcPr>
                <w:p w14:paraId="393F0243">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p>
              </w:tc>
              <w:tc>
                <w:tcPr>
                  <w:tcW w:w="1795" w:type="pct"/>
                  <w:tcBorders>
                    <w:tl2br w:val="nil"/>
                    <w:tr2bl w:val="nil"/>
                  </w:tcBorders>
                  <w:vAlign w:val="center"/>
                </w:tcPr>
                <w:p w14:paraId="6F7AF8C6">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初清杂质</w:t>
                  </w:r>
                </w:p>
              </w:tc>
              <w:tc>
                <w:tcPr>
                  <w:tcW w:w="1151" w:type="pct"/>
                  <w:tcBorders>
                    <w:tl2br w:val="nil"/>
                    <w:tr2bl w:val="nil"/>
                  </w:tcBorders>
                  <w:vAlign w:val="center"/>
                </w:tcPr>
                <w:p w14:paraId="2CD77BCE">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w:t>
                  </w:r>
                </w:p>
              </w:tc>
            </w:tr>
            <w:tr w14:paraId="7FD5A877">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320" w:hRule="atLeast"/>
                <w:jc w:val="center"/>
              </w:trPr>
              <w:tc>
                <w:tcPr>
                  <w:tcW w:w="1309" w:type="pct"/>
                  <w:tcBorders>
                    <w:tl2br w:val="nil"/>
                    <w:tr2bl w:val="nil"/>
                  </w:tcBorders>
                  <w:vAlign w:val="center"/>
                </w:tcPr>
                <w:p w14:paraId="32E4A73E">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总计</w:t>
                  </w:r>
                </w:p>
              </w:tc>
              <w:tc>
                <w:tcPr>
                  <w:tcW w:w="743" w:type="pct"/>
                  <w:tcBorders>
                    <w:tl2br w:val="nil"/>
                    <w:tr2bl w:val="nil"/>
                  </w:tcBorders>
                  <w:vAlign w:val="center"/>
                </w:tcPr>
                <w:p w14:paraId="760CD2BA">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25000</w:t>
                  </w:r>
                </w:p>
              </w:tc>
              <w:tc>
                <w:tcPr>
                  <w:tcW w:w="1795" w:type="pct"/>
                  <w:tcBorders>
                    <w:tl2br w:val="nil"/>
                    <w:tr2bl w:val="nil"/>
                  </w:tcBorders>
                  <w:vAlign w:val="center"/>
                </w:tcPr>
                <w:p w14:paraId="3D73F0AC">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总计</w:t>
                  </w:r>
                </w:p>
              </w:tc>
              <w:tc>
                <w:tcPr>
                  <w:tcW w:w="1151" w:type="pct"/>
                  <w:tcBorders>
                    <w:tl2br w:val="nil"/>
                    <w:tr2bl w:val="nil"/>
                  </w:tcBorders>
                  <w:vAlign w:val="center"/>
                </w:tcPr>
                <w:p w14:paraId="1E5F6D25">
                  <w:pPr>
                    <w:keepNext w:val="0"/>
                    <w:keepLines w:val="0"/>
                    <w:suppressLineNumbers w:val="0"/>
                    <w:spacing w:before="46" w:beforeAutospacing="0" w:after="0" w:afterAutospacing="0" w:line="228"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25000</w:t>
                  </w:r>
                </w:p>
              </w:tc>
            </w:tr>
          </w:tbl>
          <w:p w14:paraId="4EA0C7D6">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2" w:firstLineChars="200"/>
              <w:textAlignment w:val="auto"/>
              <w:rPr>
                <w:rFonts w:hint="default" w:ascii="Times New Roman" w:hAnsi="Times New Roman" w:eastAsia="宋体" w:cs="Times New Roman"/>
                <w:b/>
                <w:bCs/>
                <w:color w:val="auto"/>
                <w:kern w:val="21"/>
                <w:sz w:val="24"/>
                <w:szCs w:val="24"/>
                <w:highlight w:val="none"/>
                <w:lang w:val="en-US" w:eastAsia="zh-CN"/>
              </w:rPr>
            </w:pPr>
            <w:r>
              <w:rPr>
                <w:rFonts w:hint="default" w:ascii="Times New Roman" w:hAnsi="Times New Roman" w:eastAsia="宋体" w:cs="Times New Roman"/>
                <w:b/>
                <w:bCs/>
                <w:color w:val="auto"/>
                <w:kern w:val="21"/>
                <w:sz w:val="24"/>
                <w:szCs w:val="24"/>
                <w:highlight w:val="none"/>
                <w:lang w:val="en-US" w:eastAsia="zh-CN"/>
              </w:rPr>
              <w:t>5、劳动定员及工作制度</w:t>
            </w:r>
          </w:p>
          <w:p w14:paraId="082EAE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color w:val="auto"/>
                <w:kern w:val="21"/>
                <w:sz w:val="24"/>
                <w:szCs w:val="24"/>
                <w:highlight w:val="none"/>
              </w:rPr>
              <w:t>本项目劳动定员为</w:t>
            </w:r>
            <w:r>
              <w:rPr>
                <w:rFonts w:hint="eastAsia" w:cs="Times New Roman"/>
                <w:color w:val="auto"/>
                <w:kern w:val="21"/>
                <w:sz w:val="24"/>
                <w:szCs w:val="24"/>
                <w:highlight w:val="none"/>
                <w:lang w:val="en-US" w:eastAsia="zh-CN"/>
              </w:rPr>
              <w:t>8</w:t>
            </w:r>
            <w:r>
              <w:rPr>
                <w:rFonts w:hint="default" w:ascii="Times New Roman" w:hAnsi="Times New Roman" w:eastAsia="宋体" w:cs="Times New Roman"/>
                <w:color w:val="auto"/>
                <w:kern w:val="21"/>
                <w:sz w:val="24"/>
                <w:szCs w:val="24"/>
                <w:highlight w:val="none"/>
              </w:rPr>
              <w:t>人</w:t>
            </w:r>
            <w:r>
              <w:rPr>
                <w:rFonts w:hint="eastAsia"/>
                <w:color w:val="auto"/>
                <w:highlight w:val="none"/>
                <w:lang w:eastAsia="zh-CN"/>
              </w:rPr>
              <w:t>，</w:t>
            </w:r>
            <w:r>
              <w:rPr>
                <w:rFonts w:hint="eastAsia"/>
                <w:color w:val="auto"/>
                <w:sz w:val="24"/>
                <w:szCs w:val="24"/>
                <w:highlight w:val="none"/>
                <w:lang w:val="en-US" w:eastAsia="zh-CN"/>
              </w:rPr>
              <w:t>利用原有员工，本次不新增员工。</w:t>
            </w:r>
            <w:r>
              <w:rPr>
                <w:rFonts w:hint="default" w:ascii="Times New Roman" w:hAnsi="Times New Roman" w:cs="Times New Roman"/>
                <w:color w:val="auto"/>
                <w:sz w:val="24"/>
                <w:szCs w:val="24"/>
                <w:highlight w:val="none"/>
              </w:rPr>
              <w:t>烘干塔年烘干天数</w:t>
            </w:r>
            <w:r>
              <w:rPr>
                <w:rFonts w:hint="eastAsia" w:cs="Times New Roman"/>
                <w:color w:val="auto"/>
                <w:sz w:val="24"/>
                <w:szCs w:val="24"/>
                <w:highlight w:val="none"/>
                <w:lang w:val="en-US" w:eastAsia="zh-CN"/>
              </w:rPr>
              <w:t>共50天</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年烘干</w:t>
            </w:r>
            <w:r>
              <w:rPr>
                <w:rFonts w:hint="eastAsia" w:ascii="Times New Roman" w:hAnsi="Times New Roman" w:cs="Times New Roman"/>
                <w:color w:val="auto"/>
                <w:sz w:val="24"/>
                <w:szCs w:val="24"/>
                <w:highlight w:val="none"/>
                <w:lang w:val="en-US" w:eastAsia="zh-CN"/>
              </w:rPr>
              <w:t>水稻</w:t>
            </w:r>
            <w:r>
              <w:rPr>
                <w:rFonts w:hint="default" w:ascii="Times New Roman" w:hAnsi="Times New Roman" w:cs="Times New Roman"/>
                <w:color w:val="auto"/>
                <w:sz w:val="24"/>
                <w:szCs w:val="24"/>
                <w:highlight w:val="none"/>
                <w:lang w:val="en-US" w:eastAsia="zh-CN"/>
              </w:rPr>
              <w:t>时间</w:t>
            </w:r>
            <w:r>
              <w:rPr>
                <w:rFonts w:hint="eastAsia" w:cs="Times New Roman"/>
                <w:color w:val="auto"/>
                <w:sz w:val="24"/>
                <w:szCs w:val="24"/>
                <w:highlight w:val="none"/>
                <w:lang w:val="en-US" w:eastAsia="zh-CN"/>
              </w:rPr>
              <w:t>22天</w:t>
            </w:r>
            <w:r>
              <w:rPr>
                <w:rFonts w:hint="default" w:ascii="Times New Roman" w:hAnsi="Times New Roman" w:cs="Times New Roman"/>
                <w:color w:val="auto"/>
                <w:sz w:val="24"/>
                <w:szCs w:val="24"/>
                <w:highlight w:val="none"/>
                <w:lang w:val="en-US" w:eastAsia="zh-CN"/>
              </w:rPr>
              <w:t>计</w:t>
            </w:r>
            <w:r>
              <w:rPr>
                <w:rFonts w:hint="eastAsia"/>
                <w:color w:val="auto"/>
                <w:sz w:val="24"/>
                <w:szCs w:val="24"/>
                <w:highlight w:val="none"/>
              </w:rPr>
              <w:t>（每天</w:t>
            </w:r>
            <w:r>
              <w:rPr>
                <w:rFonts w:hint="eastAsia"/>
                <w:color w:val="auto"/>
                <w:sz w:val="24"/>
                <w:szCs w:val="24"/>
                <w:highlight w:val="none"/>
                <w:lang w:val="en-US" w:eastAsia="zh-CN"/>
              </w:rPr>
              <w:t>24</w:t>
            </w:r>
            <w:r>
              <w:rPr>
                <w:rFonts w:hint="eastAsia"/>
                <w:color w:val="auto"/>
                <w:sz w:val="24"/>
                <w:szCs w:val="24"/>
                <w:highlight w:val="none"/>
              </w:rPr>
              <w:t>h</w:t>
            </w:r>
            <w:r>
              <w:rPr>
                <w:rFonts w:hint="eastAsia"/>
                <w:color w:val="auto"/>
                <w:sz w:val="24"/>
                <w:szCs w:val="24"/>
                <w:highlight w:val="none"/>
                <w:lang w:eastAsia="zh-CN"/>
              </w:rPr>
              <w:t>，</w:t>
            </w:r>
            <w:r>
              <w:rPr>
                <w:rFonts w:hint="eastAsia"/>
                <w:color w:val="auto"/>
                <w:sz w:val="24"/>
                <w:szCs w:val="24"/>
                <w:highlight w:val="none"/>
                <w:lang w:val="en-US" w:eastAsia="zh-CN"/>
              </w:rPr>
              <w:t>每年的9月下旬、10月烘干水稻</w:t>
            </w:r>
            <w:r>
              <w:rPr>
                <w:rFonts w:hint="eastAsia"/>
                <w:color w:val="auto"/>
                <w:sz w:val="24"/>
                <w:szCs w:val="24"/>
                <w:highlight w:val="none"/>
              </w:rPr>
              <w:t>）</w:t>
            </w:r>
            <w:r>
              <w:rPr>
                <w:rFonts w:hint="default" w:ascii="Times New Roman" w:hAnsi="Times New Roman" w:cs="Times New Roman"/>
                <w:color w:val="auto"/>
                <w:sz w:val="24"/>
                <w:szCs w:val="24"/>
                <w:highlight w:val="none"/>
                <w:lang w:val="en-US" w:eastAsia="zh-CN"/>
              </w:rPr>
              <w:t>，年烘干</w:t>
            </w:r>
            <w:r>
              <w:rPr>
                <w:rFonts w:hint="eastAsia" w:ascii="Times New Roman" w:hAnsi="Times New Roman" w:cs="Times New Roman"/>
                <w:color w:val="auto"/>
                <w:sz w:val="24"/>
                <w:szCs w:val="24"/>
                <w:highlight w:val="none"/>
                <w:lang w:val="en-US" w:eastAsia="zh-CN"/>
              </w:rPr>
              <w:t>玉米</w:t>
            </w:r>
            <w:r>
              <w:rPr>
                <w:rFonts w:hint="default" w:ascii="Times New Roman" w:hAnsi="Times New Roman" w:cs="Times New Roman"/>
                <w:color w:val="auto"/>
                <w:sz w:val="24"/>
                <w:szCs w:val="24"/>
                <w:highlight w:val="none"/>
                <w:lang w:val="en-US" w:eastAsia="zh-CN"/>
              </w:rPr>
              <w:t>时间</w:t>
            </w:r>
            <w:r>
              <w:rPr>
                <w:rFonts w:hint="eastAsia" w:cs="Times New Roman"/>
                <w:color w:val="auto"/>
                <w:sz w:val="24"/>
                <w:szCs w:val="24"/>
                <w:highlight w:val="none"/>
                <w:lang w:val="en-US" w:eastAsia="zh-CN"/>
              </w:rPr>
              <w:t>28天</w:t>
            </w:r>
            <w:r>
              <w:rPr>
                <w:rFonts w:hint="default" w:ascii="Times New Roman" w:hAnsi="Times New Roman" w:cs="Times New Roman"/>
                <w:color w:val="auto"/>
                <w:sz w:val="24"/>
                <w:szCs w:val="24"/>
                <w:highlight w:val="none"/>
                <w:lang w:val="en-US" w:eastAsia="zh-CN"/>
              </w:rPr>
              <w:t>计</w:t>
            </w:r>
            <w:r>
              <w:rPr>
                <w:rFonts w:hint="eastAsia"/>
                <w:color w:val="auto"/>
                <w:sz w:val="24"/>
                <w:szCs w:val="24"/>
                <w:highlight w:val="none"/>
              </w:rPr>
              <w:t>（每天</w:t>
            </w:r>
            <w:r>
              <w:rPr>
                <w:rFonts w:hint="eastAsia"/>
                <w:color w:val="auto"/>
                <w:sz w:val="24"/>
                <w:szCs w:val="24"/>
                <w:highlight w:val="none"/>
                <w:lang w:val="en-US" w:eastAsia="zh-CN"/>
              </w:rPr>
              <w:t>24</w:t>
            </w:r>
            <w:r>
              <w:rPr>
                <w:rFonts w:hint="eastAsia"/>
                <w:color w:val="auto"/>
                <w:sz w:val="24"/>
                <w:szCs w:val="24"/>
                <w:highlight w:val="none"/>
              </w:rPr>
              <w:t>h</w:t>
            </w:r>
            <w:r>
              <w:rPr>
                <w:rFonts w:hint="eastAsia"/>
                <w:color w:val="auto"/>
                <w:sz w:val="24"/>
                <w:szCs w:val="24"/>
                <w:highlight w:val="none"/>
                <w:lang w:eastAsia="zh-CN"/>
              </w:rPr>
              <w:t>，</w:t>
            </w:r>
            <w:r>
              <w:rPr>
                <w:rFonts w:hint="eastAsia"/>
                <w:color w:val="auto"/>
                <w:sz w:val="24"/>
                <w:szCs w:val="24"/>
                <w:highlight w:val="none"/>
                <w:lang w:val="en-US" w:eastAsia="zh-CN"/>
              </w:rPr>
              <w:t>每年的12月下旬至1月末烘干玉米</w:t>
            </w:r>
            <w:r>
              <w:rPr>
                <w:rFonts w:hint="eastAsia"/>
                <w:color w:val="auto"/>
                <w:sz w:val="24"/>
                <w:szCs w:val="24"/>
                <w:highlight w:val="none"/>
              </w:rPr>
              <w:t>）</w:t>
            </w:r>
            <w:r>
              <w:rPr>
                <w:rFonts w:hint="eastAsia"/>
                <w:color w:val="auto"/>
                <w:sz w:val="24"/>
                <w:szCs w:val="24"/>
                <w:highlight w:val="none"/>
                <w:lang w:eastAsia="zh-CN"/>
              </w:rPr>
              <w:t>，</w:t>
            </w:r>
            <w:r>
              <w:rPr>
                <w:rFonts w:hint="eastAsia"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班制，每班</w:t>
            </w:r>
            <w:r>
              <w:rPr>
                <w:rFonts w:hint="eastAsia"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小时</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共1200h</w:t>
            </w:r>
            <w:r>
              <w:rPr>
                <w:rFonts w:hint="default" w:ascii="Times New Roman" w:hAnsi="Times New Roman" w:cs="Times New Roman"/>
                <w:color w:val="auto"/>
                <w:sz w:val="24"/>
                <w:szCs w:val="24"/>
                <w:highlight w:val="none"/>
              </w:rPr>
              <w:t>。</w:t>
            </w:r>
            <w:r>
              <w:rPr>
                <w:rFonts w:hint="eastAsia" w:cs="Times New Roman"/>
                <w:color w:val="auto"/>
                <w:kern w:val="21"/>
                <w:sz w:val="24"/>
                <w:szCs w:val="24"/>
                <w:highlight w:val="none"/>
                <w:lang w:val="en-US" w:eastAsia="zh-CN"/>
              </w:rPr>
              <w:t>本项目不设食堂和宿舍。</w:t>
            </w:r>
          </w:p>
          <w:p w14:paraId="4F9A2A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eastAsia="宋体" w:cs="Times New Roman"/>
                <w:b/>
                <w:bCs/>
                <w:color w:val="auto"/>
                <w:kern w:val="0"/>
                <w:sz w:val="24"/>
                <w:szCs w:val="24"/>
                <w:highlight w:val="none"/>
                <w:lang w:eastAsia="zh-CN"/>
              </w:rPr>
            </w:pPr>
            <w:r>
              <w:rPr>
                <w:rFonts w:hint="default" w:ascii="Times New Roman" w:hAnsi="Times New Roman" w:eastAsia="宋体" w:cs="Times New Roman"/>
                <w:b/>
                <w:bCs/>
                <w:color w:val="auto"/>
                <w:kern w:val="0"/>
                <w:sz w:val="24"/>
                <w:szCs w:val="24"/>
                <w:highlight w:val="none"/>
                <w:lang w:val="en-US" w:eastAsia="zh-CN"/>
              </w:rPr>
              <w:t>6</w:t>
            </w:r>
            <w:r>
              <w:rPr>
                <w:rFonts w:hint="default" w:ascii="Times New Roman" w:hAnsi="Times New Roman" w:eastAsia="宋体" w:cs="Times New Roman"/>
                <w:b/>
                <w:bCs/>
                <w:color w:val="auto"/>
                <w:kern w:val="0"/>
                <w:sz w:val="24"/>
                <w:szCs w:val="24"/>
                <w:highlight w:val="none"/>
              </w:rPr>
              <w:t>、公</w:t>
            </w:r>
            <w:r>
              <w:rPr>
                <w:rFonts w:hint="eastAsia" w:cs="Times New Roman"/>
                <w:b/>
                <w:bCs/>
                <w:color w:val="auto"/>
                <w:kern w:val="0"/>
                <w:sz w:val="24"/>
                <w:szCs w:val="24"/>
                <w:highlight w:val="none"/>
                <w:lang w:val="en-US" w:eastAsia="zh-CN"/>
              </w:rPr>
              <w:t>用</w:t>
            </w:r>
            <w:r>
              <w:rPr>
                <w:rFonts w:hint="default" w:ascii="Times New Roman" w:hAnsi="Times New Roman" w:eastAsia="宋体" w:cs="Times New Roman"/>
                <w:b/>
                <w:bCs/>
                <w:color w:val="auto"/>
                <w:kern w:val="0"/>
                <w:sz w:val="24"/>
                <w:szCs w:val="24"/>
                <w:highlight w:val="none"/>
              </w:rPr>
              <w:t>工程</w:t>
            </w:r>
          </w:p>
          <w:p w14:paraId="17429BF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（1）给水</w:t>
            </w:r>
          </w:p>
          <w:p w14:paraId="3442E7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color w:val="auto"/>
                <w:sz w:val="24"/>
                <w:szCs w:val="24"/>
                <w:highlight w:val="none"/>
              </w:rPr>
            </w:pPr>
            <w:r>
              <w:rPr>
                <w:rFonts w:hint="default" w:ascii="Times New Roman" w:hAnsi="Times New Roman" w:eastAsia="宋体" w:cs="Times New Roman"/>
                <w:color w:val="auto"/>
                <w:sz w:val="24"/>
                <w:szCs w:val="24"/>
                <w:highlight w:val="none"/>
              </w:rPr>
              <w:t>本项目用水由</w:t>
            </w:r>
            <w:r>
              <w:rPr>
                <w:rFonts w:hint="eastAsia" w:cs="Times New Roman"/>
                <w:color w:val="auto"/>
                <w:sz w:val="24"/>
                <w:szCs w:val="24"/>
                <w:highlight w:val="none"/>
                <w:lang w:val="en-US" w:eastAsia="zh-CN"/>
              </w:rPr>
              <w:t>市政</w:t>
            </w:r>
            <w:r>
              <w:rPr>
                <w:rFonts w:hint="default" w:ascii="Times New Roman" w:hAnsi="Times New Roman" w:eastAsia="宋体" w:cs="Times New Roman"/>
                <w:color w:val="auto"/>
                <w:sz w:val="24"/>
                <w:szCs w:val="24"/>
                <w:highlight w:val="none"/>
              </w:rPr>
              <w:t>管网提供。</w:t>
            </w:r>
          </w:p>
          <w:p w14:paraId="0B67F9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auto"/>
                <w:sz w:val="24"/>
                <w:szCs w:val="24"/>
                <w:highlight w:val="none"/>
                <w:lang w:eastAsia="zh-CN"/>
              </w:rPr>
            </w:pPr>
            <w:r>
              <w:rPr>
                <w:rFonts w:hint="default" w:ascii="Times New Roman" w:hAnsi="Times New Roman" w:cs="Times New Roman"/>
                <w:color w:val="auto"/>
                <w:sz w:val="24"/>
                <w:szCs w:val="24"/>
                <w:highlight w:val="none"/>
              </w:rPr>
              <w:t>①</w:t>
            </w:r>
            <w:r>
              <w:rPr>
                <w:rFonts w:hint="eastAsia" w:cs="Times New Roman"/>
                <w:color w:val="auto"/>
                <w:sz w:val="24"/>
                <w:szCs w:val="24"/>
                <w:highlight w:val="none"/>
                <w:lang w:eastAsia="zh-CN"/>
              </w:rPr>
              <w:t>生活用水</w:t>
            </w:r>
          </w:p>
          <w:p w14:paraId="0B1CE498">
            <w:pPr>
              <w:keepNext w:val="0"/>
              <w:keepLines w:val="0"/>
              <w:pageBreakBefore w:val="0"/>
              <w:widowControl/>
              <w:suppressLineNumbers w:val="0"/>
              <w:wordWrap/>
              <w:overflowPunct/>
              <w:topLinePunct w:val="0"/>
              <w:bidi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本项目运营期员工人数为</w:t>
            </w:r>
            <w:r>
              <w:rPr>
                <w:rFonts w:hint="eastAsia"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人</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职工生活用水参照《黑龙江省地方标准 用水定额》（DB</w:t>
            </w:r>
            <w:r>
              <w:rPr>
                <w:rFonts w:hint="eastAsia"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rPr>
              <w:t>23/T</w:t>
            </w:r>
            <w:r>
              <w:rPr>
                <w:rFonts w:hint="eastAsia"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rPr>
              <w:t>727-20</w:t>
            </w:r>
            <w:r>
              <w:rPr>
                <w:rFonts w:hint="eastAsia" w:cs="Times New Roman"/>
                <w:color w:val="auto"/>
                <w:sz w:val="24"/>
                <w:szCs w:val="24"/>
                <w:highlight w:val="none"/>
                <w:lang w:val="en-US" w:eastAsia="zh-CN"/>
              </w:rPr>
              <w:t>25</w:t>
            </w:r>
            <w:r>
              <w:rPr>
                <w:rFonts w:hint="default" w:ascii="Times New Roman" w:hAnsi="Times New Roman" w:cs="Times New Roman"/>
                <w:color w:val="auto"/>
                <w:sz w:val="24"/>
                <w:szCs w:val="24"/>
                <w:highlight w:val="none"/>
              </w:rPr>
              <w:t>），员工生活用水按</w:t>
            </w:r>
            <w:r>
              <w:rPr>
                <w:rFonts w:hint="eastAsia"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0L/人·d计，则项目生活用水量为</w:t>
            </w:r>
            <w:r>
              <w:rPr>
                <w:rFonts w:hint="eastAsia" w:cs="Times New Roman"/>
                <w:color w:val="auto"/>
                <w:sz w:val="24"/>
                <w:szCs w:val="24"/>
                <w:highlight w:val="none"/>
                <w:lang w:val="en-US" w:eastAsia="zh-CN"/>
              </w:rPr>
              <w:t>0.64</w:t>
            </w:r>
            <w:r>
              <w:rPr>
                <w:rFonts w:hint="default" w:ascii="Times New Roman" w:hAnsi="Times New Roman" w:cs="Times New Roman"/>
                <w:color w:val="auto"/>
                <w:sz w:val="24"/>
                <w:szCs w:val="24"/>
                <w:highlight w:val="none"/>
              </w:rPr>
              <w:t>t/d，</w:t>
            </w:r>
            <w:r>
              <w:rPr>
                <w:rFonts w:hint="eastAsia" w:cs="Times New Roman"/>
                <w:color w:val="auto"/>
                <w:sz w:val="24"/>
                <w:szCs w:val="24"/>
                <w:highlight w:val="none"/>
                <w:lang w:val="en-US" w:eastAsia="zh-CN"/>
              </w:rPr>
              <w:t>32</w:t>
            </w:r>
            <w:r>
              <w:rPr>
                <w:rFonts w:hint="default" w:ascii="Times New Roman" w:hAnsi="Times New Roman" w:cs="Times New Roman"/>
                <w:color w:val="auto"/>
                <w:sz w:val="24"/>
                <w:szCs w:val="24"/>
                <w:highlight w:val="none"/>
              </w:rPr>
              <w:t>t/</w:t>
            </w:r>
            <w:r>
              <w:rPr>
                <w:rFonts w:hint="default" w:ascii="Times New Roman" w:hAnsi="Times New Roman" w:eastAsia="宋体" w:cs="Times New Roman"/>
                <w:color w:val="auto"/>
                <w:sz w:val="24"/>
                <w:szCs w:val="24"/>
                <w:highlight w:val="none"/>
              </w:rPr>
              <w:t>a</w:t>
            </w:r>
            <w:r>
              <w:rPr>
                <w:rFonts w:hint="eastAsia" w:ascii="Times New Roman" w:hAnsi="Times New Roman" w:eastAsia="宋体" w:cs="Times New Roman"/>
                <w:color w:val="auto"/>
                <w:sz w:val="24"/>
                <w:szCs w:val="24"/>
                <w:highlight w:val="none"/>
                <w:lang w:eastAsia="zh-CN"/>
              </w:rPr>
              <w:t>。</w:t>
            </w:r>
          </w:p>
          <w:p w14:paraId="0FB15B03">
            <w:pPr>
              <w:keepNext w:val="0"/>
              <w:keepLines w:val="0"/>
              <w:pageBreakBefore w:val="0"/>
              <w:widowControl/>
              <w:suppressLineNumbers w:val="0"/>
              <w:wordWrap/>
              <w:overflowPunct/>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②</w:t>
            </w:r>
            <w:r>
              <w:rPr>
                <w:rFonts w:hint="default" w:ascii="Times New Roman" w:hAnsi="Times New Roman" w:eastAsia="宋体" w:cs="Times New Roman"/>
                <w:color w:val="auto"/>
                <w:sz w:val="24"/>
                <w:szCs w:val="24"/>
                <w:highlight w:val="none"/>
              </w:rPr>
              <w:t>抑尘用水</w:t>
            </w:r>
          </w:p>
          <w:p w14:paraId="187BF8AE">
            <w:pPr>
              <w:keepNext w:val="0"/>
              <w:keepLines w:val="0"/>
              <w:pageBreakBefore w:val="0"/>
              <w:widowControl/>
              <w:suppressLineNumbers w:val="0"/>
              <w:wordWrap/>
              <w:overflowPunct/>
              <w:topLinePunct w:val="0"/>
              <w:bidi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项目热风炉年运行50天，产生的灰渣10天拉运1次，一年共拉运5次，</w:t>
            </w:r>
            <w:r>
              <w:rPr>
                <w:rFonts w:hint="default" w:ascii="Times New Roman" w:hAnsi="Times New Roman" w:eastAsia="宋体" w:cs="Times New Roman"/>
                <w:color w:val="auto"/>
                <w:sz w:val="24"/>
                <w:szCs w:val="24"/>
                <w:highlight w:val="none"/>
              </w:rPr>
              <w:t>灰渣储存及灰渣装运过程进行洒水降尘，用水量约为</w:t>
            </w:r>
            <w:r>
              <w:rPr>
                <w:rFonts w:hint="eastAsia" w:ascii="Times New Roman" w:hAnsi="Times New Roman" w:eastAsia="宋体" w:cs="Times New Roman"/>
                <w:color w:val="auto"/>
                <w:sz w:val="24"/>
                <w:szCs w:val="24"/>
                <w:highlight w:val="none"/>
                <w:lang w:val="en-US" w:eastAsia="zh-CN"/>
              </w:rPr>
              <w:t>0.5</w:t>
            </w:r>
            <w:r>
              <w:rPr>
                <w:rFonts w:hint="default" w:ascii="Times New Roman" w:hAnsi="Times New Roman" w:eastAsia="宋体" w:cs="Times New Roman"/>
                <w:color w:val="auto"/>
                <w:sz w:val="24"/>
                <w:szCs w:val="24"/>
                <w:highlight w:val="none"/>
              </w:rPr>
              <w:t>t/</w:t>
            </w:r>
            <w:r>
              <w:rPr>
                <w:rFonts w:hint="eastAsia" w:ascii="Times New Roman" w:hAnsi="Times New Roman" w:eastAsia="宋体" w:cs="Times New Roman"/>
                <w:color w:val="auto"/>
                <w:sz w:val="24"/>
                <w:szCs w:val="24"/>
                <w:highlight w:val="none"/>
                <w:lang w:val="en-US" w:eastAsia="zh-CN"/>
              </w:rPr>
              <w:t>次</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2.5</w:t>
            </w:r>
            <w:r>
              <w:rPr>
                <w:rFonts w:hint="default" w:ascii="Times New Roman" w:hAnsi="Times New Roman" w:eastAsia="宋体" w:cs="Times New Roman"/>
                <w:color w:val="auto"/>
                <w:sz w:val="24"/>
                <w:szCs w:val="24"/>
                <w:highlight w:val="none"/>
              </w:rPr>
              <w:t>t/a。</w:t>
            </w:r>
          </w:p>
          <w:p w14:paraId="3F8D9C2D">
            <w:pPr>
              <w:keepNext w:val="0"/>
              <w:keepLines w:val="0"/>
              <w:pageBreakBefore w:val="0"/>
              <w:widowControl/>
              <w:suppressLineNumbers w:val="0"/>
              <w:wordWrap/>
              <w:overflowPunct/>
              <w:topLinePunct w:val="0"/>
              <w:bidi w:val="0"/>
              <w:spacing w:before="0" w:beforeAutospacing="0" w:after="0" w:afterAutospacing="0" w:line="360" w:lineRule="auto"/>
              <w:ind w:left="0"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（2）排水</w:t>
            </w:r>
          </w:p>
          <w:p w14:paraId="39C4CB6B">
            <w:pPr>
              <w:keepNext w:val="0"/>
              <w:keepLines w:val="0"/>
              <w:pageBreakBefore w:val="0"/>
              <w:widowControl/>
              <w:suppressLineNumbers w:val="0"/>
              <w:wordWrap/>
              <w:overflowPunct/>
              <w:topLinePunct w:val="0"/>
              <w:bidi w:val="0"/>
              <w:spacing w:before="0" w:beforeAutospacing="0" w:after="0" w:afterAutospacing="0" w:line="360" w:lineRule="auto"/>
              <w:ind w:left="0" w:right="0" w:firstLine="480" w:firstLineChars="200"/>
              <w:rPr>
                <w:rFonts w:hint="eastAsia" w:cs="Times New Roman"/>
                <w:color w:val="auto"/>
                <w:sz w:val="24"/>
                <w:szCs w:val="24"/>
                <w:highlight w:val="none"/>
                <w:lang w:eastAsia="zh-CN"/>
              </w:rPr>
            </w:pPr>
            <w:r>
              <w:rPr>
                <w:rFonts w:hint="default" w:ascii="Times New Roman" w:hAnsi="Times New Roman" w:cs="Times New Roman"/>
                <w:color w:val="auto"/>
                <w:sz w:val="24"/>
                <w:szCs w:val="24"/>
                <w:highlight w:val="none"/>
              </w:rPr>
              <w:t>①</w:t>
            </w:r>
            <w:r>
              <w:rPr>
                <w:rFonts w:hint="eastAsia" w:cs="Times New Roman"/>
                <w:color w:val="auto"/>
                <w:sz w:val="24"/>
                <w:szCs w:val="24"/>
                <w:highlight w:val="none"/>
                <w:lang w:eastAsia="zh-CN"/>
              </w:rPr>
              <w:t>生活污水</w:t>
            </w:r>
          </w:p>
          <w:p w14:paraId="3680B99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eastAsia" w:ascii="Times New Roman" w:hAnsi="Times New Roman" w:eastAsia="宋体" w:cs="Times New Roman"/>
                <w:bCs/>
                <w:color w:val="auto"/>
                <w:sz w:val="24"/>
                <w:szCs w:val="24"/>
                <w:highlight w:val="none"/>
                <w:lang w:eastAsia="zh-CN"/>
              </w:rPr>
            </w:pPr>
            <w:r>
              <w:rPr>
                <w:rFonts w:hint="eastAsia" w:cs="Times New Roman"/>
                <w:bCs/>
                <w:color w:val="auto"/>
                <w:sz w:val="24"/>
                <w:szCs w:val="24"/>
                <w:highlight w:val="none"/>
                <w:lang w:eastAsia="zh-CN"/>
              </w:rPr>
              <w:t>生活污水按用水的</w:t>
            </w:r>
            <w:r>
              <w:rPr>
                <w:rFonts w:hint="eastAsia" w:cs="Times New Roman"/>
                <w:bCs/>
                <w:color w:val="auto"/>
                <w:sz w:val="24"/>
                <w:szCs w:val="24"/>
                <w:highlight w:val="none"/>
                <w:lang w:val="en-US" w:eastAsia="zh-CN"/>
              </w:rPr>
              <w:t>80%计，则本项目生活污水排水量为0.512</w:t>
            </w:r>
            <w:r>
              <w:rPr>
                <w:rFonts w:hint="eastAsia" w:ascii="Times New Roman" w:hAnsi="Times New Roman" w:cs="Times New Roman"/>
                <w:color w:val="auto"/>
                <w:sz w:val="24"/>
                <w:szCs w:val="24"/>
                <w:highlight w:val="none"/>
                <w:lang w:val="en-US" w:eastAsia="zh-CN"/>
              </w:rPr>
              <w:t>t</w:t>
            </w:r>
            <w:r>
              <w:rPr>
                <w:rFonts w:hint="default" w:ascii="Times New Roman" w:hAnsi="Times New Roman" w:cs="Times New Roman"/>
                <w:color w:val="auto"/>
                <w:sz w:val="24"/>
                <w:szCs w:val="24"/>
                <w:highlight w:val="none"/>
              </w:rPr>
              <w:t>/d</w:t>
            </w:r>
            <w:r>
              <w:rPr>
                <w:rFonts w:hint="eastAsia" w:ascii="Times New Roman" w:hAnsi="Times New Roman" w:cs="Times New Roman"/>
                <w:color w:val="auto"/>
                <w:sz w:val="24"/>
                <w:szCs w:val="24"/>
                <w:highlight w:val="none"/>
                <w:lang w:eastAsia="zh-CN"/>
              </w:rPr>
              <w:t>，</w:t>
            </w:r>
            <w:r>
              <w:rPr>
                <w:rFonts w:hint="eastAsia" w:cs="Times New Roman"/>
                <w:color w:val="auto"/>
                <w:sz w:val="24"/>
                <w:szCs w:val="24"/>
                <w:highlight w:val="none"/>
                <w:lang w:val="en-US" w:eastAsia="zh-CN"/>
              </w:rPr>
              <w:t>25.6</w:t>
            </w:r>
            <w:r>
              <w:rPr>
                <w:rFonts w:hint="eastAsia" w:ascii="Times New Roman" w:hAnsi="Times New Roman" w:cs="Times New Roman"/>
                <w:color w:val="auto"/>
                <w:sz w:val="24"/>
                <w:szCs w:val="24"/>
                <w:highlight w:val="none"/>
                <w:lang w:val="en-US" w:eastAsia="zh-CN"/>
              </w:rPr>
              <w:t>t</w:t>
            </w:r>
            <w:r>
              <w:rPr>
                <w:rFonts w:hint="default" w:ascii="Times New Roman" w:hAnsi="Times New Roman" w:cs="Times New Roman"/>
                <w:color w:val="auto"/>
                <w:sz w:val="24"/>
                <w:szCs w:val="24"/>
                <w:highlight w:val="none"/>
              </w:rPr>
              <w:t>/a</w:t>
            </w:r>
            <w:r>
              <w:rPr>
                <w:rFonts w:hint="eastAsia" w:ascii="Times New Roman" w:hAnsi="Times New Roman" w:cs="Times New Roman"/>
                <w:color w:val="auto"/>
                <w:sz w:val="24"/>
                <w:szCs w:val="24"/>
                <w:highlight w:val="none"/>
                <w:lang w:eastAsia="zh-CN"/>
              </w:rPr>
              <w:t>。</w:t>
            </w:r>
          </w:p>
          <w:p w14:paraId="44AE33D2">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eastAsia" w:ascii="宋体" w:hAnsi="宋体" w:eastAsia="宋体" w:cs="宋体"/>
                <w:color w:val="auto"/>
                <w:spacing w:val="0"/>
                <w:kern w:val="24"/>
                <w:sz w:val="24"/>
                <w:szCs w:val="24"/>
                <w:highlight w:val="none"/>
                <w:lang w:eastAsia="zh-CN"/>
              </w:rPr>
            </w:pPr>
            <w:r>
              <w:rPr>
                <w:rFonts w:hint="default" w:ascii="Times New Roman" w:hAnsi="Times New Roman" w:eastAsia="宋体" w:cs="Times New Roman"/>
                <w:bCs/>
                <w:color w:val="auto"/>
                <w:sz w:val="24"/>
                <w:szCs w:val="24"/>
                <w:highlight w:val="none"/>
                <w:lang w:val="en-US" w:eastAsia="zh-CN"/>
              </w:rPr>
              <w:t>本项目无生产废水，废水主要为生活污水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生活污水</w:t>
            </w:r>
            <w:r>
              <w:rPr>
                <w:rFonts w:hint="default" w:ascii="Times New Roman" w:hAnsi="Times New Roman" w:cs="Times New Roman"/>
                <w:color w:val="auto"/>
                <w:sz w:val="24"/>
                <w:szCs w:val="24"/>
                <w:highlight w:val="none"/>
                <w:lang w:eastAsia="zh-CN"/>
              </w:rPr>
              <w:t>排入防渗旱厕，定期清掏，外运堆肥，</w:t>
            </w:r>
            <w:r>
              <w:rPr>
                <w:rFonts w:hint="default" w:ascii="Times New Roman" w:hAnsi="Times New Roman" w:cs="Times New Roman"/>
                <w:color w:val="auto"/>
                <w:sz w:val="24"/>
                <w:szCs w:val="24"/>
                <w:highlight w:val="none"/>
                <w:lang w:val="en-US" w:eastAsia="zh-CN"/>
              </w:rPr>
              <w:t>不外排</w:t>
            </w:r>
            <w:r>
              <w:rPr>
                <w:rFonts w:hint="eastAsia" w:cs="Times New Roman"/>
                <w:color w:val="auto"/>
                <w:spacing w:val="0"/>
                <w:sz w:val="24"/>
                <w:szCs w:val="24"/>
                <w:highlight w:val="none"/>
                <w:lang w:val="en-US" w:eastAsia="zh-CN"/>
              </w:rPr>
              <w:t>。</w:t>
            </w:r>
          </w:p>
          <w:p w14:paraId="18B7C552">
            <w:pPr>
              <w:pStyle w:val="36"/>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Times New Roman" w:hAnsi="Times New Roman" w:eastAsia="宋体" w:cs="Times New Roman"/>
                <w:b/>
                <w:bCs/>
                <w:snapToGrid w:val="0"/>
                <w:color w:val="auto"/>
                <w:sz w:val="24"/>
                <w:szCs w:val="24"/>
                <w:highlight w:val="none"/>
              </w:rPr>
            </w:pPr>
            <w:r>
              <w:rPr>
                <w:rFonts w:hint="default" w:ascii="Times New Roman" w:hAnsi="Times New Roman" w:eastAsia="宋体" w:cs="Times New Roman"/>
                <w:b/>
                <w:bCs/>
                <w:snapToGrid w:val="0"/>
                <w:color w:val="auto"/>
                <w:sz w:val="24"/>
                <w:szCs w:val="24"/>
                <w:highlight w:val="none"/>
              </w:rPr>
              <w:object>
                <v:shape id="_x0000_i1025" o:spt="75" type="#_x0000_t75" style="height:102pt;width:348.45pt;" o:ole="t" filled="f" o:preferrelative="t" stroked="f" coordsize="21600,21600">
                  <v:path/>
                  <v:fill on="f" focussize="0,0"/>
                  <v:stroke on="f"/>
                  <v:imagedata r:id="rId12" o:title=""/>
                  <o:lock v:ext="edit" aspectratio="f"/>
                  <w10:wrap type="none"/>
                  <w10:anchorlock/>
                </v:shape>
                <o:OLEObject Type="Embed" ProgID="Visio.Drawing.15" ShapeID="_x0000_i1025" DrawAspect="Content" ObjectID="_1468075725" r:id="rId11">
                  <o:LockedField>false</o:LockedField>
                </o:OLEObject>
              </w:object>
            </w:r>
          </w:p>
          <w:p w14:paraId="5898BCE0">
            <w:pPr>
              <w:pStyle w:val="36"/>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b/>
                <w:bCs/>
                <w:snapToGrid w:val="0"/>
                <w:color w:val="auto"/>
                <w:sz w:val="24"/>
                <w:szCs w:val="24"/>
                <w:highlight w:val="none"/>
              </w:rPr>
              <w:t>图2-</w:t>
            </w:r>
            <w:r>
              <w:rPr>
                <w:rFonts w:hint="default" w:ascii="Times New Roman" w:hAnsi="Times New Roman" w:eastAsia="宋体" w:cs="Times New Roman"/>
                <w:b/>
                <w:bCs/>
                <w:snapToGrid w:val="0"/>
                <w:color w:val="auto"/>
                <w:sz w:val="24"/>
                <w:szCs w:val="24"/>
                <w:highlight w:val="none"/>
                <w:lang w:val="en-US" w:eastAsia="zh-CN"/>
              </w:rPr>
              <w:t>1</w:t>
            </w:r>
            <w:r>
              <w:rPr>
                <w:rFonts w:hint="eastAsia" w:cs="Times New Roman"/>
                <w:b/>
                <w:bCs/>
                <w:snapToGrid w:val="0"/>
                <w:color w:val="auto"/>
                <w:sz w:val="24"/>
                <w:szCs w:val="24"/>
                <w:highlight w:val="none"/>
                <w:lang w:val="en-US" w:eastAsia="zh-CN"/>
              </w:rPr>
              <w:t xml:space="preserve"> </w:t>
            </w:r>
            <w:r>
              <w:rPr>
                <w:rFonts w:hint="default" w:ascii="Times New Roman" w:hAnsi="Times New Roman" w:eastAsia="宋体" w:cs="Times New Roman"/>
                <w:b/>
                <w:bCs/>
                <w:snapToGrid w:val="0"/>
                <w:color w:val="auto"/>
                <w:sz w:val="24"/>
                <w:szCs w:val="24"/>
                <w:highlight w:val="none"/>
              </w:rPr>
              <w:t>本项目水平衡图</w:t>
            </w:r>
            <w:r>
              <w:rPr>
                <w:rFonts w:hint="eastAsia" w:cs="Times New Roman"/>
                <w:b/>
                <w:bCs/>
                <w:snapToGrid w:val="0"/>
                <w:color w:val="auto"/>
                <w:sz w:val="24"/>
                <w:szCs w:val="24"/>
                <w:highlight w:val="none"/>
                <w:lang w:val="en-US" w:eastAsia="zh-CN"/>
              </w:rPr>
              <w:t xml:space="preserve"> </w:t>
            </w:r>
            <w:r>
              <w:rPr>
                <w:rFonts w:hint="default" w:ascii="Times New Roman" w:hAnsi="Times New Roman" w:eastAsia="宋体" w:cs="Times New Roman"/>
                <w:b/>
                <w:bCs/>
                <w:snapToGrid w:val="0"/>
                <w:color w:val="auto"/>
                <w:sz w:val="24"/>
                <w:szCs w:val="24"/>
                <w:highlight w:val="none"/>
              </w:rPr>
              <w:t>（单位：</w:t>
            </w:r>
            <w:r>
              <w:rPr>
                <w:rFonts w:hint="default" w:ascii="Times New Roman" w:hAnsi="Times New Roman" w:eastAsia="宋体" w:cs="Times New Roman"/>
                <w:b/>
                <w:bCs/>
                <w:snapToGrid w:val="0"/>
                <w:color w:val="auto"/>
                <w:sz w:val="24"/>
                <w:szCs w:val="24"/>
                <w:highlight w:val="none"/>
                <w:lang w:val="en-US" w:eastAsia="zh-CN"/>
              </w:rPr>
              <w:t>t</w:t>
            </w:r>
            <w:r>
              <w:rPr>
                <w:rFonts w:hint="default" w:ascii="Times New Roman" w:hAnsi="Times New Roman" w:eastAsia="宋体" w:cs="Times New Roman"/>
                <w:b/>
                <w:bCs/>
                <w:snapToGrid w:val="0"/>
                <w:color w:val="auto"/>
                <w:sz w:val="24"/>
                <w:szCs w:val="24"/>
                <w:highlight w:val="none"/>
              </w:rPr>
              <w:t>/</w:t>
            </w:r>
            <w:r>
              <w:rPr>
                <w:rFonts w:hint="eastAsia" w:cs="Times New Roman"/>
                <w:b/>
                <w:bCs/>
                <w:snapToGrid w:val="0"/>
                <w:color w:val="auto"/>
                <w:sz w:val="24"/>
                <w:szCs w:val="24"/>
                <w:highlight w:val="none"/>
                <w:lang w:val="en-US" w:eastAsia="zh-CN"/>
              </w:rPr>
              <w:t>d</w:t>
            </w:r>
            <w:r>
              <w:rPr>
                <w:rFonts w:hint="default" w:ascii="Times New Roman" w:hAnsi="Times New Roman" w:eastAsia="宋体" w:cs="Times New Roman"/>
                <w:b/>
                <w:bCs/>
                <w:snapToGrid w:val="0"/>
                <w:color w:val="auto"/>
                <w:sz w:val="24"/>
                <w:szCs w:val="24"/>
                <w:highlight w:val="none"/>
              </w:rPr>
              <w:t>）</w:t>
            </w:r>
          </w:p>
          <w:p w14:paraId="4B771081">
            <w:pPr>
              <w:keepNext w:val="0"/>
              <w:keepLines w:val="0"/>
              <w:pageBreakBefore w:val="0"/>
              <w:widowControl w:val="0"/>
              <w:numPr>
                <w:ilvl w:val="0"/>
                <w:numId w:val="5"/>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供热</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供暖</w:t>
            </w:r>
            <w:r>
              <w:rPr>
                <w:rFonts w:hint="default" w:ascii="Times New Roman" w:hAnsi="Times New Roman" w:cs="Times New Roman"/>
                <w:color w:val="auto"/>
                <w:sz w:val="24"/>
                <w:szCs w:val="24"/>
                <w:highlight w:val="none"/>
              </w:rPr>
              <w:t>：</w:t>
            </w:r>
          </w:p>
          <w:p w14:paraId="1B52E6AA">
            <w:pPr>
              <w:pStyle w:val="36"/>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Chars="200"/>
              <w:jc w:val="both"/>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highlight w:val="none"/>
                <w:lang w:eastAsia="zh-CN"/>
              </w:rPr>
              <w:t>生产用热由热风炉提供</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办公室冬季使用</w:t>
            </w:r>
            <w:r>
              <w:rPr>
                <w:rFonts w:hint="eastAsia" w:cs="Times New Roman"/>
                <w:color w:val="auto"/>
                <w:sz w:val="24"/>
                <w:szCs w:val="24"/>
                <w:highlight w:val="none"/>
                <w:lang w:val="en-US" w:eastAsia="zh-CN"/>
              </w:rPr>
              <w:t>电采暖</w:t>
            </w:r>
            <w:r>
              <w:rPr>
                <w:rFonts w:hint="default" w:ascii="Times New Roman" w:hAnsi="Times New Roman" w:cs="Times New Roman"/>
                <w:color w:val="auto"/>
                <w:sz w:val="24"/>
                <w:szCs w:val="24"/>
                <w:highlight w:val="none"/>
                <w:lang w:val="en-US" w:eastAsia="zh-CN"/>
              </w:rPr>
              <w:t>。</w:t>
            </w:r>
          </w:p>
          <w:p w14:paraId="25550F4A">
            <w:pPr>
              <w:pStyle w:val="36"/>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Chars="200"/>
              <w:jc w:val="both"/>
              <w:textAlignment w:val="auto"/>
              <w:rPr>
                <w:rFonts w:hint="default" w:ascii="Times New Roman" w:hAnsi="Times New Roman" w:eastAsia="宋体" w:cs="Times New Roman"/>
                <w:b/>
                <w:bCs w:val="0"/>
                <w:color w:val="auto"/>
                <w:sz w:val="24"/>
                <w:szCs w:val="24"/>
                <w:highlight w:val="none"/>
              </w:rPr>
            </w:pPr>
            <w:r>
              <w:rPr>
                <w:rFonts w:hint="default" w:ascii="Times New Roman" w:hAnsi="Times New Roman" w:cs="Times New Roman"/>
                <w:b/>
                <w:bCs/>
                <w:color w:val="auto"/>
                <w:sz w:val="24"/>
                <w:szCs w:val="24"/>
                <w:highlight w:val="none"/>
                <w:lang w:val="en-US" w:eastAsia="zh-CN"/>
              </w:rPr>
              <w:t>1台</w:t>
            </w:r>
            <w:r>
              <w:rPr>
                <w:rFonts w:hint="eastAsia" w:cs="Times New Roman"/>
                <w:b/>
                <w:bCs/>
                <w:color w:val="auto"/>
                <w:sz w:val="24"/>
                <w:szCs w:val="24"/>
                <w:highlight w:val="none"/>
                <w:lang w:val="en-US" w:eastAsia="zh-CN"/>
              </w:rPr>
              <w:t>600</w:t>
            </w:r>
            <w:r>
              <w:rPr>
                <w:rFonts w:hint="default" w:ascii="Times New Roman" w:hAnsi="Times New Roman" w:cs="Times New Roman"/>
                <w:b/>
                <w:bCs/>
                <w:color w:val="auto"/>
                <w:sz w:val="24"/>
                <w:szCs w:val="24"/>
                <w:highlight w:val="none"/>
                <w:lang w:val="en-US" w:eastAsia="zh-CN"/>
              </w:rPr>
              <w:t>万大卡的</w:t>
            </w:r>
            <w:r>
              <w:rPr>
                <w:rFonts w:hint="eastAsia" w:cs="Times New Roman"/>
                <w:b/>
                <w:bCs/>
                <w:color w:val="auto"/>
                <w:sz w:val="24"/>
                <w:szCs w:val="24"/>
                <w:highlight w:val="none"/>
                <w:lang w:val="en-US" w:eastAsia="zh-CN"/>
              </w:rPr>
              <w:t>生物</w:t>
            </w:r>
            <w:r>
              <w:rPr>
                <w:rFonts w:hint="eastAsia" w:cs="Times New Roman"/>
                <w:b/>
                <w:bCs w:val="0"/>
                <w:color w:val="auto"/>
                <w:sz w:val="24"/>
                <w:szCs w:val="24"/>
                <w:highlight w:val="none"/>
                <w:lang w:val="en-US" w:eastAsia="zh-CN"/>
              </w:rPr>
              <w:t>质链条热风炉</w:t>
            </w:r>
            <w:r>
              <w:rPr>
                <w:rFonts w:hint="default" w:ascii="Times New Roman" w:hAnsi="Times New Roman" w:eastAsia="宋体" w:cs="Times New Roman"/>
                <w:b/>
                <w:bCs w:val="0"/>
                <w:color w:val="auto"/>
                <w:sz w:val="24"/>
                <w:szCs w:val="24"/>
                <w:highlight w:val="none"/>
              </w:rPr>
              <w:t>燃料使用量：</w:t>
            </w:r>
          </w:p>
          <w:p w14:paraId="6A517633">
            <w:pPr>
              <w:pStyle w:val="36"/>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Chars="200"/>
              <w:jc w:val="both"/>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本项目设置</w:t>
            </w:r>
            <w:r>
              <w:rPr>
                <w:rFonts w:hint="eastAsia"/>
                <w:color w:val="auto"/>
                <w:sz w:val="24"/>
                <w:szCs w:val="24"/>
                <w:highlight w:val="none"/>
                <w:lang w:val="en-US" w:eastAsia="zh-CN"/>
              </w:rPr>
              <w:t>1台600万大卡的生物质链条热风炉</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年烘干水稻</w:t>
            </w:r>
            <w:r>
              <w:rPr>
                <w:rFonts w:hint="eastAsia" w:ascii="Times New Roman" w:hAnsi="Times New Roman" w:eastAsia="宋体" w:cs="Times New Roman"/>
                <w:i w:val="0"/>
                <w:iCs w:val="0"/>
                <w:snapToGrid w:val="0"/>
                <w:color w:val="auto"/>
                <w:kern w:val="0"/>
                <w:sz w:val="24"/>
                <w:szCs w:val="24"/>
                <w:highlight w:val="none"/>
                <w:u w:val="none"/>
                <w:lang w:val="en-US" w:eastAsia="zh-CN" w:bidi="ar"/>
              </w:rPr>
              <w:t>1</w:t>
            </w:r>
            <w:r>
              <w:rPr>
                <w:rFonts w:hint="eastAsia" w:cs="Times New Roman"/>
                <w:i w:val="0"/>
                <w:iCs w:val="0"/>
                <w:snapToGrid w:val="0"/>
                <w:color w:val="auto"/>
                <w:kern w:val="0"/>
                <w:sz w:val="24"/>
                <w:szCs w:val="24"/>
                <w:highlight w:val="none"/>
                <w:u w:val="none"/>
                <w:lang w:val="en-US" w:eastAsia="zh-CN" w:bidi="ar"/>
              </w:rPr>
              <w:t>250</w:t>
            </w:r>
            <w:r>
              <w:rPr>
                <w:rFonts w:hint="eastAsia" w:ascii="Times New Roman" w:hAnsi="Times New Roman" w:eastAsia="宋体" w:cs="Times New Roman"/>
                <w:i w:val="0"/>
                <w:iCs w:val="0"/>
                <w:snapToGrid w:val="0"/>
                <w:color w:val="auto"/>
                <w:kern w:val="0"/>
                <w:sz w:val="24"/>
                <w:szCs w:val="24"/>
                <w:highlight w:val="none"/>
                <w:u w:val="none"/>
                <w:lang w:val="en-US" w:eastAsia="zh-CN" w:bidi="ar"/>
              </w:rPr>
              <w:t>0</w:t>
            </w:r>
            <w:r>
              <w:rPr>
                <w:rFonts w:hint="default" w:ascii="Times New Roman" w:hAnsi="Times New Roman" w:cs="Times New Roman"/>
                <w:color w:val="auto"/>
                <w:sz w:val="24"/>
                <w:szCs w:val="24"/>
                <w:highlight w:val="none"/>
                <w:lang w:val="en-US" w:eastAsia="zh-CN"/>
              </w:rPr>
              <w:t>吨</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年烘干时间</w:t>
            </w:r>
            <w:r>
              <w:rPr>
                <w:rFonts w:hint="eastAsia" w:cs="Times New Roman"/>
                <w:color w:val="auto"/>
                <w:sz w:val="24"/>
                <w:szCs w:val="24"/>
                <w:highlight w:val="none"/>
                <w:lang w:val="en-US" w:eastAsia="zh-CN"/>
              </w:rPr>
              <w:t>22天</w:t>
            </w:r>
            <w:r>
              <w:rPr>
                <w:rFonts w:hint="default" w:ascii="Times New Roman" w:hAnsi="Times New Roman" w:cs="Times New Roman"/>
                <w:color w:val="auto"/>
                <w:sz w:val="24"/>
                <w:szCs w:val="24"/>
                <w:highlight w:val="none"/>
                <w:lang w:val="en-US" w:eastAsia="zh-CN"/>
              </w:rPr>
              <w:t>计</w:t>
            </w:r>
            <w:r>
              <w:rPr>
                <w:rFonts w:hint="eastAsia"/>
                <w:color w:val="auto"/>
                <w:sz w:val="24"/>
                <w:szCs w:val="24"/>
                <w:highlight w:val="none"/>
              </w:rPr>
              <w:t>（每天</w:t>
            </w:r>
            <w:r>
              <w:rPr>
                <w:rFonts w:hint="eastAsia"/>
                <w:color w:val="auto"/>
                <w:sz w:val="24"/>
                <w:szCs w:val="24"/>
                <w:highlight w:val="none"/>
                <w:lang w:val="en-US" w:eastAsia="zh-CN"/>
              </w:rPr>
              <w:t>24</w:t>
            </w:r>
            <w:r>
              <w:rPr>
                <w:rFonts w:hint="eastAsia"/>
                <w:color w:val="auto"/>
                <w:sz w:val="24"/>
                <w:szCs w:val="24"/>
                <w:highlight w:val="none"/>
              </w:rPr>
              <w:t>h）</w:t>
            </w:r>
            <w:r>
              <w:rPr>
                <w:rFonts w:hint="default" w:ascii="Times New Roman" w:hAnsi="Times New Roman" w:cs="Times New Roman"/>
                <w:color w:val="auto"/>
                <w:sz w:val="24"/>
                <w:szCs w:val="24"/>
                <w:highlight w:val="none"/>
                <w:lang w:val="en-US" w:eastAsia="zh-CN"/>
              </w:rPr>
              <w:t>，年烘干玉米</w:t>
            </w:r>
            <w:r>
              <w:rPr>
                <w:rFonts w:hint="eastAsia" w:cs="Times New Roman"/>
                <w:i w:val="0"/>
                <w:iCs w:val="0"/>
                <w:snapToGrid w:val="0"/>
                <w:color w:val="auto"/>
                <w:kern w:val="0"/>
                <w:sz w:val="24"/>
                <w:szCs w:val="24"/>
                <w:highlight w:val="none"/>
                <w:u w:val="none"/>
                <w:lang w:val="en-US" w:eastAsia="zh-CN" w:bidi="ar"/>
              </w:rPr>
              <w:t>12500</w:t>
            </w:r>
            <w:r>
              <w:rPr>
                <w:rFonts w:hint="default" w:ascii="Times New Roman" w:hAnsi="Times New Roman" w:cs="Times New Roman"/>
                <w:color w:val="auto"/>
                <w:sz w:val="24"/>
                <w:szCs w:val="24"/>
                <w:highlight w:val="none"/>
                <w:lang w:val="en-US" w:eastAsia="zh-CN"/>
              </w:rPr>
              <w:t>吨，年烘干时间</w:t>
            </w:r>
            <w:r>
              <w:rPr>
                <w:rFonts w:hint="eastAsia" w:cs="Times New Roman"/>
                <w:color w:val="auto"/>
                <w:sz w:val="24"/>
                <w:szCs w:val="24"/>
                <w:highlight w:val="none"/>
                <w:lang w:val="en-US" w:eastAsia="zh-CN"/>
              </w:rPr>
              <w:t>28天</w:t>
            </w:r>
            <w:r>
              <w:rPr>
                <w:rFonts w:hint="default" w:ascii="Times New Roman" w:hAnsi="Times New Roman" w:cs="Times New Roman"/>
                <w:color w:val="auto"/>
                <w:sz w:val="24"/>
                <w:szCs w:val="24"/>
                <w:highlight w:val="none"/>
                <w:lang w:val="en-US" w:eastAsia="zh-CN"/>
              </w:rPr>
              <w:t>计</w:t>
            </w:r>
            <w:r>
              <w:rPr>
                <w:rFonts w:hint="eastAsia"/>
                <w:color w:val="auto"/>
                <w:sz w:val="24"/>
                <w:szCs w:val="24"/>
                <w:highlight w:val="none"/>
              </w:rPr>
              <w:t>（每天</w:t>
            </w:r>
            <w:r>
              <w:rPr>
                <w:rFonts w:hint="eastAsia"/>
                <w:color w:val="auto"/>
                <w:sz w:val="24"/>
                <w:szCs w:val="24"/>
                <w:highlight w:val="none"/>
                <w:lang w:val="en-US" w:eastAsia="zh-CN"/>
              </w:rPr>
              <w:t>24</w:t>
            </w:r>
            <w:r>
              <w:rPr>
                <w:rFonts w:hint="eastAsia"/>
                <w:color w:val="auto"/>
                <w:sz w:val="24"/>
                <w:szCs w:val="24"/>
                <w:highlight w:val="none"/>
              </w:rPr>
              <w:t>h）</w:t>
            </w:r>
            <w:r>
              <w:rPr>
                <w:rFonts w:hint="eastAsia"/>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生物质</w:t>
            </w:r>
            <w:r>
              <w:rPr>
                <w:rFonts w:hint="default" w:ascii="Times New Roman" w:hAnsi="Times New Roman" w:cs="Times New Roman"/>
                <w:color w:val="auto"/>
                <w:sz w:val="24"/>
                <w:szCs w:val="24"/>
                <w:highlight w:val="none"/>
                <w:lang w:val="en-US" w:eastAsia="zh-CN"/>
              </w:rPr>
              <w:t>燃料热值取</w:t>
            </w:r>
            <w:r>
              <w:rPr>
                <w:rFonts w:hint="eastAsia" w:cs="Times New Roman"/>
                <w:color w:val="auto"/>
                <w:sz w:val="24"/>
                <w:szCs w:val="24"/>
                <w:highlight w:val="none"/>
                <w:lang w:val="en-US" w:eastAsia="zh-CN"/>
              </w:rPr>
              <w:t>3565</w:t>
            </w:r>
            <w:r>
              <w:rPr>
                <w:rFonts w:hint="default" w:ascii="Times New Roman" w:hAnsi="Times New Roman" w:cs="Times New Roman"/>
                <w:color w:val="auto"/>
                <w:sz w:val="24"/>
                <w:szCs w:val="24"/>
                <w:highlight w:val="none"/>
                <w:lang w:val="en-US" w:eastAsia="zh-CN"/>
              </w:rPr>
              <w:t>kcal/kg（</w:t>
            </w:r>
            <w:r>
              <w:rPr>
                <w:rFonts w:hint="eastAsia" w:cs="Times New Roman"/>
                <w:color w:val="auto"/>
                <w:sz w:val="24"/>
                <w:szCs w:val="24"/>
                <w:highlight w:val="none"/>
                <w:lang w:val="en-US" w:eastAsia="zh-CN"/>
              </w:rPr>
              <w:t>14.908</w:t>
            </w:r>
            <w:r>
              <w:rPr>
                <w:rFonts w:hint="default" w:ascii="Times New Roman" w:hAnsi="Times New Roman" w:cs="Times New Roman"/>
                <w:color w:val="auto"/>
                <w:sz w:val="24"/>
                <w:szCs w:val="24"/>
                <w:highlight w:val="none"/>
                <w:lang w:val="en-US" w:eastAsia="zh-CN"/>
              </w:rPr>
              <w:t>MJ/kg），热风炉热效率为</w:t>
            </w:r>
            <w:r>
              <w:rPr>
                <w:rFonts w:hint="eastAsia" w:ascii="Times New Roman" w:hAnsi="Times New Roman" w:cs="Times New Roman"/>
                <w:color w:val="auto"/>
                <w:sz w:val="24"/>
                <w:szCs w:val="24"/>
                <w:highlight w:val="none"/>
                <w:lang w:val="en-US" w:eastAsia="zh-CN"/>
              </w:rPr>
              <w:t>80</w:t>
            </w:r>
            <w:r>
              <w:rPr>
                <w:rFonts w:hint="default" w:ascii="Times New Roman" w:hAnsi="Times New Roman" w:cs="Times New Roman"/>
                <w:color w:val="auto"/>
                <w:sz w:val="24"/>
                <w:szCs w:val="24"/>
                <w:highlight w:val="none"/>
                <w:lang w:val="en-US" w:eastAsia="zh-CN"/>
              </w:rPr>
              <w:t>%，参考尹协镇《粮食烘干过程中不同外部条件对烘干能耗的影响》，每烘干1kg水能耗取5400kJ/kg。</w:t>
            </w:r>
          </w:p>
          <w:p w14:paraId="1248167C">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水分蒸发量依据W=G（ω1-ω2）/（100-ω2）进行计算。</w:t>
            </w:r>
          </w:p>
          <w:p w14:paraId="27106CAF">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440" w:firstLineChars="6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W：水分蒸发量</w:t>
            </w:r>
          </w:p>
          <w:p w14:paraId="6734D799">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440" w:firstLineChars="6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G：处理量（</w:t>
            </w:r>
            <w:r>
              <w:rPr>
                <w:rFonts w:hint="eastAsia" w:ascii="Times New Roman" w:hAnsi="Times New Roman" w:cs="Times New Roman"/>
                <w:color w:val="auto"/>
                <w:sz w:val="24"/>
                <w:szCs w:val="24"/>
                <w:highlight w:val="none"/>
                <w:lang w:val="en-US" w:eastAsia="zh-CN"/>
              </w:rPr>
              <w:t>水稻为</w:t>
            </w:r>
            <w:r>
              <w:rPr>
                <w:rFonts w:hint="eastAsia" w:cs="Times New Roman"/>
                <w:color w:val="auto"/>
                <w:sz w:val="24"/>
                <w:szCs w:val="24"/>
                <w:highlight w:val="none"/>
                <w:lang w:val="en-US" w:eastAsia="zh-CN"/>
              </w:rPr>
              <w:t>12500t、玉米为12500</w:t>
            </w:r>
            <w:r>
              <w:rPr>
                <w:rFonts w:hint="eastAsia" w:ascii="Times New Roman" w:hAnsi="Times New Roman" w:cs="Times New Roman"/>
                <w:color w:val="auto"/>
                <w:sz w:val="24"/>
                <w:szCs w:val="24"/>
                <w:highlight w:val="none"/>
                <w:lang w:val="en-US" w:eastAsia="zh-CN"/>
              </w:rPr>
              <w:t>t</w:t>
            </w:r>
            <w:r>
              <w:rPr>
                <w:rFonts w:hint="default" w:ascii="Times New Roman" w:hAnsi="Times New Roman" w:cs="Times New Roman"/>
                <w:color w:val="auto"/>
                <w:sz w:val="24"/>
                <w:szCs w:val="24"/>
                <w:highlight w:val="none"/>
                <w:lang w:val="en-US" w:eastAsia="zh-CN"/>
              </w:rPr>
              <w:t>）</w:t>
            </w:r>
          </w:p>
          <w:p w14:paraId="5519A4E6">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440" w:firstLineChars="6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ω1：进料含水量百分数（</w:t>
            </w:r>
            <w:r>
              <w:rPr>
                <w:rFonts w:hint="eastAsia" w:ascii="Times New Roman" w:hAnsi="Times New Roman" w:cs="Times New Roman"/>
                <w:color w:val="auto"/>
                <w:sz w:val="24"/>
                <w:szCs w:val="24"/>
                <w:highlight w:val="none"/>
                <w:lang w:val="en-US" w:eastAsia="zh-CN"/>
              </w:rPr>
              <w:t>水稻取20%</w:t>
            </w:r>
            <w:r>
              <w:rPr>
                <w:rFonts w:hint="eastAsia" w:cs="Times New Roman"/>
                <w:color w:val="auto"/>
                <w:sz w:val="24"/>
                <w:szCs w:val="24"/>
                <w:highlight w:val="none"/>
                <w:lang w:val="en-US" w:eastAsia="zh-CN"/>
              </w:rPr>
              <w:t>、玉米取30%</w:t>
            </w:r>
            <w:r>
              <w:rPr>
                <w:rFonts w:hint="default" w:ascii="Times New Roman" w:hAnsi="Times New Roman" w:cs="Times New Roman"/>
                <w:color w:val="auto"/>
                <w:sz w:val="24"/>
                <w:szCs w:val="24"/>
                <w:highlight w:val="none"/>
                <w:lang w:val="en-US" w:eastAsia="zh-CN"/>
              </w:rPr>
              <w:t>）</w:t>
            </w:r>
          </w:p>
          <w:p w14:paraId="54222386">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440" w:firstLineChars="6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ω2：出料含水量百分数（</w:t>
            </w:r>
            <w:r>
              <w:rPr>
                <w:rFonts w:hint="eastAsia" w:ascii="Times New Roman" w:hAnsi="Times New Roman" w:cs="Times New Roman"/>
                <w:color w:val="auto"/>
                <w:sz w:val="24"/>
                <w:szCs w:val="24"/>
                <w:highlight w:val="none"/>
                <w:lang w:val="en-US" w:eastAsia="zh-CN"/>
              </w:rPr>
              <w:t>水稻取15%</w:t>
            </w:r>
            <w:r>
              <w:rPr>
                <w:rFonts w:hint="eastAsia" w:cs="Times New Roman"/>
                <w:color w:val="auto"/>
                <w:sz w:val="24"/>
                <w:szCs w:val="24"/>
                <w:highlight w:val="none"/>
                <w:lang w:val="en-US" w:eastAsia="zh-CN"/>
              </w:rPr>
              <w:t>、玉米取14%</w:t>
            </w:r>
            <w:r>
              <w:rPr>
                <w:rFonts w:hint="default" w:ascii="Times New Roman" w:hAnsi="Times New Roman" w:cs="Times New Roman"/>
                <w:color w:val="auto"/>
                <w:sz w:val="24"/>
                <w:szCs w:val="24"/>
                <w:highlight w:val="none"/>
                <w:lang w:val="en-US" w:eastAsia="zh-CN"/>
              </w:rPr>
              <w:t>）</w:t>
            </w:r>
          </w:p>
          <w:p w14:paraId="00F3DB90">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本项目水稻水分蒸发量为：W=G（ω1-ω2）/（100-ω2）=</w:t>
            </w:r>
            <w:r>
              <w:rPr>
                <w:rFonts w:hint="eastAsia" w:cs="Times New Roman"/>
                <w:color w:val="auto"/>
                <w:sz w:val="24"/>
                <w:szCs w:val="24"/>
                <w:highlight w:val="none"/>
                <w:lang w:val="en-US" w:eastAsia="zh-CN"/>
              </w:rPr>
              <w:t>12500</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20</w:t>
            </w:r>
            <w:r>
              <w:rPr>
                <w:rFonts w:hint="default" w:ascii="Times New Roman" w:hAns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val="en-US" w:eastAsia="zh-CN"/>
              </w:rPr>
              <w:t>）/（100-</w:t>
            </w:r>
            <w:r>
              <w:rPr>
                <w:rFonts w:hint="eastAsia" w:cs="Times New Roman"/>
                <w:color w:val="auto"/>
                <w:sz w:val="24"/>
                <w:szCs w:val="24"/>
                <w:highlight w:val="none"/>
                <w:lang w:val="en-US" w:eastAsia="zh-CN"/>
              </w:rPr>
              <w:t>15</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735.29</w:t>
            </w:r>
            <w:r>
              <w:rPr>
                <w:rFonts w:hint="default" w:ascii="Times New Roman" w:hAnsi="Times New Roman" w:cs="Times New Roman"/>
                <w:color w:val="auto"/>
                <w:sz w:val="24"/>
                <w:szCs w:val="24"/>
                <w:highlight w:val="none"/>
                <w:lang w:val="en-US" w:eastAsia="zh-CN"/>
              </w:rPr>
              <w:t>t/a</w:t>
            </w:r>
          </w:p>
          <w:p w14:paraId="2C1A817F">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本项目玉米水分蒸发量为：W=G（ω1-ω2）/（100-ω2）=</w:t>
            </w:r>
            <w:r>
              <w:rPr>
                <w:rFonts w:hint="eastAsia" w:cs="Times New Roman"/>
                <w:color w:val="auto"/>
                <w:sz w:val="24"/>
                <w:szCs w:val="24"/>
                <w:highlight w:val="none"/>
                <w:lang w:val="en-US" w:eastAsia="zh-CN"/>
              </w:rPr>
              <w:t>12500</w:t>
            </w:r>
            <w:r>
              <w:rPr>
                <w:rFonts w:hint="default" w:ascii="Times New Roman" w:hAnsi="Times New Roman" w:cs="Times New Roman"/>
                <w:color w:val="auto"/>
                <w:sz w:val="24"/>
                <w:szCs w:val="24"/>
                <w:highlight w:val="none"/>
                <w:lang w:val="en-US" w:eastAsia="zh-CN"/>
              </w:rPr>
              <w:t>×（30-14）/（100-14）=</w:t>
            </w:r>
            <w:r>
              <w:rPr>
                <w:rFonts w:hint="eastAsia" w:cs="Times New Roman"/>
                <w:color w:val="auto"/>
                <w:sz w:val="24"/>
                <w:szCs w:val="24"/>
                <w:highlight w:val="none"/>
                <w:lang w:val="en-US" w:eastAsia="zh-CN"/>
              </w:rPr>
              <w:t>2325.58</w:t>
            </w:r>
            <w:r>
              <w:rPr>
                <w:rFonts w:hint="default" w:ascii="Times New Roman" w:hAnsi="Times New Roman" w:cs="Times New Roman"/>
                <w:color w:val="auto"/>
                <w:sz w:val="24"/>
                <w:szCs w:val="24"/>
                <w:highlight w:val="none"/>
                <w:lang w:val="en-US" w:eastAsia="zh-CN"/>
              </w:rPr>
              <w:t>t/a</w:t>
            </w:r>
          </w:p>
          <w:p w14:paraId="7264326E">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烘干能耗为E=</w:t>
            </w:r>
            <w:r>
              <w:rPr>
                <w:rFonts w:hint="eastAsia" w:ascii="Times New Roman" w:hAnsi="Times New Roman" w:cs="Times New Roman"/>
                <w:color w:val="auto"/>
                <w:sz w:val="24"/>
                <w:szCs w:val="24"/>
                <w:highlight w:val="none"/>
                <w:lang w:val="en-US" w:eastAsia="zh-CN"/>
              </w:rPr>
              <w:t>W</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能耗</w:t>
            </w:r>
          </w:p>
          <w:p w14:paraId="3CCCAD3F">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eastAsia="宋体"/>
                <w:color w:val="auto"/>
                <w:sz w:val="24"/>
                <w:szCs w:val="24"/>
                <w:highlight w:val="none"/>
                <w:lang w:val="en-US" w:eastAsia="zh-CN"/>
              </w:rPr>
            </w:pPr>
            <w:r>
              <w:rPr>
                <w:rFonts w:hint="eastAsia"/>
                <w:color w:val="auto"/>
                <w:sz w:val="24"/>
                <w:szCs w:val="24"/>
                <w:highlight w:val="none"/>
                <w:lang w:val="en-US" w:eastAsia="zh-CN"/>
              </w:rPr>
              <w:t>600万大卡生物质链条热风炉烘干能耗E=（735.29+2325.58）</w:t>
            </w:r>
            <w:r>
              <w:rPr>
                <w:rFonts w:hint="eastAsia"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rPr>
              <w:t>10</w:t>
            </w:r>
            <w:r>
              <w:rPr>
                <w:rFonts w:hint="default" w:ascii="Times New Roman" w:hAnsi="Times New Roman" w:cs="Times New Roman"/>
                <w:color w:val="auto"/>
                <w:sz w:val="24"/>
                <w:szCs w:val="24"/>
                <w:highlight w:val="none"/>
                <w:vertAlign w:val="superscript"/>
              </w:rPr>
              <w:t>3</w:t>
            </w:r>
            <w:r>
              <w:rPr>
                <w:rFonts w:hint="eastAsia" w:ascii="Times New Roman" w:hAnsi="Times New Roman" w:cs="Times New Roman"/>
                <w:color w:val="auto"/>
                <w:sz w:val="24"/>
                <w:szCs w:val="24"/>
                <w:highlight w:val="none"/>
              </w:rPr>
              <w:t>kg/a×5400kJ/kg</w:t>
            </w:r>
            <w:r>
              <w:rPr>
                <w:rFonts w:hint="eastAsia"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16500000000</w:t>
            </w:r>
            <w:r>
              <w:rPr>
                <w:rFonts w:hint="eastAsia" w:ascii="Times New Roman" w:hAnsi="Times New Roman" w:cs="Times New Roman"/>
                <w:color w:val="auto"/>
                <w:sz w:val="24"/>
                <w:szCs w:val="24"/>
                <w:highlight w:val="none"/>
                <w:lang w:val="en-US" w:eastAsia="zh-CN"/>
              </w:rPr>
              <w:t>kJ/a；</w:t>
            </w:r>
          </w:p>
          <w:p w14:paraId="510F902F">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eastAsia"/>
                <w:color w:val="auto"/>
                <w:sz w:val="24"/>
                <w:szCs w:val="24"/>
                <w:highlight w:val="none"/>
                <w:lang w:val="en-US" w:eastAsia="zh-CN"/>
              </w:rPr>
              <w:t>600万大卡生物质链条热风炉</w:t>
            </w:r>
            <w:r>
              <w:rPr>
                <w:rFonts w:hint="default" w:ascii="Times New Roman" w:hAnsi="Times New Roman" w:cs="Times New Roman"/>
                <w:color w:val="auto"/>
                <w:sz w:val="24"/>
                <w:szCs w:val="24"/>
                <w:highlight w:val="none"/>
                <w:lang w:val="en-US" w:eastAsia="zh-CN"/>
              </w:rPr>
              <w:t>燃料消耗量=</w:t>
            </w:r>
            <w:r>
              <w:rPr>
                <w:rFonts w:hint="eastAsia" w:ascii="Times New Roman" w:hAnsi="Times New Roman" w:cs="Times New Roman"/>
                <w:color w:val="auto"/>
                <w:sz w:val="24"/>
                <w:szCs w:val="24"/>
                <w:highlight w:val="none"/>
                <w:lang w:val="en-US" w:eastAsia="zh-CN"/>
              </w:rPr>
              <w:t>E</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热值</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热效率</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1383.49</w:t>
            </w:r>
            <w:r>
              <w:rPr>
                <w:rFonts w:hint="default" w:ascii="Times New Roman" w:hAnsi="Times New Roman" w:cs="Times New Roman"/>
                <w:color w:val="auto"/>
                <w:sz w:val="24"/>
                <w:szCs w:val="24"/>
                <w:highlight w:val="none"/>
                <w:lang w:val="en-US" w:eastAsia="zh-CN"/>
              </w:rPr>
              <w:t>t/a</w:t>
            </w:r>
          </w:p>
          <w:p w14:paraId="1B89CF94">
            <w:pPr>
              <w:keepNext w:val="0"/>
              <w:keepLines w:val="0"/>
              <w:pageBreakBefore w:val="0"/>
              <w:widowControl/>
              <w:numPr>
                <w:ilvl w:val="0"/>
                <w:numId w:val="5"/>
              </w:numPr>
              <w:suppressLineNumbers w:val="0"/>
              <w:kinsoku/>
              <w:wordWrap/>
              <w:overflowPunct/>
              <w:topLinePunct w:val="0"/>
              <w:autoSpaceDE/>
              <w:autoSpaceDN/>
              <w:bidi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供电</w:t>
            </w:r>
          </w:p>
          <w:p w14:paraId="4E302DAC">
            <w:pPr>
              <w:keepNext w:val="0"/>
              <w:keepLines w:val="0"/>
              <w:pageBreakBefore w:val="0"/>
              <w:widowControl/>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本项目供电由当地电网供给</w:t>
            </w:r>
            <w:r>
              <w:rPr>
                <w:rFonts w:hint="default" w:ascii="Times New Roman" w:hAnsi="Times New Roman" w:cs="Times New Roman"/>
                <w:color w:val="auto"/>
                <w:sz w:val="24"/>
                <w:szCs w:val="24"/>
                <w:highlight w:val="none"/>
                <w:lang w:val="en-US" w:eastAsia="zh-CN"/>
              </w:rPr>
              <w:t>。</w:t>
            </w:r>
          </w:p>
          <w:p w14:paraId="4330D3A4">
            <w:pPr>
              <w:pStyle w:val="14"/>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2" w:firstLineChars="200"/>
              <w:jc w:val="both"/>
              <w:textAlignment w:val="auto"/>
              <w:rPr>
                <w:rFonts w:hint="default" w:ascii="Times New Roman" w:hAnsi="Times New Roman" w:cs="Times New Roman"/>
                <w:b/>
                <w:bCs/>
                <w:color w:val="auto"/>
                <w:kern w:val="21"/>
                <w:sz w:val="24"/>
                <w:szCs w:val="24"/>
                <w:highlight w:val="none"/>
              </w:rPr>
            </w:pPr>
            <w:r>
              <w:rPr>
                <w:rFonts w:hint="default" w:ascii="Times New Roman" w:hAnsi="Times New Roman" w:cs="Times New Roman"/>
                <w:b/>
                <w:bCs/>
                <w:color w:val="auto"/>
                <w:kern w:val="21"/>
                <w:sz w:val="24"/>
                <w:szCs w:val="24"/>
                <w:highlight w:val="none"/>
                <w:lang w:val="en-US" w:eastAsia="zh-CN"/>
              </w:rPr>
              <w:t>7</w:t>
            </w:r>
            <w:r>
              <w:rPr>
                <w:rFonts w:hint="default" w:ascii="Times New Roman" w:hAnsi="Times New Roman" w:cs="Times New Roman"/>
                <w:b/>
                <w:bCs/>
                <w:color w:val="auto"/>
                <w:kern w:val="21"/>
                <w:sz w:val="24"/>
                <w:szCs w:val="24"/>
                <w:highlight w:val="none"/>
              </w:rPr>
              <w:t>、本项目平面布置</w:t>
            </w:r>
          </w:p>
          <w:p w14:paraId="1345E3A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宋体"/>
                <w:color w:val="auto"/>
                <w:kern w:val="0"/>
                <w:sz w:val="24"/>
                <w:szCs w:val="24"/>
                <w:highlight w:val="none"/>
                <w:lang w:val="en-US" w:eastAsia="zh-CN" w:bidi="ar-SA"/>
              </w:rPr>
            </w:pPr>
            <w:r>
              <w:rPr>
                <w:rFonts w:hint="eastAsia" w:ascii="Times New Roman" w:hAnsi="Times New Roman" w:eastAsia="宋体" w:cs="宋体"/>
                <w:color w:val="auto"/>
                <w:kern w:val="0"/>
                <w:sz w:val="24"/>
                <w:szCs w:val="24"/>
                <w:highlight w:val="none"/>
                <w:lang w:val="en-US" w:eastAsia="zh-CN" w:bidi="ar-SA"/>
              </w:rPr>
              <w:t>本项目厂区总占地面积为20515m</w:t>
            </w:r>
            <w:r>
              <w:rPr>
                <w:rFonts w:hint="eastAsia" w:ascii="Times New Roman" w:hAnsi="Times New Roman" w:eastAsia="宋体" w:cs="宋体"/>
                <w:color w:val="auto"/>
                <w:kern w:val="0"/>
                <w:sz w:val="24"/>
                <w:szCs w:val="24"/>
                <w:highlight w:val="none"/>
                <w:vertAlign w:val="superscript"/>
                <w:lang w:val="en-US" w:eastAsia="zh-CN" w:bidi="ar-SA"/>
              </w:rPr>
              <w:t>2</w:t>
            </w:r>
            <w:r>
              <w:rPr>
                <w:rFonts w:hint="eastAsia" w:ascii="Times New Roman" w:hAnsi="Times New Roman" w:eastAsia="宋体" w:cs="宋体"/>
                <w:color w:val="auto"/>
                <w:kern w:val="0"/>
                <w:sz w:val="24"/>
                <w:szCs w:val="24"/>
                <w:highlight w:val="none"/>
                <w:lang w:val="en-US" w:eastAsia="zh-CN" w:bidi="ar-SA"/>
              </w:rPr>
              <w:t>。本</w:t>
            </w:r>
            <w:r>
              <w:rPr>
                <w:rFonts w:hint="default"/>
                <w:color w:val="auto"/>
                <w:sz w:val="24"/>
                <w:szCs w:val="32"/>
                <w:highlight w:val="none"/>
              </w:rPr>
              <w:t>项目生产工艺流程简单，设备按生产工艺流程布局，运输距离短，在满足安全生产的前提下，对不同功能区进行分区和组合</w:t>
            </w:r>
            <w:r>
              <w:rPr>
                <w:rFonts w:hint="eastAsia"/>
                <w:color w:val="auto"/>
                <w:sz w:val="24"/>
                <w:szCs w:val="32"/>
                <w:highlight w:val="none"/>
                <w:lang w:eastAsia="zh-CN"/>
              </w:rPr>
              <w:t>。</w:t>
            </w:r>
          </w:p>
          <w:p w14:paraId="2EE6E69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宋体"/>
                <w:color w:val="auto"/>
                <w:kern w:val="0"/>
                <w:sz w:val="24"/>
                <w:szCs w:val="24"/>
                <w:highlight w:val="none"/>
                <w:lang w:val="en-US" w:eastAsia="zh-CN" w:bidi="ar-SA"/>
              </w:rPr>
            </w:pPr>
            <w:r>
              <w:rPr>
                <w:rFonts w:hint="eastAsia" w:ascii="Times New Roman" w:hAnsi="Times New Roman" w:eastAsia="宋体" w:cs="宋体"/>
                <w:color w:val="auto"/>
                <w:kern w:val="0"/>
                <w:sz w:val="24"/>
                <w:szCs w:val="24"/>
                <w:highlight w:val="none"/>
                <w:lang w:val="en-US" w:eastAsia="zh-CN" w:bidi="ar-SA"/>
              </w:rPr>
              <w:t>厂区整体布局为办公区</w:t>
            </w:r>
            <w:r>
              <w:rPr>
                <w:rFonts w:hint="default" w:ascii="Times New Roman" w:hAnsi="Times New Roman" w:eastAsia="宋体" w:cs="宋体"/>
                <w:color w:val="auto"/>
                <w:kern w:val="0"/>
                <w:sz w:val="24"/>
                <w:szCs w:val="24"/>
                <w:highlight w:val="none"/>
                <w:lang w:val="en-US" w:eastAsia="zh-CN" w:bidi="ar-SA"/>
              </w:rPr>
              <w:t>位于厂区</w:t>
            </w:r>
            <w:r>
              <w:rPr>
                <w:rFonts w:hint="eastAsia" w:ascii="Times New Roman" w:hAnsi="Times New Roman" w:eastAsia="宋体" w:cs="宋体"/>
                <w:color w:val="auto"/>
                <w:kern w:val="0"/>
                <w:sz w:val="24"/>
                <w:szCs w:val="24"/>
                <w:highlight w:val="none"/>
                <w:lang w:val="en-US" w:eastAsia="zh-CN" w:bidi="ar-SA"/>
              </w:rPr>
              <w:t>东部，</w:t>
            </w:r>
            <w:r>
              <w:rPr>
                <w:rFonts w:hint="default" w:ascii="Times New Roman" w:hAnsi="Times New Roman" w:eastAsia="宋体" w:cs="宋体"/>
                <w:color w:val="auto"/>
                <w:kern w:val="0"/>
                <w:sz w:val="24"/>
                <w:szCs w:val="24"/>
                <w:highlight w:val="none"/>
                <w:lang w:val="en-US" w:eastAsia="zh-CN" w:bidi="ar-SA"/>
              </w:rPr>
              <w:t>生产区位于厂区</w:t>
            </w:r>
            <w:r>
              <w:rPr>
                <w:rFonts w:hint="eastAsia" w:ascii="Times New Roman" w:hAnsi="Times New Roman" w:eastAsia="宋体" w:cs="宋体"/>
                <w:color w:val="auto"/>
                <w:kern w:val="0"/>
                <w:sz w:val="24"/>
                <w:szCs w:val="24"/>
                <w:highlight w:val="none"/>
                <w:lang w:val="en-US" w:eastAsia="zh-CN" w:bidi="ar-SA"/>
              </w:rPr>
              <w:t>西部</w:t>
            </w:r>
            <w:r>
              <w:rPr>
                <w:rFonts w:hint="default" w:ascii="Times New Roman" w:hAnsi="Times New Roman" w:eastAsia="宋体" w:cs="宋体"/>
                <w:color w:val="auto"/>
                <w:kern w:val="0"/>
                <w:sz w:val="24"/>
                <w:szCs w:val="24"/>
                <w:highlight w:val="none"/>
                <w:lang w:val="en-US" w:eastAsia="zh-CN" w:bidi="ar-SA"/>
              </w:rPr>
              <w:t>，</w:t>
            </w:r>
            <w:r>
              <w:rPr>
                <w:rFonts w:hint="eastAsia" w:ascii="Times New Roman" w:hAnsi="Times New Roman" w:eastAsia="宋体" w:cs="宋体"/>
                <w:color w:val="auto"/>
                <w:kern w:val="0"/>
                <w:sz w:val="24"/>
                <w:szCs w:val="24"/>
                <w:highlight w:val="none"/>
                <w:lang w:val="en-US" w:eastAsia="zh-CN" w:bidi="ar-SA"/>
              </w:rPr>
              <w:t>储粮场位于厂区南部</w:t>
            </w:r>
            <w:r>
              <w:rPr>
                <w:rFonts w:hint="default" w:ascii="Times New Roman" w:hAnsi="Times New Roman" w:eastAsia="宋体" w:cs="宋体"/>
                <w:color w:val="auto"/>
                <w:kern w:val="0"/>
                <w:sz w:val="24"/>
                <w:szCs w:val="24"/>
                <w:highlight w:val="none"/>
                <w:lang w:val="en-US" w:eastAsia="zh-CN" w:bidi="ar-SA"/>
              </w:rPr>
              <w:t>。厂区布置物流出入口位于厂区</w:t>
            </w:r>
            <w:r>
              <w:rPr>
                <w:rFonts w:hint="eastAsia" w:ascii="Times New Roman" w:hAnsi="Times New Roman" w:eastAsia="宋体" w:cs="宋体"/>
                <w:color w:val="auto"/>
                <w:kern w:val="0"/>
                <w:sz w:val="24"/>
                <w:szCs w:val="24"/>
                <w:highlight w:val="none"/>
                <w:lang w:val="en-US" w:eastAsia="zh-CN" w:bidi="ar-SA"/>
              </w:rPr>
              <w:t>北</w:t>
            </w:r>
            <w:r>
              <w:rPr>
                <w:rFonts w:hint="default" w:ascii="Times New Roman" w:hAnsi="Times New Roman" w:eastAsia="宋体" w:cs="宋体"/>
                <w:color w:val="auto"/>
                <w:kern w:val="0"/>
                <w:sz w:val="24"/>
                <w:szCs w:val="24"/>
                <w:highlight w:val="none"/>
                <w:lang w:val="en-US" w:eastAsia="zh-CN" w:bidi="ar-SA"/>
              </w:rPr>
              <w:t>侧，</w:t>
            </w:r>
            <w:r>
              <w:rPr>
                <w:rFonts w:hint="eastAsia" w:ascii="Times New Roman" w:hAnsi="Times New Roman" w:eastAsia="宋体" w:cs="宋体"/>
                <w:color w:val="auto"/>
                <w:kern w:val="0"/>
                <w:sz w:val="24"/>
                <w:szCs w:val="24"/>
                <w:highlight w:val="none"/>
                <w:lang w:val="en-US" w:eastAsia="zh-CN" w:bidi="ar-SA"/>
              </w:rPr>
              <w:t>临近地磅</w:t>
            </w:r>
            <w:r>
              <w:rPr>
                <w:rFonts w:hint="default" w:ascii="Times New Roman" w:hAnsi="Times New Roman" w:eastAsia="宋体" w:cs="宋体"/>
                <w:color w:val="auto"/>
                <w:kern w:val="0"/>
                <w:sz w:val="24"/>
                <w:szCs w:val="24"/>
                <w:highlight w:val="none"/>
                <w:lang w:val="en-US" w:eastAsia="zh-CN" w:bidi="ar-SA"/>
              </w:rPr>
              <w:t>设置，方便原料及产品运输。</w:t>
            </w:r>
          </w:p>
          <w:p w14:paraId="6AA59D2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宋体"/>
                <w:color w:val="auto"/>
                <w:kern w:val="0"/>
                <w:sz w:val="24"/>
                <w:szCs w:val="24"/>
                <w:highlight w:val="none"/>
                <w:lang w:val="en-US" w:eastAsia="zh-CN" w:bidi="ar-SA"/>
              </w:rPr>
            </w:pPr>
            <w:r>
              <w:rPr>
                <w:rFonts w:hint="eastAsia" w:ascii="Times New Roman" w:hAnsi="Times New Roman" w:eastAsia="宋体" w:cs="宋体"/>
                <w:color w:val="auto"/>
                <w:kern w:val="0"/>
                <w:sz w:val="24"/>
                <w:szCs w:val="24"/>
                <w:highlight w:val="none"/>
                <w:lang w:val="en-US" w:eastAsia="zh-CN" w:bidi="ar-SA"/>
              </w:rPr>
              <w:t>厂区建筑布置均满足防火、安全、环保、卫生等有关规范要求。项目总平面布置遵循功能分区合理、人流物流分开、环境安全卫生、生活管理方便；在满足生产工艺、消防安全、环境卫生的前提下，尽量合并建筑，坚决贯彻执行珍惜土地资源和合理利用土地的方针。因地制宜，合理布置，提高土地利用率，符合国家方针、政策、法令、法规和地方政府的相关规定；建筑物布置尽量结合地形、地质、气象、工艺生产和施工条件，节省投资，同时为生产、运输和生活创造有利条件。</w:t>
            </w:r>
          </w:p>
          <w:p w14:paraId="0360413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宋体"/>
                <w:color w:val="auto"/>
                <w:kern w:val="0"/>
                <w:sz w:val="24"/>
                <w:szCs w:val="24"/>
                <w:highlight w:val="none"/>
                <w:lang w:val="en-US" w:eastAsia="zh-CN" w:bidi="ar-SA"/>
              </w:rPr>
            </w:pPr>
            <w:r>
              <w:rPr>
                <w:rFonts w:hint="eastAsia" w:ascii="Times New Roman" w:hAnsi="Times New Roman" w:eastAsia="宋体" w:cs="宋体"/>
                <w:color w:val="auto"/>
                <w:kern w:val="0"/>
                <w:sz w:val="24"/>
                <w:szCs w:val="24"/>
                <w:highlight w:val="none"/>
                <w:lang w:val="en-US" w:eastAsia="zh-CN" w:bidi="ar-SA"/>
              </w:rPr>
              <w:t>综上所述，拟建项目总平面布置相对合理。本项目平面布置图见附图。</w:t>
            </w:r>
          </w:p>
          <w:p w14:paraId="362B281A">
            <w:pPr>
              <w:keepNext w:val="0"/>
              <w:keepLines w:val="0"/>
              <w:pageBreakBefore w:val="0"/>
              <w:widowControl w:val="0"/>
              <w:numPr>
                <w:ilvl w:val="0"/>
                <w:numId w:val="6"/>
              </w:numPr>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cs="Times New Roman"/>
                <w:b/>
                <w:color w:val="auto"/>
                <w:kern w:val="0"/>
                <w:sz w:val="24"/>
                <w:szCs w:val="24"/>
                <w:highlight w:val="none"/>
                <w:lang w:bidi="ar"/>
              </w:rPr>
            </w:pPr>
            <w:r>
              <w:rPr>
                <w:rFonts w:hint="default" w:ascii="Times New Roman" w:hAnsi="Times New Roman" w:cs="Times New Roman"/>
                <w:b/>
                <w:color w:val="auto"/>
                <w:kern w:val="0"/>
                <w:sz w:val="24"/>
                <w:szCs w:val="24"/>
                <w:highlight w:val="none"/>
                <w:lang w:bidi="ar"/>
              </w:rPr>
              <w:t>环保投资</w:t>
            </w:r>
          </w:p>
          <w:p w14:paraId="4D8D0D09">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b/>
                <w:color w:val="auto"/>
                <w:sz w:val="24"/>
                <w:szCs w:val="24"/>
                <w:highlight w:val="none"/>
              </w:rPr>
            </w:pPr>
            <w:r>
              <w:rPr>
                <w:rFonts w:hint="default"/>
                <w:color w:val="auto"/>
                <w:sz w:val="24"/>
                <w:szCs w:val="24"/>
                <w:highlight w:val="none"/>
              </w:rPr>
              <w:t>本项目总投资</w:t>
            </w:r>
            <w:r>
              <w:rPr>
                <w:rFonts w:hint="eastAsia"/>
                <w:color w:val="auto"/>
                <w:sz w:val="24"/>
                <w:szCs w:val="24"/>
                <w:highlight w:val="none"/>
                <w:lang w:val="en-US" w:eastAsia="zh-CN"/>
              </w:rPr>
              <w:t>800</w:t>
            </w:r>
            <w:r>
              <w:rPr>
                <w:rFonts w:hint="default"/>
                <w:color w:val="auto"/>
                <w:sz w:val="24"/>
                <w:szCs w:val="24"/>
                <w:highlight w:val="none"/>
              </w:rPr>
              <w:t>万元，其中环保投资</w:t>
            </w:r>
            <w:r>
              <w:rPr>
                <w:rFonts w:hint="eastAsia"/>
                <w:color w:val="auto"/>
                <w:sz w:val="24"/>
                <w:szCs w:val="24"/>
                <w:highlight w:val="none"/>
                <w:lang w:val="en-US" w:eastAsia="zh-CN"/>
              </w:rPr>
              <w:t>45</w:t>
            </w:r>
            <w:r>
              <w:rPr>
                <w:rFonts w:hint="default"/>
                <w:color w:val="auto"/>
                <w:sz w:val="24"/>
                <w:szCs w:val="24"/>
                <w:highlight w:val="none"/>
              </w:rPr>
              <w:t>万元，占总投资的</w:t>
            </w:r>
            <w:r>
              <w:rPr>
                <w:rFonts w:hint="eastAsia"/>
                <w:color w:val="auto"/>
                <w:sz w:val="24"/>
                <w:szCs w:val="24"/>
                <w:highlight w:val="none"/>
                <w:lang w:val="en-US" w:eastAsia="zh-CN"/>
              </w:rPr>
              <w:t>5.625</w:t>
            </w:r>
            <w:r>
              <w:rPr>
                <w:rFonts w:hint="default"/>
                <w:color w:val="auto"/>
                <w:sz w:val="24"/>
                <w:szCs w:val="24"/>
                <w:highlight w:val="none"/>
              </w:rPr>
              <w:t>%，详见表2-</w:t>
            </w:r>
            <w:r>
              <w:rPr>
                <w:rFonts w:hint="eastAsia"/>
                <w:color w:val="auto"/>
                <w:sz w:val="24"/>
                <w:szCs w:val="24"/>
                <w:highlight w:val="none"/>
                <w:lang w:val="en-US" w:eastAsia="zh-CN"/>
              </w:rPr>
              <w:t>6</w:t>
            </w:r>
            <w:r>
              <w:rPr>
                <w:rFonts w:hint="default"/>
                <w:color w:val="auto"/>
                <w:sz w:val="24"/>
                <w:szCs w:val="24"/>
                <w:highlight w:val="none"/>
              </w:rPr>
              <w:t>。</w:t>
            </w:r>
          </w:p>
          <w:p w14:paraId="3D6369B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482" w:firstLineChars="200"/>
              <w:jc w:val="center"/>
              <w:textAlignment w:val="auto"/>
              <w:rPr>
                <w:rFonts w:hint="default"/>
                <w:b/>
                <w:color w:val="auto"/>
                <w:sz w:val="24"/>
                <w:szCs w:val="24"/>
                <w:highlight w:val="none"/>
              </w:rPr>
            </w:pPr>
            <w:r>
              <w:rPr>
                <w:rFonts w:hint="default"/>
                <w:b/>
                <w:color w:val="auto"/>
                <w:sz w:val="24"/>
                <w:szCs w:val="24"/>
                <w:highlight w:val="none"/>
              </w:rPr>
              <w:t>表2-</w:t>
            </w:r>
            <w:r>
              <w:rPr>
                <w:rFonts w:hint="eastAsia"/>
                <w:b/>
                <w:color w:val="auto"/>
                <w:sz w:val="24"/>
                <w:szCs w:val="24"/>
                <w:highlight w:val="none"/>
                <w:lang w:val="en-US" w:eastAsia="zh-CN"/>
              </w:rPr>
              <w:t xml:space="preserve">6 </w:t>
            </w:r>
            <w:r>
              <w:rPr>
                <w:rFonts w:hint="default"/>
                <w:b/>
                <w:color w:val="auto"/>
                <w:sz w:val="24"/>
                <w:szCs w:val="24"/>
                <w:highlight w:val="none"/>
              </w:rPr>
              <w:t>环保投资一览表</w:t>
            </w:r>
          </w:p>
          <w:tbl>
            <w:tblPr>
              <w:tblStyle w:val="38"/>
              <w:tblW w:w="819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88"/>
              <w:gridCol w:w="4355"/>
              <w:gridCol w:w="1756"/>
            </w:tblGrid>
            <w:tr w14:paraId="532035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2088" w:type="dxa"/>
                  <w:noWrap w:val="0"/>
                  <w:vAlign w:val="center"/>
                </w:tcPr>
                <w:p w14:paraId="46B944A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类别</w:t>
                  </w:r>
                </w:p>
              </w:tc>
              <w:tc>
                <w:tcPr>
                  <w:tcW w:w="4355" w:type="dxa"/>
                  <w:tcBorders>
                    <w:bottom w:val="single" w:color="auto" w:sz="4" w:space="0"/>
                  </w:tcBorders>
                  <w:noWrap w:val="0"/>
                  <w:vAlign w:val="center"/>
                </w:tcPr>
                <w:p w14:paraId="43050DB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防治措施</w:t>
                  </w:r>
                </w:p>
              </w:tc>
              <w:tc>
                <w:tcPr>
                  <w:tcW w:w="1756" w:type="dxa"/>
                  <w:tcBorders>
                    <w:bottom w:val="single" w:color="auto" w:sz="4" w:space="0"/>
                  </w:tcBorders>
                  <w:noWrap w:val="0"/>
                  <w:vAlign w:val="center"/>
                </w:tcPr>
                <w:p w14:paraId="2264678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投资（万元）</w:t>
                  </w:r>
                </w:p>
              </w:tc>
            </w:tr>
            <w:tr w14:paraId="363AFD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199" w:type="dxa"/>
                  <w:gridSpan w:val="3"/>
                  <w:noWrap w:val="0"/>
                  <w:vAlign w:val="center"/>
                </w:tcPr>
                <w:p w14:paraId="3DD4D18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施工期</w:t>
                  </w:r>
                </w:p>
              </w:tc>
            </w:tr>
            <w:tr w14:paraId="125D3D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2088" w:type="dxa"/>
                  <w:noWrap w:val="0"/>
                  <w:vAlign w:val="center"/>
                </w:tcPr>
                <w:p w14:paraId="4C957742">
                  <w:pPr>
                    <w:keepNext w:val="0"/>
                    <w:keepLines w:val="0"/>
                    <w:pageBreakBefore w:val="0"/>
                    <w:widowControl/>
                    <w:suppressLineNumbers w:val="0"/>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shd w:val="clear" w:color="auto" w:fill="auto"/>
                      <w:lang w:val="en-US" w:eastAsia="zh-CN"/>
                    </w:rPr>
                    <w:t>废气</w:t>
                  </w:r>
                  <w:r>
                    <w:rPr>
                      <w:rFonts w:hint="default" w:ascii="Times New Roman" w:hAnsi="Times New Roman" w:eastAsia="宋体" w:cs="Times New Roman"/>
                      <w:color w:val="auto"/>
                      <w:sz w:val="21"/>
                      <w:szCs w:val="21"/>
                      <w:highlight w:val="none"/>
                      <w:lang w:val="en-US" w:eastAsia="zh-CN"/>
                    </w:rPr>
                    <w:t>治理措施</w:t>
                  </w:r>
                </w:p>
              </w:tc>
              <w:tc>
                <w:tcPr>
                  <w:tcW w:w="4355" w:type="dxa"/>
                  <w:tcBorders>
                    <w:bottom w:val="single" w:color="auto" w:sz="4" w:space="0"/>
                  </w:tcBorders>
                  <w:noWrap w:val="0"/>
                  <w:vAlign w:val="center"/>
                </w:tcPr>
                <w:p w14:paraId="2DE88194">
                  <w:pPr>
                    <w:keepNext w:val="0"/>
                    <w:keepLines w:val="0"/>
                    <w:pageBreakBefore w:val="0"/>
                    <w:widowControl/>
                    <w:suppressLineNumbers w:val="0"/>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shd w:val="clear" w:color="auto" w:fill="auto"/>
                      <w:lang w:val="en-US" w:eastAsia="zh-CN"/>
                    </w:rPr>
                    <w:t>洒水抑尘，运输时加盖篷布</w:t>
                  </w:r>
                </w:p>
              </w:tc>
              <w:tc>
                <w:tcPr>
                  <w:tcW w:w="1756" w:type="dxa"/>
                  <w:tcBorders>
                    <w:bottom w:val="single" w:color="auto" w:sz="4" w:space="0"/>
                  </w:tcBorders>
                  <w:noWrap w:val="0"/>
                  <w:vAlign w:val="center"/>
                </w:tcPr>
                <w:p w14:paraId="71EBB965">
                  <w:pPr>
                    <w:keepNext w:val="0"/>
                    <w:keepLines w:val="0"/>
                    <w:pageBreakBefore w:val="0"/>
                    <w:widowControl/>
                    <w:suppressLineNumbers w:val="0"/>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shd w:val="clear" w:color="auto" w:fill="auto"/>
                      <w:lang w:val="en-US" w:eastAsia="zh-CN"/>
                    </w:rPr>
                    <w:t>1</w:t>
                  </w:r>
                  <w:r>
                    <w:rPr>
                      <w:rFonts w:hint="default" w:ascii="Times New Roman" w:hAnsi="Times New Roman" w:eastAsia="宋体" w:cs="Times New Roman"/>
                      <w:color w:val="auto"/>
                      <w:kern w:val="0"/>
                      <w:sz w:val="21"/>
                      <w:szCs w:val="21"/>
                      <w:highlight w:val="none"/>
                      <w:shd w:val="clear" w:color="auto" w:fill="auto"/>
                      <w:lang w:val="en-US" w:eastAsia="zh-CN"/>
                    </w:rPr>
                    <w:t>.</w:t>
                  </w:r>
                  <w:r>
                    <w:rPr>
                      <w:rFonts w:hint="eastAsia" w:ascii="Times New Roman" w:hAnsi="Times New Roman" w:eastAsia="宋体" w:cs="Times New Roman"/>
                      <w:color w:val="auto"/>
                      <w:kern w:val="0"/>
                      <w:sz w:val="21"/>
                      <w:szCs w:val="21"/>
                      <w:highlight w:val="none"/>
                      <w:shd w:val="clear" w:color="auto" w:fill="auto"/>
                      <w:lang w:val="en-US" w:eastAsia="zh-CN"/>
                    </w:rPr>
                    <w:t>1</w:t>
                  </w:r>
                </w:p>
              </w:tc>
            </w:tr>
            <w:tr w14:paraId="31DFDA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2088" w:type="dxa"/>
                  <w:noWrap w:val="0"/>
                  <w:vAlign w:val="center"/>
                </w:tcPr>
                <w:p w14:paraId="7FE05AEA">
                  <w:pPr>
                    <w:keepNext w:val="0"/>
                    <w:keepLines w:val="0"/>
                    <w:pageBreakBefore w:val="0"/>
                    <w:widowControl/>
                    <w:suppressLineNumbers w:val="0"/>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shd w:val="clear" w:color="auto" w:fill="auto"/>
                      <w:lang w:val="en-US" w:eastAsia="zh-CN"/>
                    </w:rPr>
                    <w:t>噪声</w:t>
                  </w:r>
                  <w:r>
                    <w:rPr>
                      <w:rFonts w:hint="default" w:ascii="Times New Roman" w:hAnsi="Times New Roman" w:eastAsia="宋体" w:cs="Times New Roman"/>
                      <w:color w:val="auto"/>
                      <w:sz w:val="21"/>
                      <w:szCs w:val="21"/>
                      <w:highlight w:val="none"/>
                      <w:lang w:val="en-US" w:eastAsia="zh-CN"/>
                    </w:rPr>
                    <w:t>治理措施</w:t>
                  </w:r>
                </w:p>
              </w:tc>
              <w:tc>
                <w:tcPr>
                  <w:tcW w:w="4355" w:type="dxa"/>
                  <w:tcBorders>
                    <w:bottom w:val="single" w:color="auto" w:sz="4" w:space="0"/>
                  </w:tcBorders>
                  <w:noWrap w:val="0"/>
                  <w:vAlign w:val="center"/>
                </w:tcPr>
                <w:p w14:paraId="7AFF6AE1">
                  <w:pPr>
                    <w:keepNext w:val="0"/>
                    <w:keepLines w:val="0"/>
                    <w:pageBreakBefore w:val="0"/>
                    <w:widowControl/>
                    <w:suppressLineNumbers w:val="0"/>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shd w:val="clear" w:color="auto" w:fill="auto"/>
                      <w:lang w:val="en-US" w:eastAsia="zh-CN"/>
                    </w:rPr>
                    <w:t>施工设施隔声、减振等</w:t>
                  </w:r>
                </w:p>
              </w:tc>
              <w:tc>
                <w:tcPr>
                  <w:tcW w:w="1756" w:type="dxa"/>
                  <w:tcBorders>
                    <w:bottom w:val="single" w:color="auto" w:sz="4" w:space="0"/>
                  </w:tcBorders>
                  <w:noWrap w:val="0"/>
                  <w:vAlign w:val="center"/>
                </w:tcPr>
                <w:p w14:paraId="262C30B5">
                  <w:pPr>
                    <w:keepNext w:val="0"/>
                    <w:keepLines w:val="0"/>
                    <w:pageBreakBefore w:val="0"/>
                    <w:widowControl/>
                    <w:suppressLineNumbers w:val="0"/>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.5</w:t>
                  </w:r>
                </w:p>
              </w:tc>
            </w:tr>
            <w:tr w14:paraId="7E024C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088" w:type="dxa"/>
                  <w:noWrap w:val="0"/>
                  <w:vAlign w:val="center"/>
                </w:tcPr>
                <w:p w14:paraId="3D24725A">
                  <w:pPr>
                    <w:keepNext w:val="0"/>
                    <w:keepLines w:val="0"/>
                    <w:pageBreakBefore w:val="0"/>
                    <w:widowControl/>
                    <w:suppressLineNumbers w:val="0"/>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shd w:val="clear" w:color="auto" w:fill="auto"/>
                      <w:lang w:val="en-US" w:eastAsia="zh-CN"/>
                    </w:rPr>
                    <w:t>固废</w:t>
                  </w:r>
                  <w:r>
                    <w:rPr>
                      <w:rFonts w:hint="default" w:ascii="Times New Roman" w:hAnsi="Times New Roman" w:eastAsia="宋体" w:cs="Times New Roman"/>
                      <w:color w:val="auto"/>
                      <w:sz w:val="21"/>
                      <w:szCs w:val="21"/>
                      <w:highlight w:val="none"/>
                      <w:lang w:val="en-US" w:eastAsia="zh-CN"/>
                    </w:rPr>
                    <w:t>治理措施</w:t>
                  </w:r>
                </w:p>
              </w:tc>
              <w:tc>
                <w:tcPr>
                  <w:tcW w:w="4355" w:type="dxa"/>
                  <w:tcBorders>
                    <w:bottom w:val="single" w:color="auto" w:sz="4" w:space="0"/>
                  </w:tcBorders>
                  <w:noWrap w:val="0"/>
                  <w:vAlign w:val="center"/>
                </w:tcPr>
                <w:p w14:paraId="7FEFEF64">
                  <w:pPr>
                    <w:keepNext w:val="0"/>
                    <w:keepLines w:val="0"/>
                    <w:pageBreakBefore w:val="0"/>
                    <w:widowControl/>
                    <w:suppressLineNumbers w:val="0"/>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shd w:val="clear" w:color="auto" w:fill="auto"/>
                      <w:lang w:val="en-US" w:eastAsia="zh-CN"/>
                    </w:rPr>
                    <w:t>生活垃圾、建筑材料垃圾集中收集后清运至指定地点集中处置</w:t>
                  </w:r>
                </w:p>
              </w:tc>
              <w:tc>
                <w:tcPr>
                  <w:tcW w:w="1756" w:type="dxa"/>
                  <w:tcBorders>
                    <w:bottom w:val="single" w:color="auto" w:sz="4" w:space="0"/>
                  </w:tcBorders>
                  <w:noWrap w:val="0"/>
                  <w:vAlign w:val="center"/>
                </w:tcPr>
                <w:p w14:paraId="72B64B8F">
                  <w:pPr>
                    <w:keepNext w:val="0"/>
                    <w:keepLines w:val="0"/>
                    <w:pageBreakBefore w:val="0"/>
                    <w:widowControl/>
                    <w:suppressLineNumbers w:val="0"/>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shd w:val="clear" w:color="auto" w:fill="auto"/>
                      <w:lang w:val="en-US" w:eastAsia="zh-CN"/>
                    </w:rPr>
                    <w:t>1</w:t>
                  </w:r>
                  <w:r>
                    <w:rPr>
                      <w:rFonts w:hint="eastAsia" w:ascii="Times New Roman" w:hAnsi="Times New Roman" w:eastAsia="宋体" w:cs="Times New Roman"/>
                      <w:color w:val="auto"/>
                      <w:kern w:val="0"/>
                      <w:sz w:val="21"/>
                      <w:szCs w:val="21"/>
                      <w:highlight w:val="none"/>
                      <w:shd w:val="clear" w:color="auto" w:fill="auto"/>
                      <w:lang w:val="en-US" w:eastAsia="zh-CN"/>
                    </w:rPr>
                    <w:t>.4</w:t>
                  </w:r>
                </w:p>
              </w:tc>
            </w:tr>
            <w:tr w14:paraId="2F6314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199" w:type="dxa"/>
                  <w:gridSpan w:val="3"/>
                  <w:noWrap w:val="0"/>
                  <w:vAlign w:val="center"/>
                </w:tcPr>
                <w:p w14:paraId="45ECA60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营运期</w:t>
                  </w:r>
                </w:p>
              </w:tc>
            </w:tr>
            <w:tr w14:paraId="697653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2088" w:type="dxa"/>
                  <w:noWrap w:val="0"/>
                  <w:vAlign w:val="center"/>
                </w:tcPr>
                <w:p w14:paraId="57DC6CC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shd w:val="clear" w:color="auto" w:fill="auto"/>
                      <w:lang w:val="en-US" w:eastAsia="zh-CN"/>
                    </w:rPr>
                    <w:t>废气</w:t>
                  </w:r>
                  <w:r>
                    <w:rPr>
                      <w:rFonts w:hint="default" w:ascii="Times New Roman" w:hAnsi="Times New Roman" w:eastAsia="宋体" w:cs="Times New Roman"/>
                      <w:color w:val="auto"/>
                      <w:sz w:val="21"/>
                      <w:szCs w:val="21"/>
                      <w:highlight w:val="none"/>
                      <w:lang w:val="en-US" w:eastAsia="zh-CN"/>
                    </w:rPr>
                    <w:t>治理措施</w:t>
                  </w:r>
                </w:p>
              </w:tc>
              <w:tc>
                <w:tcPr>
                  <w:tcW w:w="4355" w:type="dxa"/>
                  <w:noWrap w:val="0"/>
                  <w:vAlign w:val="center"/>
                </w:tcPr>
                <w:p w14:paraId="7B6947F8">
                  <w:pPr>
                    <w:keepNext w:val="0"/>
                    <w:keepLines w:val="0"/>
                    <w:suppressLineNumbers w:val="0"/>
                    <w:bidi w:val="0"/>
                    <w:spacing w:before="0" w:beforeAutospacing="0" w:after="0" w:afterAutospacing="0"/>
                    <w:ind w:left="0" w:right="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布袋除尘器+排气筒</w:t>
                  </w:r>
                </w:p>
                <w:p w14:paraId="07F7037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工业粉尘：</w:t>
                  </w:r>
                  <w:r>
                    <w:rPr>
                      <w:rFonts w:hint="default" w:ascii="Times New Roman" w:hAnsi="Times New Roman" w:eastAsia="宋体" w:cs="Times New Roman"/>
                      <w:color w:val="auto"/>
                      <w:sz w:val="21"/>
                      <w:szCs w:val="21"/>
                      <w:highlight w:val="none"/>
                      <w:lang w:val="en-US" w:eastAsia="zh-CN"/>
                    </w:rPr>
                    <w:t>抑尘网</w:t>
                  </w:r>
                  <w:r>
                    <w:rPr>
                      <w:rFonts w:hint="eastAsia" w:ascii="Times New Roman" w:hAnsi="Times New Roman" w:eastAsia="宋体" w:cs="Times New Roman"/>
                      <w:color w:val="auto"/>
                      <w:sz w:val="21"/>
                      <w:szCs w:val="21"/>
                      <w:highlight w:val="none"/>
                      <w:lang w:val="en-US" w:eastAsia="zh-CN"/>
                    </w:rPr>
                    <w:t>、防尘挡板</w:t>
                  </w:r>
                  <w:r>
                    <w:rPr>
                      <w:rFonts w:hint="eastAsia" w:cs="Times New Roman"/>
                      <w:color w:val="auto"/>
                      <w:sz w:val="21"/>
                      <w:szCs w:val="21"/>
                      <w:highlight w:val="none"/>
                      <w:lang w:val="en-US" w:eastAsia="zh-CN"/>
                    </w:rPr>
                    <w:t>等</w:t>
                  </w:r>
                </w:p>
              </w:tc>
              <w:tc>
                <w:tcPr>
                  <w:tcW w:w="1756" w:type="dxa"/>
                  <w:noWrap w:val="0"/>
                  <w:vAlign w:val="center"/>
                </w:tcPr>
                <w:p w14:paraId="1A9B08F5">
                  <w:pPr>
                    <w:pStyle w:val="102"/>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w:t>
                  </w:r>
                </w:p>
              </w:tc>
            </w:tr>
            <w:tr w14:paraId="472FDD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2088" w:type="dxa"/>
                  <w:noWrap w:val="0"/>
                  <w:vAlign w:val="center"/>
                </w:tcPr>
                <w:p w14:paraId="44060ED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shd w:val="clear" w:color="auto" w:fill="auto"/>
                      <w:lang w:val="en-US" w:eastAsia="zh-CN"/>
                    </w:rPr>
                  </w:pPr>
                  <w:r>
                    <w:rPr>
                      <w:rFonts w:hint="default" w:ascii="Times New Roman" w:hAnsi="Times New Roman" w:eastAsia="宋体" w:cs="Times New Roman"/>
                      <w:color w:val="auto"/>
                      <w:kern w:val="0"/>
                      <w:sz w:val="21"/>
                      <w:szCs w:val="21"/>
                      <w:highlight w:val="none"/>
                      <w:shd w:val="clear" w:color="auto" w:fill="auto"/>
                      <w:lang w:val="en-US" w:eastAsia="zh-CN"/>
                    </w:rPr>
                    <w:t>废</w:t>
                  </w:r>
                  <w:r>
                    <w:rPr>
                      <w:rFonts w:hint="eastAsia" w:ascii="Times New Roman" w:hAnsi="Times New Roman" w:eastAsia="宋体" w:cs="Times New Roman"/>
                      <w:color w:val="auto"/>
                      <w:kern w:val="0"/>
                      <w:sz w:val="21"/>
                      <w:szCs w:val="21"/>
                      <w:highlight w:val="none"/>
                      <w:shd w:val="clear" w:color="auto" w:fill="auto"/>
                      <w:lang w:val="en-US" w:eastAsia="zh-CN"/>
                    </w:rPr>
                    <w:t>水</w:t>
                  </w:r>
                  <w:r>
                    <w:rPr>
                      <w:rFonts w:hint="default" w:ascii="Times New Roman" w:hAnsi="Times New Roman" w:eastAsia="宋体" w:cs="Times New Roman"/>
                      <w:color w:val="auto"/>
                      <w:sz w:val="21"/>
                      <w:szCs w:val="21"/>
                      <w:highlight w:val="none"/>
                      <w:lang w:val="en-US" w:eastAsia="zh-CN"/>
                    </w:rPr>
                    <w:t>治理措施</w:t>
                  </w:r>
                </w:p>
              </w:tc>
              <w:tc>
                <w:tcPr>
                  <w:tcW w:w="4355" w:type="dxa"/>
                  <w:noWrap w:val="0"/>
                  <w:vAlign w:val="center"/>
                </w:tcPr>
                <w:p w14:paraId="276C194E">
                  <w:pPr>
                    <w:keepNext w:val="0"/>
                    <w:keepLines w:val="0"/>
                    <w:suppressLineNumbers w:val="0"/>
                    <w:bidi w:val="0"/>
                    <w:spacing w:before="0" w:beforeAutospacing="0" w:after="0" w:afterAutospacing="0"/>
                    <w:ind w:left="0" w:right="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防渗旱厕</w:t>
                  </w:r>
                </w:p>
              </w:tc>
              <w:tc>
                <w:tcPr>
                  <w:tcW w:w="1756" w:type="dxa"/>
                  <w:noWrap w:val="0"/>
                  <w:vAlign w:val="center"/>
                </w:tcPr>
                <w:p w14:paraId="183616D0">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r>
            <w:tr w14:paraId="5509BD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2088" w:type="dxa"/>
                  <w:noWrap w:val="0"/>
                  <w:vAlign w:val="center"/>
                </w:tcPr>
                <w:p w14:paraId="7B240DF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噪声治理措施</w:t>
                  </w:r>
                </w:p>
              </w:tc>
              <w:tc>
                <w:tcPr>
                  <w:tcW w:w="4355" w:type="dxa"/>
                  <w:noWrap w:val="0"/>
                  <w:vAlign w:val="center"/>
                </w:tcPr>
                <w:p w14:paraId="0AA3399D">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选用低噪声设备、基础减振</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隔声</w:t>
                  </w:r>
                  <w:r>
                    <w:rPr>
                      <w:rFonts w:hint="default" w:ascii="Times New Roman" w:hAnsi="Times New Roman" w:cs="Times New Roman"/>
                      <w:color w:val="auto"/>
                      <w:sz w:val="21"/>
                      <w:szCs w:val="21"/>
                      <w:highlight w:val="none"/>
                      <w:lang w:val="en-US" w:eastAsia="zh-CN"/>
                    </w:rPr>
                    <w:t>等</w:t>
                  </w:r>
                  <w:r>
                    <w:rPr>
                      <w:rFonts w:hint="default" w:ascii="Times New Roman" w:hAnsi="Times New Roman" w:cs="Times New Roman"/>
                      <w:color w:val="auto"/>
                      <w:sz w:val="21"/>
                      <w:szCs w:val="21"/>
                      <w:highlight w:val="none"/>
                    </w:rPr>
                    <w:t>措施</w:t>
                  </w:r>
                </w:p>
              </w:tc>
              <w:tc>
                <w:tcPr>
                  <w:tcW w:w="1756" w:type="dxa"/>
                  <w:noWrap w:val="0"/>
                  <w:vAlign w:val="center"/>
                </w:tcPr>
                <w:p w14:paraId="1F080DB8">
                  <w:pPr>
                    <w:pStyle w:val="85"/>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w:t>
                  </w:r>
                </w:p>
              </w:tc>
            </w:tr>
            <w:tr w14:paraId="15DC0B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2" w:hRule="atLeast"/>
                <w:jc w:val="center"/>
              </w:trPr>
              <w:tc>
                <w:tcPr>
                  <w:tcW w:w="2088" w:type="dxa"/>
                  <w:noWrap w:val="0"/>
                  <w:vAlign w:val="center"/>
                </w:tcPr>
                <w:p w14:paraId="2C5BCE2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固废治理措施</w:t>
                  </w:r>
                </w:p>
              </w:tc>
              <w:tc>
                <w:tcPr>
                  <w:tcW w:w="4355" w:type="dxa"/>
                  <w:noWrap w:val="0"/>
                  <w:vAlign w:val="center"/>
                </w:tcPr>
                <w:p w14:paraId="173B286E">
                  <w:pPr>
                    <w:pStyle w:val="32"/>
                    <w:keepNext w:val="0"/>
                    <w:keepLines w:val="0"/>
                    <w:suppressLineNumbers w:val="0"/>
                    <w:spacing w:before="0" w:beforeAutospacing="0" w:after="0" w:afterAutospacing="0"/>
                    <w:ind w:left="0" w:leftChars="0" w:right="0" w:firstLine="0" w:firstLineChars="0"/>
                    <w:jc w:val="center"/>
                    <w:rPr>
                      <w:rFonts w:hint="eastAsia"/>
                      <w:color w:val="auto"/>
                      <w:highlight w:val="none"/>
                      <w:lang w:val="en-US" w:eastAsia="zh-CN"/>
                    </w:rPr>
                  </w:pPr>
                  <w:r>
                    <w:rPr>
                      <w:rFonts w:hint="default" w:ascii="Times New Roman" w:hAnsi="Times New Roman" w:eastAsia="宋体" w:cs="Times New Roman"/>
                      <w:color w:val="auto"/>
                      <w:sz w:val="21"/>
                      <w:szCs w:val="21"/>
                      <w:highlight w:val="none"/>
                      <w:lang w:val="en-US" w:eastAsia="zh-CN"/>
                    </w:rPr>
                    <w:t>生活垃圾</w:t>
                  </w:r>
                  <w:r>
                    <w:rPr>
                      <w:rFonts w:hint="eastAsia"/>
                      <w:color w:val="auto"/>
                      <w:szCs w:val="21"/>
                      <w:highlight w:val="none"/>
                    </w:rPr>
                    <w:t>集中收集，由市政环卫部门统一清运</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装卸粉尘、烘干粉尘、热风炉炉渣、布袋集尘灰，集中收集，外售综合利用；废旧布袋，厂家回收；清筛杂质：交由具有相应处理能力或经营范围的单位利用和处置</w:t>
                  </w:r>
                </w:p>
              </w:tc>
              <w:tc>
                <w:tcPr>
                  <w:tcW w:w="1756" w:type="dxa"/>
                  <w:noWrap w:val="0"/>
                  <w:vAlign w:val="center"/>
                </w:tcPr>
                <w:p w14:paraId="1C5FD832">
                  <w:pPr>
                    <w:pStyle w:val="85"/>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w:t>
                  </w:r>
                </w:p>
              </w:tc>
            </w:tr>
            <w:tr w14:paraId="1C0BC0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2088" w:type="dxa"/>
                  <w:noWrap w:val="0"/>
                  <w:vAlign w:val="center"/>
                </w:tcPr>
                <w:p w14:paraId="7B91D1A0">
                  <w:pPr>
                    <w:pStyle w:val="167"/>
                    <w:keepNext w:val="0"/>
                    <w:keepLines w:val="0"/>
                    <w:suppressLineNumbers w:val="0"/>
                    <w:spacing w:before="0" w:beforeAutospacing="0" w:after="0" w:afterAutospacing="0"/>
                    <w:ind w:left="0" w:leftChars="0" w:right="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监测、运行维护费用</w:t>
                  </w:r>
                </w:p>
              </w:tc>
              <w:tc>
                <w:tcPr>
                  <w:tcW w:w="4355" w:type="dxa"/>
                  <w:noWrap w:val="0"/>
                  <w:vAlign w:val="center"/>
                </w:tcPr>
                <w:p w14:paraId="704DAC81">
                  <w:pPr>
                    <w:pStyle w:val="167"/>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环保设施运行和维护</w:t>
                  </w:r>
                  <w:r>
                    <w:rPr>
                      <w:rFonts w:hint="default" w:ascii="Times New Roman" w:hAnsi="Times New Roman" w:eastAsia="宋体" w:cs="Times New Roman"/>
                      <w:color w:val="auto"/>
                      <w:sz w:val="21"/>
                      <w:szCs w:val="21"/>
                      <w:highlight w:val="none"/>
                      <w:lang w:eastAsia="zh-CN"/>
                    </w:rPr>
                    <w:t>费用</w:t>
                  </w:r>
                </w:p>
              </w:tc>
              <w:tc>
                <w:tcPr>
                  <w:tcW w:w="1756" w:type="dxa"/>
                  <w:noWrap w:val="0"/>
                  <w:vAlign w:val="center"/>
                </w:tcPr>
                <w:p w14:paraId="3FB354B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r>
            <w:tr w14:paraId="4F36DA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6443" w:type="dxa"/>
                  <w:gridSpan w:val="2"/>
                  <w:noWrap w:val="0"/>
                  <w:vAlign w:val="center"/>
                </w:tcPr>
                <w:p w14:paraId="07DFF3B6">
                  <w:pPr>
                    <w:pStyle w:val="167"/>
                    <w:keepNext w:val="0"/>
                    <w:keepLines w:val="0"/>
                    <w:suppressLineNumbers w:val="0"/>
                    <w:spacing w:before="0" w:beforeAutospacing="0" w:after="0" w:afterAutospacing="0"/>
                    <w:ind w:left="0" w:leftChars="0" w:right="0" w:firstLine="0" w:firstLineChars="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合计</w:t>
                  </w:r>
                </w:p>
              </w:tc>
              <w:tc>
                <w:tcPr>
                  <w:tcW w:w="1756" w:type="dxa"/>
                  <w:noWrap w:val="0"/>
                  <w:vAlign w:val="center"/>
                </w:tcPr>
                <w:p w14:paraId="152DC02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45</w:t>
                  </w:r>
                </w:p>
              </w:tc>
            </w:tr>
            <w:tr w14:paraId="1D4479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6443" w:type="dxa"/>
                  <w:gridSpan w:val="2"/>
                  <w:noWrap w:val="0"/>
                  <w:vAlign w:val="center"/>
                </w:tcPr>
                <w:p w14:paraId="5D0AD4A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总投资</w:t>
                  </w:r>
                </w:p>
              </w:tc>
              <w:tc>
                <w:tcPr>
                  <w:tcW w:w="1756" w:type="dxa"/>
                  <w:noWrap w:val="0"/>
                  <w:vAlign w:val="center"/>
                </w:tcPr>
                <w:p w14:paraId="1CDE482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800</w:t>
                  </w:r>
                </w:p>
              </w:tc>
            </w:tr>
            <w:tr w14:paraId="3D0706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6443" w:type="dxa"/>
                  <w:gridSpan w:val="2"/>
                  <w:noWrap w:val="0"/>
                  <w:vAlign w:val="center"/>
                </w:tcPr>
                <w:p w14:paraId="7B3F881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环保投资比%</w:t>
                  </w:r>
                </w:p>
              </w:tc>
              <w:tc>
                <w:tcPr>
                  <w:tcW w:w="1756" w:type="dxa"/>
                  <w:noWrap w:val="0"/>
                  <w:vAlign w:val="center"/>
                </w:tcPr>
                <w:p w14:paraId="25268EE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5.625</w:t>
                  </w:r>
                </w:p>
              </w:tc>
            </w:tr>
          </w:tbl>
          <w:p w14:paraId="06A6484A">
            <w:pPr>
              <w:keepNext w:val="0"/>
              <w:keepLines w:val="0"/>
              <w:pageBreakBefore w:val="0"/>
              <w:suppressLineNumbers w:val="0"/>
              <w:wordWrap/>
              <w:overflowPunct/>
              <w:topLinePunct w:val="0"/>
              <w:bidi w:val="0"/>
              <w:spacing w:before="0" w:beforeAutospacing="0" w:after="0" w:afterAutospacing="0" w:line="360" w:lineRule="auto"/>
              <w:ind w:left="0" w:right="0"/>
              <w:rPr>
                <w:rFonts w:hint="default"/>
                <w:color w:val="auto"/>
                <w:sz w:val="24"/>
                <w:szCs w:val="24"/>
                <w:highlight w:val="none"/>
                <w:lang w:val="en-US" w:eastAsia="zh-CN"/>
              </w:rPr>
            </w:pPr>
          </w:p>
        </w:tc>
      </w:tr>
      <w:tr w14:paraId="682F1F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755" w:type="dxa"/>
            <w:vAlign w:val="center"/>
          </w:tcPr>
          <w:p w14:paraId="5E2DD989">
            <w:pPr>
              <w:keepNext w:val="0"/>
              <w:keepLines w:val="0"/>
              <w:pageBreakBefore w:val="0"/>
              <w:suppressLineNumbers w:val="0"/>
              <w:wordWrap/>
              <w:overflowPunct/>
              <w:topLinePunct w:val="0"/>
              <w:bidi w:val="0"/>
              <w:adjustRightInd w:val="0"/>
              <w:snapToGrid w:val="0"/>
              <w:spacing w:before="0" w:beforeAutospacing="0" w:after="0" w:afterAutospacing="0" w:line="360" w:lineRule="auto"/>
              <w:ind w:left="0" w:leftChars="0" w:right="0" w:rightChars="0"/>
              <w:jc w:val="center"/>
              <w:rPr>
                <w:rFonts w:hint="default" w:ascii="Times New Roman" w:hAnsi="Times New Roman" w:cs="Times New Roman"/>
                <w:color w:val="FF0000"/>
                <w:kern w:val="21"/>
                <w:sz w:val="24"/>
                <w:szCs w:val="24"/>
                <w:highlight w:val="none"/>
              </w:rPr>
            </w:pPr>
            <w:r>
              <w:rPr>
                <w:rFonts w:hint="default" w:ascii="Times New Roman" w:hAnsi="Times New Roman" w:cs="Times New Roman"/>
                <w:color w:val="auto"/>
                <w:kern w:val="21"/>
                <w:sz w:val="24"/>
                <w:szCs w:val="24"/>
                <w:highlight w:val="none"/>
              </w:rPr>
              <w:t>工艺流程和产排污环节</w:t>
            </w:r>
          </w:p>
        </w:tc>
        <w:tc>
          <w:tcPr>
            <w:tcW w:w="8381" w:type="dxa"/>
            <w:vAlign w:val="center"/>
          </w:tcPr>
          <w:p w14:paraId="52A8CCE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center"/>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1、施工期</w:t>
            </w:r>
          </w:p>
          <w:p w14:paraId="1963AD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ascii="Times New Roman" w:hAnsi="Times New Roman" w:eastAsia="宋体" w:cs="Times New Roman"/>
                <w:color w:val="auto"/>
                <w:sz w:val="24"/>
                <w:u w:val="none" w:color="auto"/>
                <w:lang w:eastAsia="zh-CN"/>
              </w:rPr>
            </w:pPr>
            <w:r>
              <w:rPr>
                <w:rFonts w:hint="eastAsia" w:ascii="Times New Roman" w:hAnsi="Times New Roman" w:eastAsia="宋体" w:cs="Times New Roman"/>
                <w:color w:val="auto"/>
                <w:sz w:val="24"/>
                <w:u w:val="none" w:color="auto"/>
                <w:lang w:val="en-US" w:eastAsia="zh-CN"/>
              </w:rPr>
              <w:t>本项目施工主要建设内容为</w:t>
            </w:r>
            <w:r>
              <w:rPr>
                <w:rFonts w:hint="eastAsia"/>
                <w:sz w:val="24"/>
                <w:szCs w:val="24"/>
                <w:lang w:val="en-US" w:eastAsia="zh-CN"/>
              </w:rPr>
              <w:t>热风炉</w:t>
            </w:r>
            <w:r>
              <w:rPr>
                <w:rFonts w:hint="eastAsia" w:ascii="Times New Roman" w:hAnsi="Times New Roman" w:eastAsia="宋体" w:cs="Times New Roman"/>
                <w:color w:val="auto"/>
                <w:sz w:val="24"/>
                <w:szCs w:val="24"/>
                <w:u w:val="none" w:color="auto"/>
                <w:lang w:val="en-US" w:eastAsia="zh-CN"/>
              </w:rPr>
              <w:t>安</w:t>
            </w:r>
            <w:r>
              <w:rPr>
                <w:rFonts w:hint="eastAsia" w:ascii="Times New Roman" w:hAnsi="Times New Roman" w:eastAsia="宋体" w:cs="Times New Roman"/>
                <w:color w:val="auto"/>
                <w:sz w:val="24"/>
                <w:u w:val="none" w:color="auto"/>
                <w:lang w:val="en-US" w:eastAsia="zh-CN"/>
              </w:rPr>
              <w:t>装，</w:t>
            </w:r>
            <w:r>
              <w:rPr>
                <w:rFonts w:hint="default" w:ascii="Times New Roman" w:hAnsi="Times New Roman" w:eastAsia="宋体" w:cs="Times New Roman"/>
                <w:color w:val="auto"/>
                <w:sz w:val="24"/>
                <w:u w:val="none" w:color="auto"/>
              </w:rPr>
              <w:t>其</w:t>
            </w:r>
            <w:r>
              <w:rPr>
                <w:rFonts w:hint="eastAsia" w:ascii="Times New Roman" w:hAnsi="Times New Roman" w:eastAsia="宋体" w:cs="Times New Roman"/>
                <w:color w:val="auto"/>
                <w:sz w:val="24"/>
                <w:u w:val="none" w:color="auto"/>
                <w:lang w:val="en-US" w:eastAsia="zh-CN"/>
              </w:rPr>
              <w:t>施工期会产生一定的废气、噪声、少量工人生活污水和生活垃圾。</w:t>
            </w:r>
            <w:r>
              <w:rPr>
                <w:rFonts w:hint="default" w:ascii="Times New Roman" w:hAnsi="Times New Roman" w:eastAsia="宋体" w:cs="Times New Roman"/>
                <w:color w:val="auto"/>
                <w:sz w:val="24"/>
                <w:u w:val="none" w:color="auto"/>
              </w:rPr>
              <w:t>施工期工艺流程图及工艺污染环节流程见图2-</w:t>
            </w:r>
            <w:r>
              <w:rPr>
                <w:rFonts w:hint="eastAsia" w:ascii="Times New Roman" w:hAnsi="Times New Roman" w:eastAsia="宋体" w:cs="Times New Roman"/>
                <w:color w:val="auto"/>
                <w:sz w:val="24"/>
                <w:u w:val="none" w:color="auto"/>
                <w:lang w:val="en-US" w:eastAsia="zh-CN"/>
              </w:rPr>
              <w:t>2</w:t>
            </w:r>
            <w:r>
              <w:rPr>
                <w:rFonts w:hint="eastAsia" w:ascii="Times New Roman" w:hAnsi="Times New Roman" w:eastAsia="宋体" w:cs="Times New Roman"/>
                <w:color w:val="auto"/>
                <w:sz w:val="24"/>
                <w:u w:val="none" w:color="auto"/>
                <w:lang w:eastAsia="zh-CN"/>
              </w:rPr>
              <w:t>。</w:t>
            </w:r>
          </w:p>
          <w:p w14:paraId="09F039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ascii="Times New Roman" w:hAnsi="Times New Roman" w:eastAsia="宋体" w:cs="Times New Roman"/>
                <w:color w:val="auto"/>
                <w:sz w:val="24"/>
                <w:u w:val="none" w:color="auto"/>
                <w:lang w:eastAsia="zh-CN"/>
              </w:rPr>
            </w:pPr>
            <w:r>
              <w:rPr>
                <w:rFonts w:hint="default"/>
                <w:bCs/>
                <w:color w:val="auto"/>
                <w:sz w:val="24"/>
              </w:rPr>
              <mc:AlternateContent>
                <mc:Choice Requires="wps">
                  <w:drawing>
                    <wp:anchor distT="0" distB="0" distL="114300" distR="114300" simplePos="0" relativeHeight="251684864" behindDoc="0" locked="0" layoutInCell="1" allowOverlap="1">
                      <wp:simplePos x="0" y="0"/>
                      <wp:positionH relativeFrom="column">
                        <wp:posOffset>1148080</wp:posOffset>
                      </wp:positionH>
                      <wp:positionV relativeFrom="paragraph">
                        <wp:posOffset>54610</wp:posOffset>
                      </wp:positionV>
                      <wp:extent cx="2153285" cy="423545"/>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2153285" cy="423545"/>
                              </a:xfrm>
                              <a:prstGeom prst="rect">
                                <a:avLst/>
                              </a:prstGeom>
                              <a:solidFill>
                                <a:srgbClr val="FFFFFF">
                                  <a:alpha val="0"/>
                                </a:srgbClr>
                              </a:solidFill>
                              <a:ln>
                                <a:noFill/>
                              </a:ln>
                            </wps:spPr>
                            <wps:txbx>
                              <w:txbxContent>
                                <w:p w14:paraId="07C71115">
                                  <w:pPr>
                                    <w:rPr>
                                      <w:rFonts w:hint="default" w:eastAsia="宋体"/>
                                      <w:sz w:val="24"/>
                                      <w:szCs w:val="24"/>
                                      <w:lang w:val="en-US" w:eastAsia="zh-CN"/>
                                    </w:rPr>
                                  </w:pPr>
                                  <w:r>
                                    <w:rPr>
                                      <w:rFonts w:hint="eastAsia"/>
                                      <w:sz w:val="24"/>
                                      <w:szCs w:val="24"/>
                                      <w:lang w:val="en-US" w:eastAsia="zh-CN"/>
                                    </w:rPr>
                                    <w:t>废气、</w:t>
                                  </w:r>
                                  <w:r>
                                    <w:rPr>
                                      <w:sz w:val="24"/>
                                      <w:szCs w:val="24"/>
                                    </w:rPr>
                                    <w:t>噪声</w:t>
                                  </w:r>
                                  <w:r>
                                    <w:rPr>
                                      <w:rFonts w:hint="eastAsia"/>
                                      <w:sz w:val="24"/>
                                      <w:szCs w:val="24"/>
                                      <w:lang w:eastAsia="zh-CN"/>
                                    </w:rPr>
                                    <w:t>、</w:t>
                                  </w:r>
                                  <w:r>
                                    <w:rPr>
                                      <w:rFonts w:hint="eastAsia"/>
                                      <w:sz w:val="24"/>
                                      <w:szCs w:val="24"/>
                                    </w:rPr>
                                    <w:t>固废</w:t>
                                  </w:r>
                                  <w:r>
                                    <w:rPr>
                                      <w:rFonts w:hint="eastAsia"/>
                                      <w:sz w:val="24"/>
                                      <w:szCs w:val="24"/>
                                      <w:lang w:eastAsia="zh-CN"/>
                                    </w:rPr>
                                    <w:t>、</w:t>
                                  </w:r>
                                  <w:r>
                                    <w:rPr>
                                      <w:rFonts w:hint="eastAsia"/>
                                      <w:sz w:val="24"/>
                                      <w:szCs w:val="24"/>
                                      <w:lang w:val="en-US" w:eastAsia="zh-CN"/>
                                    </w:rPr>
                                    <w:t>生活污水</w:t>
                                  </w:r>
                                </w:p>
                              </w:txbxContent>
                            </wps:txbx>
                            <wps:bodyPr upright="1"/>
                          </wps:wsp>
                        </a:graphicData>
                      </a:graphic>
                    </wp:anchor>
                  </w:drawing>
                </mc:Choice>
                <mc:Fallback>
                  <w:pict>
                    <v:shape id="_x0000_s1026" o:spid="_x0000_s1026" o:spt="202" type="#_x0000_t202" style="position:absolute;left:0pt;margin-left:90.4pt;margin-top:4.3pt;height:33.35pt;width:169.55pt;z-index:251684864;mso-width-relative:page;mso-height-relative:page;" fillcolor="#FFFFFF" filled="t" stroked="f" coordsize="21600,21600" o:gfxdata="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54bZxdcAAAAIAQAADwAAAAAAAAABACAAAAAiAAAA&#10;ZHJzL2Rvd25yZXYueG1sUEsBAhQAFAAAAAgAh07iQB/SFyDPAQAAlgMAAA4AAAAAAAAAAQAgAAAA&#10;JgEAAGRycy9lMm9Eb2MueG1sUEsFBgAAAAAGAAYAWQEAAGcFAAAAAA==&#10;">
                      <v:fill on="t" opacity="0f" focussize="0,0"/>
                      <v:stroke on="f"/>
                      <v:imagedata o:title=""/>
                      <o:lock v:ext="edit" aspectratio="f"/>
                      <v:textbox>
                        <w:txbxContent>
                          <w:p w14:paraId="07C71115">
                            <w:pPr>
                              <w:rPr>
                                <w:rFonts w:hint="default" w:eastAsia="宋体"/>
                                <w:sz w:val="24"/>
                                <w:szCs w:val="24"/>
                                <w:lang w:val="en-US" w:eastAsia="zh-CN"/>
                              </w:rPr>
                            </w:pPr>
                            <w:r>
                              <w:rPr>
                                <w:rFonts w:hint="eastAsia"/>
                                <w:sz w:val="24"/>
                                <w:szCs w:val="24"/>
                                <w:lang w:val="en-US" w:eastAsia="zh-CN"/>
                              </w:rPr>
                              <w:t>废气、</w:t>
                            </w:r>
                            <w:r>
                              <w:rPr>
                                <w:sz w:val="24"/>
                                <w:szCs w:val="24"/>
                              </w:rPr>
                              <w:t>噪声</w:t>
                            </w:r>
                            <w:r>
                              <w:rPr>
                                <w:rFonts w:hint="eastAsia"/>
                                <w:sz w:val="24"/>
                                <w:szCs w:val="24"/>
                                <w:lang w:eastAsia="zh-CN"/>
                              </w:rPr>
                              <w:t>、</w:t>
                            </w:r>
                            <w:r>
                              <w:rPr>
                                <w:rFonts w:hint="eastAsia"/>
                                <w:sz w:val="24"/>
                                <w:szCs w:val="24"/>
                              </w:rPr>
                              <w:t>固废</w:t>
                            </w:r>
                            <w:r>
                              <w:rPr>
                                <w:rFonts w:hint="eastAsia"/>
                                <w:sz w:val="24"/>
                                <w:szCs w:val="24"/>
                                <w:lang w:eastAsia="zh-CN"/>
                              </w:rPr>
                              <w:t>、</w:t>
                            </w:r>
                            <w:r>
                              <w:rPr>
                                <w:rFonts w:hint="eastAsia"/>
                                <w:sz w:val="24"/>
                                <w:szCs w:val="24"/>
                                <w:lang w:val="en-US" w:eastAsia="zh-CN"/>
                              </w:rPr>
                              <w:t>生活污水</w:t>
                            </w:r>
                          </w:p>
                        </w:txbxContent>
                      </v:textbox>
                    </v:shape>
                  </w:pict>
                </mc:Fallback>
              </mc:AlternateContent>
            </w:r>
          </w:p>
          <w:p w14:paraId="42EBE2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ascii="Times New Roman" w:hAnsi="Times New Roman" w:eastAsia="宋体" w:cs="Times New Roman"/>
                <w:color w:val="auto"/>
                <w:sz w:val="24"/>
                <w:u w:val="none" w:color="auto"/>
                <w:lang w:eastAsia="zh-CN"/>
              </w:rPr>
            </w:pPr>
            <w:r>
              <w:rPr>
                <w:rFonts w:hint="default"/>
                <w:sz w:val="24"/>
              </w:rPr>
              <mc:AlternateContent>
                <mc:Choice Requires="wps">
                  <w:drawing>
                    <wp:anchor distT="0" distB="0" distL="114300" distR="114300" simplePos="0" relativeHeight="251685888" behindDoc="0" locked="0" layoutInCell="1" allowOverlap="1">
                      <wp:simplePos x="0" y="0"/>
                      <wp:positionH relativeFrom="column">
                        <wp:posOffset>2126615</wp:posOffset>
                      </wp:positionH>
                      <wp:positionV relativeFrom="paragraph">
                        <wp:posOffset>35560</wp:posOffset>
                      </wp:positionV>
                      <wp:extent cx="0" cy="342900"/>
                      <wp:effectExtent l="57150" t="0" r="57150" b="0"/>
                      <wp:wrapNone/>
                      <wp:docPr id="47" name="直接箭头连接符 47"/>
                      <wp:cNvGraphicFramePr/>
                      <a:graphic xmlns:a="http://schemas.openxmlformats.org/drawingml/2006/main">
                        <a:graphicData uri="http://schemas.microsoft.com/office/word/2010/wordprocessingShape">
                          <wps:wsp>
                            <wps:cNvCnPr/>
                            <wps:spPr>
                              <a:xfrm flipV="1">
                                <a:off x="1951355" y="7585075"/>
                                <a:ext cx="0" cy="34290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67.45pt;margin-top:2.8pt;height:27pt;width:0pt;z-index:251685888;mso-width-relative:page;mso-height-relative:page;" filled="f" stroked="t" coordsize="21600,21600" o:gfxdata="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YHnWA1QAAAAgBAAAPAAAAAAAAAAEAIAAA&#10;ACIAAABkcnMvZG93bnJldi54bWxQSwECFAAUAAAACACHTuJAUUikrQ8CAADfAwAADgAAAAAAAAAB&#10;ACAAAAAkAQAAZHJzL2Uyb0RvYy54bWxQSwUGAAAAAAYABgBZAQAApQUAAAAA&#10;">
                      <v:fill on="f" focussize="0,0"/>
                      <v:stroke weight="2pt" color="#000000 [3213]" joinstyle="round" endarrow="open"/>
                      <v:imagedata o:title=""/>
                      <o:lock v:ext="edit" aspectratio="f"/>
                    </v:shape>
                  </w:pict>
                </mc:Fallback>
              </mc:AlternateContent>
            </w:r>
          </w:p>
          <w:p w14:paraId="5DEF87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ascii="Times New Roman" w:hAnsi="Times New Roman" w:eastAsia="宋体" w:cs="Times New Roman"/>
                <w:color w:val="auto"/>
                <w:sz w:val="24"/>
                <w:u w:val="none" w:color="auto"/>
                <w:lang w:eastAsia="zh-CN"/>
              </w:rPr>
            </w:pPr>
            <w:r>
              <w:rPr>
                <w:rFonts w:hint="default"/>
                <w:sz w:val="24"/>
              </w:rPr>
              <mc:AlternateContent>
                <mc:Choice Requires="wps">
                  <w:drawing>
                    <wp:anchor distT="0" distB="0" distL="114300" distR="114300" simplePos="0" relativeHeight="251691008" behindDoc="0" locked="0" layoutInCell="1" allowOverlap="1">
                      <wp:simplePos x="0" y="0"/>
                      <wp:positionH relativeFrom="column">
                        <wp:posOffset>2955290</wp:posOffset>
                      </wp:positionH>
                      <wp:positionV relativeFrom="paragraph">
                        <wp:posOffset>118110</wp:posOffset>
                      </wp:positionV>
                      <wp:extent cx="1114425" cy="285750"/>
                      <wp:effectExtent l="4445" t="5080" r="5080" b="13970"/>
                      <wp:wrapNone/>
                      <wp:docPr id="55" name="文本框 55"/>
                      <wp:cNvGraphicFramePr/>
                      <a:graphic xmlns:a="http://schemas.openxmlformats.org/drawingml/2006/main">
                        <a:graphicData uri="http://schemas.microsoft.com/office/word/2010/wordprocessingShape">
                          <wps:wsp>
                            <wps:cNvSpPr txBox="1"/>
                            <wps:spPr>
                              <a:xfrm>
                                <a:off x="0" y="0"/>
                                <a:ext cx="1114425" cy="2857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2F51F50">
                                  <w:pPr>
                                    <w:rPr>
                                      <w:rFonts w:hint="default" w:eastAsiaTheme="minorEastAsia"/>
                                      <w:sz w:val="24"/>
                                      <w:szCs w:val="24"/>
                                      <w:lang w:val="en-US" w:eastAsia="zh-CN"/>
                                    </w:rPr>
                                  </w:pPr>
                                  <w:r>
                                    <w:rPr>
                                      <w:rFonts w:hint="eastAsia"/>
                                      <w:sz w:val="24"/>
                                      <w:szCs w:val="24"/>
                                      <w:lang w:val="en-US" w:eastAsia="zh-CN"/>
                                    </w:rPr>
                                    <w:t>验收交付使用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2.7pt;margin-top:9.3pt;height:22.5pt;width:87.75pt;z-index:251691008;mso-width-relative:page;mso-height-relative:page;" fillcolor="#FFFFFF [3201]" filled="t" stroked="t" coordsize="21600,21600" o:gfxdata="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8Y8putUAAAAJ&#10;AQAADwAAAAAAAAABACAAAAAiAAAAZHJzL2Rvd25yZXYueG1sUEsBAhQAFAAAAAgAh07iQI7c919Y&#10;AgAAuQQAAA4AAAAAAAAAAQAgAAAAJAEAAGRycy9lMm9Eb2MueG1sUEsFBgAAAAAGAAYAWQEAAO4F&#10;AAAAAA==&#10;">
                      <v:fill on="t" focussize="0,0"/>
                      <v:stroke weight="0.5pt" color="#000000 [3204]" joinstyle="round"/>
                      <v:imagedata o:title=""/>
                      <o:lock v:ext="edit" aspectratio="f"/>
                      <v:textbox>
                        <w:txbxContent>
                          <w:p w14:paraId="52F51F50">
                            <w:pPr>
                              <w:rPr>
                                <w:rFonts w:hint="default" w:eastAsiaTheme="minorEastAsia"/>
                                <w:sz w:val="24"/>
                                <w:szCs w:val="24"/>
                                <w:lang w:val="en-US" w:eastAsia="zh-CN"/>
                              </w:rPr>
                            </w:pPr>
                            <w:r>
                              <w:rPr>
                                <w:rFonts w:hint="eastAsia"/>
                                <w:sz w:val="24"/>
                                <w:szCs w:val="24"/>
                                <w:lang w:val="en-US" w:eastAsia="zh-CN"/>
                              </w:rPr>
                              <w:t>验收交付使用</w:t>
                            </w:r>
                          </w:p>
                        </w:txbxContent>
                      </v:textbox>
                    </v:shape>
                  </w:pict>
                </mc:Fallback>
              </mc:AlternateContent>
            </w:r>
            <w:r>
              <w:rPr>
                <w:rFonts w:hint="default"/>
                <w:sz w:val="24"/>
              </w:rPr>
              <mc:AlternateContent>
                <mc:Choice Requires="wps">
                  <w:drawing>
                    <wp:anchor distT="0" distB="0" distL="114300" distR="114300" simplePos="0" relativeHeight="251689984" behindDoc="0" locked="0" layoutInCell="1" allowOverlap="1">
                      <wp:simplePos x="0" y="0"/>
                      <wp:positionH relativeFrom="column">
                        <wp:posOffset>2583815</wp:posOffset>
                      </wp:positionH>
                      <wp:positionV relativeFrom="paragraph">
                        <wp:posOffset>260985</wp:posOffset>
                      </wp:positionV>
                      <wp:extent cx="361950" cy="0"/>
                      <wp:effectExtent l="0" t="57150" r="0" b="57150"/>
                      <wp:wrapNone/>
                      <wp:docPr id="54" name="直接箭头连接符 54"/>
                      <wp:cNvGraphicFramePr/>
                      <a:graphic xmlns:a="http://schemas.openxmlformats.org/drawingml/2006/main">
                        <a:graphicData uri="http://schemas.microsoft.com/office/word/2010/wordprocessingShape">
                          <wps:wsp>
                            <wps:cNvCnPr/>
                            <wps:spPr>
                              <a:xfrm>
                                <a:off x="0" y="0"/>
                                <a:ext cx="361950" cy="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03.45pt;margin-top:20.55pt;height:0pt;width:28.5pt;z-index:251689984;mso-width-relative:page;mso-height-relative:page;" filled="f" stroked="t" coordsize="21600,21600" o:gfxdata="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pwl1u1wAAAAkBAAAPAAAAAAAAAAEAIAAAACIAAABkcnMvZG93bnJldi54bWxQ&#10;SwECFAAUAAAACACHTuJAjUNBd/gBAADJAwAADgAAAAAAAAABACAAAAAmAQAAZHJzL2Uyb0RvYy54&#10;bWxQSwUGAAAAAAYABgBZAQAAkAUAAAAA&#10;">
                      <v:fill on="f" focussize="0,0"/>
                      <v:stroke weight="2pt" color="#000000 [3213]" joinstyle="round" endarrow="open"/>
                      <v:imagedata o:title=""/>
                      <o:lock v:ext="edit" aspectratio="f"/>
                    </v:shape>
                  </w:pict>
                </mc:Fallback>
              </mc:AlternateContent>
            </w:r>
            <w:r>
              <w:rPr>
                <w:rFonts w:hint="default"/>
                <w:sz w:val="24"/>
              </w:rPr>
              <mc:AlternateContent>
                <mc:Choice Requires="wps">
                  <w:drawing>
                    <wp:anchor distT="0" distB="0" distL="114300" distR="114300" simplePos="0" relativeHeight="251687936" behindDoc="0" locked="0" layoutInCell="1" allowOverlap="1">
                      <wp:simplePos x="0" y="0"/>
                      <wp:positionH relativeFrom="column">
                        <wp:posOffset>1717040</wp:posOffset>
                      </wp:positionH>
                      <wp:positionV relativeFrom="paragraph">
                        <wp:posOffset>108585</wp:posOffset>
                      </wp:positionV>
                      <wp:extent cx="857250" cy="285750"/>
                      <wp:effectExtent l="4445" t="4445" r="14605" b="14605"/>
                      <wp:wrapNone/>
                      <wp:docPr id="48" name="文本框 48"/>
                      <wp:cNvGraphicFramePr/>
                      <a:graphic xmlns:a="http://schemas.openxmlformats.org/drawingml/2006/main">
                        <a:graphicData uri="http://schemas.microsoft.com/office/word/2010/wordprocessingShape">
                          <wps:wsp>
                            <wps:cNvSpPr txBox="1"/>
                            <wps:spPr>
                              <a:xfrm>
                                <a:off x="1922780" y="7642225"/>
                                <a:ext cx="857250" cy="2857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9FD7202">
                                  <w:pPr>
                                    <w:rPr>
                                      <w:rFonts w:hint="eastAsia" w:eastAsiaTheme="minorEastAsia"/>
                                      <w:sz w:val="24"/>
                                      <w:szCs w:val="24"/>
                                      <w:lang w:val="en-US" w:eastAsia="zh-CN"/>
                                    </w:rPr>
                                  </w:pPr>
                                  <w:r>
                                    <w:rPr>
                                      <w:rFonts w:hint="eastAsia"/>
                                      <w:sz w:val="24"/>
                                      <w:szCs w:val="24"/>
                                      <w:lang w:val="en-US" w:eastAsia="zh-CN"/>
                                    </w:rPr>
                                    <w:t>设备安装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5.2pt;margin-top:8.55pt;height:22.5pt;width:67.5pt;z-index:251687936;mso-width-relative:page;mso-height-relative:page;" fillcolor="#FFFFFF [3201]" filled="t" stroked="t" coordsize="21600,21600" o:gfxdata="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IfYl&#10;V9UAAAAJAQAADwAAAAAAAAABACAAAAAiAAAAZHJzL2Rvd25yZXYueG1sUEsBAhQAFAAAAAgAh07i&#10;QH45vbdeAgAAxAQAAA4AAAAAAAAAAQAgAAAAJAEAAGRycy9lMm9Eb2MueG1sUEsFBgAAAAAGAAYA&#10;WQEAAPQFAAAAAA==&#10;">
                      <v:fill on="t" focussize="0,0"/>
                      <v:stroke weight="0.5pt" color="#000000 [3204]" joinstyle="round"/>
                      <v:imagedata o:title=""/>
                      <o:lock v:ext="edit" aspectratio="f"/>
                      <v:textbox>
                        <w:txbxContent>
                          <w:p w14:paraId="39FD7202">
                            <w:pPr>
                              <w:rPr>
                                <w:rFonts w:hint="eastAsia" w:eastAsiaTheme="minorEastAsia"/>
                                <w:sz w:val="24"/>
                                <w:szCs w:val="24"/>
                                <w:lang w:val="en-US" w:eastAsia="zh-CN"/>
                              </w:rPr>
                            </w:pPr>
                            <w:r>
                              <w:rPr>
                                <w:rFonts w:hint="eastAsia"/>
                                <w:sz w:val="24"/>
                                <w:szCs w:val="24"/>
                                <w:lang w:val="en-US" w:eastAsia="zh-CN"/>
                              </w:rPr>
                              <w:t>设备安装</w:t>
                            </w:r>
                          </w:p>
                        </w:txbxContent>
                      </v:textbox>
                    </v:shape>
                  </w:pict>
                </mc:Fallback>
              </mc:AlternateContent>
            </w:r>
          </w:p>
          <w:p w14:paraId="470C15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ascii="Times New Roman" w:hAnsi="Times New Roman" w:eastAsia="宋体" w:cs="Times New Roman"/>
                <w:color w:val="auto"/>
                <w:sz w:val="24"/>
                <w:u w:val="none" w:color="auto"/>
                <w:lang w:eastAsia="zh-CN"/>
              </w:rPr>
            </w:pPr>
            <w:r>
              <w:rPr>
                <w:rFonts w:hint="default"/>
                <w:bCs/>
                <w:color w:val="auto"/>
                <w:sz w:val="24"/>
              </w:rPr>
              <mc:AlternateContent>
                <mc:Choice Requires="wps">
                  <w:drawing>
                    <wp:anchor distT="0" distB="0" distL="114300" distR="114300" simplePos="0" relativeHeight="251688960" behindDoc="0" locked="0" layoutInCell="1" allowOverlap="1">
                      <wp:simplePos x="0" y="0"/>
                      <wp:positionH relativeFrom="column">
                        <wp:posOffset>3226435</wp:posOffset>
                      </wp:positionH>
                      <wp:positionV relativeFrom="paragraph">
                        <wp:posOffset>7942580</wp:posOffset>
                      </wp:positionV>
                      <wp:extent cx="854075" cy="270510"/>
                      <wp:effectExtent l="4445" t="5080" r="17780" b="10160"/>
                      <wp:wrapNone/>
                      <wp:docPr id="49" name="文本框 49"/>
                      <wp:cNvGraphicFramePr/>
                      <a:graphic xmlns:a="http://schemas.openxmlformats.org/drawingml/2006/main">
                        <a:graphicData uri="http://schemas.microsoft.com/office/word/2010/wordprocessingShape">
                          <wps:wsp>
                            <wps:cNvSpPr txBox="1"/>
                            <wps:spPr>
                              <a:xfrm>
                                <a:off x="0" y="0"/>
                                <a:ext cx="854075" cy="27051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D49986E">
                                  <w:pPr>
                                    <w:rPr>
                                      <w:sz w:val="24"/>
                                      <w:szCs w:val="24"/>
                                    </w:rPr>
                                  </w:pPr>
                                  <w:r>
                                    <w:rPr>
                                      <w:sz w:val="24"/>
                                      <w:szCs w:val="24"/>
                                    </w:rPr>
                                    <w:t>设备安装</w:t>
                                  </w:r>
                                </w:p>
                              </w:txbxContent>
                            </wps:txbx>
                            <wps:bodyPr upright="1"/>
                          </wps:wsp>
                        </a:graphicData>
                      </a:graphic>
                    </wp:anchor>
                  </w:drawing>
                </mc:Choice>
                <mc:Fallback>
                  <w:pict>
                    <v:shape id="_x0000_s1026" o:spid="_x0000_s1026" o:spt="202" type="#_x0000_t202" style="position:absolute;left:0pt;margin-left:254.05pt;margin-top:625.4pt;height:21.3pt;width:67.25pt;z-index:251688960;mso-width-relative:page;mso-height-relative:page;" fillcolor="#FFFFFF" filled="t" stroked="t" coordsize="21600,21600" o:gfxdata="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i17sNNoAAAANAQAADwAAAAAAAAAB&#10;ACAAAAAiAAAAZHJzL2Rvd25yZXYueG1sUEsBAhQAFAAAAAgAh07iQC6EkqUOAgAANwQAAA4AAAAA&#10;AAAAAQAgAAAAKQEAAGRycy9lMm9Eb2MueG1sUEsFBgAAAAAGAAYAWQEAAKkFAAAAAA==&#10;">
                      <v:fill on="t" focussize="0,0"/>
                      <v:stroke color="#000000" joinstyle="miter"/>
                      <v:imagedata o:title=""/>
                      <o:lock v:ext="edit" aspectratio="f"/>
                      <v:textbox>
                        <w:txbxContent>
                          <w:p w14:paraId="4D49986E">
                            <w:pPr>
                              <w:rPr>
                                <w:sz w:val="24"/>
                                <w:szCs w:val="24"/>
                              </w:rPr>
                            </w:pPr>
                            <w:r>
                              <w:rPr>
                                <w:sz w:val="24"/>
                                <w:szCs w:val="24"/>
                              </w:rPr>
                              <w:t>设备安装</w:t>
                            </w:r>
                          </w:p>
                        </w:txbxContent>
                      </v:textbox>
                    </v:shape>
                  </w:pict>
                </mc:Fallback>
              </mc:AlternateContent>
            </w:r>
          </w:p>
          <w:p w14:paraId="08B22B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center"/>
              <w:textAlignment w:val="auto"/>
              <w:rPr>
                <w:rFonts w:hint="default" w:ascii="Times New Roman" w:hAnsi="Times New Roman" w:cs="Times New Roman"/>
                <w:b/>
                <w:color w:val="auto"/>
                <w:sz w:val="24"/>
                <w:u w:val="none" w:color="auto"/>
              </w:rPr>
            </w:pPr>
            <w:r>
              <w:rPr>
                <w:rFonts w:hint="default"/>
                <w:bCs/>
                <w:color w:val="auto"/>
                <w:sz w:val="24"/>
              </w:rPr>
              <mc:AlternateContent>
                <mc:Choice Requires="wps">
                  <w:drawing>
                    <wp:anchor distT="0" distB="0" distL="114300" distR="114300" simplePos="0" relativeHeight="251686912" behindDoc="0" locked="0" layoutInCell="1" allowOverlap="1">
                      <wp:simplePos x="0" y="0"/>
                      <wp:positionH relativeFrom="column">
                        <wp:posOffset>3617595</wp:posOffset>
                      </wp:positionH>
                      <wp:positionV relativeFrom="paragraph">
                        <wp:posOffset>7511415</wp:posOffset>
                      </wp:positionV>
                      <wp:extent cx="0" cy="431800"/>
                      <wp:effectExtent l="38100" t="0" r="38100" b="6350"/>
                      <wp:wrapNone/>
                      <wp:docPr id="67" name="直接箭头连接符 67"/>
                      <wp:cNvGraphicFramePr/>
                      <a:graphic xmlns:a="http://schemas.openxmlformats.org/drawingml/2006/main">
                        <a:graphicData uri="http://schemas.microsoft.com/office/word/2010/wordprocessingShape">
                          <wps:wsp>
                            <wps:cNvCnPr/>
                            <wps:spPr>
                              <a:xfrm flipV="1">
                                <a:off x="0" y="0"/>
                                <a:ext cx="0" cy="4318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y;margin-left:284.85pt;margin-top:591.45pt;height:34pt;width:0pt;z-index:251686912;mso-width-relative:page;mso-height-relative:page;" filled="f" stroked="t" coordsize="21600,21600" o:gfxdata="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9AnTLaAAAADQEAAA8AAAAAAAAAAQAg&#10;AAAAIgAAAGRycy9kb3ducmV2LnhtbFBLAQIUABQAAAAIAIdO4kCl3RcJDAIAAPsDAAAOAAAAAAAA&#10;AAEAIAAAACkBAABkcnMvZTJvRG9jLnhtbFBLBQYAAAAABgAGAFkBAACnBQAAAAA=&#10;">
                      <v:fill on="f" focussize="0,0"/>
                      <v:stroke color="#000000" joinstyle="round" endarrow="block"/>
                      <v:imagedata o:title=""/>
                      <o:lock v:ext="edit" aspectratio="f"/>
                    </v:shape>
                  </w:pict>
                </mc:Fallback>
              </mc:AlternateContent>
            </w:r>
            <w:r>
              <w:rPr>
                <w:rFonts w:hint="default" w:ascii="Times New Roman" w:hAnsi="Times New Roman" w:cs="Times New Roman"/>
                <w:b/>
                <w:color w:val="auto"/>
                <w:sz w:val="24"/>
                <w:u w:val="none" w:color="auto"/>
              </w:rPr>
              <w:t>图2-</w:t>
            </w:r>
            <w:r>
              <w:rPr>
                <w:rFonts w:hint="eastAsia" w:ascii="Times New Roman" w:hAnsi="Times New Roman" w:cs="Times New Roman"/>
                <w:b/>
                <w:color w:val="auto"/>
                <w:sz w:val="24"/>
                <w:u w:val="none" w:color="auto"/>
                <w:lang w:val="en-US" w:eastAsia="zh-CN"/>
              </w:rPr>
              <w:t>2</w:t>
            </w:r>
            <w:r>
              <w:rPr>
                <w:rFonts w:hint="default" w:ascii="Times New Roman" w:hAnsi="Times New Roman" w:cs="Times New Roman"/>
                <w:b/>
                <w:color w:val="auto"/>
                <w:sz w:val="24"/>
                <w:u w:val="none" w:color="auto"/>
              </w:rPr>
              <w:t xml:space="preserve"> 施工期工艺流程及产污节点图</w:t>
            </w:r>
          </w:p>
          <w:p w14:paraId="0F3804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项目施工期间的环境影响问题主要有施工废水、废气、扬尘、施工噪声以及施工固体废弃物等。</w:t>
            </w:r>
          </w:p>
          <w:p w14:paraId="77A89A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pacing w:val="0"/>
                <w:sz w:val="24"/>
                <w:szCs w:val="24"/>
                <w:highlight w:val="none"/>
              </w:rPr>
              <w:t>（1）</w:t>
            </w:r>
            <w:r>
              <w:rPr>
                <w:rFonts w:hint="default" w:ascii="Times New Roman" w:hAnsi="Times New Roman" w:eastAsia="宋体" w:cs="Times New Roman"/>
                <w:color w:val="auto"/>
                <w:sz w:val="24"/>
                <w:u w:val="none" w:color="auto"/>
              </w:rPr>
              <w:t>废水：</w:t>
            </w:r>
            <w:r>
              <w:rPr>
                <w:rFonts w:hint="default" w:ascii="Times New Roman" w:hAnsi="Times New Roman" w:eastAsia="宋体" w:cs="宋体"/>
                <w:bCs/>
                <w:color w:val="auto"/>
                <w:kern w:val="2"/>
                <w:sz w:val="24"/>
                <w:szCs w:val="24"/>
                <w:lang w:val="en-US" w:eastAsia="zh-CN" w:bidi="ar-SA"/>
              </w:rPr>
              <w:t>主要包括主要施工人员的生活污水</w:t>
            </w:r>
            <w:r>
              <w:rPr>
                <w:rFonts w:hint="default" w:ascii="Times New Roman" w:hAnsi="Times New Roman" w:eastAsia="宋体" w:cs="Times New Roman"/>
                <w:color w:val="auto"/>
                <w:sz w:val="24"/>
                <w:u w:val="none" w:color="auto"/>
              </w:rPr>
              <w:t>；</w:t>
            </w:r>
          </w:p>
          <w:p w14:paraId="4CC34F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pacing w:val="0"/>
                <w:sz w:val="24"/>
                <w:szCs w:val="24"/>
                <w:highlight w:val="none"/>
              </w:rPr>
              <w:t>（</w:t>
            </w:r>
            <w:r>
              <w:rPr>
                <w:rFonts w:hint="eastAsia" w:ascii="Times New Roman" w:hAnsi="Times New Roman" w:eastAsia="宋体" w:cs="Times New Roman"/>
                <w:color w:val="auto"/>
                <w:spacing w:val="0"/>
                <w:sz w:val="24"/>
                <w:szCs w:val="24"/>
                <w:highlight w:val="none"/>
                <w:lang w:val="en-US" w:eastAsia="zh-CN"/>
              </w:rPr>
              <w:t>2</w:t>
            </w:r>
            <w:r>
              <w:rPr>
                <w:rFonts w:hint="default" w:ascii="Times New Roman" w:hAnsi="Times New Roman" w:eastAsia="宋体" w:cs="Times New Roman"/>
                <w:color w:val="auto"/>
                <w:spacing w:val="0"/>
                <w:sz w:val="24"/>
                <w:szCs w:val="24"/>
                <w:highlight w:val="none"/>
              </w:rPr>
              <w:t>）</w:t>
            </w:r>
            <w:r>
              <w:rPr>
                <w:rFonts w:hint="default" w:ascii="Times New Roman" w:hAnsi="Times New Roman" w:eastAsia="宋体" w:cs="Times New Roman"/>
                <w:color w:val="auto"/>
                <w:sz w:val="24"/>
                <w:u w:val="none" w:color="auto"/>
              </w:rPr>
              <w:t>废气：运输车辆及施工机械排放的尾气，主要污染物是氮氧化物、一氧化碳、THC等；</w:t>
            </w:r>
          </w:p>
          <w:p w14:paraId="67FA5B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pacing w:val="0"/>
                <w:sz w:val="24"/>
                <w:szCs w:val="24"/>
                <w:highlight w:val="none"/>
              </w:rPr>
              <w:t>（</w:t>
            </w:r>
            <w:r>
              <w:rPr>
                <w:rFonts w:hint="eastAsia" w:ascii="Times New Roman" w:hAnsi="Times New Roman" w:eastAsia="宋体" w:cs="Times New Roman"/>
                <w:color w:val="auto"/>
                <w:spacing w:val="0"/>
                <w:sz w:val="24"/>
                <w:szCs w:val="24"/>
                <w:highlight w:val="none"/>
                <w:lang w:val="en-US" w:eastAsia="zh-CN"/>
              </w:rPr>
              <w:t>3</w:t>
            </w:r>
            <w:r>
              <w:rPr>
                <w:rFonts w:hint="default" w:ascii="Times New Roman" w:hAnsi="Times New Roman" w:eastAsia="宋体" w:cs="Times New Roman"/>
                <w:color w:val="auto"/>
                <w:spacing w:val="0"/>
                <w:sz w:val="24"/>
                <w:szCs w:val="24"/>
                <w:highlight w:val="none"/>
              </w:rPr>
              <w:t>）</w:t>
            </w:r>
            <w:r>
              <w:rPr>
                <w:rFonts w:hint="default" w:ascii="Times New Roman" w:hAnsi="Times New Roman" w:eastAsia="宋体" w:cs="Times New Roman"/>
                <w:color w:val="auto"/>
                <w:sz w:val="24"/>
                <w:u w:val="none" w:color="auto"/>
              </w:rPr>
              <w:t>扬尘：施工工地内及施工场地的进出口路段，在风力作用下产生的扬尘；由于车辆的行驶，建筑材料如水泥、河砂等在运输和使用过程中产生的扬尘；施工土方装车过程所产生的扬尘；</w:t>
            </w:r>
          </w:p>
          <w:p w14:paraId="5A4549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pacing w:val="0"/>
                <w:sz w:val="24"/>
                <w:szCs w:val="24"/>
                <w:highlight w:val="none"/>
              </w:rPr>
              <w:t>（</w:t>
            </w:r>
            <w:r>
              <w:rPr>
                <w:rFonts w:hint="eastAsia" w:ascii="Times New Roman" w:hAnsi="Times New Roman" w:eastAsia="宋体" w:cs="Times New Roman"/>
                <w:color w:val="auto"/>
                <w:spacing w:val="0"/>
                <w:sz w:val="24"/>
                <w:szCs w:val="24"/>
                <w:highlight w:val="none"/>
                <w:lang w:val="en-US" w:eastAsia="zh-CN"/>
              </w:rPr>
              <w:t>4</w:t>
            </w:r>
            <w:r>
              <w:rPr>
                <w:rFonts w:hint="default" w:ascii="Times New Roman" w:hAnsi="Times New Roman" w:eastAsia="宋体" w:cs="Times New Roman"/>
                <w:color w:val="auto"/>
                <w:spacing w:val="0"/>
                <w:sz w:val="24"/>
                <w:szCs w:val="24"/>
                <w:highlight w:val="none"/>
              </w:rPr>
              <w:t>）</w:t>
            </w:r>
            <w:r>
              <w:rPr>
                <w:rFonts w:hint="default" w:ascii="Times New Roman" w:hAnsi="Times New Roman" w:eastAsia="宋体" w:cs="Times New Roman"/>
                <w:color w:val="auto"/>
                <w:sz w:val="24"/>
                <w:u w:val="none" w:color="auto"/>
              </w:rPr>
              <w:t>噪声：施工建筑机械、运输车辆及施工过程产生的噪声；</w:t>
            </w:r>
          </w:p>
          <w:p w14:paraId="028642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pacing w:val="0"/>
                <w:sz w:val="24"/>
                <w:szCs w:val="24"/>
                <w:highlight w:val="none"/>
              </w:rPr>
              <w:t>（</w:t>
            </w:r>
            <w:r>
              <w:rPr>
                <w:rFonts w:hint="eastAsia" w:ascii="Times New Roman" w:hAnsi="Times New Roman" w:eastAsia="宋体" w:cs="Times New Roman"/>
                <w:color w:val="auto"/>
                <w:spacing w:val="0"/>
                <w:sz w:val="24"/>
                <w:szCs w:val="24"/>
                <w:highlight w:val="none"/>
                <w:lang w:val="en-US" w:eastAsia="zh-CN"/>
              </w:rPr>
              <w:t>5</w:t>
            </w:r>
            <w:r>
              <w:rPr>
                <w:rFonts w:hint="default" w:ascii="Times New Roman" w:hAnsi="Times New Roman" w:eastAsia="宋体" w:cs="Times New Roman"/>
                <w:color w:val="auto"/>
                <w:spacing w:val="0"/>
                <w:sz w:val="24"/>
                <w:szCs w:val="24"/>
                <w:highlight w:val="none"/>
              </w:rPr>
              <w:t>）</w:t>
            </w:r>
            <w:r>
              <w:rPr>
                <w:rFonts w:hint="default" w:ascii="Times New Roman" w:hAnsi="Times New Roman" w:eastAsia="宋体" w:cs="Times New Roman"/>
                <w:color w:val="auto"/>
                <w:sz w:val="24"/>
                <w:u w:val="none" w:color="auto"/>
              </w:rPr>
              <w:t>固体废弃物：施工期主要有建筑垃圾及施工人员生活垃圾。</w:t>
            </w:r>
          </w:p>
          <w:p w14:paraId="0733F617">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b w:val="0"/>
                <w:bCs/>
                <w:color w:val="auto"/>
                <w:sz w:val="24"/>
                <w:szCs w:val="24"/>
                <w:highlight w:val="none"/>
                <w:lang w:val="en-US" w:eastAsia="zh-CN"/>
              </w:rPr>
              <w:t>2</w:t>
            </w:r>
            <w:r>
              <w:rPr>
                <w:rFonts w:hint="eastAsia" w:cs="Times New Roman"/>
                <w:b w:val="0"/>
                <w:bCs/>
                <w:color w:val="auto"/>
                <w:sz w:val="24"/>
                <w:szCs w:val="24"/>
                <w:highlight w:val="none"/>
                <w:lang w:eastAsia="zh-CN"/>
              </w:rPr>
              <w:t>、</w:t>
            </w:r>
            <w:r>
              <w:rPr>
                <w:rFonts w:hint="default" w:ascii="Times New Roman" w:hAnsi="Times New Roman" w:eastAsia="宋体" w:cs="Times New Roman"/>
                <w:b/>
                <w:color w:val="auto"/>
                <w:kern w:val="21"/>
                <w:sz w:val="24"/>
                <w:szCs w:val="24"/>
                <w:highlight w:val="none"/>
              </w:rPr>
              <w:t>运营期工艺流程</w:t>
            </w:r>
            <w:r>
              <w:rPr>
                <w:rFonts w:hint="eastAsia" w:cs="Times New Roman"/>
                <w:b/>
                <w:color w:val="auto"/>
                <w:kern w:val="21"/>
                <w:sz w:val="24"/>
                <w:szCs w:val="24"/>
                <w:highlight w:val="none"/>
                <w:lang w:val="en-US" w:eastAsia="zh-CN"/>
              </w:rPr>
              <w:t>分析</w:t>
            </w:r>
          </w:p>
          <w:p w14:paraId="5F681573">
            <w:pPr>
              <w:pStyle w:val="14"/>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113" w:rightChars="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运营期</w:t>
            </w:r>
            <w:r>
              <w:rPr>
                <w:rFonts w:hint="eastAsia" w:cs="Times New Roman"/>
                <w:color w:val="auto"/>
                <w:sz w:val="24"/>
                <w:szCs w:val="24"/>
                <w:highlight w:val="none"/>
                <w:lang w:val="en-US" w:eastAsia="zh-CN"/>
              </w:rPr>
              <w:t>水稻、玉米烘干</w:t>
            </w:r>
            <w:r>
              <w:rPr>
                <w:rFonts w:hint="default" w:ascii="Times New Roman" w:hAnsi="Times New Roman" w:cs="Times New Roman"/>
                <w:color w:val="auto"/>
                <w:sz w:val="24"/>
                <w:szCs w:val="24"/>
                <w:highlight w:val="none"/>
              </w:rPr>
              <w:t>工艺流程及产污节点</w:t>
            </w:r>
            <w:r>
              <w:rPr>
                <w:rFonts w:hint="eastAsia" w:cs="Times New Roman"/>
                <w:color w:val="auto"/>
                <w:sz w:val="24"/>
                <w:szCs w:val="24"/>
                <w:highlight w:val="none"/>
                <w:lang w:eastAsia="zh-CN"/>
              </w:rPr>
              <w:t>。</w:t>
            </w:r>
          </w:p>
          <w:p w14:paraId="6A9311E4">
            <w:pPr>
              <w:keepNext w:val="0"/>
              <w:keepLines w:val="0"/>
              <w:pageBreakBefore w:val="0"/>
              <w:suppressLineNumbers w:val="0"/>
              <w:wordWrap/>
              <w:overflowPunct/>
              <w:topLinePunct w:val="0"/>
              <w:bidi w:val="0"/>
              <w:spacing w:before="0" w:beforeAutospacing="0" w:after="0" w:afterAutospacing="0" w:line="360" w:lineRule="auto"/>
              <w:ind w:left="0" w:right="0"/>
              <w:jc w:val="both"/>
              <w:rPr>
                <w:rFonts w:hint="default" w:ascii="Times New Roman" w:hAnsi="Times New Roman" w:cs="Times New Roman"/>
                <w:color w:val="auto"/>
                <w:kern w:val="21"/>
                <w:sz w:val="24"/>
                <w:szCs w:val="24"/>
                <w:highlight w:val="none"/>
              </w:rPr>
            </w:pPr>
            <w:bookmarkStart w:id="40" w:name="_Toc127197744"/>
            <w:bookmarkStart w:id="41" w:name="_Toc127186180"/>
          </w:p>
          <w:p w14:paraId="302BE930">
            <w:pPr>
              <w:keepNext w:val="0"/>
              <w:keepLines w:val="0"/>
              <w:pageBreakBefore w:val="0"/>
              <w:suppressLineNumbers w:val="0"/>
              <w:wordWrap/>
              <w:overflowPunct/>
              <w:topLinePunct w:val="0"/>
              <w:bidi w:val="0"/>
              <w:spacing w:before="0" w:beforeAutospacing="0" w:after="0" w:afterAutospacing="0" w:line="360" w:lineRule="auto"/>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sz w:val="21"/>
                <w:szCs w:val="21"/>
              </w:rPr>
              <mc:AlternateContent>
                <mc:Choice Requires="wpc">
                  <w:drawing>
                    <wp:inline distT="0" distB="0" distL="0" distR="0">
                      <wp:extent cx="4766945" cy="3110230"/>
                      <wp:effectExtent l="0" t="0" r="0" b="0"/>
                      <wp:docPr id="181" name="画布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36" name="直接箭头连接符 66"/>
                              <wps:cNvCnPr>
                                <a:cxnSpLocks noChangeShapeType="1"/>
                              </wps:cNvCnPr>
                              <wps:spPr bwMode="auto">
                                <a:xfrm>
                                  <a:off x="3146425" y="779145"/>
                                  <a:ext cx="0" cy="292100"/>
                                </a:xfrm>
                                <a:prstGeom prst="straightConnector1">
                                  <a:avLst/>
                                </a:prstGeom>
                                <a:noFill/>
                                <a:ln w="9525">
                                  <a:solidFill>
                                    <a:srgbClr val="000000"/>
                                  </a:solidFill>
                                  <a:round/>
                                  <a:tailEnd type="triangle" w="med" len="med"/>
                                </a:ln>
                                <a:effectLst/>
                              </wps:spPr>
                              <wps:bodyPr/>
                            </wps:wsp>
                            <wps:wsp>
                              <wps:cNvPr id="237" name="直接箭头连接符 74"/>
                              <wps:cNvCnPr>
                                <a:cxnSpLocks noChangeShapeType="1"/>
                                <a:endCxn id="251" idx="2"/>
                              </wps:cNvCnPr>
                              <wps:spPr bwMode="auto">
                                <a:xfrm flipV="1">
                                  <a:off x="1747520" y="1392555"/>
                                  <a:ext cx="7620" cy="186690"/>
                                </a:xfrm>
                                <a:prstGeom prst="straightConnector1">
                                  <a:avLst/>
                                </a:prstGeom>
                                <a:noFill/>
                                <a:ln w="9525">
                                  <a:solidFill>
                                    <a:srgbClr val="000000"/>
                                  </a:solidFill>
                                  <a:round/>
                                  <a:tailEnd type="triangle" w="med" len="med"/>
                                </a:ln>
                                <a:effectLst/>
                              </wps:spPr>
                              <wps:bodyPr/>
                            </wps:wsp>
                            <wps:wsp>
                              <wps:cNvPr id="239" name="直接箭头连接符 64"/>
                              <wps:cNvCnPr>
                                <a:cxnSpLocks noChangeShapeType="1"/>
                              </wps:cNvCnPr>
                              <wps:spPr bwMode="auto">
                                <a:xfrm>
                                  <a:off x="3146425" y="1723390"/>
                                  <a:ext cx="0" cy="292100"/>
                                </a:xfrm>
                                <a:prstGeom prst="straightConnector1">
                                  <a:avLst/>
                                </a:prstGeom>
                                <a:noFill/>
                                <a:ln w="9525">
                                  <a:solidFill>
                                    <a:srgbClr val="000000"/>
                                  </a:solidFill>
                                  <a:round/>
                                  <a:tailEnd type="triangle" w="med" len="med"/>
                                </a:ln>
                                <a:effectLst/>
                              </wps:spPr>
                              <wps:bodyPr/>
                            </wps:wsp>
                            <wps:wsp>
                              <wps:cNvPr id="240" name="直接箭头连接符 65"/>
                              <wps:cNvCnPr>
                                <a:cxnSpLocks noChangeShapeType="1"/>
                              </wps:cNvCnPr>
                              <wps:spPr bwMode="auto">
                                <a:xfrm>
                                  <a:off x="3146425" y="1268730"/>
                                  <a:ext cx="0" cy="292100"/>
                                </a:xfrm>
                                <a:prstGeom prst="straightConnector1">
                                  <a:avLst/>
                                </a:prstGeom>
                                <a:noFill/>
                                <a:ln w="9525">
                                  <a:solidFill>
                                    <a:srgbClr val="000000"/>
                                  </a:solidFill>
                                  <a:round/>
                                  <a:tailEnd type="triangle" w="med" len="med"/>
                                </a:ln>
                                <a:effectLst/>
                              </wps:spPr>
                              <wps:bodyPr/>
                            </wps:wsp>
                            <wps:wsp>
                              <wps:cNvPr id="241" name="矩形 13"/>
                              <wps:cNvSpPr>
                                <a:spLocks noChangeArrowheads="1"/>
                              </wps:cNvSpPr>
                              <wps:spPr bwMode="auto">
                                <a:xfrm>
                                  <a:off x="2595880" y="1071245"/>
                                  <a:ext cx="1105535" cy="321945"/>
                                </a:xfrm>
                                <a:prstGeom prst="rect">
                                  <a:avLst/>
                                </a:prstGeom>
                                <a:solidFill>
                                  <a:srgbClr val="FFFFFF"/>
                                </a:solidFill>
                                <a:ln w="25400">
                                  <a:solidFill>
                                    <a:srgbClr val="000000"/>
                                  </a:solidFill>
                                  <a:round/>
                                </a:ln>
                                <a:effectLst/>
                              </wps:spPr>
                              <wps:txbx>
                                <w:txbxContent>
                                  <w:p w14:paraId="74114633">
                                    <w:pPr>
                                      <w:jc w:val="center"/>
                                      <w:rPr>
                                        <w:sz w:val="15"/>
                                        <w:szCs w:val="15"/>
                                      </w:rPr>
                                    </w:pPr>
                                    <w:r>
                                      <w:rPr>
                                        <w:rFonts w:hint="eastAsia"/>
                                        <w:sz w:val="15"/>
                                        <w:szCs w:val="15"/>
                                      </w:rPr>
                                      <w:t>输送</w:t>
                                    </w:r>
                                    <w:r>
                                      <w:rPr>
                                        <w:sz w:val="15"/>
                                        <w:szCs w:val="15"/>
                                      </w:rPr>
                                      <w:t>工</w:t>
                                    </w:r>
                                    <w:r>
                                      <w:rPr>
                                        <w:rFonts w:hint="eastAsia"/>
                                        <w:sz w:val="15"/>
                                        <w:szCs w:val="15"/>
                                      </w:rPr>
                                      <w:t>段（烘</w:t>
                                    </w:r>
                                    <w:r>
                                      <w:rPr>
                                        <w:sz w:val="15"/>
                                        <w:szCs w:val="15"/>
                                      </w:rPr>
                                      <w:t>前</w:t>
                                    </w:r>
                                    <w:r>
                                      <w:rPr>
                                        <w:rFonts w:hint="eastAsia"/>
                                        <w:sz w:val="15"/>
                                        <w:szCs w:val="15"/>
                                      </w:rPr>
                                      <w:t>）</w:t>
                                    </w:r>
                                  </w:p>
                                </w:txbxContent>
                              </wps:txbx>
                              <wps:bodyPr rot="0" vert="horz" wrap="square" lIns="91440" tIns="45720" rIns="91440" bIns="45720" anchor="ctr" anchorCtr="0" upright="1">
                                <a:noAutofit/>
                              </wps:bodyPr>
                            </wps:wsp>
                            <wps:wsp>
                              <wps:cNvPr id="242" name="矩形 55"/>
                              <wps:cNvSpPr>
                                <a:spLocks noChangeArrowheads="1"/>
                              </wps:cNvSpPr>
                              <wps:spPr bwMode="auto">
                                <a:xfrm>
                                  <a:off x="2597150" y="2015490"/>
                                  <a:ext cx="1104265" cy="314325"/>
                                </a:xfrm>
                                <a:prstGeom prst="rect">
                                  <a:avLst/>
                                </a:prstGeom>
                                <a:solidFill>
                                  <a:srgbClr val="FFFFFF"/>
                                </a:solidFill>
                                <a:ln w="25400">
                                  <a:solidFill>
                                    <a:srgbClr val="000000"/>
                                  </a:solidFill>
                                  <a:round/>
                                </a:ln>
                                <a:effectLst/>
                              </wps:spPr>
                              <wps:txbx>
                                <w:txbxContent>
                                  <w:p w14:paraId="55BF113B">
                                    <w:pPr>
                                      <w:jc w:val="center"/>
                                    </w:pPr>
                                    <w:r>
                                      <w:rPr>
                                        <w:rFonts w:hint="eastAsia"/>
                                        <w:sz w:val="15"/>
                                        <w:szCs w:val="15"/>
                                      </w:rPr>
                                      <w:t>输送</w:t>
                                    </w:r>
                                    <w:r>
                                      <w:rPr>
                                        <w:sz w:val="15"/>
                                        <w:szCs w:val="15"/>
                                      </w:rPr>
                                      <w:t>工</w:t>
                                    </w:r>
                                    <w:r>
                                      <w:rPr>
                                        <w:rFonts w:hint="eastAsia"/>
                                        <w:sz w:val="15"/>
                                        <w:szCs w:val="15"/>
                                      </w:rPr>
                                      <w:t>段（烘后）</w:t>
                                    </w:r>
                                  </w:p>
                                </w:txbxContent>
                              </wps:txbx>
                              <wps:bodyPr rot="0" vert="horz" wrap="square" lIns="91440" tIns="45720" rIns="91440" bIns="45720" anchor="ctr" anchorCtr="0" upright="1">
                                <a:noAutofit/>
                              </wps:bodyPr>
                            </wps:wsp>
                            <wps:wsp>
                              <wps:cNvPr id="243" name="矩形 58"/>
                              <wps:cNvSpPr>
                                <a:spLocks noChangeArrowheads="1"/>
                              </wps:cNvSpPr>
                              <wps:spPr bwMode="auto">
                                <a:xfrm>
                                  <a:off x="2596515" y="1560830"/>
                                  <a:ext cx="1104265" cy="296545"/>
                                </a:xfrm>
                                <a:prstGeom prst="rect">
                                  <a:avLst/>
                                </a:prstGeom>
                                <a:solidFill>
                                  <a:srgbClr val="FFFFFF"/>
                                </a:solidFill>
                                <a:ln w="25400">
                                  <a:solidFill>
                                    <a:srgbClr val="000000"/>
                                  </a:solidFill>
                                  <a:round/>
                                </a:ln>
                                <a:effectLst/>
                              </wps:spPr>
                              <wps:txbx>
                                <w:txbxContent>
                                  <w:p w14:paraId="1E04E445">
                                    <w:pPr>
                                      <w:jc w:val="center"/>
                                      <w:rPr>
                                        <w:sz w:val="15"/>
                                        <w:szCs w:val="15"/>
                                      </w:rPr>
                                    </w:pPr>
                                    <w:r>
                                      <w:rPr>
                                        <w:rFonts w:hint="eastAsia"/>
                                        <w:sz w:val="15"/>
                                        <w:szCs w:val="15"/>
                                      </w:rPr>
                                      <w:t>烘干</w:t>
                                    </w:r>
                                  </w:p>
                                </w:txbxContent>
                              </wps:txbx>
                              <wps:bodyPr rot="0" vert="horz" wrap="square" lIns="91440" tIns="45720" rIns="91440" bIns="45720" anchor="ctr" anchorCtr="0" upright="1">
                                <a:noAutofit/>
                              </wps:bodyPr>
                            </wps:wsp>
                            <wps:wsp>
                              <wps:cNvPr id="244" name="矩形 60"/>
                              <wps:cNvSpPr>
                                <a:spLocks noChangeArrowheads="1"/>
                              </wps:cNvSpPr>
                              <wps:spPr bwMode="auto">
                                <a:xfrm>
                                  <a:off x="2597150" y="2541270"/>
                                  <a:ext cx="1104900" cy="281940"/>
                                </a:xfrm>
                                <a:prstGeom prst="rect">
                                  <a:avLst/>
                                </a:prstGeom>
                                <a:solidFill>
                                  <a:srgbClr val="FFFFFF"/>
                                </a:solidFill>
                                <a:ln w="28575" cmpd="sng">
                                  <a:solidFill>
                                    <a:schemeClr val="tx1"/>
                                  </a:solidFill>
                                  <a:prstDash val="solid"/>
                                </a:ln>
                                <a:effectLst/>
                              </wps:spPr>
                              <wps:txbx>
                                <w:txbxContent>
                                  <w:p w14:paraId="3CB5EAC2">
                                    <w:pPr>
                                      <w:jc w:val="center"/>
                                      <w:rPr>
                                        <w:sz w:val="15"/>
                                        <w:szCs w:val="15"/>
                                      </w:rPr>
                                    </w:pPr>
                                    <w:r>
                                      <w:rPr>
                                        <w:rFonts w:hint="eastAsia"/>
                                        <w:sz w:val="15"/>
                                        <w:szCs w:val="15"/>
                                      </w:rPr>
                                      <w:t>产品</w:t>
                                    </w:r>
                                  </w:p>
                                </w:txbxContent>
                              </wps:txbx>
                              <wps:bodyPr rot="0" vert="horz" wrap="square" lIns="91440" tIns="45720" rIns="91440" bIns="45720" anchor="ctr" anchorCtr="0" upright="1">
                                <a:noAutofit/>
                              </wps:bodyPr>
                            </wps:wsp>
                            <wps:wsp>
                              <wps:cNvPr id="245" name="矩形 61"/>
                              <wps:cNvSpPr>
                                <a:spLocks noChangeArrowheads="1"/>
                              </wps:cNvSpPr>
                              <wps:spPr bwMode="auto">
                                <a:xfrm>
                                  <a:off x="2595245" y="569595"/>
                                  <a:ext cx="1105535" cy="314960"/>
                                </a:xfrm>
                                <a:prstGeom prst="rect">
                                  <a:avLst/>
                                </a:prstGeom>
                                <a:solidFill>
                                  <a:srgbClr val="FFFFFF"/>
                                </a:solidFill>
                                <a:ln w="28575" cmpd="sng">
                                  <a:solidFill>
                                    <a:schemeClr val="tx1"/>
                                  </a:solidFill>
                                  <a:prstDash val="solid"/>
                                  <a:round/>
                                </a:ln>
                                <a:effectLst/>
                              </wps:spPr>
                              <wps:txbx>
                                <w:txbxContent>
                                  <w:p w14:paraId="29FBD717">
                                    <w:pPr>
                                      <w:jc w:val="center"/>
                                      <w:rPr>
                                        <w:rFonts w:cs="Times New Roman"/>
                                        <w:sz w:val="15"/>
                                        <w:szCs w:val="15"/>
                                      </w:rPr>
                                    </w:pPr>
                                    <w:r>
                                      <w:rPr>
                                        <w:rFonts w:cs="Times New Roman"/>
                                        <w:sz w:val="15"/>
                                        <w:szCs w:val="15"/>
                                      </w:rPr>
                                      <w:t>清选</w:t>
                                    </w:r>
                                  </w:p>
                                </w:txbxContent>
                              </wps:txbx>
                              <wps:bodyPr rot="0" vert="horz" wrap="square" lIns="91440" tIns="45720" rIns="91440" bIns="45720" anchor="ctr" anchorCtr="0" upright="1">
                                <a:noAutofit/>
                              </wps:bodyPr>
                            </wps:wsp>
                            <wps:wsp>
                              <wps:cNvPr id="246" name="直接箭头连接符 63"/>
                              <wps:cNvCnPr>
                                <a:cxnSpLocks noChangeShapeType="1"/>
                              </wps:cNvCnPr>
                              <wps:spPr bwMode="auto">
                                <a:xfrm>
                                  <a:off x="3146425" y="2329815"/>
                                  <a:ext cx="7620" cy="191770"/>
                                </a:xfrm>
                                <a:prstGeom prst="straightConnector1">
                                  <a:avLst/>
                                </a:prstGeom>
                                <a:noFill/>
                                <a:ln w="9525">
                                  <a:solidFill>
                                    <a:srgbClr val="000000"/>
                                  </a:solidFill>
                                  <a:round/>
                                  <a:tailEnd type="triangle" w="med" len="med"/>
                                </a:ln>
                                <a:effectLst/>
                              </wps:spPr>
                              <wps:bodyPr/>
                            </wps:wsp>
                            <wps:wsp>
                              <wps:cNvPr id="247" name="矩形 19"/>
                              <wps:cNvSpPr>
                                <a:spLocks noChangeArrowheads="1"/>
                              </wps:cNvSpPr>
                              <wps:spPr bwMode="auto">
                                <a:xfrm>
                                  <a:off x="1268095" y="1569720"/>
                                  <a:ext cx="958215" cy="290830"/>
                                </a:xfrm>
                                <a:prstGeom prst="rect">
                                  <a:avLst/>
                                </a:prstGeom>
                                <a:solidFill>
                                  <a:srgbClr val="FFFFFF"/>
                                </a:solidFill>
                                <a:ln w="25400">
                                  <a:solidFill>
                                    <a:srgbClr val="000000"/>
                                  </a:solidFill>
                                  <a:round/>
                                </a:ln>
                                <a:effectLst/>
                              </wps:spPr>
                              <wps:txbx>
                                <w:txbxContent>
                                  <w:p w14:paraId="3D775330">
                                    <w:pPr>
                                      <w:jc w:val="center"/>
                                      <w:rPr>
                                        <w:sz w:val="15"/>
                                        <w:szCs w:val="15"/>
                                      </w:rPr>
                                    </w:pPr>
                                    <w:r>
                                      <w:rPr>
                                        <w:rFonts w:hint="eastAsia"/>
                                        <w:sz w:val="15"/>
                                        <w:szCs w:val="15"/>
                                        <w:lang w:val="en-US" w:eastAsia="zh-CN"/>
                                      </w:rPr>
                                      <w:t>热风炉</w:t>
                                    </w:r>
                                    <w:r>
                                      <w:rPr>
                                        <w:sz w:val="15"/>
                                        <w:szCs w:val="15"/>
                                      </w:rPr>
                                      <w:t>供热</w:t>
                                    </w:r>
                                  </w:p>
                                </w:txbxContent>
                              </wps:txbx>
                              <wps:bodyPr rot="0" vert="horz" wrap="square" lIns="91440" tIns="45720" rIns="91440" bIns="45720" anchor="ctr" anchorCtr="0" upright="1">
                                <a:noAutofit/>
                              </wps:bodyPr>
                            </wps:wsp>
                            <wps:wsp>
                              <wps:cNvPr id="248" name="直接箭头连接符 20"/>
                              <wps:cNvCnPr>
                                <a:cxnSpLocks noChangeShapeType="1"/>
                              </wps:cNvCnPr>
                              <wps:spPr bwMode="auto">
                                <a:xfrm>
                                  <a:off x="2226310" y="1711325"/>
                                  <a:ext cx="325755" cy="0"/>
                                </a:xfrm>
                                <a:prstGeom prst="straightConnector1">
                                  <a:avLst/>
                                </a:prstGeom>
                                <a:noFill/>
                                <a:ln w="9525">
                                  <a:solidFill>
                                    <a:srgbClr val="000000"/>
                                  </a:solidFill>
                                  <a:round/>
                                  <a:tailEnd type="triangle" w="med" len="med"/>
                                </a:ln>
                                <a:effectLst/>
                              </wps:spPr>
                              <wps:bodyPr/>
                            </wps:wsp>
                            <wps:wsp>
                              <wps:cNvPr id="249" name="矩形 69"/>
                              <wps:cNvSpPr>
                                <a:spLocks noChangeArrowheads="1"/>
                              </wps:cNvSpPr>
                              <wps:spPr bwMode="auto">
                                <a:xfrm>
                                  <a:off x="889635" y="2800985"/>
                                  <a:ext cx="2811780" cy="309245"/>
                                </a:xfrm>
                                <a:prstGeom prst="rect">
                                  <a:avLst/>
                                </a:prstGeom>
                                <a:noFill/>
                                <a:ln>
                                  <a:noFill/>
                                </a:ln>
                                <a:effectLst/>
                              </wps:spPr>
                              <wps:txbx>
                                <w:txbxContent>
                                  <w:p w14:paraId="25BF3D5E">
                                    <w:pPr>
                                      <w:jc w:val="center"/>
                                      <w:rPr>
                                        <w:rFonts w:cs="Times New Roman"/>
                                        <w:szCs w:val="21"/>
                                      </w:rPr>
                                    </w:pPr>
                                    <w:r>
                                      <w:rPr>
                                        <w:rFonts w:cs="Times New Roman"/>
                                        <w:szCs w:val="21"/>
                                      </w:rPr>
                                      <w:t>注：G废气 S固废 N噪声</w:t>
                                    </w:r>
                                  </w:p>
                                </w:txbxContent>
                              </wps:txbx>
                              <wps:bodyPr rot="0" vert="horz" wrap="square" lIns="91440" tIns="45720" rIns="91440" bIns="45720" anchor="ctr" anchorCtr="0" upright="1">
                                <a:noAutofit/>
                              </wps:bodyPr>
                            </wps:wsp>
                            <wps:wsp>
                              <wps:cNvPr id="250" name="直接箭头连接符 70"/>
                              <wps:cNvCnPr>
                                <a:cxnSpLocks noChangeShapeType="1"/>
                              </wps:cNvCnPr>
                              <wps:spPr bwMode="auto">
                                <a:xfrm flipV="1">
                                  <a:off x="1774825" y="1866265"/>
                                  <a:ext cx="0" cy="292100"/>
                                </a:xfrm>
                                <a:prstGeom prst="straightConnector1">
                                  <a:avLst/>
                                </a:prstGeom>
                                <a:noFill/>
                                <a:ln w="9525">
                                  <a:solidFill>
                                    <a:srgbClr val="000000"/>
                                  </a:solidFill>
                                  <a:round/>
                                  <a:tailEnd type="triangle" w="med" len="med"/>
                                </a:ln>
                                <a:effectLst/>
                              </wps:spPr>
                              <wps:bodyPr/>
                            </wps:wsp>
                            <wps:wsp>
                              <wps:cNvPr id="251" name="矩形 27"/>
                              <wps:cNvSpPr>
                                <a:spLocks noChangeArrowheads="1"/>
                              </wps:cNvSpPr>
                              <wps:spPr bwMode="auto">
                                <a:xfrm>
                                  <a:off x="1275715" y="1097915"/>
                                  <a:ext cx="958215" cy="294640"/>
                                </a:xfrm>
                                <a:prstGeom prst="rect">
                                  <a:avLst/>
                                </a:prstGeom>
                                <a:noFill/>
                                <a:ln w="25400">
                                  <a:solidFill>
                                    <a:srgbClr val="000000"/>
                                  </a:solidFill>
                                  <a:round/>
                                </a:ln>
                                <a:effectLst/>
                              </wps:spPr>
                              <wps:txbx>
                                <w:txbxContent>
                                  <w:p w14:paraId="34A20C53">
                                    <w:pPr>
                                      <w:jc w:val="center"/>
                                      <w:rPr>
                                        <w:sz w:val="15"/>
                                        <w:szCs w:val="15"/>
                                      </w:rPr>
                                    </w:pPr>
                                    <w:r>
                                      <w:rPr>
                                        <w:rFonts w:hint="eastAsia"/>
                                        <w:sz w:val="15"/>
                                        <w:szCs w:val="15"/>
                                        <w:lang w:val="en-US" w:eastAsia="zh-CN"/>
                                      </w:rPr>
                                      <w:t>布袋</w:t>
                                    </w:r>
                                    <w:r>
                                      <w:rPr>
                                        <w:rFonts w:hint="eastAsia"/>
                                        <w:sz w:val="15"/>
                                        <w:szCs w:val="15"/>
                                      </w:rPr>
                                      <w:t>除尘器</w:t>
                                    </w:r>
                                  </w:p>
                                </w:txbxContent>
                              </wps:txbx>
                              <wps:bodyPr rot="0" vert="horz" wrap="square" lIns="91440" tIns="45720" rIns="91440" bIns="45720" anchor="ctr" anchorCtr="0" upright="1">
                                <a:noAutofit/>
                              </wps:bodyPr>
                            </wps:wsp>
                            <wps:wsp>
                              <wps:cNvPr id="252" name="直接箭头连接符 29"/>
                              <wps:cNvCnPr>
                                <a:cxnSpLocks noChangeShapeType="1"/>
                              </wps:cNvCnPr>
                              <wps:spPr bwMode="auto">
                                <a:xfrm>
                                  <a:off x="3702050" y="1226820"/>
                                  <a:ext cx="187325" cy="6985"/>
                                </a:xfrm>
                                <a:prstGeom prst="straightConnector1">
                                  <a:avLst/>
                                </a:prstGeom>
                                <a:noFill/>
                                <a:ln w="9525">
                                  <a:solidFill>
                                    <a:srgbClr val="000000"/>
                                  </a:solidFill>
                                  <a:round/>
                                  <a:tailEnd type="triangle" w="med" len="med"/>
                                </a:ln>
                                <a:effectLst/>
                              </wps:spPr>
                              <wps:bodyPr/>
                            </wps:wsp>
                            <wps:wsp>
                              <wps:cNvPr id="253" name="直接箭头连接符 78"/>
                              <wps:cNvCnPr>
                                <a:cxnSpLocks noChangeShapeType="1"/>
                              </wps:cNvCnPr>
                              <wps:spPr bwMode="auto">
                                <a:xfrm>
                                  <a:off x="3702050" y="1701800"/>
                                  <a:ext cx="187325" cy="6350"/>
                                </a:xfrm>
                                <a:prstGeom prst="straightConnector1">
                                  <a:avLst/>
                                </a:prstGeom>
                                <a:noFill/>
                                <a:ln w="9525">
                                  <a:solidFill>
                                    <a:srgbClr val="000000"/>
                                  </a:solidFill>
                                  <a:round/>
                                  <a:tailEnd type="triangle" w="med" len="med"/>
                                </a:ln>
                                <a:effectLst/>
                              </wps:spPr>
                              <wps:bodyPr/>
                            </wps:wsp>
                            <wps:wsp>
                              <wps:cNvPr id="254" name="矩形 30"/>
                              <wps:cNvSpPr>
                                <a:spLocks noChangeArrowheads="1"/>
                              </wps:cNvSpPr>
                              <wps:spPr bwMode="auto">
                                <a:xfrm>
                                  <a:off x="3888740" y="1078865"/>
                                  <a:ext cx="626745" cy="283845"/>
                                </a:xfrm>
                                <a:prstGeom prst="rect">
                                  <a:avLst/>
                                </a:prstGeom>
                                <a:noFill/>
                                <a:ln>
                                  <a:noFill/>
                                </a:ln>
                                <a:effectLst/>
                              </wps:spPr>
                              <wps:txbx>
                                <w:txbxContent>
                                  <w:p w14:paraId="47BFA970">
                                    <w:pPr>
                                      <w:rPr>
                                        <w:rFonts w:hint="default" w:ascii="Times New Roman" w:hAnsi="Times New Roman" w:eastAsia="宋体" w:cs="Times New Roman"/>
                                        <w:szCs w:val="21"/>
                                        <w:lang w:val="en-US" w:eastAsia="zh-CN"/>
                                      </w:rPr>
                                    </w:pPr>
                                    <w:r>
                                      <w:rPr>
                                        <w:rFonts w:hint="default" w:ascii="Times New Roman" w:hAnsi="Times New Roman" w:cs="Times New Roman"/>
                                        <w:szCs w:val="21"/>
                                      </w:rPr>
                                      <w:t>N</w:t>
                                    </w:r>
                                    <w:r>
                                      <w:rPr>
                                        <w:rFonts w:hint="eastAsia" w:ascii="Times New Roman" w:hAnsi="Times New Roman" w:cs="Times New Roman"/>
                                        <w:szCs w:val="21"/>
                                        <w:lang w:eastAsia="zh-CN"/>
                                      </w:rPr>
                                      <w:t>、</w:t>
                                    </w:r>
                                    <w:r>
                                      <w:rPr>
                                        <w:rFonts w:hint="eastAsia" w:ascii="Times New Roman" w:hAnsi="Times New Roman" w:cs="Times New Roman"/>
                                        <w:szCs w:val="21"/>
                                        <w:lang w:val="en-US" w:eastAsia="zh-CN"/>
                                      </w:rPr>
                                      <w:t>G</w:t>
                                    </w:r>
                                  </w:p>
                                </w:txbxContent>
                              </wps:txbx>
                              <wps:bodyPr rot="0" vert="horz" wrap="square" lIns="91440" tIns="45720" rIns="91440" bIns="45720" anchor="ctr" anchorCtr="0" upright="1">
                                <a:noAutofit/>
                              </wps:bodyPr>
                            </wps:wsp>
                            <wps:wsp>
                              <wps:cNvPr id="255" name="矩形 79"/>
                              <wps:cNvSpPr>
                                <a:spLocks noChangeArrowheads="1"/>
                              </wps:cNvSpPr>
                              <wps:spPr bwMode="auto">
                                <a:xfrm>
                                  <a:off x="267335" y="1091565"/>
                                  <a:ext cx="848995" cy="288290"/>
                                </a:xfrm>
                                <a:prstGeom prst="rect">
                                  <a:avLst/>
                                </a:prstGeom>
                                <a:noFill/>
                                <a:ln>
                                  <a:noFill/>
                                </a:ln>
                                <a:effectLst/>
                              </wps:spPr>
                              <wps:txbx>
                                <w:txbxContent>
                                  <w:p w14:paraId="1ED40D00">
                                    <w:pPr>
                                      <w:rPr>
                                        <w:rFonts w:hint="default" w:ascii="Times New Roman" w:hAnsi="Times New Roman" w:cs="Times New Roman"/>
                                        <w:szCs w:val="21"/>
                                      </w:rPr>
                                    </w:pPr>
                                    <w:r>
                                      <w:rPr>
                                        <w:rFonts w:hint="default" w:ascii="Times New Roman" w:hAnsi="Times New Roman" w:cs="Times New Roman"/>
                                        <w:szCs w:val="21"/>
                                      </w:rPr>
                                      <w:t>G、S、N</w:t>
                                    </w:r>
                                  </w:p>
                                </w:txbxContent>
                              </wps:txbx>
                              <wps:bodyPr rot="0" vert="horz" wrap="square" lIns="91440" tIns="45720" rIns="91440" bIns="45720" anchor="ctr" anchorCtr="0" upright="1">
                                <a:noAutofit/>
                              </wps:bodyPr>
                            </wps:wsp>
                            <wps:wsp>
                              <wps:cNvPr id="2" name="矩形 80"/>
                              <wps:cNvSpPr>
                                <a:spLocks noChangeArrowheads="1"/>
                              </wps:cNvSpPr>
                              <wps:spPr bwMode="auto">
                                <a:xfrm>
                                  <a:off x="3890010" y="2036445"/>
                                  <a:ext cx="831850" cy="295910"/>
                                </a:xfrm>
                                <a:prstGeom prst="rect">
                                  <a:avLst/>
                                </a:prstGeom>
                                <a:noFill/>
                                <a:ln>
                                  <a:noFill/>
                                </a:ln>
                                <a:effectLst/>
                              </wps:spPr>
                              <wps:txbx>
                                <w:txbxContent>
                                  <w:p w14:paraId="48036E46">
                                    <w:pPr>
                                      <w:rPr>
                                        <w:rFonts w:hint="default" w:ascii="Times New Roman" w:hAnsi="Times New Roman" w:eastAsia="宋体" w:cs="Times New Roman"/>
                                        <w:szCs w:val="21"/>
                                        <w:lang w:val="en-US" w:eastAsia="zh-CN"/>
                                      </w:rPr>
                                    </w:pPr>
                                    <w:r>
                                      <w:rPr>
                                        <w:rFonts w:hint="default" w:ascii="Times New Roman" w:hAnsi="Times New Roman" w:cs="Times New Roman"/>
                                        <w:szCs w:val="21"/>
                                      </w:rPr>
                                      <w:t>N</w:t>
                                    </w:r>
                                    <w:r>
                                      <w:rPr>
                                        <w:rFonts w:hint="eastAsia" w:ascii="Times New Roman" w:hAnsi="Times New Roman" w:cs="Times New Roman"/>
                                        <w:szCs w:val="21"/>
                                        <w:lang w:eastAsia="zh-CN"/>
                                      </w:rPr>
                                      <w:t>、</w:t>
                                    </w:r>
                                    <w:r>
                                      <w:rPr>
                                        <w:rFonts w:hint="eastAsia" w:ascii="Times New Roman" w:hAnsi="Times New Roman" w:cs="Times New Roman"/>
                                        <w:szCs w:val="21"/>
                                        <w:lang w:val="en-US" w:eastAsia="zh-CN"/>
                                      </w:rPr>
                                      <w:t>G</w:t>
                                    </w:r>
                                  </w:p>
                                </w:txbxContent>
                              </wps:txbx>
                              <wps:bodyPr rot="0" vert="horz" wrap="square" lIns="91440" tIns="45720" rIns="91440" bIns="45720" anchor="ctr" anchorCtr="0" upright="1">
                                <a:noAutofit/>
                              </wps:bodyPr>
                            </wps:wsp>
                            <wps:wsp>
                              <wps:cNvPr id="15" name="矩形 81"/>
                              <wps:cNvSpPr>
                                <a:spLocks noChangeArrowheads="1"/>
                              </wps:cNvSpPr>
                              <wps:spPr bwMode="auto">
                                <a:xfrm>
                                  <a:off x="501015" y="1560830"/>
                                  <a:ext cx="593090" cy="314325"/>
                                </a:xfrm>
                                <a:prstGeom prst="rect">
                                  <a:avLst/>
                                </a:prstGeom>
                                <a:noFill/>
                                <a:ln>
                                  <a:noFill/>
                                </a:ln>
                                <a:effectLst/>
                              </wps:spPr>
                              <wps:txbx>
                                <w:txbxContent>
                                  <w:p w14:paraId="46AA52E3">
                                    <w:pPr>
                                      <w:rPr>
                                        <w:rFonts w:hint="default" w:ascii="Times New Roman" w:hAnsi="Times New Roman" w:cs="Times New Roman"/>
                                        <w:szCs w:val="21"/>
                                      </w:rPr>
                                    </w:pPr>
                                    <w:r>
                                      <w:rPr>
                                        <w:rFonts w:hint="default" w:ascii="Times New Roman" w:hAnsi="Times New Roman" w:cs="Times New Roman"/>
                                        <w:szCs w:val="21"/>
                                      </w:rPr>
                                      <w:t>S、N</w:t>
                                    </w:r>
                                  </w:p>
                                </w:txbxContent>
                              </wps:txbx>
                              <wps:bodyPr rot="0" vert="horz" wrap="square" lIns="91440" tIns="45720" rIns="91440" bIns="45720" anchor="ctr" anchorCtr="0" upright="1">
                                <a:noAutofit/>
                              </wps:bodyPr>
                            </wps:wsp>
                            <wps:wsp>
                              <wps:cNvPr id="18" name="矩形 82"/>
                              <wps:cNvSpPr>
                                <a:spLocks noChangeArrowheads="1"/>
                              </wps:cNvSpPr>
                              <wps:spPr bwMode="auto">
                                <a:xfrm>
                                  <a:off x="3889375" y="1538605"/>
                                  <a:ext cx="708025" cy="290830"/>
                                </a:xfrm>
                                <a:prstGeom prst="rect">
                                  <a:avLst/>
                                </a:prstGeom>
                                <a:noFill/>
                                <a:ln>
                                  <a:noFill/>
                                </a:ln>
                                <a:effectLst/>
                              </wps:spPr>
                              <wps:txbx>
                                <w:txbxContent>
                                  <w:p w14:paraId="0F3AB80B">
                                    <w:pPr>
                                      <w:rPr>
                                        <w:rFonts w:hint="default" w:ascii="Times New Roman" w:hAnsi="Times New Roman" w:cs="Times New Roman"/>
                                        <w:szCs w:val="21"/>
                                      </w:rPr>
                                    </w:pPr>
                                    <w:r>
                                      <w:rPr>
                                        <w:rFonts w:hint="default" w:ascii="Times New Roman" w:hAnsi="Times New Roman" w:cs="Times New Roman"/>
                                        <w:szCs w:val="21"/>
                                      </w:rPr>
                                      <w:t>N</w:t>
                                    </w:r>
                                    <w:r>
                                      <w:rPr>
                                        <w:rFonts w:hint="eastAsia" w:ascii="Times New Roman" w:hAnsi="Times New Roman" w:cs="Times New Roman"/>
                                        <w:szCs w:val="21"/>
                                      </w:rPr>
                                      <w:t>、G</w:t>
                                    </w:r>
                                  </w:p>
                                </w:txbxContent>
                              </wps:txbx>
                              <wps:bodyPr rot="0" vert="horz" wrap="square" lIns="91440" tIns="45720" rIns="91440" bIns="45720" anchor="ctr" anchorCtr="0" upright="1">
                                <a:noAutofit/>
                              </wps:bodyPr>
                            </wps:wsp>
                            <wps:wsp>
                              <wps:cNvPr id="19" name="直接箭头连接符 83"/>
                              <wps:cNvCnPr>
                                <a:cxnSpLocks noChangeShapeType="1"/>
                              </wps:cNvCnPr>
                              <wps:spPr bwMode="auto">
                                <a:xfrm>
                                  <a:off x="3702685" y="2185670"/>
                                  <a:ext cx="186690" cy="6350"/>
                                </a:xfrm>
                                <a:prstGeom prst="straightConnector1">
                                  <a:avLst/>
                                </a:prstGeom>
                                <a:noFill/>
                                <a:ln w="9525">
                                  <a:solidFill>
                                    <a:srgbClr val="000000"/>
                                  </a:solidFill>
                                  <a:round/>
                                  <a:tailEnd type="triangle" w="med" len="med"/>
                                </a:ln>
                                <a:effectLst/>
                              </wps:spPr>
                              <wps:bodyPr/>
                            </wps:wsp>
                            <wps:wsp>
                              <wps:cNvPr id="23" name="直接箭头连接符 84"/>
                              <wps:cNvCnPr>
                                <a:cxnSpLocks noChangeShapeType="1"/>
                              </wps:cNvCnPr>
                              <wps:spPr bwMode="auto">
                                <a:xfrm flipH="1">
                                  <a:off x="1094105" y="1746885"/>
                                  <a:ext cx="160020" cy="0"/>
                                </a:xfrm>
                                <a:prstGeom prst="straightConnector1">
                                  <a:avLst/>
                                </a:prstGeom>
                                <a:noFill/>
                                <a:ln w="9525">
                                  <a:solidFill>
                                    <a:srgbClr val="000000"/>
                                  </a:solidFill>
                                  <a:round/>
                                  <a:tailEnd type="triangle" w="med" len="med"/>
                                </a:ln>
                                <a:effectLst/>
                              </wps:spPr>
                              <wps:bodyPr/>
                            </wps:wsp>
                            <wps:wsp>
                              <wps:cNvPr id="24" name="直接箭头连接符 86"/>
                              <wps:cNvCnPr>
                                <a:cxnSpLocks noChangeShapeType="1"/>
                              </wps:cNvCnPr>
                              <wps:spPr bwMode="auto">
                                <a:xfrm flipH="1">
                                  <a:off x="1116330" y="1250950"/>
                                  <a:ext cx="159385" cy="0"/>
                                </a:xfrm>
                                <a:prstGeom prst="straightConnector1">
                                  <a:avLst/>
                                </a:prstGeom>
                                <a:noFill/>
                                <a:ln w="9525">
                                  <a:solidFill>
                                    <a:srgbClr val="000000"/>
                                  </a:solidFill>
                                  <a:round/>
                                  <a:tailEnd type="triangle" w="med" len="med"/>
                                </a:ln>
                                <a:effectLst/>
                              </wps:spPr>
                              <wps:bodyPr/>
                            </wps:wsp>
                            <wps:wsp>
                              <wps:cNvPr id="25" name="矩形 117"/>
                              <wps:cNvSpPr>
                                <a:spLocks noChangeArrowheads="1"/>
                              </wps:cNvSpPr>
                              <wps:spPr bwMode="auto">
                                <a:xfrm>
                                  <a:off x="2595245" y="36195"/>
                                  <a:ext cx="1104900" cy="314960"/>
                                </a:xfrm>
                                <a:prstGeom prst="rect">
                                  <a:avLst/>
                                </a:prstGeom>
                                <a:solidFill>
                                  <a:srgbClr val="FFFFFF"/>
                                </a:solidFill>
                                <a:ln w="28575" cmpd="sng">
                                  <a:solidFill>
                                    <a:schemeClr val="tx1"/>
                                  </a:solidFill>
                                  <a:prstDash val="solid"/>
                                </a:ln>
                                <a:effectLst/>
                              </wps:spPr>
                              <wps:txbx>
                                <w:txbxContent>
                                  <w:p w14:paraId="5AB32ED9">
                                    <w:pPr>
                                      <w:pStyle w:val="34"/>
                                      <w:spacing w:before="0" w:beforeAutospacing="0" w:after="0" w:afterAutospacing="0"/>
                                      <w:jc w:val="center"/>
                                    </w:pPr>
                                    <w:r>
                                      <w:rPr>
                                        <w:rFonts w:hint="eastAsia" w:cs="Times New Roman"/>
                                        <w:color w:val="000000"/>
                                        <w:sz w:val="15"/>
                                        <w:szCs w:val="15"/>
                                      </w:rPr>
                                      <w:t>原料</w:t>
                                    </w:r>
                                  </w:p>
                                </w:txbxContent>
                              </wps:txbx>
                              <wps:bodyPr rot="0" vert="horz" wrap="square" lIns="91440" tIns="45720" rIns="91440" bIns="45720" anchor="ctr" anchorCtr="0" upright="1">
                                <a:noAutofit/>
                              </wps:bodyPr>
                            </wps:wsp>
                            <wps:wsp>
                              <wps:cNvPr id="136" name="矩形 120"/>
                              <wps:cNvSpPr>
                                <a:spLocks noChangeArrowheads="1"/>
                              </wps:cNvSpPr>
                              <wps:spPr bwMode="auto">
                                <a:xfrm>
                                  <a:off x="3850640" y="583565"/>
                                  <a:ext cx="746760" cy="379095"/>
                                </a:xfrm>
                                <a:prstGeom prst="rect">
                                  <a:avLst/>
                                </a:prstGeom>
                                <a:noFill/>
                                <a:ln>
                                  <a:noFill/>
                                </a:ln>
                                <a:effectLst/>
                              </wps:spPr>
                              <wps:txbx>
                                <w:txbxContent>
                                  <w:p w14:paraId="27192528">
                                    <w:pPr>
                                      <w:rPr>
                                        <w:rFonts w:hint="default" w:ascii="Times New Roman" w:hAnsi="Times New Roman" w:cs="Times New Roman"/>
                                        <w:szCs w:val="21"/>
                                      </w:rPr>
                                    </w:pPr>
                                    <w:r>
                                      <w:rPr>
                                        <w:rFonts w:hint="default" w:ascii="Times New Roman" w:hAnsi="Times New Roman" w:cs="Times New Roman"/>
                                        <w:szCs w:val="21"/>
                                      </w:rPr>
                                      <w:t>N、S、G</w:t>
                                    </w:r>
                                  </w:p>
                                </w:txbxContent>
                              </wps:txbx>
                              <wps:bodyPr rot="0" vert="horz" wrap="square" lIns="91440" tIns="45720" rIns="91440" bIns="45720" anchor="ctr" anchorCtr="0" upright="1">
                                <a:noAutofit/>
                              </wps:bodyPr>
                            </wps:wsp>
                            <wps:wsp>
                              <wps:cNvPr id="137" name="直接箭头连接符 121"/>
                              <wps:cNvCnPr>
                                <a:cxnSpLocks noChangeShapeType="1"/>
                              </wps:cNvCnPr>
                              <wps:spPr bwMode="auto">
                                <a:xfrm>
                                  <a:off x="3698875" y="745490"/>
                                  <a:ext cx="187325" cy="6350"/>
                                </a:xfrm>
                                <a:prstGeom prst="straightConnector1">
                                  <a:avLst/>
                                </a:prstGeom>
                                <a:noFill/>
                                <a:ln w="9525">
                                  <a:solidFill>
                                    <a:srgbClr val="000000"/>
                                  </a:solidFill>
                                  <a:round/>
                                  <a:tailEnd type="triangle" w="med" len="med"/>
                                </a:ln>
                                <a:effectLst/>
                              </wps:spPr>
                              <wps:bodyPr/>
                            </wps:wsp>
                            <wps:wsp>
                              <wps:cNvPr id="26" name="矩形 58"/>
                              <wps:cNvSpPr>
                                <a:spLocks noChangeArrowheads="1"/>
                              </wps:cNvSpPr>
                              <wps:spPr bwMode="auto">
                                <a:xfrm>
                                  <a:off x="1273810" y="2037080"/>
                                  <a:ext cx="963295" cy="296545"/>
                                </a:xfrm>
                                <a:prstGeom prst="rect">
                                  <a:avLst/>
                                </a:prstGeom>
                                <a:solidFill>
                                  <a:srgbClr val="FFFFFF"/>
                                </a:solidFill>
                                <a:ln w="25400">
                                  <a:solidFill>
                                    <a:srgbClr val="000000"/>
                                  </a:solidFill>
                                  <a:round/>
                                </a:ln>
                                <a:effectLst/>
                              </wps:spPr>
                              <wps:txbx>
                                <w:txbxContent>
                                  <w:p w14:paraId="3A88C67F">
                                    <w:pPr>
                                      <w:jc w:val="center"/>
                                      <w:rPr>
                                        <w:rFonts w:hint="eastAsia" w:eastAsia="宋体"/>
                                        <w:sz w:val="15"/>
                                        <w:szCs w:val="15"/>
                                        <w:lang w:val="en-US" w:eastAsia="zh-CN"/>
                                      </w:rPr>
                                    </w:pPr>
                                    <w:r>
                                      <w:rPr>
                                        <w:rFonts w:hint="eastAsia"/>
                                        <w:sz w:val="15"/>
                                        <w:szCs w:val="15"/>
                                        <w:lang w:val="en-US" w:eastAsia="zh-CN"/>
                                      </w:rPr>
                                      <w:t>空气</w:t>
                                    </w:r>
                                  </w:p>
                                </w:txbxContent>
                              </wps:txbx>
                              <wps:bodyPr rot="0" vert="horz" wrap="square" lIns="91440" tIns="45720" rIns="91440" bIns="45720" anchor="ctr" anchorCtr="0" upright="1">
                                <a:noAutofit/>
                              </wps:bodyPr>
                            </wps:wsp>
                            <wps:wsp>
                              <wps:cNvPr id="28" name="直接箭头连接符 66"/>
                              <wps:cNvCnPr>
                                <a:cxnSpLocks noChangeShapeType="1"/>
                              </wps:cNvCnPr>
                              <wps:spPr bwMode="auto">
                                <a:xfrm flipH="1">
                                  <a:off x="3151505" y="340360"/>
                                  <a:ext cx="2540" cy="217170"/>
                                </a:xfrm>
                                <a:prstGeom prst="straightConnector1">
                                  <a:avLst/>
                                </a:prstGeom>
                                <a:noFill/>
                                <a:ln w="9525">
                                  <a:solidFill>
                                    <a:srgbClr val="000000"/>
                                  </a:solidFill>
                                  <a:round/>
                                  <a:tailEnd type="triangle" w="med" len="med"/>
                                </a:ln>
                                <a:effectLst/>
                              </wps:spPr>
                              <wps:bodyPr/>
                            </wps:wsp>
                          </wpc:wpc>
                        </a:graphicData>
                      </a:graphic>
                    </wp:inline>
                  </w:drawing>
                </mc:Choice>
                <mc:Fallback>
                  <w:pict>
                    <v:group id="画布 10" o:spid="_x0000_s1026" o:spt="203" style="height:244.9pt;width:375.35pt;" coordsize="4766945,3110230" editas="canvas" o:gfxdata="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">
                      <o:lock v:ext="edit" aspectratio="f"/>
                      <v:shape id="画布 10" o:spid="_x0000_s1026" style="position:absolute;left:0;top:0;height:3110230;width:4766945;" filled="f" stroked="f" coordsize="21600,21600" o:gfxdata="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">
                        <v:fill on="f" focussize="0,0"/>
                        <v:stroke on="f"/>
                        <v:imagedata o:title=""/>
                        <o:lock v:ext="edit" aspectratio="t"/>
                      </v:shape>
                      <v:shape id="直接箭头连接符 66" o:spid="_x0000_s1026" o:spt="32" type="#_x0000_t32" style="position:absolute;left:3146425;top:779145;height:292100;width:0;" filled="f" stroked="t" coordsize="21600,21600" o:gfxdata="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Gq&#10;JxXYAAAABQEAAA8AAAAAAAAAAQAgAAAAIgAAAGRycy9kb3ducmV2LnhtbFBLAQIUABQAAAAIAIdO&#10;4kBUVdE0IwIAAAcEAAAOAAAAAAAAAAEAIAAAACcBAABkcnMvZTJvRG9jLnhtbFBLBQYAAAAABgAG&#10;AFkBAAC8BQAAAAA=&#10;">
                        <v:fill on="f" focussize="0,0"/>
                        <v:stroke color="#000000" joinstyle="round" endarrow="block"/>
                        <v:imagedata o:title=""/>
                        <o:lock v:ext="edit" aspectratio="f"/>
                      </v:shape>
                      <v:shape id="直接箭头连接符 74" o:spid="_x0000_s1026" o:spt="32" type="#_x0000_t32" style="position:absolute;left:1747520;top:1392555;flip:y;height:186690;width:7620;" filled="f" stroked="t" coordsize="21600,21600" o:gfxdata="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RNg9r1gAAAAUBAAAPAAAAAAAAAAEAIAAAACIAAABkcnMvZG93bnJl&#10;di54bWxQSwECFAAUAAAACACHTuJAoqu9vzgCAAAxBAAADgAAAAAAAAABACAAAAAlAQAAZHJzL2Uy&#10;b0RvYy54bWxQSwUGAAAAAAYABgBZAQAAzwUAAAAA&#10;">
                        <v:fill on="f" focussize="0,0"/>
                        <v:stroke color="#000000" joinstyle="round" endarrow="block"/>
                        <v:imagedata o:title=""/>
                        <o:lock v:ext="edit" aspectratio="f"/>
                      </v:shape>
                      <v:shape id="直接箭头连接符 64" o:spid="_x0000_s1026" o:spt="32" type="#_x0000_t32" style="position:absolute;left:3146425;top:1723390;height:292100;width:0;" filled="f" stroked="t" coordsize="21600,21600" o:gfxdata="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oaon&#10;FdgAAAAFAQAADwAAAAAAAAABACAAAAAiAAAAZHJzL2Rvd25yZXYueG1sUEsBAhQAFAAAAAgAh07i&#10;QOAP7V4iAgAACAQAAA4AAAAAAAAAAQAgAAAAJwEAAGRycy9lMm9Eb2MueG1sUEsFBgAAAAAGAAYA&#10;WQEAALsFAAAAAA==&#10;">
                        <v:fill on="f" focussize="0,0"/>
                        <v:stroke color="#000000" joinstyle="round" endarrow="block"/>
                        <v:imagedata o:title=""/>
                        <o:lock v:ext="edit" aspectratio="f"/>
                      </v:shape>
                      <v:shape id="直接箭头连接符 65" o:spid="_x0000_s1026" o:spt="32" type="#_x0000_t32" style="position:absolute;left:3146425;top:1268730;height:292100;width:0;" filled="f" stroked="t" coordsize="21600,21600" o:gfxdata="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hqicV&#10;2AAAAAUBAAAPAAAAAAAAAAEAIAAAACIAAABkcnMvZG93bnJldi54bWxQSwECFAAUAAAACACHTuJA&#10;6iAL2iECAAAIBAAADgAAAAAAAAABACAAAAAnAQAAZHJzL2Uyb0RvYy54bWxQSwUGAAAAAAYABgBZ&#10;AQAAugUAAAAA&#10;">
                        <v:fill on="f" focussize="0,0"/>
                        <v:stroke color="#000000" joinstyle="round" endarrow="block"/>
                        <v:imagedata o:title=""/>
                        <o:lock v:ext="edit" aspectratio="f"/>
                      </v:shape>
                      <v:rect id="矩形 13" o:spid="_x0000_s1026" o:spt="1" style="position:absolute;left:2595880;top:1071245;height:321945;width:1105535;v-text-anchor:middle;" fillcolor="#FFFFFF" filled="t" stroked="t" coordsize="21600,21600" o:gfxdata="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soYQe1QAAAAUBAAAPAAAAAAAAAAEAIAAA&#10;ACIAAABkcnMvZG93bnJldi54bWxQSwECFAAUAAAACACHTuJA2uJNL0gCAACNBAAADgAAAAAAAAAB&#10;ACAAAAAkAQAAZHJzL2Uyb0RvYy54bWxQSwUGAAAAAAYABgBZAQAA3gUAAAAA&#10;">
                        <v:fill on="t" focussize="0,0"/>
                        <v:stroke weight="2pt" color="#000000" joinstyle="round"/>
                        <v:imagedata o:title=""/>
                        <o:lock v:ext="edit" aspectratio="f"/>
                        <v:textbox>
                          <w:txbxContent>
                            <w:p w14:paraId="74114633">
                              <w:pPr>
                                <w:jc w:val="center"/>
                                <w:rPr>
                                  <w:sz w:val="15"/>
                                  <w:szCs w:val="15"/>
                                </w:rPr>
                              </w:pPr>
                              <w:r>
                                <w:rPr>
                                  <w:rFonts w:hint="eastAsia"/>
                                  <w:sz w:val="15"/>
                                  <w:szCs w:val="15"/>
                                </w:rPr>
                                <w:t>输送</w:t>
                              </w:r>
                              <w:r>
                                <w:rPr>
                                  <w:sz w:val="15"/>
                                  <w:szCs w:val="15"/>
                                </w:rPr>
                                <w:t>工</w:t>
                              </w:r>
                              <w:r>
                                <w:rPr>
                                  <w:rFonts w:hint="eastAsia"/>
                                  <w:sz w:val="15"/>
                                  <w:szCs w:val="15"/>
                                </w:rPr>
                                <w:t>段（烘</w:t>
                              </w:r>
                              <w:r>
                                <w:rPr>
                                  <w:sz w:val="15"/>
                                  <w:szCs w:val="15"/>
                                </w:rPr>
                                <w:t>前</w:t>
                              </w:r>
                              <w:r>
                                <w:rPr>
                                  <w:rFonts w:hint="eastAsia"/>
                                  <w:sz w:val="15"/>
                                  <w:szCs w:val="15"/>
                                </w:rPr>
                                <w:t>）</w:t>
                              </w:r>
                            </w:p>
                          </w:txbxContent>
                        </v:textbox>
                      </v:rect>
                      <v:rect id="矩形 55" o:spid="_x0000_s1026" o:spt="1" style="position:absolute;left:2597150;top:2015490;height:314325;width:1104265;v-text-anchor:middle;" fillcolor="#FFFFFF" filled="t" stroked="t" coordsize="21600,21600" o:gfxdata="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OyhhB7VAAAABQEAAA8AAAAAAAAAAQAgAAAA&#10;IgAAAGRycy9kb3ducmV2LnhtbFBLAQIUABQAAAAIAIdO4kDuzPRoRwIAAI0EAAAOAAAAAAAAAAEA&#10;IAAAACQBAABkcnMvZTJvRG9jLnhtbFBLBQYAAAAABgAGAFkBAADdBQAAAAA=&#10;">
                        <v:fill on="t" focussize="0,0"/>
                        <v:stroke weight="2pt" color="#000000" joinstyle="round"/>
                        <v:imagedata o:title=""/>
                        <o:lock v:ext="edit" aspectratio="f"/>
                        <v:textbox>
                          <w:txbxContent>
                            <w:p w14:paraId="55BF113B">
                              <w:pPr>
                                <w:jc w:val="center"/>
                              </w:pPr>
                              <w:r>
                                <w:rPr>
                                  <w:rFonts w:hint="eastAsia"/>
                                  <w:sz w:val="15"/>
                                  <w:szCs w:val="15"/>
                                </w:rPr>
                                <w:t>输送</w:t>
                              </w:r>
                              <w:r>
                                <w:rPr>
                                  <w:sz w:val="15"/>
                                  <w:szCs w:val="15"/>
                                </w:rPr>
                                <w:t>工</w:t>
                              </w:r>
                              <w:r>
                                <w:rPr>
                                  <w:rFonts w:hint="eastAsia"/>
                                  <w:sz w:val="15"/>
                                  <w:szCs w:val="15"/>
                                </w:rPr>
                                <w:t>段（烘后）</w:t>
                              </w:r>
                            </w:p>
                          </w:txbxContent>
                        </v:textbox>
                      </v:rect>
                      <v:rect id="矩形 58" o:spid="_x0000_s1026" o:spt="1" style="position:absolute;left:2596515;top:1560830;height:296545;width:1104265;v-text-anchor:middle;" fillcolor="#FFFFFF" filled="t" stroked="t" coordsize="21600,21600" o:gfxdata="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7KGEHtUAAAAFAQAADwAAAAAAAAABACAAAAAi&#10;AAAAZHJzL2Rvd25yZXYueG1sUEsBAhQAFAAAAAgAh07iQOAsGDlGAgAAjQQAAA4AAAAAAAAAAQAg&#10;AAAAJAEAAGRycy9lMm9Eb2MueG1sUEsFBgAAAAAGAAYAWQEAANwFAAAAAA==&#10;">
                        <v:fill on="t" focussize="0,0"/>
                        <v:stroke weight="2pt" color="#000000" joinstyle="round"/>
                        <v:imagedata o:title=""/>
                        <o:lock v:ext="edit" aspectratio="f"/>
                        <v:textbox>
                          <w:txbxContent>
                            <w:p w14:paraId="1E04E445">
                              <w:pPr>
                                <w:jc w:val="center"/>
                                <w:rPr>
                                  <w:sz w:val="15"/>
                                  <w:szCs w:val="15"/>
                                </w:rPr>
                              </w:pPr>
                              <w:r>
                                <w:rPr>
                                  <w:rFonts w:hint="eastAsia"/>
                                  <w:sz w:val="15"/>
                                  <w:szCs w:val="15"/>
                                </w:rPr>
                                <w:t>烘干</w:t>
                              </w:r>
                            </w:p>
                          </w:txbxContent>
                        </v:textbox>
                      </v:rect>
                      <v:rect id="矩形 60" o:spid="_x0000_s1026" o:spt="1" style="position:absolute;left:2597150;top:2541270;height:281940;width:1104900;v-text-anchor:middle;" fillcolor="#FFFFFF" filled="t" stroked="t" coordsize="21600,21600" o:gfxdata="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Pwd6/TWAAAABQEAAA8A&#10;AAAAAAAAAQAgAAAAIgAAAGRycy9kb3ducmV2LnhtbFBLAQIUABQAAAAIAIdO4kA3lFisUgIAAKcE&#10;AAAOAAAAAAAAAAEAIAAAACUBAABkcnMvZTJvRG9jLnhtbFBLBQYAAAAABgAGAFkBAADpBQAAAAA=&#10;">
                        <v:fill on="t" focussize="0,0"/>
                        <v:stroke weight="2.25pt" color="#000000 [3213]" joinstyle="round"/>
                        <v:imagedata o:title=""/>
                        <o:lock v:ext="edit" aspectratio="f"/>
                        <v:textbox>
                          <w:txbxContent>
                            <w:p w14:paraId="3CB5EAC2">
                              <w:pPr>
                                <w:jc w:val="center"/>
                                <w:rPr>
                                  <w:sz w:val="15"/>
                                  <w:szCs w:val="15"/>
                                </w:rPr>
                              </w:pPr>
                              <w:r>
                                <w:rPr>
                                  <w:rFonts w:hint="eastAsia"/>
                                  <w:sz w:val="15"/>
                                  <w:szCs w:val="15"/>
                                </w:rPr>
                                <w:t>产品</w:t>
                              </w:r>
                            </w:p>
                          </w:txbxContent>
                        </v:textbox>
                      </v:rect>
                      <v:rect id="矩形 61" o:spid="_x0000_s1026" o:spt="1" style="position:absolute;left:2595245;top:569595;height:314960;width:1105535;v-text-anchor:middle;" fillcolor="#FFFFFF" filled="t" stroked="t" coordsize="21600,21600" o:gfxdata="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B3r9NYAAAAF&#10;AQAADwAAAAAAAAABACAAAAAiAAAAZHJzL2Rvd25yZXYueG1sUEsBAhQAFAAAAAgAh07iQKzU4rBX&#10;AgAAsAQAAA4AAAAAAAAAAQAgAAAAJQEAAGRycy9lMm9Eb2MueG1sUEsFBgAAAAAGAAYAWQEAAO4F&#10;AAAAAA==&#10;">
                        <v:fill on="t" focussize="0,0"/>
                        <v:stroke weight="2.25pt" color="#000000 [3213]" joinstyle="round"/>
                        <v:imagedata o:title=""/>
                        <o:lock v:ext="edit" aspectratio="f"/>
                        <v:textbox>
                          <w:txbxContent>
                            <w:p w14:paraId="29FBD717">
                              <w:pPr>
                                <w:jc w:val="center"/>
                                <w:rPr>
                                  <w:rFonts w:cs="Times New Roman"/>
                                  <w:sz w:val="15"/>
                                  <w:szCs w:val="15"/>
                                </w:rPr>
                              </w:pPr>
                              <w:r>
                                <w:rPr>
                                  <w:rFonts w:cs="Times New Roman"/>
                                  <w:sz w:val="15"/>
                                  <w:szCs w:val="15"/>
                                </w:rPr>
                                <w:t>清选</w:t>
                              </w:r>
                            </w:p>
                          </w:txbxContent>
                        </v:textbox>
                      </v:rect>
                      <v:shape id="直接箭头连接符 63" o:spid="_x0000_s1026" o:spt="32" type="#_x0000_t32" style="position:absolute;left:3146425;top:2329815;height:191770;width:7620;" filled="f" stroked="t" coordsize="21600,21600" o:gfxdata="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hqicV2AAAAAUBAAAPAAAAAAAAAAEAIAAAACIAAABkcnMvZG93bnJldi54bWxQSwECFAAUAAAA&#10;CACHTuJAYtPQ8icCAAALBAAADgAAAAAAAAABACAAAAAnAQAAZHJzL2Uyb0RvYy54bWxQSwUGAAAA&#10;AAYABgBZAQAAwAUAAAAA&#10;">
                        <v:fill on="f" focussize="0,0"/>
                        <v:stroke color="#000000" joinstyle="round" endarrow="block"/>
                        <v:imagedata o:title=""/>
                        <o:lock v:ext="edit" aspectratio="f"/>
                      </v:shape>
                      <v:rect id="矩形 19" o:spid="_x0000_s1026" o:spt="1" style="position:absolute;left:1268095;top:1569720;height:290830;width:958215;v-text-anchor:middle;" fillcolor="#FFFFFF" filled="t" stroked="t" coordsize="21600,21600" o:gfxdata="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OyhhB7VAAAABQEAAA8AAAAAAAAAAQAgAAAA&#10;IgAAAGRycy9kb3ducmV2LnhtbFBLAQIUABQAAAAIAIdO4kBiTExDRwIAAIwEAAAOAAAAAAAAAAEA&#10;IAAAACQBAABkcnMvZTJvRG9jLnhtbFBLBQYAAAAABgAGAFkBAADdBQAAAAA=&#10;">
                        <v:fill on="t" focussize="0,0"/>
                        <v:stroke weight="2pt" color="#000000" joinstyle="round"/>
                        <v:imagedata o:title=""/>
                        <o:lock v:ext="edit" aspectratio="f"/>
                        <v:textbox>
                          <w:txbxContent>
                            <w:p w14:paraId="3D775330">
                              <w:pPr>
                                <w:jc w:val="center"/>
                                <w:rPr>
                                  <w:sz w:val="15"/>
                                  <w:szCs w:val="15"/>
                                </w:rPr>
                              </w:pPr>
                              <w:r>
                                <w:rPr>
                                  <w:rFonts w:hint="eastAsia"/>
                                  <w:sz w:val="15"/>
                                  <w:szCs w:val="15"/>
                                  <w:lang w:val="en-US" w:eastAsia="zh-CN"/>
                                </w:rPr>
                                <w:t>热风炉</w:t>
                              </w:r>
                              <w:r>
                                <w:rPr>
                                  <w:sz w:val="15"/>
                                  <w:szCs w:val="15"/>
                                </w:rPr>
                                <w:t>供热</w:t>
                              </w:r>
                            </w:p>
                          </w:txbxContent>
                        </v:textbox>
                      </v:rect>
                      <v:shape id="直接箭头连接符 20" o:spid="_x0000_s1026" o:spt="32" type="#_x0000_t32" style="position:absolute;left:2226310;top:1711325;height:0;width:325755;" filled="f" stroked="t" coordsize="21600,21600" o:gfxdata="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KGqJxXY&#10;AAAABQEAAA8AAAAAAAAAAQAgAAAAIgAAAGRycy9kb3ducmV2LnhtbFBLAQIUABQAAAAIAIdO4kDk&#10;gw8oIAIAAAgEAAAOAAAAAAAAAAEAIAAAACcBAABkcnMvZTJvRG9jLnhtbFBLBQYAAAAABgAGAFkB&#10;AAC5BQAAAAA=&#10;">
                        <v:fill on="f" focussize="0,0"/>
                        <v:stroke color="#000000" joinstyle="round" endarrow="block"/>
                        <v:imagedata o:title=""/>
                        <o:lock v:ext="edit" aspectratio="f"/>
                      </v:shape>
                      <v:rect id="矩形 69" o:spid="_x0000_s1026" o:spt="1" style="position:absolute;left:889635;top:2800985;height:309245;width:2811780;v-text-anchor:middle;" filled="f" stroked="f" coordsize="21600,21600" o:gfxdata="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hjm5G9IAAAAF&#10;AQAADwAAAAAAAAABACAAAAAiAAAAZHJzL2Rvd25yZXYueG1sUEsBAhQAFAAAAAgAh07iQBf7UhMi&#10;AgAAJgQAAA4AAAAAAAAAAQAgAAAAIQEAAGRycy9lMm9Eb2MueG1sUEsFBgAAAAAGAAYAWQEAALUF&#10;AAAAAA==&#10;">
                        <v:fill on="f" focussize="0,0"/>
                        <v:stroke on="f"/>
                        <v:imagedata o:title=""/>
                        <o:lock v:ext="edit" aspectratio="f"/>
                        <v:textbox>
                          <w:txbxContent>
                            <w:p w14:paraId="25BF3D5E">
                              <w:pPr>
                                <w:jc w:val="center"/>
                                <w:rPr>
                                  <w:rFonts w:cs="Times New Roman"/>
                                  <w:szCs w:val="21"/>
                                </w:rPr>
                              </w:pPr>
                              <w:r>
                                <w:rPr>
                                  <w:rFonts w:cs="Times New Roman"/>
                                  <w:szCs w:val="21"/>
                                </w:rPr>
                                <w:t>注：G废气 S固废 N噪声</w:t>
                              </w:r>
                            </w:p>
                          </w:txbxContent>
                        </v:textbox>
                      </v:rect>
                      <v:shape id="直接箭头连接符 70" o:spid="_x0000_s1026" o:spt="32" type="#_x0000_t32" style="position:absolute;left:1774825;top:1866265;flip:y;height:292100;width:0;" filled="f" stroked="t" coordsize="21600,21600" o:gfxdata="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R&#10;Ng9r1gAAAAUBAAAPAAAAAAAAAAEAIAAAACIAAABkcnMvZG93bnJldi54bWxQSwECFAAUAAAACACH&#10;TuJA2+I1wCYCAAASBAAADgAAAAAAAAABACAAAAAlAQAAZHJzL2Uyb0RvYy54bWxQSwUGAAAAAAYA&#10;BgBZAQAAvQUAAAAA&#10;">
                        <v:fill on="f" focussize="0,0"/>
                        <v:stroke color="#000000" joinstyle="round" endarrow="block"/>
                        <v:imagedata o:title=""/>
                        <o:lock v:ext="edit" aspectratio="f"/>
                      </v:shape>
                      <v:rect id="矩形 27" o:spid="_x0000_s1026" o:spt="1" style="position:absolute;left:1275715;top:1097915;height:294640;width:958215;v-text-anchor:middle;" filled="f" stroked="t" coordsize="21600,21600" o:gfxdata="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&#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frMCDWAAAABQEAAA8AAAAAAAAAAQAgAAAAIgAAAGRy&#10;cy9kb3ducmV2LnhtbFBLAQIUABQAAAAIAIdO4kCdz1RAQAIAAGMEAAAOAAAAAAAAAAEAIAAAACUB&#10;AABkcnMvZTJvRG9jLnhtbFBLBQYAAAAABgAGAFkBAADXBQAAAAA=&#10;">
                        <v:fill on="f" focussize="0,0"/>
                        <v:stroke weight="2pt" color="#000000" joinstyle="round"/>
                        <v:imagedata o:title=""/>
                        <o:lock v:ext="edit" aspectratio="f"/>
                        <v:textbox>
                          <w:txbxContent>
                            <w:p w14:paraId="34A20C53">
                              <w:pPr>
                                <w:jc w:val="center"/>
                                <w:rPr>
                                  <w:sz w:val="15"/>
                                  <w:szCs w:val="15"/>
                                </w:rPr>
                              </w:pPr>
                              <w:r>
                                <w:rPr>
                                  <w:rFonts w:hint="eastAsia"/>
                                  <w:sz w:val="15"/>
                                  <w:szCs w:val="15"/>
                                  <w:lang w:val="en-US" w:eastAsia="zh-CN"/>
                                </w:rPr>
                                <w:t>布袋</w:t>
                              </w:r>
                              <w:r>
                                <w:rPr>
                                  <w:rFonts w:hint="eastAsia"/>
                                  <w:sz w:val="15"/>
                                  <w:szCs w:val="15"/>
                                </w:rPr>
                                <w:t>除尘器</w:t>
                              </w:r>
                            </w:p>
                          </w:txbxContent>
                        </v:textbox>
                      </v:rect>
                      <v:shape id="直接箭头连接符 29" o:spid="_x0000_s1026" o:spt="32" type="#_x0000_t32" style="position:absolute;left:3702050;top:1226820;height:6985;width:187325;" filled="f" stroked="t" coordsize="21600,21600" o:gfxdata="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oaonFdgAAAAFAQAADwAAAAAAAAABACAAAAAiAAAAZHJzL2Rvd25yZXYueG1sUEsBAhQAFAAAAAgA&#10;h07iQHZ+a60lAgAACwQAAA4AAAAAAAAAAQAgAAAAJwEAAGRycy9lMm9Eb2MueG1sUEsFBgAAAAAG&#10;AAYAWQEAAL4FAAAAAA==&#10;">
                        <v:fill on="f" focussize="0,0"/>
                        <v:stroke color="#000000" joinstyle="round" endarrow="block"/>
                        <v:imagedata o:title=""/>
                        <o:lock v:ext="edit" aspectratio="f"/>
                      </v:shape>
                      <v:shape id="直接箭头连接符 78" o:spid="_x0000_s1026" o:spt="32" type="#_x0000_t32" style="position:absolute;left:3702050;top:1701800;height:6350;width:187325;" filled="f" stroked="t" coordsize="21600,21600" o:gfxdata="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h&#10;qicV2AAAAAUBAAAPAAAAAAAAAAEAIAAAACIAAABkcnMvZG93bnJldi54bWxQSwECFAAUAAAACACH&#10;TuJAK72L9iQCAAALBAAADgAAAAAAAAABACAAAAAnAQAAZHJzL2Uyb0RvYy54bWxQSwUGAAAAAAYA&#10;BgBZAQAAvQUAAAAA&#10;">
                        <v:fill on="f" focussize="0,0"/>
                        <v:stroke color="#000000" joinstyle="round" endarrow="block"/>
                        <v:imagedata o:title=""/>
                        <o:lock v:ext="edit" aspectratio="f"/>
                      </v:shape>
                      <v:rect id="矩形 30" o:spid="_x0000_s1026" o:spt="1" style="position:absolute;left:3888740;top:1078865;height:283845;width:626745;v-text-anchor:middle;" filled="f" stroked="f" coordsize="21600,21600" o:gfxdata="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hjm5G9IAAAAFAQAA&#10;DwAAAAAAAAABACAAAAAiAAAAZHJzL2Rvd25yZXYueG1sUEsBAhQAFAAAAAgAh07iQOX6iaMfAgAA&#10;JgQAAA4AAAAAAAAAAQAgAAAAIQEAAGRycy9lMm9Eb2MueG1sUEsFBgAAAAAGAAYAWQEAALIFAAAA&#10;AA==&#10;">
                        <v:fill on="f" focussize="0,0"/>
                        <v:stroke on="f"/>
                        <v:imagedata o:title=""/>
                        <o:lock v:ext="edit" aspectratio="f"/>
                        <v:textbox>
                          <w:txbxContent>
                            <w:p w14:paraId="47BFA970">
                              <w:pPr>
                                <w:rPr>
                                  <w:rFonts w:hint="default" w:ascii="Times New Roman" w:hAnsi="Times New Roman" w:eastAsia="宋体" w:cs="Times New Roman"/>
                                  <w:szCs w:val="21"/>
                                  <w:lang w:val="en-US" w:eastAsia="zh-CN"/>
                                </w:rPr>
                              </w:pPr>
                              <w:r>
                                <w:rPr>
                                  <w:rFonts w:hint="default" w:ascii="Times New Roman" w:hAnsi="Times New Roman" w:cs="Times New Roman"/>
                                  <w:szCs w:val="21"/>
                                </w:rPr>
                                <w:t>N</w:t>
                              </w:r>
                              <w:r>
                                <w:rPr>
                                  <w:rFonts w:hint="eastAsia" w:ascii="Times New Roman" w:hAnsi="Times New Roman" w:cs="Times New Roman"/>
                                  <w:szCs w:val="21"/>
                                  <w:lang w:eastAsia="zh-CN"/>
                                </w:rPr>
                                <w:t>、</w:t>
                              </w:r>
                              <w:r>
                                <w:rPr>
                                  <w:rFonts w:hint="eastAsia" w:ascii="Times New Roman" w:hAnsi="Times New Roman" w:cs="Times New Roman"/>
                                  <w:szCs w:val="21"/>
                                  <w:lang w:val="en-US" w:eastAsia="zh-CN"/>
                                </w:rPr>
                                <w:t>G</w:t>
                              </w:r>
                            </w:p>
                          </w:txbxContent>
                        </v:textbox>
                      </v:rect>
                      <v:rect id="矩形 79" o:spid="_x0000_s1026" o:spt="1" style="position:absolute;left:267335;top:1091565;height:288290;width:848995;v-text-anchor:middle;" filled="f" stroked="f" coordsize="21600,21600" o:gfxdata="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Y5uRvSAAAABQEA&#10;AA8AAAAAAAAAAQAgAAAAIgAAAGRycy9kb3ducmV2LnhtbFBLAQIUABQAAAAIAIdO4kAF4eGGIAIA&#10;ACUEAAAOAAAAAAAAAAEAIAAAACEBAABkcnMvZTJvRG9jLnhtbFBLBQYAAAAABgAGAFkBAACzBQAA&#10;AAA=&#10;">
                        <v:fill on="f" focussize="0,0"/>
                        <v:stroke on="f"/>
                        <v:imagedata o:title=""/>
                        <o:lock v:ext="edit" aspectratio="f"/>
                        <v:textbox>
                          <w:txbxContent>
                            <w:p w14:paraId="1ED40D00">
                              <w:pPr>
                                <w:rPr>
                                  <w:rFonts w:hint="default" w:ascii="Times New Roman" w:hAnsi="Times New Roman" w:cs="Times New Roman"/>
                                  <w:szCs w:val="21"/>
                                </w:rPr>
                              </w:pPr>
                              <w:r>
                                <w:rPr>
                                  <w:rFonts w:hint="default" w:ascii="Times New Roman" w:hAnsi="Times New Roman" w:cs="Times New Roman"/>
                                  <w:szCs w:val="21"/>
                                </w:rPr>
                                <w:t>G、S、N</w:t>
                              </w:r>
                            </w:p>
                          </w:txbxContent>
                        </v:textbox>
                      </v:rect>
                      <v:rect id="矩形 80" o:spid="_x0000_s1026" o:spt="1" style="position:absolute;left:3890010;top:2036445;height:295910;width:831850;v-text-anchor:middle;" filled="f" stroked="f" coordsize="21600,21600" o:gfxdata="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IY5uRvSAAAABQEAAA8A&#10;AAAAAAAAAQAgAAAAIgAAAGRycy9kb3ducmV2LnhtbFBLAQIUABQAAAAIAIdO4kCxz5BAHQIAACQE&#10;AAAOAAAAAAAAAAEAIAAAACEBAABkcnMvZTJvRG9jLnhtbFBLBQYAAAAABgAGAFkBAACwBQAAAAA=&#10;">
                        <v:fill on="f" focussize="0,0"/>
                        <v:stroke on="f"/>
                        <v:imagedata o:title=""/>
                        <o:lock v:ext="edit" aspectratio="f"/>
                        <v:textbox>
                          <w:txbxContent>
                            <w:p w14:paraId="48036E46">
                              <w:pPr>
                                <w:rPr>
                                  <w:rFonts w:hint="default" w:ascii="Times New Roman" w:hAnsi="Times New Roman" w:eastAsia="宋体" w:cs="Times New Roman"/>
                                  <w:szCs w:val="21"/>
                                  <w:lang w:val="en-US" w:eastAsia="zh-CN"/>
                                </w:rPr>
                              </w:pPr>
                              <w:r>
                                <w:rPr>
                                  <w:rFonts w:hint="default" w:ascii="Times New Roman" w:hAnsi="Times New Roman" w:cs="Times New Roman"/>
                                  <w:szCs w:val="21"/>
                                </w:rPr>
                                <w:t>N</w:t>
                              </w:r>
                              <w:r>
                                <w:rPr>
                                  <w:rFonts w:hint="eastAsia" w:ascii="Times New Roman" w:hAnsi="Times New Roman" w:cs="Times New Roman"/>
                                  <w:szCs w:val="21"/>
                                  <w:lang w:eastAsia="zh-CN"/>
                                </w:rPr>
                                <w:t>、</w:t>
                              </w:r>
                              <w:r>
                                <w:rPr>
                                  <w:rFonts w:hint="eastAsia" w:ascii="Times New Roman" w:hAnsi="Times New Roman" w:cs="Times New Roman"/>
                                  <w:szCs w:val="21"/>
                                  <w:lang w:val="en-US" w:eastAsia="zh-CN"/>
                                </w:rPr>
                                <w:t>G</w:t>
                              </w:r>
                            </w:p>
                          </w:txbxContent>
                        </v:textbox>
                      </v:rect>
                      <v:rect id="矩形 81" o:spid="_x0000_s1026" o:spt="1" style="position:absolute;left:501015;top:1560830;height:314325;width:593090;v-text-anchor:middle;" filled="f" stroked="f" coordsize="21600,21600" o:gfxdata="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GObkb0gAAAAUBAAAPAAAA&#10;AAAAAAEAIAAAACIAAABkcnMvZG93bnJldi54bWxQSwECFAAUAAAACACHTuJArnuzJhsCAAAkBAAA&#10;DgAAAAAAAAABACAAAAAhAQAAZHJzL2Uyb0RvYy54bWxQSwUGAAAAAAYABgBZAQAArgUAAAAA&#10;">
                        <v:fill on="f" focussize="0,0"/>
                        <v:stroke on="f"/>
                        <v:imagedata o:title=""/>
                        <o:lock v:ext="edit" aspectratio="f"/>
                        <v:textbox>
                          <w:txbxContent>
                            <w:p w14:paraId="46AA52E3">
                              <w:pPr>
                                <w:rPr>
                                  <w:rFonts w:hint="default" w:ascii="Times New Roman" w:hAnsi="Times New Roman" w:cs="Times New Roman"/>
                                  <w:szCs w:val="21"/>
                                </w:rPr>
                              </w:pPr>
                              <w:r>
                                <w:rPr>
                                  <w:rFonts w:hint="default" w:ascii="Times New Roman" w:hAnsi="Times New Roman" w:cs="Times New Roman"/>
                                  <w:szCs w:val="21"/>
                                </w:rPr>
                                <w:t>S、N</w:t>
                              </w:r>
                            </w:p>
                          </w:txbxContent>
                        </v:textbox>
                      </v:rect>
                      <v:rect id="矩形 82" o:spid="_x0000_s1026" o:spt="1" style="position:absolute;left:3889375;top:1538605;height:290830;width:708025;v-text-anchor:middle;" filled="f" stroked="f" coordsize="21600,21600" o:gfxdata="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Y5uRvSAAAABQEA&#10;AA8AAAAAAAAAAQAgAAAAIgAAAGRycy9kb3ducmV2LnhtbFBLAQIUABQAAAAIAIdO4kA52J6BIAIA&#10;ACUEAAAOAAAAAAAAAAEAIAAAACEBAABkcnMvZTJvRG9jLnhtbFBLBQYAAAAABgAGAFkBAACzBQAA&#10;AAA=&#10;">
                        <v:fill on="f" focussize="0,0"/>
                        <v:stroke on="f"/>
                        <v:imagedata o:title=""/>
                        <o:lock v:ext="edit" aspectratio="f"/>
                        <v:textbox>
                          <w:txbxContent>
                            <w:p w14:paraId="0F3AB80B">
                              <w:pPr>
                                <w:rPr>
                                  <w:rFonts w:hint="default" w:ascii="Times New Roman" w:hAnsi="Times New Roman" w:cs="Times New Roman"/>
                                  <w:szCs w:val="21"/>
                                </w:rPr>
                              </w:pPr>
                              <w:r>
                                <w:rPr>
                                  <w:rFonts w:hint="default" w:ascii="Times New Roman" w:hAnsi="Times New Roman" w:cs="Times New Roman"/>
                                  <w:szCs w:val="21"/>
                                </w:rPr>
                                <w:t>N</w:t>
                              </w:r>
                              <w:r>
                                <w:rPr>
                                  <w:rFonts w:hint="eastAsia" w:ascii="Times New Roman" w:hAnsi="Times New Roman" w:cs="Times New Roman"/>
                                  <w:szCs w:val="21"/>
                                </w:rPr>
                                <w:t>、G</w:t>
                              </w:r>
                            </w:p>
                          </w:txbxContent>
                        </v:textbox>
                      </v:rect>
                      <v:shape id="直接箭头连接符 83" o:spid="_x0000_s1026" o:spt="32" type="#_x0000_t32" style="position:absolute;left:3702685;top:2185670;height:6350;width:186690;" filled="f" stroked="t" coordsize="21600,21600" o:gfxdata="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hqicV2AAAAAUBAAAPAAAAAAAAAAEAIAAAACIAAABkcnMvZG93bnJldi54bWxQSwECFAAUAAAA&#10;CACHTuJAZD0YICcCAAAKBAAADgAAAAAAAAABACAAAAAnAQAAZHJzL2Uyb0RvYy54bWxQSwUGAAAA&#10;AAYABgBZAQAAwAUAAAAA&#10;">
                        <v:fill on="f" focussize="0,0"/>
                        <v:stroke color="#000000" joinstyle="round" endarrow="block"/>
                        <v:imagedata o:title=""/>
                        <o:lock v:ext="edit" aspectratio="f"/>
                      </v:shape>
                      <v:shape id="直接箭头连接符 84" o:spid="_x0000_s1026" o:spt="32" type="#_x0000_t32" style="position:absolute;left:1094105;top:1746885;flip:x;height:0;width:160020;" filled="f" stroked="t" coordsize="21600,21600" o:gfxdata="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RNg9r1gAAAAUBAAAPAAAAAAAAAAEAIAAAACIAAABkcnMvZG93bnJldi54bWxQSwECFAAUAAAA&#10;CACHTuJAqbJ5+CkCAAARBAAADgAAAAAAAAABACAAAAAlAQAAZHJzL2Uyb0RvYy54bWxQSwUGAAAA&#10;AAYABgBZAQAAwAUAAAAA&#10;">
                        <v:fill on="f" focussize="0,0"/>
                        <v:stroke color="#000000" joinstyle="round" endarrow="block"/>
                        <v:imagedata o:title=""/>
                        <o:lock v:ext="edit" aspectratio="f"/>
                      </v:shape>
                      <v:shape id="直接箭头连接符 86" o:spid="_x0000_s1026" o:spt="32" type="#_x0000_t32" style="position:absolute;left:1116330;top:1250950;flip:x;height:0;width:159385;" filled="f" stroked="t" coordsize="21600,21600" o:gfxdata="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JE2D2vWAAAABQEAAA8AAAAAAAAAAQAgAAAAIgAAAGRycy9kb3ducmV2LnhtbFBLAQIUABQAAAAI&#10;AIdO4kDdZaNnKAIAABEEAAAOAAAAAAAAAAEAIAAAACUBAABkcnMvZTJvRG9jLnhtbFBLBQYAAAAA&#10;BgAGAFkBAAC/BQAAAAA=&#10;">
                        <v:fill on="f" focussize="0,0"/>
                        <v:stroke color="#000000" joinstyle="round" endarrow="block"/>
                        <v:imagedata o:title=""/>
                        <o:lock v:ext="edit" aspectratio="f"/>
                      </v:shape>
                      <v:rect id="矩形 117" o:spid="_x0000_s1026" o:spt="1" style="position:absolute;left:2595245;top:36195;height:314960;width:1104900;v-text-anchor:middle;" fillcolor="#FFFFFF" filled="t" stroked="t" coordsize="21600,21600" o:gfxdata="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8Hev01gAAAAUBAAAP&#10;AAAAAAAAAAEAIAAAACIAAABkcnMvZG93bnJldi54bWxQSwECFAAUAAAACACHTuJAEtEc71MCAACl&#10;BAAADgAAAAAAAAABACAAAAAlAQAAZHJzL2Uyb0RvYy54bWxQSwUGAAAAAAYABgBZAQAA6gUAAAAA&#10;">
                        <v:fill on="t" focussize="0,0"/>
                        <v:stroke weight="2.25pt" color="#000000 [3213]" joinstyle="round"/>
                        <v:imagedata o:title=""/>
                        <o:lock v:ext="edit" aspectratio="f"/>
                        <v:textbox>
                          <w:txbxContent>
                            <w:p w14:paraId="5AB32ED9">
                              <w:pPr>
                                <w:pStyle w:val="34"/>
                                <w:spacing w:before="0" w:beforeAutospacing="0" w:after="0" w:afterAutospacing="0"/>
                                <w:jc w:val="center"/>
                              </w:pPr>
                              <w:r>
                                <w:rPr>
                                  <w:rFonts w:hint="eastAsia" w:cs="Times New Roman"/>
                                  <w:color w:val="000000"/>
                                  <w:sz w:val="15"/>
                                  <w:szCs w:val="15"/>
                                </w:rPr>
                                <w:t>原料</w:t>
                              </w:r>
                            </w:p>
                          </w:txbxContent>
                        </v:textbox>
                      </v:rect>
                      <v:rect id="矩形 120" o:spid="_x0000_s1026" o:spt="1" style="position:absolute;left:3850640;top:583565;height:379095;width:746760;v-text-anchor:middle;" filled="f" stroked="f" coordsize="21600,21600" o:gfxdata="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GObkb0gAAAAUB&#10;AAAPAAAAAAAAAAEAIAAAACIAAABkcnMvZG93bnJldi54bWxQSwECFAAUAAAACACHTuJAQbXvbSEC&#10;AAAmBAAADgAAAAAAAAABACAAAAAhAQAAZHJzL2Uyb0RvYy54bWxQSwUGAAAAAAYABgBZAQAAtAUA&#10;AAAA&#10;">
                        <v:fill on="f" focussize="0,0"/>
                        <v:stroke on="f"/>
                        <v:imagedata o:title=""/>
                        <o:lock v:ext="edit" aspectratio="f"/>
                        <v:textbox>
                          <w:txbxContent>
                            <w:p w14:paraId="27192528">
                              <w:pPr>
                                <w:rPr>
                                  <w:rFonts w:hint="default" w:ascii="Times New Roman" w:hAnsi="Times New Roman" w:cs="Times New Roman"/>
                                  <w:szCs w:val="21"/>
                                </w:rPr>
                              </w:pPr>
                              <w:r>
                                <w:rPr>
                                  <w:rFonts w:hint="default" w:ascii="Times New Roman" w:hAnsi="Times New Roman" w:cs="Times New Roman"/>
                                  <w:szCs w:val="21"/>
                                </w:rPr>
                                <w:t>N、S、G</w:t>
                              </w:r>
                            </w:p>
                          </w:txbxContent>
                        </v:textbox>
                      </v:rect>
                      <v:shape id="直接箭头连接符 121" o:spid="_x0000_s1026" o:spt="32" type="#_x0000_t32" style="position:absolute;left:3698875;top:745490;height:6350;width:187325;" filled="f" stroked="t" coordsize="21600,21600" o:gfxdata="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oaonFdgAAAAFAQAADwAAAAAAAAABACAAAAAiAAAAZHJzL2Rvd25yZXYueG1sUEsBAhQAFAAAAAgA&#10;h07iQAtd/x0lAgAACwQAAA4AAAAAAAAAAQAgAAAAJwEAAGRycy9lMm9Eb2MueG1sUEsFBgAAAAAG&#10;AAYAWQEAAL4FAAAAAA==&#10;">
                        <v:fill on="f" focussize="0,0"/>
                        <v:stroke color="#000000" joinstyle="round" endarrow="block"/>
                        <v:imagedata o:title=""/>
                        <o:lock v:ext="edit" aspectratio="f"/>
                      </v:shape>
                      <v:rect id="矩形 58" o:spid="_x0000_s1026" o:spt="1" style="position:absolute;left:1273810;top:2037080;height:296545;width:963295;v-text-anchor:middle;" fillcolor="#FFFFFF" filled="t" stroked="t" coordsize="21600,21600" o:gfxdata="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7KGEHtUAAAAFAQAADwAAAAAAAAABACAAAAAi&#10;AAAAZHJzL2Rvd25yZXYueG1sUEsBAhQAFAAAAAgAh07iQAnjXvVGAgAAiwQAAA4AAAAAAAAAAQAg&#10;AAAAJAEAAGRycy9lMm9Eb2MueG1sUEsFBgAAAAAGAAYAWQEAANwFAAAAAA==&#10;">
                        <v:fill on="t" focussize="0,0"/>
                        <v:stroke weight="2pt" color="#000000" joinstyle="round"/>
                        <v:imagedata o:title=""/>
                        <o:lock v:ext="edit" aspectratio="f"/>
                        <v:textbox>
                          <w:txbxContent>
                            <w:p w14:paraId="3A88C67F">
                              <w:pPr>
                                <w:jc w:val="center"/>
                                <w:rPr>
                                  <w:rFonts w:hint="eastAsia" w:eastAsia="宋体"/>
                                  <w:sz w:val="15"/>
                                  <w:szCs w:val="15"/>
                                  <w:lang w:val="en-US" w:eastAsia="zh-CN"/>
                                </w:rPr>
                              </w:pPr>
                              <w:r>
                                <w:rPr>
                                  <w:rFonts w:hint="eastAsia"/>
                                  <w:sz w:val="15"/>
                                  <w:szCs w:val="15"/>
                                  <w:lang w:val="en-US" w:eastAsia="zh-CN"/>
                                </w:rPr>
                                <w:t>空气</w:t>
                              </w:r>
                            </w:p>
                          </w:txbxContent>
                        </v:textbox>
                      </v:rect>
                      <v:shape id="直接箭头连接符 66" o:spid="_x0000_s1026" o:spt="32" type="#_x0000_t32" style="position:absolute;left:3151505;top:340360;flip:x;height:217170;width:2540;" filled="f" stroked="t" coordsize="21600,21600" o:gfxdata="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kTYPa9YAAAAFAQAADwAAAAAAAAABACAAAAAiAAAAZHJzL2Rvd25yZXYueG1sUEsBAhQAFAAA&#10;AAgAh07iQP6QAUUqAgAAEwQAAA4AAAAAAAAAAQAgAAAAJQEAAGRycy9lMm9Eb2MueG1sUEsFBgAA&#10;AAAGAAYAWQEAAMEFAAAAAA==&#10;">
                        <v:fill on="f" focussize="0,0"/>
                        <v:stroke color="#000000" joinstyle="round" endarrow="block"/>
                        <v:imagedata o:title=""/>
                        <o:lock v:ext="edit" aspectratio="f"/>
                      </v:shape>
                      <w10:wrap type="none"/>
                      <w10:anchorlock/>
                    </v:group>
                  </w:pict>
                </mc:Fallback>
              </mc:AlternateContent>
            </w:r>
            <w:bookmarkEnd w:id="40"/>
            <w:bookmarkEnd w:id="41"/>
          </w:p>
          <w:p w14:paraId="7DE7CB91">
            <w:pPr>
              <w:keepNext w:val="0"/>
              <w:keepLines w:val="0"/>
              <w:pageBreakBefore w:val="0"/>
              <w:suppressLineNumbers w:val="0"/>
              <w:wordWrap/>
              <w:overflowPunct/>
              <w:topLinePunct w:val="0"/>
              <w:bidi w:val="0"/>
              <w:spacing w:before="0" w:beforeAutospacing="0" w:after="0" w:afterAutospacing="0" w:line="360" w:lineRule="auto"/>
              <w:ind w:left="0" w:right="0"/>
              <w:jc w:val="center"/>
              <w:rPr>
                <w:rFonts w:hint="default" w:ascii="Times New Roman" w:hAnsi="Times New Roman" w:eastAsia="宋体" w:cs="Times New Roman"/>
                <w:b/>
                <w:bCs/>
                <w:snapToGrid w:val="0"/>
                <w:color w:val="auto"/>
                <w:sz w:val="24"/>
                <w:szCs w:val="24"/>
                <w:highlight w:val="none"/>
              </w:rPr>
            </w:pPr>
            <w:r>
              <w:rPr>
                <w:rFonts w:hint="default" w:ascii="Times New Roman" w:hAnsi="Times New Roman" w:eastAsia="宋体" w:cs="Times New Roman"/>
                <w:b/>
                <w:bCs/>
                <w:snapToGrid w:val="0"/>
                <w:color w:val="auto"/>
                <w:sz w:val="24"/>
                <w:szCs w:val="24"/>
                <w:highlight w:val="none"/>
              </w:rPr>
              <w:t>图2-</w:t>
            </w:r>
            <w:r>
              <w:rPr>
                <w:rFonts w:hint="eastAsia" w:cs="Times New Roman"/>
                <w:b/>
                <w:bCs/>
                <w:snapToGrid w:val="0"/>
                <w:color w:val="auto"/>
                <w:sz w:val="24"/>
                <w:szCs w:val="24"/>
                <w:highlight w:val="none"/>
                <w:lang w:val="en-US" w:eastAsia="zh-CN"/>
              </w:rPr>
              <w:t>3 水稻、玉米烘干工艺</w:t>
            </w:r>
            <w:r>
              <w:rPr>
                <w:rFonts w:hint="default" w:ascii="Times New Roman" w:hAnsi="Times New Roman" w:eastAsia="宋体" w:cs="Times New Roman"/>
                <w:b/>
                <w:bCs/>
                <w:snapToGrid w:val="0"/>
                <w:color w:val="auto"/>
                <w:sz w:val="24"/>
                <w:szCs w:val="24"/>
                <w:highlight w:val="none"/>
              </w:rPr>
              <w:t>流程及产污环节图</w:t>
            </w:r>
          </w:p>
          <w:p w14:paraId="69257B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宋体" w:hAnsi="宋体" w:eastAsia="宋体" w:cs="宋体"/>
                <w:b/>
                <w:bCs/>
                <w:color w:val="auto"/>
                <w:kern w:val="21"/>
                <w:sz w:val="24"/>
                <w:szCs w:val="24"/>
                <w:highlight w:val="none"/>
                <w:lang w:eastAsia="zh-CN"/>
              </w:rPr>
            </w:pPr>
            <w:r>
              <w:rPr>
                <w:rFonts w:hint="eastAsia" w:ascii="宋体" w:hAnsi="宋体" w:eastAsia="宋体" w:cs="宋体"/>
                <w:b/>
                <w:bCs/>
                <w:color w:val="auto"/>
                <w:kern w:val="21"/>
                <w:sz w:val="24"/>
                <w:szCs w:val="24"/>
                <w:highlight w:val="none"/>
                <w:lang w:eastAsia="zh-CN"/>
              </w:rPr>
              <w:t>工艺流程简述：</w:t>
            </w:r>
          </w:p>
          <w:p w14:paraId="269BBE4D">
            <w:pPr>
              <w:pStyle w:val="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（1）进出仓工艺流程</w:t>
            </w:r>
          </w:p>
          <w:p w14:paraId="6E6828D6">
            <w:pPr>
              <w:pStyle w:val="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湿粮经汽车运输至厂区内，称量后经输送机送至</w:t>
            </w:r>
            <w:r>
              <w:rPr>
                <w:rFonts w:hint="eastAsia" w:cs="Times New Roman"/>
                <w:color w:val="auto"/>
                <w:spacing w:val="0"/>
                <w:sz w:val="24"/>
                <w:szCs w:val="24"/>
                <w:highlight w:val="none"/>
                <w:lang w:val="en-US" w:eastAsia="zh-CN"/>
              </w:rPr>
              <w:t>滚筒</w:t>
            </w:r>
            <w:r>
              <w:rPr>
                <w:rFonts w:hint="default" w:ascii="Times New Roman" w:hAnsi="Times New Roman" w:eastAsia="宋体" w:cs="Times New Roman"/>
                <w:color w:val="auto"/>
                <w:spacing w:val="0"/>
                <w:sz w:val="24"/>
                <w:szCs w:val="24"/>
                <w:highlight w:val="none"/>
              </w:rPr>
              <w:t>筛</w:t>
            </w:r>
            <w:r>
              <w:rPr>
                <w:rFonts w:hint="eastAsia" w:cs="Times New Roman"/>
                <w:color w:val="auto"/>
                <w:spacing w:val="0"/>
                <w:sz w:val="24"/>
                <w:szCs w:val="24"/>
                <w:highlight w:val="none"/>
                <w:lang w:val="en-US" w:eastAsia="zh-CN"/>
              </w:rPr>
              <w:t>进行筛选</w:t>
            </w:r>
            <w:r>
              <w:rPr>
                <w:rFonts w:hint="default" w:ascii="Times New Roman" w:hAnsi="Times New Roman" w:eastAsia="宋体" w:cs="Times New Roman"/>
                <w:color w:val="auto"/>
                <w:spacing w:val="0"/>
                <w:sz w:val="24"/>
                <w:szCs w:val="24"/>
                <w:highlight w:val="none"/>
              </w:rPr>
              <w:t>，由提升机送至烘干塔内进行烘干，烘干塔配有</w:t>
            </w:r>
            <w:r>
              <w:rPr>
                <w:rFonts w:hint="eastAsia"/>
                <w:color w:val="auto"/>
                <w:sz w:val="24"/>
                <w:szCs w:val="24"/>
                <w:highlight w:val="none"/>
                <w:lang w:val="en-US" w:eastAsia="zh-CN"/>
              </w:rPr>
              <w:t>1台600万大卡的生物质链条热风炉</w:t>
            </w:r>
            <w:r>
              <w:rPr>
                <w:rFonts w:hint="default" w:ascii="Times New Roman" w:hAnsi="Times New Roman" w:eastAsia="宋体" w:cs="Times New Roman"/>
                <w:color w:val="auto"/>
                <w:spacing w:val="0"/>
                <w:sz w:val="24"/>
                <w:szCs w:val="24"/>
                <w:highlight w:val="none"/>
              </w:rPr>
              <w:t>产生的热量经过换热器将冷空气加热，热空气通过热风机经管道送入烘干塔，热空气与塔内的湿粮接触，层层蒸发掉粮食内多余的水份，烘干后干燥的</w:t>
            </w:r>
            <w:r>
              <w:rPr>
                <w:rFonts w:hint="eastAsia" w:cs="Times New Roman"/>
                <w:color w:val="auto"/>
                <w:spacing w:val="0"/>
                <w:sz w:val="24"/>
                <w:szCs w:val="24"/>
                <w:highlight w:val="none"/>
                <w:lang w:val="en-US" w:eastAsia="zh-CN"/>
              </w:rPr>
              <w:t>粮食</w:t>
            </w:r>
            <w:r>
              <w:rPr>
                <w:rFonts w:hint="default" w:ascii="Times New Roman" w:hAnsi="Times New Roman" w:eastAsia="宋体" w:cs="Times New Roman"/>
                <w:color w:val="auto"/>
                <w:spacing w:val="0"/>
                <w:sz w:val="24"/>
                <w:szCs w:val="24"/>
                <w:highlight w:val="none"/>
              </w:rPr>
              <w:t>进入仓库，储存。</w:t>
            </w:r>
          </w:p>
          <w:p w14:paraId="5E22666A">
            <w:pPr>
              <w:pStyle w:val="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（2）热气输送至烘干塔流程</w:t>
            </w:r>
          </w:p>
          <w:p w14:paraId="1DB4264C">
            <w:pPr>
              <w:pStyle w:val="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冷空气由风机送至燃</w:t>
            </w:r>
            <w:r>
              <w:rPr>
                <w:rFonts w:hint="eastAsia" w:cs="Times New Roman"/>
                <w:color w:val="auto"/>
                <w:spacing w:val="0"/>
                <w:sz w:val="24"/>
                <w:szCs w:val="24"/>
                <w:highlight w:val="none"/>
                <w:lang w:val="en-US" w:eastAsia="zh-CN"/>
              </w:rPr>
              <w:t>生物质链条热风炉</w:t>
            </w:r>
            <w:r>
              <w:rPr>
                <w:rFonts w:hint="default" w:ascii="Times New Roman" w:hAnsi="Times New Roman" w:eastAsia="宋体" w:cs="Times New Roman"/>
                <w:color w:val="auto"/>
                <w:spacing w:val="0"/>
                <w:sz w:val="24"/>
                <w:szCs w:val="24"/>
                <w:highlight w:val="none"/>
              </w:rPr>
              <w:t>内，经热风炉加热后形成高温烟气，冷空气经换热器与高温烟气进行热交换后，变为热空气，经风机送至烘干塔内进行烘干粮食，烘干后的热空气由塔顶排放，交换后的烟气经</w:t>
            </w:r>
            <w:r>
              <w:rPr>
                <w:rFonts w:hint="eastAsia" w:cs="Times New Roman"/>
                <w:color w:val="auto"/>
                <w:sz w:val="24"/>
                <w:szCs w:val="24"/>
                <w:highlight w:val="none"/>
                <w:lang w:eastAsia="zh-CN"/>
              </w:rPr>
              <w:t>烟囱</w:t>
            </w:r>
            <w:r>
              <w:rPr>
                <w:rFonts w:hint="default" w:ascii="Times New Roman" w:hAnsi="Times New Roman" w:eastAsia="宋体" w:cs="Times New Roman"/>
                <w:color w:val="auto"/>
                <w:spacing w:val="0"/>
                <w:sz w:val="24"/>
                <w:szCs w:val="24"/>
                <w:highlight w:val="none"/>
              </w:rPr>
              <w:t>排放。</w:t>
            </w:r>
          </w:p>
          <w:p w14:paraId="26974A11">
            <w:pPr>
              <w:pStyle w:val="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（3）烘干塔内工艺流程</w:t>
            </w:r>
          </w:p>
          <w:p w14:paraId="6CD707A9">
            <w:pPr>
              <w:pStyle w:val="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在干燥段内，由于粮食自重，自上而下流动，热风进入，朝上方向穿过粮层，热风在穿过粮层时，与粮粒间进行湿热传递，热风将热量转给粮粒，使之温度升高，与粮食接触温度最高不超过60℃，粮粒受热升温，水分蒸发到空气中，干燥介质携带着水汽变成废气经烘干塔口排出。在这个过程中，粮食温度升得越高，水分就蒸发得越快。为保证粮食的品质，即加工性和食用性，干燥段内粮食温升和干燥时间是受到严格控制的，其原则是既要降低粮食的水分，又不能损害粮食的品质。在烘干段内没有布置通风角状管的部位为缓苏段，烘干的热粮向下流动到缓苏段，缓苏段内不通热风，其主要作用是减缓在干燥过程中粮粒内形成的应力，促进谷粒内部水分逐渐向外移动，使粮粒表面和内部的水分趋于平衡。缓苏工艺实施既有利于下一阶段的干燥，又能确保烘后粮的品质。</w:t>
            </w:r>
          </w:p>
          <w:p w14:paraId="3280F4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bCs/>
                <w:color w:val="auto"/>
                <w:spacing w:val="0"/>
                <w:kern w:val="0"/>
                <w:sz w:val="24"/>
                <w:szCs w:val="24"/>
                <w:highlight w:val="none"/>
                <w:lang w:val="en-US" w:eastAsia="zh-CN" w:bidi="ar-SA"/>
              </w:rPr>
            </w:pPr>
            <w:r>
              <w:rPr>
                <w:rFonts w:hint="default" w:ascii="Times New Roman" w:hAnsi="Times New Roman" w:eastAsia="宋体" w:cs="Times New Roman"/>
                <w:color w:val="auto"/>
                <w:spacing w:val="0"/>
                <w:sz w:val="24"/>
                <w:szCs w:val="24"/>
                <w:highlight w:val="none"/>
                <w:lang w:val="en-US" w:eastAsia="zh-CN"/>
              </w:rPr>
              <w:t>本项目运营期工程主要排污节点见表</w:t>
            </w:r>
            <w:r>
              <w:rPr>
                <w:rFonts w:hint="eastAsia" w:ascii="Times New Roman" w:hAnsi="Times New Roman" w:eastAsia="宋体" w:cs="Times New Roman"/>
                <w:color w:val="auto"/>
                <w:spacing w:val="0"/>
                <w:sz w:val="24"/>
                <w:szCs w:val="24"/>
                <w:highlight w:val="none"/>
                <w:lang w:val="en-US" w:eastAsia="zh-CN"/>
              </w:rPr>
              <w:t>2</w:t>
            </w:r>
            <w:r>
              <w:rPr>
                <w:rFonts w:hint="default" w:ascii="Times New Roman" w:hAnsi="Times New Roman" w:eastAsia="宋体" w:cs="Times New Roman"/>
                <w:color w:val="auto"/>
                <w:spacing w:val="0"/>
                <w:sz w:val="24"/>
                <w:szCs w:val="24"/>
                <w:highlight w:val="none"/>
                <w:lang w:val="en-US" w:eastAsia="zh-CN"/>
              </w:rPr>
              <w:t>-</w:t>
            </w:r>
            <w:r>
              <w:rPr>
                <w:rFonts w:hint="eastAsia" w:cs="Times New Roman"/>
                <w:color w:val="auto"/>
                <w:spacing w:val="0"/>
                <w:sz w:val="24"/>
                <w:szCs w:val="24"/>
                <w:highlight w:val="none"/>
                <w:lang w:val="en-US" w:eastAsia="zh-CN"/>
              </w:rPr>
              <w:t>7</w:t>
            </w:r>
            <w:r>
              <w:rPr>
                <w:rFonts w:hint="default" w:ascii="Times New Roman" w:hAnsi="Times New Roman" w:eastAsia="宋体" w:cs="Times New Roman"/>
                <w:color w:val="auto"/>
                <w:spacing w:val="0"/>
                <w:sz w:val="24"/>
                <w:szCs w:val="24"/>
                <w:highlight w:val="none"/>
                <w:lang w:val="en-US" w:eastAsia="zh-CN"/>
              </w:rPr>
              <w:t>。</w:t>
            </w:r>
          </w:p>
          <w:p w14:paraId="4846393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color w:val="auto"/>
                <w:spacing w:val="0"/>
                <w:kern w:val="0"/>
                <w:sz w:val="24"/>
                <w:szCs w:val="24"/>
                <w:highlight w:val="none"/>
                <w:lang w:val="en-US" w:eastAsia="zh-CN" w:bidi="ar-SA"/>
              </w:rPr>
            </w:pPr>
            <w:r>
              <w:rPr>
                <w:rFonts w:hint="default" w:ascii="Times New Roman" w:hAnsi="Times New Roman" w:eastAsia="宋体" w:cs="Times New Roman"/>
                <w:b/>
                <w:bCs/>
                <w:color w:val="auto"/>
                <w:spacing w:val="0"/>
                <w:kern w:val="0"/>
                <w:sz w:val="24"/>
                <w:szCs w:val="24"/>
                <w:highlight w:val="none"/>
                <w:lang w:val="en-US" w:eastAsia="zh-CN" w:bidi="ar-SA"/>
              </w:rPr>
              <w:t>表</w:t>
            </w:r>
            <w:r>
              <w:rPr>
                <w:rFonts w:hint="eastAsia" w:ascii="Times New Roman" w:hAnsi="Times New Roman" w:eastAsia="宋体" w:cs="Times New Roman"/>
                <w:b/>
                <w:bCs/>
                <w:color w:val="auto"/>
                <w:spacing w:val="0"/>
                <w:kern w:val="0"/>
                <w:sz w:val="24"/>
                <w:szCs w:val="24"/>
                <w:highlight w:val="none"/>
                <w:lang w:val="en-US" w:eastAsia="zh-CN" w:bidi="ar-SA"/>
              </w:rPr>
              <w:t>2</w:t>
            </w:r>
            <w:r>
              <w:rPr>
                <w:rFonts w:hint="default" w:ascii="Times New Roman" w:hAnsi="Times New Roman" w:eastAsia="宋体" w:cs="Times New Roman"/>
                <w:b/>
                <w:bCs/>
                <w:color w:val="auto"/>
                <w:spacing w:val="0"/>
                <w:kern w:val="0"/>
                <w:sz w:val="24"/>
                <w:szCs w:val="24"/>
                <w:highlight w:val="none"/>
                <w:lang w:val="en-US" w:eastAsia="zh-CN" w:bidi="ar-SA"/>
              </w:rPr>
              <w:t>-</w:t>
            </w:r>
            <w:r>
              <w:rPr>
                <w:rFonts w:hint="eastAsia" w:cs="Times New Roman"/>
                <w:b/>
                <w:bCs/>
                <w:color w:val="auto"/>
                <w:spacing w:val="0"/>
                <w:kern w:val="0"/>
                <w:sz w:val="24"/>
                <w:szCs w:val="24"/>
                <w:highlight w:val="none"/>
                <w:lang w:val="en-US" w:eastAsia="zh-CN" w:bidi="ar-SA"/>
              </w:rPr>
              <w:t>7</w:t>
            </w:r>
            <w:r>
              <w:rPr>
                <w:rFonts w:hint="default" w:ascii="Times New Roman" w:hAnsi="Times New Roman" w:eastAsia="宋体" w:cs="Times New Roman"/>
                <w:b/>
                <w:bCs/>
                <w:color w:val="auto"/>
                <w:spacing w:val="0"/>
                <w:kern w:val="0"/>
                <w:sz w:val="24"/>
                <w:szCs w:val="24"/>
                <w:highlight w:val="none"/>
                <w:lang w:val="en-US" w:eastAsia="zh-CN" w:bidi="ar-SA"/>
              </w:rPr>
              <w:t xml:space="preserve"> 本项目运营期工程主要排污节点一览表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1"/>
              <w:gridCol w:w="1793"/>
              <w:gridCol w:w="1512"/>
              <w:gridCol w:w="1140"/>
              <w:gridCol w:w="3019"/>
            </w:tblGrid>
            <w:tr w14:paraId="2E7F01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1" w:type="dxa"/>
                  <w:tcBorders>
                    <w:tl2br w:val="nil"/>
                    <w:tr2bl w:val="nil"/>
                  </w:tcBorders>
                  <w:noWrap w:val="0"/>
                  <w:vAlign w:val="center"/>
                </w:tcPr>
                <w:p w14:paraId="1174AE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项目</w:t>
                  </w:r>
                </w:p>
              </w:tc>
              <w:tc>
                <w:tcPr>
                  <w:tcW w:w="1793" w:type="dxa"/>
                  <w:tcBorders>
                    <w:tl2br w:val="nil"/>
                    <w:tr2bl w:val="nil"/>
                  </w:tcBorders>
                  <w:noWrap w:val="0"/>
                  <w:vAlign w:val="center"/>
                </w:tcPr>
                <w:p w14:paraId="2DAAF0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污染源</w:t>
                  </w:r>
                </w:p>
              </w:tc>
              <w:tc>
                <w:tcPr>
                  <w:tcW w:w="1512" w:type="dxa"/>
                  <w:tcBorders>
                    <w:tl2br w:val="nil"/>
                    <w:tr2bl w:val="nil"/>
                  </w:tcBorders>
                  <w:noWrap w:val="0"/>
                  <w:vAlign w:val="center"/>
                </w:tcPr>
                <w:p w14:paraId="0C43F0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污染物</w:t>
                  </w:r>
                </w:p>
              </w:tc>
              <w:tc>
                <w:tcPr>
                  <w:tcW w:w="1140" w:type="dxa"/>
                  <w:tcBorders>
                    <w:tl2br w:val="nil"/>
                    <w:tr2bl w:val="nil"/>
                  </w:tcBorders>
                  <w:noWrap w:val="0"/>
                  <w:vAlign w:val="center"/>
                </w:tcPr>
                <w:p w14:paraId="4C90C1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排放特点</w:t>
                  </w:r>
                </w:p>
              </w:tc>
              <w:tc>
                <w:tcPr>
                  <w:tcW w:w="3019" w:type="dxa"/>
                  <w:tcBorders>
                    <w:tl2br w:val="nil"/>
                    <w:tr2bl w:val="nil"/>
                  </w:tcBorders>
                  <w:noWrap w:val="0"/>
                  <w:vAlign w:val="center"/>
                </w:tcPr>
                <w:p w14:paraId="19B6A2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治理措施</w:t>
                  </w:r>
                </w:p>
              </w:tc>
            </w:tr>
            <w:tr w14:paraId="3833F5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1" w:type="dxa"/>
                  <w:vMerge w:val="restart"/>
                  <w:tcBorders>
                    <w:tl2br w:val="nil"/>
                    <w:tr2bl w:val="nil"/>
                  </w:tcBorders>
                  <w:noWrap w:val="0"/>
                  <w:vAlign w:val="center"/>
                </w:tcPr>
                <w:p w14:paraId="7E3A894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废气</w:t>
                  </w:r>
                </w:p>
              </w:tc>
              <w:tc>
                <w:tcPr>
                  <w:tcW w:w="1793" w:type="dxa"/>
                  <w:tcBorders>
                    <w:tl2br w:val="nil"/>
                    <w:tr2bl w:val="nil"/>
                  </w:tcBorders>
                  <w:noWrap w:val="0"/>
                  <w:vAlign w:val="center"/>
                </w:tcPr>
                <w:p w14:paraId="799E6E3C">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sz w:val="21"/>
                      <w:szCs w:val="21"/>
                      <w:highlight w:val="none"/>
                      <w:lang w:val="en-US" w:eastAsia="zh-CN"/>
                    </w:rPr>
                  </w:pPr>
                  <w:r>
                    <w:rPr>
                      <w:rFonts w:hint="eastAsia" w:cs="Times New Roman"/>
                      <w:color w:val="auto"/>
                      <w:sz w:val="21"/>
                      <w:szCs w:val="21"/>
                      <w:highlight w:val="none"/>
                      <w:lang w:val="en-US" w:eastAsia="zh-CN"/>
                    </w:rPr>
                    <w:t>热风炉</w:t>
                  </w:r>
                </w:p>
              </w:tc>
              <w:tc>
                <w:tcPr>
                  <w:tcW w:w="1512" w:type="dxa"/>
                  <w:tcBorders>
                    <w:tl2br w:val="nil"/>
                    <w:tr2bl w:val="nil"/>
                  </w:tcBorders>
                  <w:noWrap w:val="0"/>
                  <w:vAlign w:val="center"/>
                </w:tcPr>
                <w:p w14:paraId="1BFB699A">
                  <w:pPr>
                    <w:pStyle w:val="134"/>
                    <w:keepNext w:val="0"/>
                    <w:keepLines w:val="0"/>
                    <w:pageBreakBefore w:val="0"/>
                    <w:suppressLineNumbers w:val="0"/>
                    <w:kinsoku/>
                    <w:wordWrap/>
                    <w:overflowPunct/>
                    <w:topLinePunct w:val="0"/>
                    <w:bidi w:val="0"/>
                    <w:spacing w:before="0" w:beforeAutospacing="0" w:after="0" w:afterAutospacing="0" w:line="240" w:lineRule="auto"/>
                    <w:ind w:left="0" w:right="0"/>
                    <w:textAlignment w:val="auto"/>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z w:val="21"/>
                      <w:szCs w:val="21"/>
                      <w:highlight w:val="none"/>
                      <w:lang w:val="en-US" w:eastAsia="zh-CN"/>
                    </w:rPr>
                    <w:t>NO</w:t>
                  </w:r>
                  <w:r>
                    <w:rPr>
                      <w:rFonts w:hint="eastAsia" w:ascii="Times New Roman" w:hAnsi="Times New Roman" w:cs="Times New Roman"/>
                      <w:color w:val="auto"/>
                      <w:sz w:val="21"/>
                      <w:szCs w:val="21"/>
                      <w:highlight w:val="none"/>
                      <w:vertAlign w:val="subscript"/>
                      <w:lang w:val="en-US" w:eastAsia="zh-CN"/>
                    </w:rPr>
                    <w:t>X</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烟尘</w:t>
                  </w:r>
                  <w:r>
                    <w:rPr>
                      <w:rFonts w:hint="default"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eastAsia="zh-CN"/>
                    </w:rPr>
                    <w:t>烟气黑度</w:t>
                  </w: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140" w:type="dxa"/>
                  <w:vMerge w:val="restart"/>
                  <w:tcBorders>
                    <w:tl2br w:val="nil"/>
                    <w:tr2bl w:val="nil"/>
                  </w:tcBorders>
                  <w:noWrap w:val="0"/>
                  <w:vAlign w:val="center"/>
                </w:tcPr>
                <w:p w14:paraId="747349B3">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连续</w:t>
                  </w:r>
                </w:p>
              </w:tc>
              <w:tc>
                <w:tcPr>
                  <w:tcW w:w="3019" w:type="dxa"/>
                  <w:tcBorders>
                    <w:tl2br w:val="nil"/>
                    <w:tr2bl w:val="nil"/>
                  </w:tcBorders>
                  <w:noWrap w:val="0"/>
                  <w:vAlign w:val="center"/>
                </w:tcPr>
                <w:p w14:paraId="05BC5FDB">
                  <w:pPr>
                    <w:pStyle w:val="134"/>
                    <w:keepNext w:val="0"/>
                    <w:keepLines w:val="0"/>
                    <w:pageBreakBefore w:val="0"/>
                    <w:suppressLineNumbers w:val="0"/>
                    <w:kinsoku/>
                    <w:wordWrap/>
                    <w:overflowPunct/>
                    <w:topLinePunct w:val="0"/>
                    <w:bidi w:val="0"/>
                    <w:spacing w:before="0" w:beforeAutospacing="0" w:after="0" w:afterAutospacing="0" w:line="240" w:lineRule="auto"/>
                    <w:ind w:left="0" w:right="0"/>
                    <w:textAlignment w:val="auto"/>
                    <w:rPr>
                      <w:rFonts w:hint="default" w:ascii="Times New Roman" w:hAnsi="Times New Roman" w:cs="Times New Roman"/>
                      <w:color w:val="auto"/>
                      <w:spacing w:val="0"/>
                      <w:sz w:val="21"/>
                      <w:szCs w:val="21"/>
                      <w:highlight w:val="none"/>
                      <w:lang w:eastAsia="zh-CN"/>
                    </w:rPr>
                  </w:pPr>
                  <w:r>
                    <w:rPr>
                      <w:rFonts w:hint="eastAsia" w:cs="Times New Roman"/>
                      <w:color w:val="auto"/>
                      <w:sz w:val="21"/>
                      <w:szCs w:val="21"/>
                      <w:highlight w:val="none"/>
                      <w:lang w:val="en-US" w:eastAsia="zh-CN"/>
                    </w:rPr>
                    <w:t>1套</w:t>
                  </w:r>
                  <w:r>
                    <w:rPr>
                      <w:rFonts w:hint="default" w:ascii="Times New Roman" w:hAnsi="Times New Roman" w:cs="Times New Roman"/>
                      <w:color w:val="auto"/>
                      <w:sz w:val="21"/>
                      <w:szCs w:val="21"/>
                      <w:highlight w:val="none"/>
                    </w:rPr>
                    <w:t>布袋除尘器+</w:t>
                  </w:r>
                  <w:r>
                    <w:rPr>
                      <w:rFonts w:hint="eastAsia" w:cs="Times New Roman"/>
                      <w:color w:val="auto"/>
                      <w:sz w:val="21"/>
                      <w:szCs w:val="21"/>
                      <w:highlight w:val="none"/>
                      <w:lang w:val="en-US" w:eastAsia="zh-CN"/>
                    </w:rPr>
                    <w:t>18m烟囱</w:t>
                  </w:r>
                  <w:r>
                    <w:rPr>
                      <w:rFonts w:hint="default" w:ascii="Times New Roman" w:hAnsi="Times New Roman" w:cs="Times New Roman"/>
                      <w:color w:val="auto"/>
                      <w:sz w:val="21"/>
                      <w:szCs w:val="21"/>
                      <w:highlight w:val="none"/>
                    </w:rPr>
                    <w:t>排放</w:t>
                  </w:r>
                </w:p>
              </w:tc>
            </w:tr>
            <w:tr w14:paraId="7CCD30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1" w:type="dxa"/>
                  <w:vMerge w:val="continue"/>
                  <w:tcBorders>
                    <w:tl2br w:val="nil"/>
                    <w:tr2bl w:val="nil"/>
                  </w:tcBorders>
                  <w:noWrap w:val="0"/>
                  <w:vAlign w:val="center"/>
                </w:tcPr>
                <w:p w14:paraId="0217B46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21"/>
                      <w:szCs w:val="21"/>
                      <w:highlight w:val="none"/>
                    </w:rPr>
                  </w:pPr>
                </w:p>
              </w:tc>
              <w:tc>
                <w:tcPr>
                  <w:tcW w:w="1793" w:type="dxa"/>
                  <w:tcBorders>
                    <w:tl2br w:val="nil"/>
                    <w:tr2bl w:val="nil"/>
                  </w:tcBorders>
                  <w:noWrap w:val="0"/>
                  <w:vAlign w:val="center"/>
                </w:tcPr>
                <w:p w14:paraId="45F9CB57">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热风炉房</w:t>
                  </w:r>
                </w:p>
              </w:tc>
              <w:tc>
                <w:tcPr>
                  <w:tcW w:w="1512" w:type="dxa"/>
                  <w:tcBorders>
                    <w:tl2br w:val="nil"/>
                    <w:tr2bl w:val="nil"/>
                  </w:tcBorders>
                  <w:noWrap w:val="0"/>
                  <w:vAlign w:val="center"/>
                </w:tcPr>
                <w:p w14:paraId="196ED276">
                  <w:pPr>
                    <w:pStyle w:val="134"/>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1140" w:type="dxa"/>
                  <w:vMerge w:val="continue"/>
                  <w:tcBorders>
                    <w:tl2br w:val="nil"/>
                    <w:tr2bl w:val="nil"/>
                  </w:tcBorders>
                  <w:noWrap w:val="0"/>
                  <w:vAlign w:val="center"/>
                </w:tcPr>
                <w:p w14:paraId="28B7623B">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21"/>
                      <w:szCs w:val="21"/>
                      <w:highlight w:val="none"/>
                    </w:rPr>
                  </w:pPr>
                </w:p>
              </w:tc>
              <w:tc>
                <w:tcPr>
                  <w:tcW w:w="3019" w:type="dxa"/>
                  <w:tcBorders>
                    <w:tl2br w:val="nil"/>
                    <w:tr2bl w:val="nil"/>
                  </w:tcBorders>
                  <w:noWrap w:val="0"/>
                  <w:vAlign w:val="center"/>
                </w:tcPr>
                <w:p w14:paraId="376002B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洒水降尘</w:t>
                  </w:r>
                </w:p>
              </w:tc>
            </w:tr>
            <w:tr w14:paraId="60D4CA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1" w:type="dxa"/>
                  <w:vMerge w:val="continue"/>
                  <w:tcBorders>
                    <w:tl2br w:val="nil"/>
                    <w:tr2bl w:val="nil"/>
                  </w:tcBorders>
                  <w:noWrap w:val="0"/>
                  <w:vAlign w:val="center"/>
                </w:tcPr>
                <w:p w14:paraId="13805DE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21"/>
                      <w:szCs w:val="21"/>
                      <w:highlight w:val="none"/>
                    </w:rPr>
                  </w:pPr>
                </w:p>
              </w:tc>
              <w:tc>
                <w:tcPr>
                  <w:tcW w:w="1793" w:type="dxa"/>
                  <w:tcBorders>
                    <w:tl2br w:val="nil"/>
                    <w:tr2bl w:val="nil"/>
                  </w:tcBorders>
                  <w:noWrap w:val="0"/>
                  <w:vAlign w:val="center"/>
                </w:tcPr>
                <w:p w14:paraId="7A626E2C">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eastAsia" w:cs="Times New Roman"/>
                      <w:color w:val="auto"/>
                      <w:spacing w:val="0"/>
                      <w:sz w:val="21"/>
                      <w:szCs w:val="21"/>
                      <w:highlight w:val="none"/>
                      <w:lang w:val="en-US" w:eastAsia="zh-CN"/>
                    </w:rPr>
                  </w:pPr>
                  <w:r>
                    <w:rPr>
                      <w:rFonts w:hint="default" w:ascii="Times New Roman" w:hAnsi="Times New Roman" w:cs="Times New Roman"/>
                      <w:color w:val="auto"/>
                      <w:sz w:val="21"/>
                      <w:szCs w:val="21"/>
                      <w:highlight w:val="none"/>
                      <w:lang w:eastAsia="zh-CN"/>
                    </w:rPr>
                    <w:t>运输、筛分、储存</w:t>
                  </w:r>
                </w:p>
              </w:tc>
              <w:tc>
                <w:tcPr>
                  <w:tcW w:w="1512" w:type="dxa"/>
                  <w:tcBorders>
                    <w:tl2br w:val="nil"/>
                    <w:tr2bl w:val="nil"/>
                  </w:tcBorders>
                  <w:noWrap w:val="0"/>
                  <w:vAlign w:val="center"/>
                </w:tcPr>
                <w:p w14:paraId="793FBB3E">
                  <w:pPr>
                    <w:pStyle w:val="134"/>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z w:val="21"/>
                      <w:szCs w:val="21"/>
                      <w:highlight w:val="none"/>
                    </w:rPr>
                    <w:t>颗粒物</w:t>
                  </w:r>
                </w:p>
              </w:tc>
              <w:tc>
                <w:tcPr>
                  <w:tcW w:w="1140" w:type="dxa"/>
                  <w:vMerge w:val="continue"/>
                  <w:tcBorders>
                    <w:tl2br w:val="nil"/>
                    <w:tr2bl w:val="nil"/>
                  </w:tcBorders>
                  <w:noWrap w:val="0"/>
                  <w:vAlign w:val="center"/>
                </w:tcPr>
                <w:p w14:paraId="6B71E939">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21"/>
                      <w:szCs w:val="21"/>
                      <w:highlight w:val="none"/>
                    </w:rPr>
                  </w:pPr>
                </w:p>
              </w:tc>
              <w:tc>
                <w:tcPr>
                  <w:tcW w:w="3019" w:type="dxa"/>
                  <w:tcBorders>
                    <w:tl2br w:val="nil"/>
                    <w:tr2bl w:val="nil"/>
                  </w:tcBorders>
                  <w:noWrap w:val="0"/>
                  <w:vAlign w:val="center"/>
                </w:tcPr>
                <w:p w14:paraId="273321F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密闭输送、设置围挡、洒水降尘</w:t>
                  </w:r>
                </w:p>
              </w:tc>
            </w:tr>
            <w:tr w14:paraId="7A43BF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1" w:type="dxa"/>
                  <w:tcBorders>
                    <w:tl2br w:val="nil"/>
                    <w:tr2bl w:val="nil"/>
                  </w:tcBorders>
                  <w:noWrap w:val="0"/>
                  <w:vAlign w:val="center"/>
                </w:tcPr>
                <w:p w14:paraId="7BD9EC4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废水</w:t>
                  </w:r>
                </w:p>
              </w:tc>
              <w:tc>
                <w:tcPr>
                  <w:tcW w:w="1793" w:type="dxa"/>
                  <w:tcBorders>
                    <w:tl2br w:val="nil"/>
                    <w:tr2bl w:val="nil"/>
                  </w:tcBorders>
                  <w:noWrap w:val="0"/>
                  <w:vAlign w:val="center"/>
                </w:tcPr>
                <w:p w14:paraId="5AC2205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eastAsia="zh-CN"/>
                    </w:rPr>
                    <w:t>生活污水</w:t>
                  </w:r>
                </w:p>
              </w:tc>
              <w:tc>
                <w:tcPr>
                  <w:tcW w:w="1512" w:type="dxa"/>
                  <w:tcBorders>
                    <w:tl2br w:val="nil"/>
                    <w:tr2bl w:val="nil"/>
                  </w:tcBorders>
                  <w:noWrap w:val="0"/>
                  <w:vAlign w:val="center"/>
                </w:tcPr>
                <w:p w14:paraId="4D64222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rPr>
                    <w:t>COD</w:t>
                  </w:r>
                  <w:r>
                    <w:rPr>
                      <w:rFonts w:hint="default" w:ascii="Times New Roman" w:hAnsi="Times New Roman" w:eastAsia="宋体" w:cs="Times New Roman"/>
                      <w:color w:val="auto"/>
                      <w:kern w:val="21"/>
                      <w:sz w:val="21"/>
                      <w:szCs w:val="21"/>
                      <w:highlight w:val="none"/>
                    </w:rPr>
                    <w:t>、氨氮、</w:t>
                  </w:r>
                  <w:r>
                    <w:rPr>
                      <w:rFonts w:hint="default" w:ascii="Times New Roman" w:hAnsi="Times New Roman" w:eastAsia="宋体" w:cs="Times New Roman"/>
                      <w:color w:val="auto"/>
                      <w:kern w:val="21"/>
                      <w:sz w:val="21"/>
                      <w:szCs w:val="21"/>
                      <w:highlight w:val="none"/>
                      <w:lang w:val="en-US" w:eastAsia="zh-CN"/>
                    </w:rPr>
                    <w:t>SS</w:t>
                  </w:r>
                  <w:r>
                    <w:rPr>
                      <w:rFonts w:hint="default" w:ascii="Times New Roman" w:hAnsi="Times New Roman" w:eastAsia="宋体" w:cs="Times New Roman"/>
                      <w:color w:val="auto"/>
                      <w:kern w:val="21"/>
                      <w:sz w:val="21"/>
                      <w:szCs w:val="21"/>
                      <w:highlight w:val="none"/>
                    </w:rPr>
                    <w:t>、</w:t>
                  </w:r>
                  <w:r>
                    <w:rPr>
                      <w:rFonts w:hint="default" w:ascii="Times New Roman" w:hAnsi="Times New Roman" w:eastAsia="宋体" w:cs="Times New Roman"/>
                      <w:color w:val="auto"/>
                      <w:sz w:val="21"/>
                      <w:szCs w:val="21"/>
                      <w:highlight w:val="none"/>
                    </w:rPr>
                    <w:t>pH、</w:t>
                  </w:r>
                  <w:r>
                    <w:rPr>
                      <w:rFonts w:hint="default" w:ascii="Times New Roman" w:hAnsi="Times New Roman" w:eastAsia="宋体" w:cs="Times New Roman"/>
                      <w:color w:val="auto"/>
                      <w:kern w:val="21"/>
                      <w:sz w:val="21"/>
                      <w:szCs w:val="21"/>
                      <w:highlight w:val="none"/>
                      <w:lang w:val="en-US" w:eastAsia="zh-CN"/>
                    </w:rPr>
                    <w:t>BOD</w:t>
                  </w:r>
                  <w:r>
                    <w:rPr>
                      <w:rFonts w:hint="default" w:ascii="Times New Roman" w:hAnsi="Times New Roman" w:eastAsia="宋体" w:cs="Times New Roman"/>
                      <w:color w:val="auto"/>
                      <w:kern w:val="21"/>
                      <w:sz w:val="21"/>
                      <w:szCs w:val="21"/>
                      <w:highlight w:val="none"/>
                      <w:vertAlign w:val="subscript"/>
                      <w:lang w:val="en-US" w:eastAsia="zh-CN"/>
                    </w:rPr>
                    <w:t>5</w:t>
                  </w:r>
                </w:p>
              </w:tc>
              <w:tc>
                <w:tcPr>
                  <w:tcW w:w="1140" w:type="dxa"/>
                  <w:tcBorders>
                    <w:tl2br w:val="nil"/>
                    <w:tr2bl w:val="nil"/>
                  </w:tcBorders>
                  <w:noWrap w:val="0"/>
                  <w:vAlign w:val="center"/>
                </w:tcPr>
                <w:p w14:paraId="07B55A0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cs="Times New Roman"/>
                      <w:color w:val="auto"/>
                      <w:spacing w:val="0"/>
                      <w:sz w:val="21"/>
                      <w:szCs w:val="21"/>
                      <w:highlight w:val="none"/>
                    </w:rPr>
                    <w:t>间断</w:t>
                  </w:r>
                </w:p>
              </w:tc>
              <w:tc>
                <w:tcPr>
                  <w:tcW w:w="3019" w:type="dxa"/>
                  <w:tcBorders>
                    <w:tl2br w:val="nil"/>
                    <w:tr2bl w:val="nil"/>
                  </w:tcBorders>
                  <w:noWrap w:val="0"/>
                  <w:vAlign w:val="center"/>
                </w:tcPr>
                <w:p w14:paraId="2ECB71A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cs="Times New Roman"/>
                      <w:color w:val="auto"/>
                      <w:sz w:val="21"/>
                      <w:szCs w:val="21"/>
                      <w:highlight w:val="none"/>
                      <w:lang w:eastAsia="zh-CN"/>
                    </w:rPr>
                    <w:t>排入防渗旱厕，定期清掏，外运堆肥，</w:t>
                  </w:r>
                  <w:r>
                    <w:rPr>
                      <w:rFonts w:hint="default" w:ascii="Times New Roman" w:hAnsi="Times New Roman" w:cs="Times New Roman"/>
                      <w:color w:val="auto"/>
                      <w:sz w:val="21"/>
                      <w:szCs w:val="21"/>
                      <w:highlight w:val="none"/>
                      <w:lang w:val="en-US" w:eastAsia="zh-CN"/>
                    </w:rPr>
                    <w:t>不外排</w:t>
                  </w:r>
                </w:p>
              </w:tc>
            </w:tr>
            <w:tr w14:paraId="68AF1E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1" w:type="dxa"/>
                  <w:tcBorders>
                    <w:tl2br w:val="nil"/>
                    <w:tr2bl w:val="nil"/>
                  </w:tcBorders>
                  <w:noWrap w:val="0"/>
                  <w:vAlign w:val="center"/>
                </w:tcPr>
                <w:p w14:paraId="2680AD3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噪声</w:t>
                  </w:r>
                </w:p>
              </w:tc>
              <w:tc>
                <w:tcPr>
                  <w:tcW w:w="1793" w:type="dxa"/>
                  <w:tcBorders>
                    <w:tl2br w:val="nil"/>
                    <w:tr2bl w:val="nil"/>
                  </w:tcBorders>
                  <w:noWrap w:val="0"/>
                  <w:vAlign w:val="center"/>
                </w:tcPr>
                <w:p w14:paraId="5355A0E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kern w:val="21"/>
                      <w:sz w:val="21"/>
                      <w:szCs w:val="21"/>
                      <w:highlight w:val="none"/>
                    </w:rPr>
                    <w:t>设备运行</w:t>
                  </w:r>
                </w:p>
              </w:tc>
              <w:tc>
                <w:tcPr>
                  <w:tcW w:w="1512" w:type="dxa"/>
                  <w:tcBorders>
                    <w:tl2br w:val="nil"/>
                    <w:tr2bl w:val="nil"/>
                  </w:tcBorders>
                  <w:noWrap w:val="0"/>
                  <w:vAlign w:val="center"/>
                </w:tcPr>
                <w:p w14:paraId="2D28E98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噪声</w:t>
                  </w:r>
                </w:p>
              </w:tc>
              <w:tc>
                <w:tcPr>
                  <w:tcW w:w="1140" w:type="dxa"/>
                  <w:tcBorders>
                    <w:tl2br w:val="nil"/>
                    <w:tr2bl w:val="nil"/>
                  </w:tcBorders>
                  <w:noWrap w:val="0"/>
                  <w:vAlign w:val="center"/>
                </w:tcPr>
                <w:p w14:paraId="4278350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连续</w:t>
                  </w:r>
                </w:p>
              </w:tc>
              <w:tc>
                <w:tcPr>
                  <w:tcW w:w="3019" w:type="dxa"/>
                  <w:tcBorders>
                    <w:tl2br w:val="nil"/>
                    <w:tr2bl w:val="nil"/>
                  </w:tcBorders>
                  <w:noWrap w:val="0"/>
                  <w:vAlign w:val="center"/>
                </w:tcPr>
                <w:p w14:paraId="51159F5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1"/>
                      <w:sz w:val="21"/>
                      <w:szCs w:val="21"/>
                      <w:highlight w:val="none"/>
                      <w:lang w:val="en-US" w:eastAsia="zh-CN" w:bidi="ar-SA"/>
                    </w:rPr>
                  </w:pPr>
                  <w:r>
                    <w:rPr>
                      <w:rFonts w:hint="eastAsia" w:cs="Times New Roman"/>
                      <w:color w:val="auto"/>
                      <w:sz w:val="21"/>
                      <w:szCs w:val="21"/>
                      <w:highlight w:val="none"/>
                      <w:lang w:val="en-US" w:eastAsia="zh-CN"/>
                    </w:rPr>
                    <w:t>采用</w:t>
                  </w:r>
                  <w:r>
                    <w:rPr>
                      <w:rFonts w:hint="default" w:ascii="Times New Roman" w:hAnsi="Times New Roman" w:eastAsia="宋体" w:cs="Times New Roman"/>
                      <w:color w:val="auto"/>
                      <w:sz w:val="21"/>
                      <w:szCs w:val="21"/>
                      <w:highlight w:val="none"/>
                    </w:rPr>
                    <w:t>低噪声设备，采取</w:t>
                  </w:r>
                  <w:r>
                    <w:rPr>
                      <w:rFonts w:hint="eastAsia" w:cs="Times New Roman"/>
                      <w:color w:val="auto"/>
                      <w:sz w:val="21"/>
                      <w:szCs w:val="21"/>
                      <w:highlight w:val="none"/>
                      <w:lang w:val="en-US" w:eastAsia="zh-CN"/>
                    </w:rPr>
                    <w:t>基础</w:t>
                  </w:r>
                  <w:r>
                    <w:rPr>
                      <w:rFonts w:hint="default" w:ascii="Times New Roman" w:hAnsi="Times New Roman" w:eastAsia="宋体" w:cs="Times New Roman"/>
                      <w:color w:val="auto"/>
                      <w:sz w:val="21"/>
                      <w:szCs w:val="21"/>
                      <w:highlight w:val="none"/>
                    </w:rPr>
                    <w:t>减振、隔声</w:t>
                  </w:r>
                  <w:r>
                    <w:rPr>
                      <w:rFonts w:hint="eastAsia" w:cs="Times New Roman"/>
                      <w:color w:val="auto"/>
                      <w:sz w:val="21"/>
                      <w:szCs w:val="21"/>
                      <w:highlight w:val="none"/>
                      <w:lang w:val="en-US" w:eastAsia="zh-CN"/>
                    </w:rPr>
                    <w:t>等</w:t>
                  </w:r>
                </w:p>
              </w:tc>
            </w:tr>
            <w:tr w14:paraId="14B238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1" w:type="dxa"/>
                  <w:vMerge w:val="restart"/>
                  <w:tcBorders>
                    <w:tl2br w:val="nil"/>
                    <w:tr2bl w:val="nil"/>
                  </w:tcBorders>
                  <w:noWrap w:val="0"/>
                  <w:vAlign w:val="center"/>
                </w:tcPr>
                <w:p w14:paraId="6EA9051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固体废物</w:t>
                  </w:r>
                </w:p>
              </w:tc>
              <w:tc>
                <w:tcPr>
                  <w:tcW w:w="1793" w:type="dxa"/>
                  <w:tcBorders>
                    <w:tl2br w:val="nil"/>
                    <w:tr2bl w:val="nil"/>
                  </w:tcBorders>
                  <w:noWrap w:val="0"/>
                  <w:vAlign w:val="center"/>
                </w:tcPr>
                <w:p w14:paraId="36908A52">
                  <w:pPr>
                    <w:pStyle w:val="134"/>
                    <w:keepNext w:val="0"/>
                    <w:keepLines w:val="0"/>
                    <w:pageBreakBefore w:val="0"/>
                    <w:suppressLineNumbers w:val="0"/>
                    <w:kinsoku/>
                    <w:wordWrap/>
                    <w:overflowPunct/>
                    <w:topLinePunct w:val="0"/>
                    <w:bidi w:val="0"/>
                    <w:spacing w:before="0" w:beforeAutospacing="0" w:after="0" w:afterAutospacing="0" w:line="240" w:lineRule="auto"/>
                    <w:ind w:left="0" w:right="0"/>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eastAsia" w:cs="Times New Roman"/>
                      <w:color w:val="auto"/>
                      <w:spacing w:val="0"/>
                      <w:kern w:val="2"/>
                      <w:sz w:val="21"/>
                      <w:szCs w:val="21"/>
                      <w:highlight w:val="none"/>
                      <w:lang w:val="en-US" w:eastAsia="zh-CN" w:bidi="ar-SA"/>
                    </w:rPr>
                    <w:t>生活</w:t>
                  </w:r>
                </w:p>
              </w:tc>
              <w:tc>
                <w:tcPr>
                  <w:tcW w:w="1512" w:type="dxa"/>
                  <w:tcBorders>
                    <w:tl2br w:val="nil"/>
                    <w:tr2bl w:val="nil"/>
                  </w:tcBorders>
                  <w:noWrap w:val="0"/>
                  <w:vAlign w:val="center"/>
                </w:tcPr>
                <w:p w14:paraId="7E569BE2">
                  <w:pPr>
                    <w:pStyle w:val="134"/>
                    <w:keepNext w:val="0"/>
                    <w:keepLines w:val="0"/>
                    <w:pageBreakBefore w:val="0"/>
                    <w:suppressLineNumbers w:val="0"/>
                    <w:kinsoku/>
                    <w:wordWrap/>
                    <w:overflowPunct/>
                    <w:topLinePunct w:val="0"/>
                    <w:bidi w:val="0"/>
                    <w:spacing w:before="0" w:beforeAutospacing="0" w:after="0" w:afterAutospacing="0" w:line="240" w:lineRule="auto"/>
                    <w:ind w:left="0" w:right="0"/>
                    <w:textAlignment w:val="auto"/>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生活垃圾</w:t>
                  </w:r>
                </w:p>
              </w:tc>
              <w:tc>
                <w:tcPr>
                  <w:tcW w:w="1140" w:type="dxa"/>
                  <w:tcBorders>
                    <w:tl2br w:val="nil"/>
                    <w:tr2bl w:val="nil"/>
                  </w:tcBorders>
                  <w:noWrap w:val="0"/>
                  <w:vAlign w:val="center"/>
                </w:tcPr>
                <w:p w14:paraId="27DFCA3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cs="Times New Roman"/>
                      <w:color w:val="auto"/>
                      <w:spacing w:val="0"/>
                      <w:sz w:val="21"/>
                      <w:szCs w:val="21"/>
                      <w:highlight w:val="none"/>
                    </w:rPr>
                    <w:t>间断</w:t>
                  </w:r>
                </w:p>
              </w:tc>
              <w:tc>
                <w:tcPr>
                  <w:tcW w:w="3019" w:type="dxa"/>
                  <w:tcBorders>
                    <w:tl2br w:val="nil"/>
                    <w:tr2bl w:val="nil"/>
                  </w:tcBorders>
                  <w:noWrap w:val="0"/>
                  <w:vAlign w:val="center"/>
                </w:tcPr>
                <w:p w14:paraId="37DC32BE">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eastAsia"/>
                      <w:color w:val="auto"/>
                      <w:szCs w:val="21"/>
                      <w:highlight w:val="none"/>
                    </w:rPr>
                    <w:t>集中收集，由市政环卫部门统一清运</w:t>
                  </w:r>
                </w:p>
              </w:tc>
            </w:tr>
            <w:tr w14:paraId="321510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1" w:type="dxa"/>
                  <w:vMerge w:val="continue"/>
                  <w:tcBorders>
                    <w:tl2br w:val="nil"/>
                    <w:tr2bl w:val="nil"/>
                  </w:tcBorders>
                  <w:noWrap w:val="0"/>
                  <w:vAlign w:val="center"/>
                </w:tcPr>
                <w:p w14:paraId="0163EC7B">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21"/>
                      <w:szCs w:val="21"/>
                      <w:highlight w:val="none"/>
                    </w:rPr>
                  </w:pPr>
                </w:p>
              </w:tc>
              <w:tc>
                <w:tcPr>
                  <w:tcW w:w="1793" w:type="dxa"/>
                  <w:vMerge w:val="restart"/>
                  <w:tcBorders>
                    <w:tl2br w:val="nil"/>
                    <w:tr2bl w:val="nil"/>
                  </w:tcBorders>
                  <w:noWrap w:val="0"/>
                  <w:vAlign w:val="center"/>
                </w:tcPr>
                <w:p w14:paraId="645293AE">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热风炉</w:t>
                  </w:r>
                </w:p>
              </w:tc>
              <w:tc>
                <w:tcPr>
                  <w:tcW w:w="1512" w:type="dxa"/>
                  <w:tcBorders>
                    <w:tl2br w:val="nil"/>
                    <w:tr2bl w:val="nil"/>
                  </w:tcBorders>
                  <w:noWrap w:val="0"/>
                  <w:vAlign w:val="center"/>
                </w:tcPr>
                <w:p w14:paraId="1C6B60DC">
                  <w:pPr>
                    <w:pStyle w:val="134"/>
                    <w:keepNext w:val="0"/>
                    <w:keepLines w:val="0"/>
                    <w:pageBreakBefore w:val="0"/>
                    <w:suppressLineNumbers w:val="0"/>
                    <w:kinsoku/>
                    <w:wordWrap/>
                    <w:overflowPunct/>
                    <w:topLinePunct w:val="0"/>
                    <w:bidi w:val="0"/>
                    <w:spacing w:before="0" w:beforeAutospacing="0" w:after="0" w:afterAutospacing="0" w:line="240" w:lineRule="auto"/>
                    <w:ind w:left="0" w:right="0"/>
                    <w:textAlignment w:val="auto"/>
                    <w:rPr>
                      <w:rFonts w:hint="default" w:ascii="Times New Roman" w:hAnsi="Times New Roman" w:cs="Times New Roman"/>
                      <w:color w:val="auto"/>
                      <w:spacing w:val="0"/>
                      <w:kern w:val="2"/>
                      <w:sz w:val="21"/>
                      <w:szCs w:val="21"/>
                      <w:highlight w:val="none"/>
                      <w:lang w:val="en-US" w:eastAsia="zh-CN" w:bidi="ar-SA"/>
                    </w:rPr>
                  </w:pPr>
                  <w:r>
                    <w:rPr>
                      <w:rFonts w:hint="default" w:ascii="Times New Roman" w:hAnsi="Times New Roman" w:cs="Times New Roman"/>
                      <w:color w:val="auto"/>
                      <w:sz w:val="21"/>
                      <w:szCs w:val="21"/>
                      <w:highlight w:val="none"/>
                    </w:rPr>
                    <w:t>热风炉炉渣</w:t>
                  </w:r>
                </w:p>
              </w:tc>
              <w:tc>
                <w:tcPr>
                  <w:tcW w:w="1140" w:type="dxa"/>
                  <w:vMerge w:val="restart"/>
                  <w:tcBorders>
                    <w:tl2br w:val="nil"/>
                    <w:tr2bl w:val="nil"/>
                  </w:tcBorders>
                  <w:noWrap w:val="0"/>
                  <w:vAlign w:val="center"/>
                </w:tcPr>
                <w:p w14:paraId="7B398D9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连续</w:t>
                  </w:r>
                </w:p>
              </w:tc>
              <w:tc>
                <w:tcPr>
                  <w:tcW w:w="3019" w:type="dxa"/>
                  <w:vMerge w:val="restart"/>
                  <w:tcBorders>
                    <w:tl2br w:val="nil"/>
                    <w:tr2bl w:val="nil"/>
                  </w:tcBorders>
                  <w:noWrap w:val="0"/>
                  <w:vAlign w:val="center"/>
                </w:tcPr>
                <w:p w14:paraId="22303FE0">
                  <w:pPr>
                    <w:pStyle w:val="134"/>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21"/>
                      <w:szCs w:val="21"/>
                      <w:highlight w:val="none"/>
                      <w:lang w:val="en-US" w:eastAsia="zh-CN" w:bidi="ar-SA"/>
                    </w:rPr>
                  </w:pPr>
                  <w:r>
                    <w:rPr>
                      <w:rFonts w:hint="eastAsia" w:ascii="Times New Roman" w:hAnsi="Times New Roman" w:cs="Times New Roman"/>
                      <w:color w:val="auto"/>
                      <w:sz w:val="21"/>
                      <w:szCs w:val="21"/>
                      <w:highlight w:val="none"/>
                      <w:lang w:eastAsia="zh-CN"/>
                    </w:rPr>
                    <w:t>集中收集后外售</w:t>
                  </w:r>
                </w:p>
              </w:tc>
            </w:tr>
            <w:tr w14:paraId="308AF4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1" w:type="dxa"/>
                  <w:vMerge w:val="continue"/>
                  <w:tcBorders>
                    <w:tl2br w:val="nil"/>
                    <w:tr2bl w:val="nil"/>
                  </w:tcBorders>
                  <w:noWrap w:val="0"/>
                  <w:vAlign w:val="center"/>
                </w:tcPr>
                <w:p w14:paraId="01530B2A">
                  <w:pPr>
                    <w:keepNext w:val="0"/>
                    <w:keepLines w:val="0"/>
                    <w:pageBreakBefore w:val="0"/>
                    <w:suppressLineNumbers w:val="0"/>
                    <w:tabs>
                      <w:tab w:val="left" w:pos="327"/>
                    </w:tabs>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21"/>
                      <w:szCs w:val="21"/>
                      <w:highlight w:val="none"/>
                    </w:rPr>
                  </w:pPr>
                </w:p>
              </w:tc>
              <w:tc>
                <w:tcPr>
                  <w:tcW w:w="1793" w:type="dxa"/>
                  <w:vMerge w:val="continue"/>
                  <w:tcBorders>
                    <w:tl2br w:val="nil"/>
                    <w:tr2bl w:val="nil"/>
                  </w:tcBorders>
                  <w:noWrap w:val="0"/>
                  <w:vAlign w:val="center"/>
                </w:tcPr>
                <w:p w14:paraId="6075A5B3">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color w:val="auto"/>
                      <w:spacing w:val="0"/>
                      <w:kern w:val="2"/>
                      <w:sz w:val="21"/>
                      <w:szCs w:val="21"/>
                      <w:highlight w:val="none"/>
                      <w:lang w:val="en-US" w:eastAsia="zh-CN" w:bidi="ar-SA"/>
                    </w:rPr>
                  </w:pPr>
                </w:p>
              </w:tc>
              <w:tc>
                <w:tcPr>
                  <w:tcW w:w="1512" w:type="dxa"/>
                  <w:tcBorders>
                    <w:tl2br w:val="nil"/>
                    <w:tr2bl w:val="nil"/>
                  </w:tcBorders>
                  <w:noWrap w:val="0"/>
                  <w:vAlign w:val="center"/>
                </w:tcPr>
                <w:p w14:paraId="78F2C01A">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color w:val="auto"/>
                      <w:spacing w:val="0"/>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热风炉</w:t>
                  </w:r>
                  <w:r>
                    <w:rPr>
                      <w:rFonts w:hint="default" w:ascii="Times New Roman" w:hAnsi="Times New Roman" w:cs="Times New Roman"/>
                      <w:color w:val="auto"/>
                      <w:sz w:val="21"/>
                      <w:szCs w:val="21"/>
                      <w:highlight w:val="none"/>
                      <w:lang w:eastAsia="zh-CN"/>
                    </w:rPr>
                    <w:t>除尘器回收粉尘</w:t>
                  </w:r>
                </w:p>
              </w:tc>
              <w:tc>
                <w:tcPr>
                  <w:tcW w:w="1140" w:type="dxa"/>
                  <w:vMerge w:val="continue"/>
                  <w:tcBorders>
                    <w:tl2br w:val="nil"/>
                    <w:tr2bl w:val="nil"/>
                  </w:tcBorders>
                  <w:noWrap w:val="0"/>
                  <w:vAlign w:val="center"/>
                </w:tcPr>
                <w:p w14:paraId="3379607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21"/>
                      <w:szCs w:val="21"/>
                      <w:highlight w:val="none"/>
                    </w:rPr>
                  </w:pPr>
                </w:p>
              </w:tc>
              <w:tc>
                <w:tcPr>
                  <w:tcW w:w="3019" w:type="dxa"/>
                  <w:vMerge w:val="continue"/>
                  <w:tcBorders>
                    <w:tl2br w:val="nil"/>
                    <w:tr2bl w:val="nil"/>
                  </w:tcBorders>
                  <w:noWrap w:val="0"/>
                  <w:vAlign w:val="center"/>
                </w:tcPr>
                <w:p w14:paraId="7C89AAFB">
                  <w:pPr>
                    <w:pStyle w:val="134"/>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21"/>
                      <w:szCs w:val="21"/>
                      <w:highlight w:val="none"/>
                      <w:lang w:val="en-US" w:eastAsia="zh-CN" w:bidi="ar-SA"/>
                    </w:rPr>
                  </w:pPr>
                </w:p>
              </w:tc>
            </w:tr>
            <w:tr w14:paraId="3F034D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1" w:type="dxa"/>
                  <w:vMerge w:val="continue"/>
                  <w:tcBorders>
                    <w:tl2br w:val="nil"/>
                    <w:tr2bl w:val="nil"/>
                  </w:tcBorders>
                  <w:noWrap w:val="0"/>
                  <w:vAlign w:val="center"/>
                </w:tcPr>
                <w:p w14:paraId="7A5FB5C1">
                  <w:pPr>
                    <w:keepNext w:val="0"/>
                    <w:keepLines w:val="0"/>
                    <w:pageBreakBefore w:val="0"/>
                    <w:suppressLineNumbers w:val="0"/>
                    <w:tabs>
                      <w:tab w:val="left" w:pos="327"/>
                    </w:tabs>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21"/>
                      <w:szCs w:val="21"/>
                      <w:highlight w:val="none"/>
                    </w:rPr>
                  </w:pPr>
                </w:p>
              </w:tc>
              <w:tc>
                <w:tcPr>
                  <w:tcW w:w="1793" w:type="dxa"/>
                  <w:vMerge w:val="continue"/>
                  <w:tcBorders>
                    <w:tl2br w:val="nil"/>
                    <w:tr2bl w:val="nil"/>
                  </w:tcBorders>
                  <w:noWrap w:val="0"/>
                  <w:vAlign w:val="center"/>
                </w:tcPr>
                <w:p w14:paraId="2EB605A3">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color w:val="auto"/>
                      <w:spacing w:val="0"/>
                      <w:kern w:val="2"/>
                      <w:sz w:val="21"/>
                      <w:szCs w:val="21"/>
                      <w:highlight w:val="none"/>
                      <w:lang w:val="en-US" w:eastAsia="zh-CN" w:bidi="ar-SA"/>
                    </w:rPr>
                  </w:pPr>
                </w:p>
              </w:tc>
              <w:tc>
                <w:tcPr>
                  <w:tcW w:w="1512" w:type="dxa"/>
                  <w:tcBorders>
                    <w:tl2br w:val="nil"/>
                    <w:tr2bl w:val="nil"/>
                  </w:tcBorders>
                  <w:noWrap w:val="0"/>
                  <w:vAlign w:val="center"/>
                </w:tcPr>
                <w:p w14:paraId="179F2EF2">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废布袋</w:t>
                  </w:r>
                </w:p>
              </w:tc>
              <w:tc>
                <w:tcPr>
                  <w:tcW w:w="1140" w:type="dxa"/>
                  <w:vMerge w:val="continue"/>
                  <w:tcBorders>
                    <w:tl2br w:val="nil"/>
                    <w:tr2bl w:val="nil"/>
                  </w:tcBorders>
                  <w:noWrap w:val="0"/>
                  <w:vAlign w:val="center"/>
                </w:tcPr>
                <w:p w14:paraId="278BB81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21"/>
                      <w:szCs w:val="21"/>
                      <w:highlight w:val="none"/>
                    </w:rPr>
                  </w:pPr>
                </w:p>
              </w:tc>
              <w:tc>
                <w:tcPr>
                  <w:tcW w:w="3019" w:type="dxa"/>
                  <w:tcBorders>
                    <w:tl2br w:val="nil"/>
                    <w:tr2bl w:val="nil"/>
                  </w:tcBorders>
                  <w:noWrap w:val="0"/>
                  <w:vAlign w:val="center"/>
                </w:tcPr>
                <w:p w14:paraId="7062B447">
                  <w:pPr>
                    <w:pStyle w:val="134"/>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21"/>
                      <w:szCs w:val="21"/>
                      <w:highlight w:val="none"/>
                      <w:lang w:val="en-US" w:eastAsia="zh-CN" w:bidi="ar-SA"/>
                    </w:rPr>
                  </w:pPr>
                  <w:r>
                    <w:rPr>
                      <w:rFonts w:hint="default" w:ascii="Times New Roman" w:hAnsi="Times New Roman" w:cs="Times New Roman"/>
                      <w:color w:val="auto"/>
                      <w:spacing w:val="0"/>
                      <w:kern w:val="2"/>
                      <w:sz w:val="21"/>
                      <w:szCs w:val="21"/>
                      <w:highlight w:val="none"/>
                      <w:lang w:val="en-US" w:eastAsia="zh-CN" w:bidi="ar-SA"/>
                    </w:rPr>
                    <w:t>交由厂家回收处理</w:t>
                  </w:r>
                </w:p>
              </w:tc>
            </w:tr>
            <w:tr w14:paraId="6A3FC2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1" w:type="dxa"/>
                  <w:vMerge w:val="continue"/>
                  <w:tcBorders>
                    <w:tl2br w:val="nil"/>
                    <w:tr2bl w:val="nil"/>
                  </w:tcBorders>
                  <w:noWrap w:val="0"/>
                  <w:vAlign w:val="center"/>
                </w:tcPr>
                <w:p w14:paraId="2850356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21"/>
                      <w:szCs w:val="21"/>
                      <w:highlight w:val="none"/>
                    </w:rPr>
                  </w:pPr>
                </w:p>
              </w:tc>
              <w:tc>
                <w:tcPr>
                  <w:tcW w:w="1793" w:type="dxa"/>
                  <w:tcBorders>
                    <w:tl2br w:val="nil"/>
                    <w:tr2bl w:val="nil"/>
                  </w:tcBorders>
                  <w:noWrap w:val="0"/>
                  <w:vAlign w:val="center"/>
                </w:tcPr>
                <w:p w14:paraId="4701963E">
                  <w:pPr>
                    <w:pStyle w:val="134"/>
                    <w:keepNext w:val="0"/>
                    <w:keepLines w:val="0"/>
                    <w:pageBreakBefore w:val="0"/>
                    <w:suppressLineNumbers w:val="0"/>
                    <w:kinsoku/>
                    <w:wordWrap/>
                    <w:overflowPunct/>
                    <w:topLinePunct w:val="0"/>
                    <w:bidi w:val="0"/>
                    <w:spacing w:before="0" w:beforeAutospacing="0" w:after="0" w:afterAutospacing="0" w:line="240" w:lineRule="auto"/>
                    <w:ind w:left="0" w:right="0"/>
                    <w:textAlignment w:val="auto"/>
                    <w:rPr>
                      <w:rFonts w:hint="default" w:ascii="Times New Roman" w:hAnsi="Times New Roman" w:cs="Times New Roman"/>
                      <w:color w:val="auto"/>
                      <w:spacing w:val="0"/>
                      <w:kern w:val="2"/>
                      <w:sz w:val="21"/>
                      <w:szCs w:val="21"/>
                      <w:highlight w:val="none"/>
                      <w:lang w:val="en-US" w:eastAsia="zh-CN" w:bidi="ar-SA"/>
                    </w:rPr>
                  </w:pPr>
                  <w:r>
                    <w:rPr>
                      <w:rFonts w:hint="eastAsia" w:cs="Times New Roman"/>
                      <w:color w:val="auto"/>
                      <w:sz w:val="21"/>
                      <w:szCs w:val="21"/>
                      <w:highlight w:val="none"/>
                      <w:lang w:val="en-US" w:eastAsia="zh-CN"/>
                    </w:rPr>
                    <w:t>工艺粉尘</w:t>
                  </w:r>
                </w:p>
              </w:tc>
              <w:tc>
                <w:tcPr>
                  <w:tcW w:w="1512" w:type="dxa"/>
                  <w:tcBorders>
                    <w:tl2br w:val="nil"/>
                    <w:tr2bl w:val="nil"/>
                  </w:tcBorders>
                  <w:noWrap w:val="0"/>
                  <w:vAlign w:val="center"/>
                </w:tcPr>
                <w:p w14:paraId="730682B1">
                  <w:pPr>
                    <w:pStyle w:val="134"/>
                    <w:keepNext w:val="0"/>
                    <w:keepLines w:val="0"/>
                    <w:pageBreakBefore w:val="0"/>
                    <w:suppressLineNumbers w:val="0"/>
                    <w:kinsoku/>
                    <w:wordWrap/>
                    <w:overflowPunct/>
                    <w:topLinePunct w:val="0"/>
                    <w:bidi w:val="0"/>
                    <w:spacing w:before="0" w:beforeAutospacing="0" w:after="0" w:afterAutospacing="0" w:line="240" w:lineRule="auto"/>
                    <w:ind w:left="0" w:right="0"/>
                    <w:textAlignment w:val="auto"/>
                    <w:rPr>
                      <w:rFonts w:hint="default" w:ascii="Times New Roman" w:hAnsi="Times New Roman" w:cs="Times New Roman"/>
                      <w:color w:val="auto"/>
                      <w:spacing w:val="0"/>
                      <w:kern w:val="2"/>
                      <w:sz w:val="21"/>
                      <w:szCs w:val="21"/>
                      <w:highlight w:val="none"/>
                      <w:lang w:val="en-US" w:eastAsia="zh-CN" w:bidi="ar-SA"/>
                    </w:rPr>
                  </w:pPr>
                  <w:r>
                    <w:rPr>
                      <w:rFonts w:hint="default" w:ascii="Times New Roman" w:hAnsi="Times New Roman" w:cs="Times New Roman"/>
                      <w:color w:val="auto"/>
                      <w:spacing w:val="0"/>
                      <w:kern w:val="2"/>
                      <w:sz w:val="21"/>
                      <w:szCs w:val="21"/>
                      <w:highlight w:val="none"/>
                      <w:lang w:val="en-US" w:eastAsia="zh-CN" w:bidi="ar-SA"/>
                    </w:rPr>
                    <w:t>初清杂质及烘干、筛分、装卸收集粉尘</w:t>
                  </w:r>
                </w:p>
              </w:tc>
              <w:tc>
                <w:tcPr>
                  <w:tcW w:w="1140" w:type="dxa"/>
                  <w:vMerge w:val="continue"/>
                  <w:tcBorders>
                    <w:tl2br w:val="nil"/>
                    <w:tr2bl w:val="nil"/>
                  </w:tcBorders>
                  <w:noWrap w:val="0"/>
                  <w:vAlign w:val="center"/>
                </w:tcPr>
                <w:p w14:paraId="470D2DE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21"/>
                      <w:szCs w:val="21"/>
                      <w:highlight w:val="none"/>
                    </w:rPr>
                  </w:pPr>
                </w:p>
              </w:tc>
              <w:tc>
                <w:tcPr>
                  <w:tcW w:w="3019" w:type="dxa"/>
                  <w:tcBorders>
                    <w:tl2br w:val="nil"/>
                    <w:tr2bl w:val="nil"/>
                  </w:tcBorders>
                  <w:noWrap w:val="0"/>
                  <w:vAlign w:val="center"/>
                </w:tcPr>
                <w:p w14:paraId="438A61FA">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运至当地垃圾收集点，由市政部门收集转运</w:t>
                  </w:r>
                </w:p>
              </w:tc>
            </w:tr>
          </w:tbl>
          <w:p w14:paraId="7F5F70EB">
            <w:pPr>
              <w:pStyle w:val="36"/>
              <w:keepNext w:val="0"/>
              <w:keepLines w:val="0"/>
              <w:pageBreakBefore w:val="0"/>
              <w:suppressLineNumbers w:val="0"/>
              <w:wordWrap/>
              <w:overflowPunct/>
              <w:topLinePunct w:val="0"/>
              <w:bidi w:val="0"/>
              <w:spacing w:before="0" w:beforeAutospacing="0" w:after="0" w:afterAutospacing="0" w:line="360" w:lineRule="auto"/>
              <w:ind w:left="0" w:leftChars="0" w:right="0" w:rightChars="0" w:firstLine="240" w:firstLineChars="100"/>
              <w:rPr>
                <w:rFonts w:hint="default"/>
                <w:color w:val="FF0000"/>
                <w:sz w:val="24"/>
                <w:szCs w:val="24"/>
                <w:highlight w:val="none"/>
                <w:lang w:val="en-US" w:eastAsia="zh-CN"/>
              </w:rPr>
            </w:pPr>
          </w:p>
        </w:tc>
      </w:tr>
      <w:tr w14:paraId="03C1A9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55" w:type="dxa"/>
            <w:vAlign w:val="center"/>
          </w:tcPr>
          <w:p w14:paraId="129AD03F">
            <w:pPr>
              <w:keepNext w:val="0"/>
              <w:keepLines w:val="0"/>
              <w:pageBreakBefore w:val="0"/>
              <w:suppressLineNumbers w:val="0"/>
              <w:wordWrap/>
              <w:overflowPunct/>
              <w:topLinePunct w:val="0"/>
              <w:bidi w:val="0"/>
              <w:adjustRightInd w:val="0"/>
              <w:snapToGrid w:val="0"/>
              <w:spacing w:before="0" w:beforeAutospacing="0" w:after="0" w:afterAutospacing="0" w:line="360" w:lineRule="auto"/>
              <w:ind w:left="0" w:right="0"/>
              <w:jc w:val="center"/>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与项目有关的原有环境污染问题</w:t>
            </w:r>
          </w:p>
        </w:tc>
        <w:tc>
          <w:tcPr>
            <w:tcW w:w="8381" w:type="dxa"/>
            <w:vAlign w:val="top"/>
          </w:tcPr>
          <w:p w14:paraId="727BC1FB">
            <w:pPr>
              <w:keepNext w:val="0"/>
              <w:keepLines w:val="0"/>
              <w:numPr>
                <w:ilvl w:val="0"/>
                <w:numId w:val="0"/>
              </w:numPr>
              <w:suppressLineNumbers w:val="0"/>
              <w:adjustRightInd w:val="0"/>
              <w:snapToGrid w:val="0"/>
              <w:spacing w:before="0" w:beforeAutospacing="0" w:after="0" w:afterAutospacing="0" w:line="360" w:lineRule="auto"/>
              <w:ind w:left="0" w:right="0" w:firstLine="480" w:firstLineChars="200"/>
              <w:rPr>
                <w:rFonts w:hint="default"/>
                <w:bCs/>
                <w:color w:val="auto"/>
                <w:sz w:val="24"/>
              </w:rPr>
            </w:pPr>
            <w:r>
              <w:rPr>
                <w:rFonts w:hint="eastAsia"/>
                <w:bCs/>
                <w:color w:val="auto"/>
                <w:sz w:val="24"/>
                <w:lang w:val="en-US" w:eastAsia="zh-CN"/>
              </w:rPr>
              <w:t>一、原有工程履行环保手续情况</w:t>
            </w:r>
          </w:p>
          <w:p w14:paraId="337A97FB">
            <w:pPr>
              <w:pStyle w:val="168"/>
              <w:keepNext w:val="0"/>
              <w:keepLines w:val="0"/>
              <w:suppressLineNumbers w:val="0"/>
              <w:bidi w:val="0"/>
              <w:spacing w:before="0" w:beforeAutospacing="0" w:after="0" w:afterAutospacing="0" w:line="360" w:lineRule="auto"/>
              <w:ind w:left="0" w:leftChars="0" w:right="0" w:firstLine="480" w:firstLineChars="200"/>
              <w:rPr>
                <w:rFonts w:hint="eastAsia" w:cs="Times New Roman"/>
                <w:bCs w:val="0"/>
                <w:color w:val="auto"/>
                <w:kern w:val="2"/>
                <w:sz w:val="24"/>
                <w:szCs w:val="24"/>
                <w:lang w:val="en-US" w:eastAsia="zh-CN" w:bidi="ar-SA"/>
              </w:rPr>
            </w:pPr>
            <w:r>
              <w:rPr>
                <w:rFonts w:hint="eastAsia" w:cs="Times New Roman"/>
                <w:bCs w:val="0"/>
                <w:color w:val="auto"/>
                <w:kern w:val="2"/>
                <w:sz w:val="24"/>
                <w:szCs w:val="24"/>
                <w:lang w:val="en-US" w:eastAsia="zh-CN" w:bidi="ar-SA"/>
              </w:rPr>
              <w:t>虎林市恒盛泰粮食经贸有限公司租用黑龙江省牡丹江农垦虎林生产资料公司废弃厂区，</w:t>
            </w:r>
            <w:r>
              <w:rPr>
                <w:rFonts w:hint="eastAsia" w:ascii="Times New Roman" w:hAnsi="Times New Roman" w:eastAsia="宋体" w:cs="Times New Roman"/>
                <w:bCs w:val="0"/>
                <w:color w:val="auto"/>
                <w:kern w:val="2"/>
                <w:sz w:val="24"/>
                <w:szCs w:val="24"/>
                <w:lang w:val="en-US" w:eastAsia="zh-CN" w:bidi="ar-SA"/>
              </w:rPr>
              <w:t>于</w:t>
            </w:r>
            <w:r>
              <w:rPr>
                <w:rFonts w:hint="default" w:ascii="Times New Roman" w:hAnsi="Times New Roman" w:eastAsia="宋体" w:cs="Times New Roman"/>
                <w:bCs w:val="0"/>
                <w:color w:val="auto"/>
                <w:kern w:val="2"/>
                <w:sz w:val="24"/>
                <w:szCs w:val="24"/>
                <w:lang w:val="en-US" w:eastAsia="zh-CN" w:bidi="ar-SA"/>
              </w:rPr>
              <w:t>201</w:t>
            </w:r>
            <w:r>
              <w:rPr>
                <w:rFonts w:hint="eastAsia" w:cs="Times New Roman"/>
                <w:bCs w:val="0"/>
                <w:color w:val="auto"/>
                <w:kern w:val="2"/>
                <w:sz w:val="24"/>
                <w:szCs w:val="24"/>
                <w:lang w:val="en-US" w:eastAsia="zh-CN" w:bidi="ar-SA"/>
              </w:rPr>
              <w:t>6</w:t>
            </w:r>
            <w:r>
              <w:rPr>
                <w:rFonts w:hint="eastAsia" w:ascii="Times New Roman" w:hAnsi="Times New Roman" w:eastAsia="宋体" w:cs="Times New Roman"/>
                <w:bCs w:val="0"/>
                <w:color w:val="auto"/>
                <w:kern w:val="2"/>
                <w:sz w:val="24"/>
                <w:szCs w:val="24"/>
                <w:lang w:val="en-US" w:eastAsia="zh-CN" w:bidi="ar-SA"/>
              </w:rPr>
              <w:t>年</w:t>
            </w:r>
            <w:r>
              <w:rPr>
                <w:rFonts w:hint="eastAsia" w:cs="Times New Roman"/>
                <w:bCs w:val="0"/>
                <w:color w:val="auto"/>
                <w:kern w:val="2"/>
                <w:sz w:val="24"/>
                <w:szCs w:val="24"/>
                <w:lang w:val="en-US" w:eastAsia="zh-CN" w:bidi="ar-SA"/>
              </w:rPr>
              <w:t>6</w:t>
            </w:r>
            <w:r>
              <w:rPr>
                <w:rFonts w:hint="eastAsia" w:ascii="Times New Roman" w:hAnsi="Times New Roman" w:eastAsia="宋体" w:cs="Times New Roman"/>
                <w:bCs w:val="0"/>
                <w:color w:val="auto"/>
                <w:kern w:val="2"/>
                <w:sz w:val="24"/>
                <w:szCs w:val="24"/>
                <w:lang w:val="en-US" w:eastAsia="zh-CN" w:bidi="ar-SA"/>
              </w:rPr>
              <w:t>月</w:t>
            </w:r>
            <w:r>
              <w:rPr>
                <w:rFonts w:hint="eastAsia" w:cs="Times New Roman"/>
                <w:bCs w:val="0"/>
                <w:color w:val="auto"/>
                <w:kern w:val="2"/>
                <w:sz w:val="24"/>
                <w:szCs w:val="24"/>
                <w:lang w:val="en-US" w:eastAsia="zh-CN" w:bidi="ar-SA"/>
              </w:rPr>
              <w:t>委托江苏久力环境工程有限公司编制完成了</w:t>
            </w:r>
            <w:r>
              <w:rPr>
                <w:rFonts w:hint="eastAsia" w:ascii="Times New Roman" w:hAnsi="Times New Roman" w:eastAsia="宋体" w:cs="Times New Roman"/>
                <w:bCs w:val="0"/>
                <w:color w:val="auto"/>
                <w:kern w:val="2"/>
                <w:sz w:val="24"/>
                <w:szCs w:val="24"/>
                <w:lang w:val="en-US" w:eastAsia="zh-CN" w:bidi="ar-SA"/>
              </w:rPr>
              <w:t>《</w:t>
            </w:r>
            <w:r>
              <w:rPr>
                <w:rFonts w:hint="eastAsia" w:cs="Times New Roman"/>
                <w:bCs w:val="0"/>
                <w:color w:val="auto"/>
                <w:kern w:val="2"/>
                <w:sz w:val="24"/>
                <w:szCs w:val="24"/>
                <w:lang w:val="en-US" w:eastAsia="zh-CN" w:bidi="ar-SA"/>
              </w:rPr>
              <w:t>虎林市恒盛泰粮食经贸有限公司分厂建设项目污染现状评估报告</w:t>
            </w:r>
            <w:r>
              <w:rPr>
                <w:rFonts w:hint="eastAsia" w:ascii="Times New Roman" w:hAnsi="Times New Roman" w:eastAsia="宋体" w:cs="Times New Roman"/>
                <w:bCs w:val="0"/>
                <w:color w:val="auto"/>
                <w:kern w:val="2"/>
                <w:sz w:val="24"/>
                <w:szCs w:val="24"/>
                <w:lang w:val="en-US" w:eastAsia="zh-CN" w:bidi="ar-SA"/>
              </w:rPr>
              <w:t>》</w:t>
            </w:r>
            <w:r>
              <w:rPr>
                <w:rFonts w:hint="eastAsia" w:cs="Times New Roman"/>
                <w:bCs w:val="0"/>
                <w:color w:val="auto"/>
                <w:kern w:val="2"/>
                <w:sz w:val="24"/>
                <w:szCs w:val="24"/>
                <w:lang w:val="en-US" w:eastAsia="zh-CN" w:bidi="ar-SA"/>
              </w:rPr>
              <w:t>，并取得备案号</w:t>
            </w:r>
            <w:r>
              <w:rPr>
                <w:rFonts w:hint="eastAsia" w:ascii="Times New Roman" w:hAnsi="Times New Roman" w:eastAsia="宋体" w:cs="Times New Roman"/>
                <w:bCs w:val="0"/>
                <w:color w:val="auto"/>
                <w:kern w:val="2"/>
                <w:sz w:val="24"/>
                <w:szCs w:val="24"/>
                <w:lang w:val="en-US" w:eastAsia="zh-CN" w:bidi="ar-SA"/>
              </w:rPr>
              <w:t>（</w:t>
            </w:r>
            <w:r>
              <w:rPr>
                <w:rFonts w:hint="eastAsia" w:cs="Times New Roman"/>
                <w:bCs w:val="0"/>
                <w:color w:val="auto"/>
                <w:kern w:val="2"/>
                <w:sz w:val="24"/>
                <w:szCs w:val="24"/>
                <w:lang w:val="en-US" w:eastAsia="zh-CN" w:bidi="ar-SA"/>
              </w:rPr>
              <w:t>虎</w:t>
            </w:r>
            <w:r>
              <w:rPr>
                <w:rFonts w:hint="eastAsia" w:ascii="Times New Roman" w:hAnsi="Times New Roman" w:eastAsia="宋体" w:cs="Times New Roman"/>
                <w:bCs w:val="0"/>
                <w:color w:val="auto"/>
                <w:kern w:val="2"/>
                <w:sz w:val="24"/>
                <w:szCs w:val="24"/>
                <w:lang w:val="en-US" w:eastAsia="zh-CN" w:bidi="ar-SA"/>
              </w:rPr>
              <w:t>环</w:t>
            </w:r>
            <w:r>
              <w:rPr>
                <w:rFonts w:hint="eastAsia" w:cs="Times New Roman"/>
                <w:bCs w:val="0"/>
                <w:color w:val="auto"/>
                <w:kern w:val="2"/>
                <w:sz w:val="24"/>
                <w:szCs w:val="24"/>
                <w:lang w:val="en-US" w:eastAsia="zh-CN" w:bidi="ar-SA"/>
              </w:rPr>
              <w:t>现备</w:t>
            </w:r>
            <w:r>
              <w:rPr>
                <w:rFonts w:hint="default" w:ascii="Times New Roman" w:hAnsi="Times New Roman" w:eastAsia="宋体" w:cs="Times New Roman"/>
                <w:bCs w:val="0"/>
                <w:color w:val="auto"/>
                <w:kern w:val="2"/>
                <w:sz w:val="24"/>
                <w:szCs w:val="24"/>
                <w:lang w:val="en-US" w:eastAsia="zh-CN" w:bidi="ar-SA"/>
              </w:rPr>
              <w:t>[201</w:t>
            </w:r>
            <w:r>
              <w:rPr>
                <w:rFonts w:hint="eastAsia" w:cs="Times New Roman"/>
                <w:bCs w:val="0"/>
                <w:color w:val="auto"/>
                <w:kern w:val="2"/>
                <w:sz w:val="24"/>
                <w:szCs w:val="24"/>
                <w:lang w:val="en-US" w:eastAsia="zh-CN" w:bidi="ar-SA"/>
              </w:rPr>
              <w:t>6</w:t>
            </w:r>
            <w:r>
              <w:rPr>
                <w:rFonts w:hint="default" w:ascii="Times New Roman" w:hAnsi="Times New Roman" w:eastAsia="宋体" w:cs="Times New Roman"/>
                <w:bCs w:val="0"/>
                <w:color w:val="auto"/>
                <w:kern w:val="2"/>
                <w:sz w:val="21"/>
                <w:szCs w:val="21"/>
                <w:lang w:val="en-US" w:eastAsia="zh-CN" w:bidi="ar-SA"/>
              </w:rPr>
              <w:t>]</w:t>
            </w:r>
            <w:r>
              <w:rPr>
                <w:rFonts w:hint="eastAsia" w:cs="Times New Roman"/>
                <w:bCs w:val="0"/>
                <w:color w:val="auto"/>
                <w:kern w:val="2"/>
                <w:sz w:val="24"/>
                <w:szCs w:val="24"/>
                <w:lang w:val="en-US" w:eastAsia="zh-CN" w:bidi="ar-SA"/>
              </w:rPr>
              <w:t>107</w:t>
            </w:r>
            <w:r>
              <w:rPr>
                <w:rFonts w:hint="eastAsia" w:ascii="Times New Roman" w:hAnsi="Times New Roman" w:eastAsia="宋体" w:cs="Times New Roman"/>
                <w:bCs w:val="0"/>
                <w:color w:val="auto"/>
                <w:kern w:val="2"/>
                <w:sz w:val="24"/>
                <w:szCs w:val="24"/>
                <w:lang w:val="en-US" w:eastAsia="zh-CN" w:bidi="ar-SA"/>
              </w:rPr>
              <w:t>号）</w:t>
            </w:r>
            <w:r>
              <w:rPr>
                <w:rFonts w:hint="eastAsia" w:cs="Times New Roman"/>
                <w:bCs w:val="0"/>
                <w:color w:val="auto"/>
                <w:kern w:val="2"/>
                <w:sz w:val="24"/>
                <w:szCs w:val="24"/>
                <w:lang w:val="en-US" w:eastAsia="zh-CN" w:bidi="ar-SA"/>
              </w:rPr>
              <w:t>。</w:t>
            </w:r>
          </w:p>
          <w:p w14:paraId="41283BFE">
            <w:pPr>
              <w:keepNext w:val="0"/>
              <w:keepLines w:val="0"/>
              <w:suppressLineNumbers w:val="0"/>
              <w:autoSpaceDE w:val="0"/>
              <w:spacing w:before="0" w:beforeAutospacing="0" w:after="0" w:afterAutospacing="0" w:line="320" w:lineRule="exact"/>
              <w:ind w:left="0" w:right="0" w:firstLine="482" w:firstLineChars="200"/>
              <w:jc w:val="center"/>
              <w:rPr>
                <w:rFonts w:hint="eastAsia" w:ascii="宋体" w:hAnsi="宋体"/>
                <w:b/>
                <w:bCs/>
                <w:color w:val="auto"/>
                <w:sz w:val="24"/>
              </w:rPr>
            </w:pPr>
          </w:p>
          <w:p w14:paraId="095B20E0">
            <w:pPr>
              <w:keepNext w:val="0"/>
              <w:keepLines w:val="0"/>
              <w:suppressLineNumbers w:val="0"/>
              <w:autoSpaceDE w:val="0"/>
              <w:spacing w:before="0" w:beforeAutospacing="0" w:after="0" w:afterAutospacing="0" w:line="320" w:lineRule="exact"/>
              <w:ind w:left="0" w:right="0" w:firstLine="482" w:firstLineChars="200"/>
              <w:jc w:val="center"/>
              <w:rPr>
                <w:rFonts w:hint="eastAsia" w:ascii="宋体" w:hAnsi="宋体"/>
                <w:b/>
                <w:bCs/>
                <w:color w:val="auto"/>
                <w:sz w:val="24"/>
              </w:rPr>
            </w:pPr>
          </w:p>
          <w:p w14:paraId="01E2571D">
            <w:pPr>
              <w:keepNext w:val="0"/>
              <w:keepLines w:val="0"/>
              <w:suppressLineNumbers w:val="0"/>
              <w:autoSpaceDE w:val="0"/>
              <w:spacing w:before="0" w:beforeAutospacing="0" w:after="0" w:afterAutospacing="0" w:line="320" w:lineRule="exact"/>
              <w:ind w:left="0" w:right="0" w:firstLine="482" w:firstLineChars="200"/>
              <w:jc w:val="center"/>
              <w:rPr>
                <w:rFonts w:hint="eastAsia"/>
                <w:b/>
                <w:bCs/>
                <w:color w:val="auto"/>
                <w:sz w:val="24"/>
              </w:rPr>
            </w:pPr>
            <w:r>
              <w:rPr>
                <w:rFonts w:hint="eastAsia" w:ascii="宋体" w:hAnsi="宋体"/>
                <w:b/>
                <w:bCs/>
                <w:color w:val="auto"/>
                <w:sz w:val="24"/>
              </w:rPr>
              <w:t>表</w:t>
            </w:r>
            <w:r>
              <w:rPr>
                <w:rFonts w:hint="eastAsia"/>
                <w:b/>
                <w:bCs/>
                <w:color w:val="auto"/>
                <w:sz w:val="24"/>
              </w:rPr>
              <w:t>2-</w:t>
            </w:r>
            <w:r>
              <w:rPr>
                <w:rFonts w:hint="eastAsia"/>
                <w:b/>
                <w:bCs/>
                <w:color w:val="auto"/>
                <w:sz w:val="24"/>
                <w:lang w:val="en-US" w:eastAsia="zh-CN"/>
              </w:rPr>
              <w:t>8</w:t>
            </w:r>
            <w:r>
              <w:rPr>
                <w:rFonts w:hint="eastAsia"/>
                <w:b/>
                <w:bCs/>
                <w:color w:val="auto"/>
                <w:sz w:val="24"/>
              </w:rPr>
              <w:t xml:space="preserve"> </w:t>
            </w:r>
            <w:r>
              <w:rPr>
                <w:rFonts w:hint="eastAsia" w:ascii="宋体" w:hAnsi="宋体"/>
                <w:b/>
                <w:bCs/>
                <w:color w:val="auto"/>
                <w:sz w:val="24"/>
              </w:rPr>
              <w:t>现有环保手续一览表</w:t>
            </w:r>
          </w:p>
          <w:tbl>
            <w:tblPr>
              <w:tblStyle w:val="38"/>
              <w:tblW w:w="8117" w:type="dxa"/>
              <w:tblInd w:w="29"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6"/>
              <w:gridCol w:w="2785"/>
              <w:gridCol w:w="1293"/>
              <w:gridCol w:w="1893"/>
              <w:gridCol w:w="1470"/>
            </w:tblGrid>
            <w:tr w14:paraId="77DD40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4" w:hRule="atLeast"/>
              </w:trPr>
              <w:tc>
                <w:tcPr>
                  <w:tcW w:w="676" w:type="dxa"/>
                  <w:tcBorders>
                    <w:tl2br w:val="nil"/>
                    <w:tr2bl w:val="nil"/>
                  </w:tcBorders>
                  <w:noWrap w:val="0"/>
                  <w:vAlign w:val="center"/>
                </w:tcPr>
                <w:p w14:paraId="4DA0D9A5">
                  <w:pPr>
                    <w:keepNext w:val="0"/>
                    <w:keepLines w:val="0"/>
                    <w:widowControl/>
                    <w:suppressLineNumbers w:val="0"/>
                    <w:autoSpaceDE w:val="0"/>
                    <w:spacing w:before="0" w:beforeAutospacing="0" w:after="0" w:afterAutospacing="0" w:line="320" w:lineRule="exac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工程内容</w:t>
                  </w:r>
                </w:p>
              </w:tc>
              <w:tc>
                <w:tcPr>
                  <w:tcW w:w="2785" w:type="dxa"/>
                  <w:tcBorders>
                    <w:tl2br w:val="nil"/>
                    <w:tr2bl w:val="nil"/>
                  </w:tcBorders>
                  <w:noWrap w:val="0"/>
                  <w:vAlign w:val="center"/>
                </w:tcPr>
                <w:p w14:paraId="2CB7F1D3">
                  <w:pPr>
                    <w:keepNext w:val="0"/>
                    <w:keepLines w:val="0"/>
                    <w:widowControl/>
                    <w:suppressLineNumbers w:val="0"/>
                    <w:autoSpaceDE w:val="0"/>
                    <w:spacing w:before="0" w:beforeAutospacing="0" w:after="0" w:afterAutospacing="0" w:line="320" w:lineRule="exac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项目名称</w:t>
                  </w:r>
                </w:p>
              </w:tc>
              <w:tc>
                <w:tcPr>
                  <w:tcW w:w="1293" w:type="dxa"/>
                  <w:tcBorders>
                    <w:tl2br w:val="nil"/>
                    <w:tr2bl w:val="nil"/>
                  </w:tcBorders>
                  <w:noWrap w:val="0"/>
                  <w:vAlign w:val="center"/>
                </w:tcPr>
                <w:p w14:paraId="6D913121">
                  <w:pPr>
                    <w:keepNext w:val="0"/>
                    <w:keepLines w:val="0"/>
                    <w:widowControl/>
                    <w:suppressLineNumbers w:val="0"/>
                    <w:autoSpaceDE w:val="0"/>
                    <w:spacing w:before="0" w:beforeAutospacing="0" w:after="0" w:afterAutospacing="0" w:line="320" w:lineRule="exact"/>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备案号</w:t>
                  </w:r>
                </w:p>
              </w:tc>
              <w:tc>
                <w:tcPr>
                  <w:tcW w:w="1893" w:type="dxa"/>
                  <w:tcBorders>
                    <w:tl2br w:val="nil"/>
                    <w:tr2bl w:val="nil"/>
                  </w:tcBorders>
                  <w:noWrap w:val="0"/>
                  <w:vAlign w:val="center"/>
                </w:tcPr>
                <w:p w14:paraId="2F313F2D">
                  <w:pPr>
                    <w:keepNext w:val="0"/>
                    <w:keepLines w:val="0"/>
                    <w:widowControl/>
                    <w:suppressLineNumbers w:val="0"/>
                    <w:autoSpaceDE w:val="0"/>
                    <w:spacing w:before="0" w:beforeAutospacing="0" w:after="0" w:afterAutospacing="0" w:line="320" w:lineRule="exact"/>
                    <w:ind w:left="0" w:right="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备案</w:t>
                  </w:r>
                  <w:r>
                    <w:rPr>
                      <w:rFonts w:hint="default" w:ascii="Times New Roman" w:hAnsi="Times New Roman" w:eastAsia="宋体" w:cs="Times New Roman"/>
                      <w:color w:val="auto"/>
                      <w:sz w:val="21"/>
                      <w:szCs w:val="21"/>
                    </w:rPr>
                    <w:t>时间</w:t>
                  </w:r>
                </w:p>
              </w:tc>
              <w:tc>
                <w:tcPr>
                  <w:tcW w:w="1470" w:type="dxa"/>
                  <w:tcBorders>
                    <w:tl2br w:val="nil"/>
                    <w:tr2bl w:val="nil"/>
                  </w:tcBorders>
                  <w:noWrap w:val="0"/>
                  <w:vAlign w:val="center"/>
                </w:tcPr>
                <w:p w14:paraId="2864B9B0">
                  <w:pPr>
                    <w:keepNext w:val="0"/>
                    <w:keepLines w:val="0"/>
                    <w:widowControl/>
                    <w:suppressLineNumbers w:val="0"/>
                    <w:autoSpaceDE w:val="0"/>
                    <w:spacing w:before="0" w:beforeAutospacing="0" w:after="0" w:afterAutospacing="0" w:line="320" w:lineRule="exact"/>
                    <w:ind w:left="0" w:right="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备案</w:t>
                  </w:r>
                  <w:r>
                    <w:rPr>
                      <w:rFonts w:hint="default" w:ascii="Times New Roman" w:hAnsi="Times New Roman" w:eastAsia="宋体" w:cs="Times New Roman"/>
                      <w:color w:val="auto"/>
                      <w:sz w:val="21"/>
                      <w:szCs w:val="21"/>
                    </w:rPr>
                    <w:t>部门</w:t>
                  </w:r>
                </w:p>
              </w:tc>
            </w:tr>
            <w:tr w14:paraId="3BDA2C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2" w:hRule="atLeast"/>
              </w:trPr>
              <w:tc>
                <w:tcPr>
                  <w:tcW w:w="676" w:type="dxa"/>
                  <w:tcBorders>
                    <w:tl2br w:val="nil"/>
                    <w:tr2bl w:val="nil"/>
                  </w:tcBorders>
                  <w:noWrap w:val="0"/>
                  <w:vAlign w:val="center"/>
                </w:tcPr>
                <w:p w14:paraId="2021E7AD">
                  <w:pPr>
                    <w:keepNext w:val="0"/>
                    <w:keepLines w:val="0"/>
                    <w:widowControl/>
                    <w:suppressLineNumbers w:val="0"/>
                    <w:autoSpaceDE w:val="0"/>
                    <w:spacing w:before="0" w:beforeAutospacing="0" w:after="0" w:afterAutospacing="0" w:line="320" w:lineRule="exact"/>
                    <w:ind w:left="0" w:right="0"/>
                    <w:jc w:val="center"/>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color w:val="auto"/>
                      <w:sz w:val="21"/>
                      <w:szCs w:val="21"/>
                    </w:rPr>
                    <w:t>现有工程</w:t>
                  </w:r>
                </w:p>
              </w:tc>
              <w:tc>
                <w:tcPr>
                  <w:tcW w:w="2785" w:type="dxa"/>
                  <w:tcBorders>
                    <w:tl2br w:val="nil"/>
                    <w:tr2bl w:val="nil"/>
                  </w:tcBorders>
                  <w:noWrap w:val="0"/>
                  <w:vAlign w:val="center"/>
                </w:tcPr>
                <w:p w14:paraId="543601A4">
                  <w:pPr>
                    <w:keepNext w:val="0"/>
                    <w:keepLines w:val="0"/>
                    <w:widowControl/>
                    <w:suppressLineNumbers w:val="0"/>
                    <w:autoSpaceDE w:val="0"/>
                    <w:spacing w:before="0" w:beforeAutospacing="0" w:after="0" w:afterAutospacing="0" w:line="320" w:lineRule="exact"/>
                    <w:ind w:left="0" w:right="0"/>
                    <w:jc w:val="center"/>
                    <w:rPr>
                      <w:rFonts w:hint="default" w:ascii="Times New Roman" w:hAnsi="Times New Roman" w:eastAsia="宋体" w:cs="Times New Roman"/>
                      <w:bCs w:val="0"/>
                      <w:color w:val="auto"/>
                      <w:kern w:val="2"/>
                      <w:sz w:val="21"/>
                      <w:szCs w:val="21"/>
                      <w:lang w:val="en-US" w:eastAsia="zh-CN" w:bidi="ar-SA"/>
                    </w:rPr>
                  </w:pPr>
                  <w:r>
                    <w:rPr>
                      <w:rFonts w:hint="eastAsia" w:ascii="Times New Roman" w:hAnsi="Times New Roman" w:eastAsia="宋体" w:cs="Times New Roman"/>
                      <w:bCs w:val="0"/>
                      <w:color w:val="auto"/>
                      <w:kern w:val="2"/>
                      <w:sz w:val="21"/>
                      <w:szCs w:val="21"/>
                      <w:lang w:val="en-US" w:eastAsia="zh-CN" w:bidi="ar-SA"/>
                    </w:rPr>
                    <w:t>《</w:t>
                  </w:r>
                  <w:r>
                    <w:rPr>
                      <w:rFonts w:hint="eastAsia" w:cs="Times New Roman"/>
                      <w:bCs w:val="0"/>
                      <w:color w:val="auto"/>
                      <w:kern w:val="2"/>
                      <w:sz w:val="21"/>
                      <w:szCs w:val="21"/>
                      <w:lang w:val="en-US" w:eastAsia="zh-CN" w:bidi="ar-SA"/>
                    </w:rPr>
                    <w:t>虎林市恒盛泰粮食经贸有限公司分厂建设项目污染现状评估报告</w:t>
                  </w:r>
                  <w:r>
                    <w:rPr>
                      <w:rFonts w:hint="eastAsia" w:ascii="Times New Roman" w:hAnsi="Times New Roman" w:eastAsia="宋体" w:cs="Times New Roman"/>
                      <w:bCs w:val="0"/>
                      <w:color w:val="auto"/>
                      <w:kern w:val="2"/>
                      <w:sz w:val="21"/>
                      <w:szCs w:val="21"/>
                      <w:lang w:val="en-US" w:eastAsia="zh-CN" w:bidi="ar-SA"/>
                    </w:rPr>
                    <w:t>》</w:t>
                  </w:r>
                </w:p>
              </w:tc>
              <w:tc>
                <w:tcPr>
                  <w:tcW w:w="1293" w:type="dxa"/>
                  <w:tcBorders>
                    <w:tl2br w:val="nil"/>
                    <w:tr2bl w:val="nil"/>
                  </w:tcBorders>
                  <w:noWrap w:val="0"/>
                  <w:vAlign w:val="center"/>
                </w:tcPr>
                <w:p w14:paraId="150BA88A">
                  <w:pPr>
                    <w:keepNext w:val="0"/>
                    <w:keepLines w:val="0"/>
                    <w:widowControl/>
                    <w:suppressLineNumbers w:val="0"/>
                    <w:autoSpaceDE w:val="0"/>
                    <w:spacing w:before="0" w:beforeAutospacing="0" w:after="0" w:afterAutospacing="0" w:line="320" w:lineRule="exact"/>
                    <w:ind w:left="0" w:right="0"/>
                    <w:jc w:val="center"/>
                    <w:rPr>
                      <w:rFonts w:hint="default" w:ascii="Times New Roman" w:hAnsi="Times New Roman" w:eastAsia="宋体" w:cs="Times New Roman"/>
                      <w:bCs w:val="0"/>
                      <w:color w:val="auto"/>
                      <w:kern w:val="2"/>
                      <w:sz w:val="21"/>
                      <w:szCs w:val="21"/>
                      <w:lang w:val="en-US" w:eastAsia="zh-CN" w:bidi="ar-SA"/>
                    </w:rPr>
                  </w:pPr>
                  <w:r>
                    <w:rPr>
                      <w:rFonts w:hint="eastAsia" w:ascii="Times New Roman" w:hAnsi="Times New Roman" w:eastAsia="宋体" w:cs="Times New Roman"/>
                      <w:bCs w:val="0"/>
                      <w:color w:val="auto"/>
                      <w:kern w:val="2"/>
                      <w:sz w:val="21"/>
                      <w:szCs w:val="21"/>
                      <w:lang w:val="en-US" w:eastAsia="zh-CN" w:bidi="ar-SA"/>
                    </w:rPr>
                    <w:t>（</w:t>
                  </w:r>
                  <w:r>
                    <w:rPr>
                      <w:rFonts w:hint="eastAsia" w:cs="Times New Roman"/>
                      <w:bCs w:val="0"/>
                      <w:color w:val="auto"/>
                      <w:kern w:val="2"/>
                      <w:sz w:val="21"/>
                      <w:szCs w:val="21"/>
                      <w:lang w:val="en-US" w:eastAsia="zh-CN" w:bidi="ar-SA"/>
                    </w:rPr>
                    <w:t>虎</w:t>
                  </w:r>
                  <w:r>
                    <w:rPr>
                      <w:rFonts w:hint="eastAsia" w:ascii="Times New Roman" w:hAnsi="Times New Roman" w:eastAsia="宋体" w:cs="Times New Roman"/>
                      <w:bCs w:val="0"/>
                      <w:color w:val="auto"/>
                      <w:kern w:val="2"/>
                      <w:sz w:val="21"/>
                      <w:szCs w:val="21"/>
                      <w:lang w:val="en-US" w:eastAsia="zh-CN" w:bidi="ar-SA"/>
                    </w:rPr>
                    <w:t>环</w:t>
                  </w:r>
                  <w:r>
                    <w:rPr>
                      <w:rFonts w:hint="eastAsia" w:cs="Times New Roman"/>
                      <w:bCs w:val="0"/>
                      <w:color w:val="auto"/>
                      <w:kern w:val="2"/>
                      <w:sz w:val="21"/>
                      <w:szCs w:val="21"/>
                      <w:lang w:val="en-US" w:eastAsia="zh-CN" w:bidi="ar-SA"/>
                    </w:rPr>
                    <w:t>现备</w:t>
                  </w:r>
                  <w:r>
                    <w:rPr>
                      <w:rFonts w:hint="default" w:ascii="Times New Roman" w:hAnsi="Times New Roman" w:eastAsia="宋体" w:cs="Times New Roman"/>
                      <w:bCs w:val="0"/>
                      <w:color w:val="auto"/>
                      <w:kern w:val="2"/>
                      <w:sz w:val="21"/>
                      <w:szCs w:val="21"/>
                      <w:lang w:val="en-US" w:eastAsia="zh-CN" w:bidi="ar-SA"/>
                    </w:rPr>
                    <w:t>[201</w:t>
                  </w:r>
                  <w:r>
                    <w:rPr>
                      <w:rFonts w:hint="eastAsia" w:cs="Times New Roman"/>
                      <w:bCs w:val="0"/>
                      <w:color w:val="auto"/>
                      <w:kern w:val="2"/>
                      <w:sz w:val="21"/>
                      <w:szCs w:val="21"/>
                      <w:lang w:val="en-US" w:eastAsia="zh-CN" w:bidi="ar-SA"/>
                    </w:rPr>
                    <w:t>6</w:t>
                  </w:r>
                  <w:r>
                    <w:rPr>
                      <w:rFonts w:hint="default" w:ascii="Times New Roman" w:hAnsi="Times New Roman" w:eastAsia="宋体" w:cs="Times New Roman"/>
                      <w:bCs w:val="0"/>
                      <w:color w:val="auto"/>
                      <w:kern w:val="2"/>
                      <w:sz w:val="21"/>
                      <w:szCs w:val="21"/>
                      <w:lang w:val="en-US" w:eastAsia="zh-CN" w:bidi="ar-SA"/>
                    </w:rPr>
                    <w:t>]</w:t>
                  </w:r>
                  <w:r>
                    <w:rPr>
                      <w:rFonts w:hint="eastAsia" w:cs="Times New Roman"/>
                      <w:bCs w:val="0"/>
                      <w:color w:val="auto"/>
                      <w:kern w:val="2"/>
                      <w:sz w:val="21"/>
                      <w:szCs w:val="21"/>
                      <w:lang w:val="en-US" w:eastAsia="zh-CN" w:bidi="ar-SA"/>
                    </w:rPr>
                    <w:t>107</w:t>
                  </w:r>
                  <w:r>
                    <w:rPr>
                      <w:rFonts w:hint="eastAsia" w:ascii="Times New Roman" w:hAnsi="Times New Roman" w:eastAsia="宋体" w:cs="Times New Roman"/>
                      <w:bCs w:val="0"/>
                      <w:color w:val="auto"/>
                      <w:kern w:val="2"/>
                      <w:sz w:val="21"/>
                      <w:szCs w:val="21"/>
                      <w:lang w:val="en-US" w:eastAsia="zh-CN" w:bidi="ar-SA"/>
                    </w:rPr>
                    <w:t>号）</w:t>
                  </w:r>
                </w:p>
              </w:tc>
              <w:tc>
                <w:tcPr>
                  <w:tcW w:w="1893" w:type="dxa"/>
                  <w:tcBorders>
                    <w:tl2br w:val="nil"/>
                    <w:tr2bl w:val="nil"/>
                  </w:tcBorders>
                  <w:noWrap w:val="0"/>
                  <w:vAlign w:val="center"/>
                </w:tcPr>
                <w:p w14:paraId="32675CEE">
                  <w:pPr>
                    <w:keepNext w:val="0"/>
                    <w:keepLines w:val="0"/>
                    <w:widowControl/>
                    <w:suppressLineNumbers w:val="0"/>
                    <w:autoSpaceDE w:val="0"/>
                    <w:spacing w:before="0" w:beforeAutospacing="0" w:after="0" w:afterAutospacing="0" w:line="320" w:lineRule="exact"/>
                    <w:ind w:left="0" w:right="0"/>
                    <w:jc w:val="center"/>
                    <w:rPr>
                      <w:rFonts w:hint="default" w:ascii="Times New Roman" w:hAnsi="Times New Roman" w:eastAsia="宋体" w:cs="Times New Roman"/>
                      <w:bCs w:val="0"/>
                      <w:color w:val="auto"/>
                      <w:kern w:val="2"/>
                      <w:sz w:val="21"/>
                      <w:szCs w:val="21"/>
                      <w:lang w:val="en-US" w:eastAsia="zh-CN" w:bidi="ar-SA"/>
                    </w:rPr>
                  </w:pPr>
                  <w:r>
                    <w:rPr>
                      <w:rFonts w:hint="default" w:ascii="Times New Roman" w:hAnsi="Times New Roman" w:eastAsia="宋体" w:cs="Times New Roman"/>
                      <w:bCs w:val="0"/>
                      <w:color w:val="auto"/>
                      <w:kern w:val="2"/>
                      <w:sz w:val="21"/>
                      <w:szCs w:val="21"/>
                      <w:lang w:val="en-US" w:eastAsia="zh-CN" w:bidi="ar-SA"/>
                    </w:rPr>
                    <w:t>201</w:t>
                  </w:r>
                  <w:r>
                    <w:rPr>
                      <w:rFonts w:hint="eastAsia" w:cs="Times New Roman"/>
                      <w:bCs w:val="0"/>
                      <w:color w:val="auto"/>
                      <w:kern w:val="2"/>
                      <w:sz w:val="21"/>
                      <w:szCs w:val="21"/>
                      <w:lang w:val="en-US" w:eastAsia="zh-CN" w:bidi="ar-SA"/>
                    </w:rPr>
                    <w:t>6</w:t>
                  </w:r>
                  <w:r>
                    <w:rPr>
                      <w:rFonts w:hint="eastAsia" w:ascii="Times New Roman" w:hAnsi="Times New Roman" w:eastAsia="宋体" w:cs="Times New Roman"/>
                      <w:bCs w:val="0"/>
                      <w:color w:val="auto"/>
                      <w:kern w:val="2"/>
                      <w:sz w:val="21"/>
                      <w:szCs w:val="21"/>
                      <w:lang w:val="en-US" w:eastAsia="zh-CN" w:bidi="ar-SA"/>
                    </w:rPr>
                    <w:t>年</w:t>
                  </w:r>
                  <w:r>
                    <w:rPr>
                      <w:rFonts w:hint="eastAsia" w:cs="Times New Roman"/>
                      <w:bCs w:val="0"/>
                      <w:color w:val="auto"/>
                      <w:kern w:val="2"/>
                      <w:sz w:val="21"/>
                      <w:szCs w:val="21"/>
                      <w:lang w:val="en-US" w:eastAsia="zh-CN" w:bidi="ar-SA"/>
                    </w:rPr>
                    <w:t>11</w:t>
                  </w:r>
                  <w:r>
                    <w:rPr>
                      <w:rFonts w:hint="eastAsia" w:ascii="Times New Roman" w:hAnsi="Times New Roman" w:eastAsia="宋体" w:cs="Times New Roman"/>
                      <w:bCs w:val="0"/>
                      <w:color w:val="auto"/>
                      <w:kern w:val="2"/>
                      <w:sz w:val="21"/>
                      <w:szCs w:val="21"/>
                      <w:lang w:val="en-US" w:eastAsia="zh-CN" w:bidi="ar-SA"/>
                    </w:rPr>
                    <w:t>月</w:t>
                  </w:r>
                  <w:r>
                    <w:rPr>
                      <w:rFonts w:hint="eastAsia" w:cs="Times New Roman"/>
                      <w:bCs w:val="0"/>
                      <w:color w:val="auto"/>
                      <w:kern w:val="2"/>
                      <w:sz w:val="21"/>
                      <w:szCs w:val="21"/>
                      <w:lang w:val="en-US" w:eastAsia="zh-CN" w:bidi="ar-SA"/>
                    </w:rPr>
                    <w:t>30</w:t>
                  </w:r>
                  <w:r>
                    <w:rPr>
                      <w:rFonts w:hint="eastAsia" w:ascii="Times New Roman" w:hAnsi="Times New Roman" w:eastAsia="宋体" w:cs="Times New Roman"/>
                      <w:bCs w:val="0"/>
                      <w:color w:val="auto"/>
                      <w:kern w:val="2"/>
                      <w:sz w:val="21"/>
                      <w:szCs w:val="21"/>
                      <w:lang w:val="en-US" w:eastAsia="zh-CN" w:bidi="ar-SA"/>
                    </w:rPr>
                    <w:t>日</w:t>
                  </w:r>
                </w:p>
              </w:tc>
              <w:tc>
                <w:tcPr>
                  <w:tcW w:w="1470" w:type="dxa"/>
                  <w:tcBorders>
                    <w:tl2br w:val="nil"/>
                    <w:tr2bl w:val="nil"/>
                  </w:tcBorders>
                  <w:noWrap w:val="0"/>
                  <w:vAlign w:val="center"/>
                </w:tcPr>
                <w:p w14:paraId="0E87D8F5">
                  <w:pPr>
                    <w:keepNext w:val="0"/>
                    <w:keepLines w:val="0"/>
                    <w:widowControl/>
                    <w:suppressLineNumbers w:val="0"/>
                    <w:autoSpaceDE w:val="0"/>
                    <w:spacing w:before="0" w:beforeAutospacing="0" w:after="0" w:afterAutospacing="0" w:line="320" w:lineRule="exact"/>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虎林市环境保护局</w:t>
                  </w:r>
                </w:p>
              </w:tc>
            </w:tr>
          </w:tbl>
          <w:p w14:paraId="226802C4">
            <w:pPr>
              <w:pStyle w:val="168"/>
              <w:keepNext w:val="0"/>
              <w:keepLines w:val="0"/>
              <w:suppressLineNumbers w:val="0"/>
              <w:bidi w:val="0"/>
              <w:spacing w:before="0" w:beforeAutospacing="0" w:after="0" w:afterAutospacing="0" w:line="360" w:lineRule="auto"/>
              <w:ind w:left="0" w:leftChars="0" w:right="0" w:firstLine="480" w:firstLineChars="200"/>
              <w:rPr>
                <w:rFonts w:hint="default"/>
                <w:color w:val="auto"/>
              </w:rPr>
            </w:pPr>
            <w:r>
              <w:rPr>
                <w:rFonts w:hint="default" w:ascii="Times New Roman" w:hAnsi="Times New Roman" w:eastAsia="宋体" w:cs="Times New Roman"/>
                <w:bCs w:val="0"/>
                <w:color w:val="auto"/>
                <w:kern w:val="2"/>
                <w:sz w:val="24"/>
                <w:szCs w:val="24"/>
                <w:lang w:val="en-US" w:eastAsia="zh-CN" w:bidi="ar-SA"/>
              </w:rPr>
              <w:t>现有工程建设内容见</w:t>
            </w:r>
            <w:r>
              <w:rPr>
                <w:rFonts w:hint="eastAsia" w:ascii="Times New Roman" w:hAnsi="Times New Roman" w:eastAsia="宋体" w:cs="Times New Roman"/>
                <w:bCs w:val="0"/>
                <w:color w:val="auto"/>
                <w:kern w:val="2"/>
                <w:sz w:val="24"/>
                <w:szCs w:val="24"/>
                <w:lang w:val="en-US" w:eastAsia="zh-CN" w:bidi="ar-SA"/>
              </w:rPr>
              <w:t>下表</w:t>
            </w:r>
            <w:r>
              <w:rPr>
                <w:rFonts w:hint="default" w:ascii="Times New Roman" w:hAnsi="Times New Roman" w:eastAsia="宋体" w:cs="Times New Roman"/>
                <w:bCs w:val="0"/>
                <w:color w:val="auto"/>
                <w:kern w:val="2"/>
                <w:sz w:val="24"/>
                <w:szCs w:val="24"/>
                <w:lang w:val="en-US" w:eastAsia="zh-CN" w:bidi="ar-SA"/>
              </w:rPr>
              <w:t>。</w:t>
            </w:r>
          </w:p>
          <w:p w14:paraId="354EACF3">
            <w:pPr>
              <w:pStyle w:val="168"/>
              <w:keepNext w:val="0"/>
              <w:keepLines w:val="0"/>
              <w:suppressLineNumbers w:val="0"/>
              <w:bidi w:val="0"/>
              <w:spacing w:before="0" w:beforeAutospacing="0" w:after="0" w:afterAutospacing="0" w:line="360" w:lineRule="auto"/>
              <w:ind w:left="0" w:leftChars="0" w:right="0" w:firstLine="480" w:firstLineChars="200"/>
              <w:rPr>
                <w:rFonts w:hint="default"/>
                <w:color w:val="auto"/>
                <w:sz w:val="24"/>
                <w:szCs w:val="24"/>
                <w:lang w:val="en-US" w:eastAsia="zh-CN"/>
              </w:rPr>
            </w:pPr>
            <w:r>
              <w:rPr>
                <w:rFonts w:hint="eastAsia"/>
                <w:color w:val="auto"/>
                <w:sz w:val="24"/>
                <w:szCs w:val="24"/>
                <w:lang w:val="en-US" w:eastAsia="zh-CN"/>
              </w:rPr>
              <w:t>原有项目年生产200天，</w:t>
            </w:r>
            <w:r>
              <w:rPr>
                <w:rFonts w:hint="default" w:ascii="Times New Roman" w:hAnsi="Times New Roman" w:eastAsia="宋体" w:cs="Times New Roman"/>
                <w:color w:val="auto"/>
                <w:kern w:val="2"/>
                <w:sz w:val="24"/>
                <w:szCs w:val="24"/>
                <w:lang w:val="en-US" w:eastAsia="zh-CN" w:bidi="ar"/>
              </w:rPr>
              <w:t>年烘干玉米</w:t>
            </w:r>
            <w:r>
              <w:rPr>
                <w:rFonts w:hint="eastAsia" w:cs="Times New Roman"/>
                <w:color w:val="auto"/>
                <w:kern w:val="2"/>
                <w:sz w:val="24"/>
                <w:szCs w:val="24"/>
                <w:lang w:val="en-US" w:eastAsia="zh-CN" w:bidi="ar"/>
              </w:rPr>
              <w:t>4000</w:t>
            </w:r>
            <w:r>
              <w:rPr>
                <w:rFonts w:hint="default" w:ascii="Times New Roman" w:hAnsi="Times New Roman" w:eastAsia="宋体" w:cs="Times New Roman"/>
                <w:color w:val="auto"/>
                <w:kern w:val="2"/>
                <w:sz w:val="24"/>
                <w:szCs w:val="24"/>
                <w:lang w:val="en-US" w:eastAsia="zh-CN" w:bidi="ar"/>
              </w:rPr>
              <w:t>吨</w:t>
            </w:r>
            <w:r>
              <w:rPr>
                <w:rFonts w:hint="eastAsia" w:cs="Times New Roman"/>
                <w:color w:val="auto"/>
                <w:kern w:val="2"/>
                <w:sz w:val="24"/>
                <w:szCs w:val="24"/>
                <w:lang w:val="en-US" w:eastAsia="zh-CN" w:bidi="ar"/>
              </w:rPr>
              <w:t>，</w:t>
            </w:r>
            <w:r>
              <w:rPr>
                <w:rFonts w:hint="eastAsia" w:cs="Times New Roman"/>
                <w:color w:val="auto"/>
                <w:kern w:val="0"/>
                <w:sz w:val="24"/>
                <w:szCs w:val="24"/>
                <w:highlight w:val="none"/>
                <w:lang w:val="en-US" w:eastAsia="zh-CN"/>
              </w:rPr>
              <w:t>1台3t/h燃煤热风炉及烘干塔</w:t>
            </w:r>
            <w:r>
              <w:rPr>
                <w:rFonts w:hint="default" w:ascii="Times New Roman" w:hAnsi="Times New Roman" w:eastAsia="宋体" w:cs="Times New Roman"/>
                <w:color w:val="auto"/>
                <w:kern w:val="2"/>
                <w:sz w:val="24"/>
                <w:szCs w:val="24"/>
                <w:lang w:val="en-US" w:eastAsia="zh-CN" w:bidi="ar"/>
              </w:rPr>
              <w:t>烘干能力为</w:t>
            </w:r>
            <w:r>
              <w:rPr>
                <w:rFonts w:hint="eastAsia" w:ascii="Times New Roman" w:hAnsi="Times New Roman" w:eastAsia="宋体" w:cs="Times New Roman"/>
                <w:color w:val="auto"/>
                <w:kern w:val="2"/>
                <w:sz w:val="24"/>
                <w:szCs w:val="24"/>
                <w:lang w:val="en-US" w:eastAsia="zh-CN" w:bidi="ar"/>
              </w:rPr>
              <w:t>2</w:t>
            </w:r>
            <w:r>
              <w:rPr>
                <w:rFonts w:hint="default" w:ascii="Times New Roman" w:hAnsi="Times New Roman" w:eastAsia="宋体" w:cs="Times New Roman"/>
                <w:color w:val="auto"/>
                <w:kern w:val="2"/>
                <w:sz w:val="24"/>
                <w:szCs w:val="24"/>
                <w:lang w:val="en-US" w:eastAsia="zh-CN" w:bidi="ar"/>
              </w:rPr>
              <w:t>00t/d</w:t>
            </w:r>
            <w:r>
              <w:rPr>
                <w:rFonts w:hint="eastAsia" w:ascii="Times New Roman" w:hAnsi="Times New Roman" w:eastAsia="宋体" w:cs="Times New Roman"/>
                <w:color w:val="auto"/>
                <w:kern w:val="2"/>
                <w:sz w:val="24"/>
                <w:szCs w:val="24"/>
                <w:lang w:val="en-US" w:eastAsia="zh-CN" w:bidi="ar"/>
              </w:rPr>
              <w:t>。</w:t>
            </w:r>
          </w:p>
          <w:p w14:paraId="1AD6D162">
            <w:pPr>
              <w:keepNext w:val="0"/>
              <w:keepLines w:val="0"/>
              <w:suppressLineNumbers w:val="0"/>
              <w:adjustRightInd w:val="0"/>
              <w:spacing w:before="0" w:beforeAutospacing="0" w:after="0" w:afterAutospacing="0"/>
              <w:ind w:left="0" w:right="0" w:firstLine="482" w:firstLineChars="200"/>
              <w:jc w:val="center"/>
              <w:textAlignment w:val="baseline"/>
              <w:rPr>
                <w:rFonts w:hint="default" w:ascii="Times New Roman" w:hAnsi="Times New Roman" w:eastAsia="宋体" w:cs="Times New Roman"/>
                <w:bCs w:val="0"/>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表2-</w:t>
            </w:r>
            <w:r>
              <w:rPr>
                <w:rFonts w:hint="eastAsia" w:cs="Times New Roman"/>
                <w:b/>
                <w:bCs/>
                <w:color w:val="auto"/>
                <w:kern w:val="2"/>
                <w:sz w:val="24"/>
                <w:szCs w:val="24"/>
                <w:lang w:val="en-US" w:eastAsia="zh-CN" w:bidi="ar-SA"/>
              </w:rPr>
              <w:t>9</w:t>
            </w:r>
            <w:r>
              <w:rPr>
                <w:rFonts w:hint="default" w:ascii="Times New Roman" w:hAnsi="Times New Roman" w:eastAsia="宋体" w:cs="Times New Roman"/>
                <w:b/>
                <w:bCs/>
                <w:color w:val="auto"/>
                <w:kern w:val="2"/>
                <w:sz w:val="24"/>
                <w:szCs w:val="24"/>
                <w:lang w:val="en-US" w:eastAsia="zh-CN" w:bidi="ar-SA"/>
              </w:rPr>
              <w:t xml:space="preserve"> 现有项目建设内容</w:t>
            </w:r>
          </w:p>
          <w:tbl>
            <w:tblPr>
              <w:tblStyle w:val="38"/>
              <w:tblW w:w="498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8"/>
              <w:gridCol w:w="1546"/>
              <w:gridCol w:w="5450"/>
            </w:tblGrid>
            <w:tr w14:paraId="700DC5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4" w:type="pct"/>
                  <w:tcBorders>
                    <w:tl2br w:val="nil"/>
                    <w:tr2bl w:val="nil"/>
                  </w:tcBorders>
                  <w:noWrap w:val="0"/>
                  <w:vAlign w:val="center"/>
                </w:tcPr>
                <w:p w14:paraId="5F186D0A">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工程类别</w:t>
                  </w:r>
                </w:p>
              </w:tc>
              <w:tc>
                <w:tcPr>
                  <w:tcW w:w="949" w:type="pct"/>
                  <w:tcBorders>
                    <w:tl2br w:val="nil"/>
                    <w:tr2bl w:val="nil"/>
                  </w:tcBorders>
                  <w:noWrap w:val="0"/>
                  <w:vAlign w:val="center"/>
                </w:tcPr>
                <w:p w14:paraId="052CA18D">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项目名称</w:t>
                  </w:r>
                </w:p>
              </w:tc>
              <w:tc>
                <w:tcPr>
                  <w:tcW w:w="3346" w:type="pct"/>
                  <w:tcBorders>
                    <w:tl2br w:val="nil"/>
                    <w:tr2bl w:val="nil"/>
                  </w:tcBorders>
                  <w:noWrap w:val="0"/>
                  <w:vAlign w:val="center"/>
                </w:tcPr>
                <w:p w14:paraId="52D2A087">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工程建设内容及规模</w:t>
                  </w:r>
                </w:p>
              </w:tc>
            </w:tr>
            <w:tr w14:paraId="24057F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4" w:type="pct"/>
                  <w:vMerge w:val="restart"/>
                  <w:tcBorders>
                    <w:tl2br w:val="nil"/>
                    <w:tr2bl w:val="nil"/>
                  </w:tcBorders>
                  <w:noWrap w:val="0"/>
                  <w:vAlign w:val="center"/>
                </w:tcPr>
                <w:p w14:paraId="0AD6CE8B">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主体工程</w:t>
                  </w:r>
                </w:p>
              </w:tc>
              <w:tc>
                <w:tcPr>
                  <w:tcW w:w="949" w:type="pct"/>
                  <w:tcBorders>
                    <w:tl2br w:val="nil"/>
                    <w:tr2bl w:val="nil"/>
                  </w:tcBorders>
                  <w:shd w:val="clear" w:color="auto" w:fill="auto"/>
                  <w:noWrap w:val="0"/>
                  <w:vAlign w:val="center"/>
                </w:tcPr>
                <w:p w14:paraId="4346E16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热风炉</w:t>
                  </w:r>
                  <w:r>
                    <w:rPr>
                      <w:rFonts w:hint="default" w:ascii="Times New Roman" w:hAnsi="Times New Roman" w:cs="Times New Roman"/>
                      <w:color w:val="auto"/>
                      <w:sz w:val="21"/>
                      <w:szCs w:val="21"/>
                      <w:lang w:val="en-US" w:eastAsia="zh-CN"/>
                    </w:rPr>
                    <w:t>房</w:t>
                  </w:r>
                </w:p>
              </w:tc>
              <w:tc>
                <w:tcPr>
                  <w:tcW w:w="3346" w:type="pct"/>
                  <w:tcBorders>
                    <w:tl2br w:val="nil"/>
                    <w:tr2bl w:val="nil"/>
                  </w:tcBorders>
                  <w:shd w:val="clear" w:color="auto" w:fill="auto"/>
                  <w:noWrap w:val="0"/>
                  <w:vAlign w:val="center"/>
                </w:tcPr>
                <w:p w14:paraId="5BAB4D5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cs="Times New Roman"/>
                      <w:color w:val="auto"/>
                      <w:kern w:val="2"/>
                      <w:sz w:val="21"/>
                      <w:szCs w:val="21"/>
                      <w:lang w:val="en-US" w:eastAsia="zh-CN" w:bidi="ar"/>
                    </w:rPr>
                    <w:t>1台</w:t>
                  </w:r>
                  <w:r>
                    <w:rPr>
                      <w:rFonts w:hint="default" w:ascii="Times New Roman" w:hAnsi="Times New Roman" w:eastAsia="宋体" w:cs="Times New Roman"/>
                      <w:color w:val="auto"/>
                      <w:kern w:val="2"/>
                      <w:sz w:val="21"/>
                      <w:szCs w:val="21"/>
                      <w:lang w:val="en-US" w:eastAsia="zh-CN" w:bidi="ar"/>
                    </w:rPr>
                    <w:t>3t/h热风炉</w:t>
                  </w:r>
                  <w:r>
                    <w:rPr>
                      <w:rFonts w:hint="eastAsia" w:cs="Times New Roman"/>
                      <w:color w:val="auto"/>
                      <w:kern w:val="2"/>
                      <w:sz w:val="21"/>
                      <w:szCs w:val="21"/>
                      <w:lang w:val="en-US" w:eastAsia="zh-CN" w:bidi="ar"/>
                    </w:rPr>
                    <w:t>，日烘干粮食200吨</w:t>
                  </w:r>
                  <w:r>
                    <w:rPr>
                      <w:rFonts w:hint="default" w:ascii="Times New Roman" w:hAnsi="Times New Roman" w:cs="Times New Roman"/>
                      <w:color w:val="auto"/>
                      <w:sz w:val="21"/>
                      <w:szCs w:val="21"/>
                      <w:lang w:val="en-US" w:eastAsia="zh-CN"/>
                    </w:rPr>
                    <w:t>。</w:t>
                  </w:r>
                </w:p>
              </w:tc>
            </w:tr>
            <w:tr w14:paraId="01DA7F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4" w:type="pct"/>
                  <w:vMerge w:val="continue"/>
                  <w:tcBorders>
                    <w:tl2br w:val="nil"/>
                    <w:tr2bl w:val="nil"/>
                  </w:tcBorders>
                  <w:noWrap w:val="0"/>
                  <w:vAlign w:val="center"/>
                </w:tcPr>
                <w:p w14:paraId="5B6441A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p>
              </w:tc>
              <w:tc>
                <w:tcPr>
                  <w:tcW w:w="949" w:type="pct"/>
                  <w:tcBorders>
                    <w:tl2br w:val="nil"/>
                    <w:tr2bl w:val="nil"/>
                  </w:tcBorders>
                  <w:shd w:val="clear" w:color="auto" w:fill="auto"/>
                  <w:noWrap w:val="0"/>
                  <w:vAlign w:val="center"/>
                </w:tcPr>
                <w:p w14:paraId="5A670EFE">
                  <w:pPr>
                    <w:keepNext w:val="0"/>
                    <w:keepLines w:val="0"/>
                    <w:suppressLineNumbers w:val="0"/>
                    <w:spacing w:before="0" w:beforeAutospacing="0" w:after="0" w:afterAutospacing="0" w:line="240" w:lineRule="auto"/>
                    <w:ind w:left="0" w:right="0"/>
                    <w:jc w:val="center"/>
                    <w:rPr>
                      <w:rFonts w:hint="default" w:ascii="Times New Roman" w:hAnsi="Times New Roman" w:eastAsia="Arial" w:cs="Times New Roman"/>
                      <w:snapToGrid w:val="0"/>
                      <w:color w:val="auto"/>
                      <w:kern w:val="0"/>
                      <w:sz w:val="21"/>
                      <w:szCs w:val="21"/>
                      <w:lang w:val="en-US" w:eastAsia="zh-CN" w:bidi="ar-SA"/>
                    </w:rPr>
                  </w:pPr>
                  <w:r>
                    <w:rPr>
                      <w:rFonts w:hint="default" w:ascii="Times New Roman" w:hAnsi="Times New Roman" w:cs="Times New Roman"/>
                      <w:snapToGrid w:val="0"/>
                      <w:color w:val="auto"/>
                      <w:kern w:val="0"/>
                      <w:sz w:val="21"/>
                      <w:szCs w:val="21"/>
                      <w:lang w:val="en-US" w:eastAsia="zh-CN" w:bidi="ar-SA"/>
                    </w:rPr>
                    <w:t>粮仓</w:t>
                  </w:r>
                </w:p>
              </w:tc>
              <w:tc>
                <w:tcPr>
                  <w:tcW w:w="3346" w:type="pct"/>
                  <w:tcBorders>
                    <w:tl2br w:val="nil"/>
                    <w:tr2bl w:val="nil"/>
                  </w:tcBorders>
                  <w:shd w:val="clear" w:color="auto" w:fill="auto"/>
                  <w:noWrap w:val="0"/>
                  <w:vAlign w:val="center"/>
                </w:tcPr>
                <w:p w14:paraId="6EE0556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kern w:val="2"/>
                      <w:sz w:val="21"/>
                      <w:szCs w:val="21"/>
                      <w:lang w:val="en-US" w:eastAsia="zh-CN" w:bidi="ar"/>
                    </w:rPr>
                  </w:pPr>
                  <w:r>
                    <w:rPr>
                      <w:rFonts w:hint="eastAsia" w:cs="Times New Roman"/>
                      <w:color w:val="auto"/>
                      <w:sz w:val="21"/>
                      <w:szCs w:val="21"/>
                      <w:lang w:val="en-US" w:eastAsia="zh-CN"/>
                    </w:rPr>
                    <w:t>2个粮仓，每个储存能力300吨</w:t>
                  </w:r>
                  <w:r>
                    <w:rPr>
                      <w:rFonts w:hint="default" w:ascii="Times New Roman" w:hAnsi="Times New Roman" w:eastAsia="宋体" w:cs="Times New Roman"/>
                      <w:color w:val="auto"/>
                      <w:sz w:val="21"/>
                      <w:szCs w:val="21"/>
                      <w:lang w:eastAsia="zh-CN"/>
                    </w:rPr>
                    <w:t>。</w:t>
                  </w:r>
                </w:p>
              </w:tc>
            </w:tr>
            <w:tr w14:paraId="1C8EBB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4" w:type="pct"/>
                  <w:vMerge w:val="continue"/>
                  <w:tcBorders>
                    <w:tl2br w:val="nil"/>
                    <w:tr2bl w:val="nil"/>
                  </w:tcBorders>
                  <w:noWrap w:val="0"/>
                  <w:vAlign w:val="center"/>
                </w:tcPr>
                <w:p w14:paraId="3494BED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p>
              </w:tc>
              <w:tc>
                <w:tcPr>
                  <w:tcW w:w="949" w:type="pct"/>
                  <w:tcBorders>
                    <w:tl2br w:val="nil"/>
                    <w:tr2bl w:val="nil"/>
                  </w:tcBorders>
                  <w:shd w:val="clear" w:color="auto" w:fill="auto"/>
                  <w:noWrap w:val="0"/>
                  <w:vAlign w:val="center"/>
                </w:tcPr>
                <w:p w14:paraId="12DDDBD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门卫</w:t>
                  </w:r>
                </w:p>
              </w:tc>
              <w:tc>
                <w:tcPr>
                  <w:tcW w:w="3346" w:type="pct"/>
                  <w:tcBorders>
                    <w:tl2br w:val="nil"/>
                    <w:tr2bl w:val="nil"/>
                  </w:tcBorders>
                  <w:shd w:val="clear" w:color="auto" w:fill="auto"/>
                  <w:noWrap w:val="0"/>
                  <w:vAlign w:val="center"/>
                </w:tcPr>
                <w:p w14:paraId="3A9E34E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cs="Times New Roman"/>
                      <w:color w:val="auto"/>
                      <w:kern w:val="2"/>
                      <w:sz w:val="21"/>
                      <w:szCs w:val="21"/>
                      <w:lang w:val="en-US" w:eastAsia="zh-CN" w:bidi="ar"/>
                    </w:rPr>
                    <w:t>位于厂区的西南侧</w:t>
                  </w:r>
                  <w:r>
                    <w:rPr>
                      <w:rFonts w:hint="default" w:ascii="Times New Roman" w:hAnsi="Times New Roman" w:eastAsia="宋体" w:cs="Times New Roman"/>
                      <w:color w:val="auto"/>
                      <w:kern w:val="2"/>
                      <w:sz w:val="21"/>
                      <w:szCs w:val="21"/>
                      <w:lang w:val="en-US" w:eastAsia="zh-CN" w:bidi="ar"/>
                    </w:rPr>
                    <w:t>。</w:t>
                  </w:r>
                </w:p>
              </w:tc>
            </w:tr>
            <w:tr w14:paraId="175A9D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4" w:type="pct"/>
                  <w:vMerge w:val="restart"/>
                  <w:tcBorders>
                    <w:tl2br w:val="nil"/>
                    <w:tr2bl w:val="nil"/>
                  </w:tcBorders>
                  <w:noWrap w:val="0"/>
                  <w:vAlign w:val="center"/>
                </w:tcPr>
                <w:p w14:paraId="180B9F8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公用工程</w:t>
                  </w:r>
                </w:p>
              </w:tc>
              <w:tc>
                <w:tcPr>
                  <w:tcW w:w="949" w:type="pct"/>
                  <w:tcBorders>
                    <w:tl2br w:val="nil"/>
                    <w:tr2bl w:val="nil"/>
                  </w:tcBorders>
                  <w:noWrap w:val="0"/>
                  <w:vAlign w:val="center"/>
                </w:tcPr>
                <w:p w14:paraId="55B9630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供水</w:t>
                  </w:r>
                </w:p>
              </w:tc>
              <w:tc>
                <w:tcPr>
                  <w:tcW w:w="3346" w:type="pct"/>
                  <w:tcBorders>
                    <w:tl2br w:val="nil"/>
                    <w:tr2bl w:val="nil"/>
                  </w:tcBorders>
                  <w:noWrap w:val="0"/>
                  <w:vAlign w:val="center"/>
                </w:tcPr>
                <w:p w14:paraId="1CC5432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本项目所用水由自备井提供。可满足全厂用水需要。</w:t>
                  </w:r>
                </w:p>
              </w:tc>
            </w:tr>
            <w:tr w14:paraId="303B28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4" w:type="pct"/>
                  <w:vMerge w:val="continue"/>
                  <w:tcBorders>
                    <w:tl2br w:val="nil"/>
                    <w:tr2bl w:val="nil"/>
                  </w:tcBorders>
                  <w:noWrap w:val="0"/>
                  <w:vAlign w:val="center"/>
                </w:tcPr>
                <w:p w14:paraId="7C07B7E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p>
              </w:tc>
              <w:tc>
                <w:tcPr>
                  <w:tcW w:w="949" w:type="pct"/>
                  <w:tcBorders>
                    <w:tl2br w:val="nil"/>
                    <w:tr2bl w:val="nil"/>
                  </w:tcBorders>
                  <w:noWrap w:val="0"/>
                  <w:vAlign w:val="center"/>
                </w:tcPr>
                <w:p w14:paraId="7AAD0EE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排水</w:t>
                  </w:r>
                </w:p>
              </w:tc>
              <w:tc>
                <w:tcPr>
                  <w:tcW w:w="3346" w:type="pct"/>
                  <w:tcBorders>
                    <w:tl2br w:val="nil"/>
                    <w:tr2bl w:val="nil"/>
                  </w:tcBorders>
                  <w:noWrap w:val="0"/>
                  <w:vAlign w:val="center"/>
                </w:tcPr>
                <w:p w14:paraId="6672AA8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本项目无工业用水，无工业废水产生，</w:t>
                  </w:r>
                  <w:r>
                    <w:rPr>
                      <w:rFonts w:hint="default" w:ascii="Times New Roman" w:hAnsi="Times New Roman" w:cs="Times New Roman"/>
                      <w:color w:val="auto"/>
                      <w:sz w:val="21"/>
                      <w:szCs w:val="21"/>
                      <w:lang w:val="en-US" w:eastAsia="zh-CN"/>
                    </w:rPr>
                    <w:t>生活污水排入防渗旱厕，定期清掏。</w:t>
                  </w:r>
                </w:p>
              </w:tc>
            </w:tr>
            <w:tr w14:paraId="5D36F6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4" w:type="pct"/>
                  <w:vMerge w:val="continue"/>
                  <w:tcBorders>
                    <w:tl2br w:val="nil"/>
                    <w:tr2bl w:val="nil"/>
                  </w:tcBorders>
                  <w:noWrap w:val="0"/>
                  <w:vAlign w:val="center"/>
                </w:tcPr>
                <w:p w14:paraId="4D2D45A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p>
              </w:tc>
              <w:tc>
                <w:tcPr>
                  <w:tcW w:w="949" w:type="pct"/>
                  <w:tcBorders>
                    <w:tl2br w:val="nil"/>
                    <w:tr2bl w:val="nil"/>
                  </w:tcBorders>
                  <w:noWrap w:val="0"/>
                  <w:vAlign w:val="center"/>
                </w:tcPr>
                <w:p w14:paraId="21AD097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供暖</w:t>
                  </w:r>
                </w:p>
              </w:tc>
              <w:tc>
                <w:tcPr>
                  <w:tcW w:w="3346" w:type="pct"/>
                  <w:tcBorders>
                    <w:tl2br w:val="nil"/>
                    <w:tr2bl w:val="nil"/>
                  </w:tcBorders>
                  <w:noWrap w:val="0"/>
                  <w:vAlign w:val="center"/>
                </w:tcPr>
                <w:p w14:paraId="0859F9C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本项目冬季使用</w:t>
                  </w:r>
                  <w:r>
                    <w:rPr>
                      <w:rFonts w:hint="eastAsia" w:cs="Times New Roman"/>
                      <w:color w:val="auto"/>
                      <w:sz w:val="21"/>
                      <w:szCs w:val="21"/>
                      <w:lang w:val="en-US" w:eastAsia="zh-CN"/>
                    </w:rPr>
                    <w:t>电取暖</w:t>
                  </w:r>
                  <w:r>
                    <w:rPr>
                      <w:rFonts w:hint="default" w:ascii="Times New Roman" w:hAnsi="Times New Roman" w:cs="Times New Roman"/>
                      <w:color w:val="auto"/>
                      <w:sz w:val="21"/>
                      <w:szCs w:val="21"/>
                      <w:lang w:val="en-US" w:eastAsia="zh-CN"/>
                    </w:rPr>
                    <w:t>。</w:t>
                  </w:r>
                </w:p>
              </w:tc>
            </w:tr>
            <w:tr w14:paraId="72CB54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4" w:type="pct"/>
                  <w:vMerge w:val="continue"/>
                  <w:tcBorders>
                    <w:tl2br w:val="nil"/>
                    <w:tr2bl w:val="nil"/>
                  </w:tcBorders>
                  <w:noWrap w:val="0"/>
                  <w:vAlign w:val="center"/>
                </w:tcPr>
                <w:p w14:paraId="606E844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p>
              </w:tc>
              <w:tc>
                <w:tcPr>
                  <w:tcW w:w="949" w:type="pct"/>
                  <w:tcBorders>
                    <w:tl2br w:val="nil"/>
                    <w:tr2bl w:val="nil"/>
                  </w:tcBorders>
                  <w:noWrap w:val="0"/>
                  <w:vAlign w:val="center"/>
                </w:tcPr>
                <w:p w14:paraId="48021F9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供电</w:t>
                  </w:r>
                </w:p>
              </w:tc>
              <w:tc>
                <w:tcPr>
                  <w:tcW w:w="3346" w:type="pct"/>
                  <w:tcBorders>
                    <w:tl2br w:val="nil"/>
                    <w:tr2bl w:val="nil"/>
                  </w:tcBorders>
                  <w:noWrap w:val="0"/>
                  <w:vAlign w:val="center"/>
                </w:tcPr>
                <w:p w14:paraId="57E7D18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本项目供电由市政供电局提供，电源稳定可靠，完全可以满足本项目的供电需要。</w:t>
                  </w:r>
                </w:p>
              </w:tc>
            </w:tr>
            <w:tr w14:paraId="2B1E50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4" w:type="pct"/>
                  <w:vMerge w:val="restart"/>
                  <w:tcBorders>
                    <w:tl2br w:val="nil"/>
                    <w:tr2bl w:val="nil"/>
                  </w:tcBorders>
                  <w:noWrap w:val="0"/>
                  <w:vAlign w:val="center"/>
                </w:tcPr>
                <w:p w14:paraId="510D404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环保工程</w:t>
                  </w:r>
                </w:p>
              </w:tc>
              <w:tc>
                <w:tcPr>
                  <w:tcW w:w="949" w:type="pct"/>
                  <w:tcBorders>
                    <w:tl2br w:val="nil"/>
                    <w:tr2bl w:val="nil"/>
                  </w:tcBorders>
                  <w:noWrap w:val="0"/>
                  <w:vAlign w:val="center"/>
                </w:tcPr>
                <w:p w14:paraId="7251606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废气防治措施</w:t>
                  </w:r>
                </w:p>
              </w:tc>
              <w:tc>
                <w:tcPr>
                  <w:tcW w:w="3346" w:type="pct"/>
                  <w:tcBorders>
                    <w:tl2br w:val="nil"/>
                    <w:tr2bl w:val="nil"/>
                  </w:tcBorders>
                  <w:noWrap w:val="0"/>
                  <w:vAlign w:val="center"/>
                </w:tcPr>
                <w:p w14:paraId="7E4DFADA">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本项目生产过程中废气主要是热风炉产生的废气，废气经旋风除尘器处理后，通过</w:t>
                  </w:r>
                  <w:r>
                    <w:rPr>
                      <w:rFonts w:hint="eastAsia" w:cs="Times New Roman"/>
                      <w:color w:val="auto"/>
                      <w:sz w:val="21"/>
                      <w:szCs w:val="21"/>
                      <w:lang w:val="en-US" w:eastAsia="zh-CN"/>
                    </w:rPr>
                    <w:t>排气筒</w:t>
                  </w:r>
                  <w:r>
                    <w:rPr>
                      <w:rFonts w:hint="default" w:ascii="Times New Roman" w:hAnsi="Times New Roman" w:eastAsia="宋体" w:cs="Times New Roman"/>
                      <w:color w:val="auto"/>
                      <w:sz w:val="21"/>
                      <w:szCs w:val="21"/>
                      <w:lang w:val="en-US" w:eastAsia="zh-CN"/>
                    </w:rPr>
                    <w:t>排放</w:t>
                  </w:r>
                  <w:r>
                    <w:rPr>
                      <w:rFonts w:hint="eastAsia"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污染物排放浓度符合</w:t>
                  </w:r>
                  <w:r>
                    <w:rPr>
                      <w:rFonts w:hint="default" w:ascii="Times New Roman" w:hAnsi="Times New Roman" w:cs="Times New Roman"/>
                      <w:color w:val="auto"/>
                      <w:sz w:val="21"/>
                      <w:szCs w:val="21"/>
                      <w:highlight w:val="none"/>
                      <w:lang w:eastAsia="zh-CN"/>
                    </w:rPr>
                    <w:t>《工业炉窑大气污染物排放标准》（GB9078-1996）</w:t>
                  </w:r>
                  <w:r>
                    <w:rPr>
                      <w:rFonts w:hint="default" w:ascii="Times New Roman" w:hAnsi="Times New Roman" w:cs="Times New Roman"/>
                      <w:color w:val="auto"/>
                      <w:sz w:val="21"/>
                      <w:szCs w:val="21"/>
                      <w:highlight w:val="none"/>
                      <w:lang w:val="en-US" w:eastAsia="zh-CN"/>
                    </w:rPr>
                    <w:t>限制要求</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rPr>
                    <w:t>装卸</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运输粉尘</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采取密闭性良好的设备、减小装卸高度等降尘措施，减少无组织粉尘排放；</w:t>
                  </w:r>
                  <w:r>
                    <w:rPr>
                      <w:rFonts w:hint="default" w:ascii="Times New Roman" w:hAnsi="Times New Roman" w:eastAsia="宋体" w:cs="Times New Roman"/>
                      <w:color w:val="auto"/>
                      <w:sz w:val="21"/>
                      <w:szCs w:val="21"/>
                      <w:lang w:val="en-US" w:eastAsia="zh-CN"/>
                    </w:rPr>
                    <w:t>烘干粉尘：</w:t>
                  </w:r>
                  <w:r>
                    <w:rPr>
                      <w:rFonts w:hint="default" w:ascii="Times New Roman" w:hAnsi="Times New Roman" w:cs="Times New Roman"/>
                      <w:color w:val="auto"/>
                      <w:sz w:val="21"/>
                      <w:szCs w:val="21"/>
                      <w:lang w:eastAsia="zh-CN"/>
                    </w:rPr>
                    <w:t>烘干机</w:t>
                  </w:r>
                  <w:r>
                    <w:rPr>
                      <w:rFonts w:hint="default" w:ascii="Times New Roman" w:hAnsi="Times New Roman" w:eastAsia="宋体" w:cs="Times New Roman"/>
                      <w:color w:val="auto"/>
                      <w:sz w:val="21"/>
                      <w:szCs w:val="21"/>
                      <w:lang w:val="en-US" w:eastAsia="zh-CN"/>
                    </w:rPr>
                    <w:t>密闭，</w:t>
                  </w:r>
                  <w:r>
                    <w:rPr>
                      <w:rFonts w:hint="default" w:ascii="Times New Roman" w:hAnsi="Times New Roman" w:eastAsia="宋体" w:cs="Times New Roman"/>
                      <w:color w:val="auto"/>
                      <w:sz w:val="21"/>
                      <w:szCs w:val="21"/>
                      <w:lang w:eastAsia="zh-CN"/>
                    </w:rPr>
                    <w:t>底部四周设置防尘挡板，</w:t>
                  </w:r>
                  <w:r>
                    <w:rPr>
                      <w:rFonts w:hint="default" w:ascii="Times New Roman" w:hAnsi="Times New Roman" w:eastAsia="宋体" w:cs="Times New Roman"/>
                      <w:color w:val="auto"/>
                      <w:sz w:val="21"/>
                      <w:szCs w:val="21"/>
                      <w:lang w:val="en-US" w:eastAsia="zh-CN"/>
                    </w:rPr>
                    <w:t>设置重力沉降室</w:t>
                  </w:r>
                  <w:r>
                    <w:rPr>
                      <w:rFonts w:hint="default" w:ascii="Times New Roman" w:hAnsi="Times New Roman" w:cs="Times New Roman"/>
                      <w:color w:val="auto"/>
                      <w:sz w:val="21"/>
                      <w:szCs w:val="21"/>
                      <w:lang w:val="en-US" w:eastAsia="zh-CN"/>
                    </w:rPr>
                    <w:t>（烘干产生的水蒸气同烘干粉尘一同在风机作用下排到重力沉降室）</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厂界颗粒物排放浓度符合《大气污染物综合排放标准》表2无组织排放浓度限值要求</w:t>
                  </w:r>
                  <w:r>
                    <w:rPr>
                      <w:rFonts w:hint="eastAsia"/>
                      <w:color w:val="auto"/>
                      <w:lang w:eastAsia="zh-CN"/>
                    </w:rPr>
                    <w:t>。</w:t>
                  </w:r>
                </w:p>
              </w:tc>
            </w:tr>
            <w:tr w14:paraId="51D2F4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4" w:type="pct"/>
                  <w:vMerge w:val="continue"/>
                  <w:tcBorders>
                    <w:tl2br w:val="nil"/>
                    <w:tr2bl w:val="nil"/>
                  </w:tcBorders>
                  <w:noWrap w:val="0"/>
                  <w:vAlign w:val="center"/>
                </w:tcPr>
                <w:p w14:paraId="22D2B22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p>
              </w:tc>
              <w:tc>
                <w:tcPr>
                  <w:tcW w:w="949" w:type="pct"/>
                  <w:tcBorders>
                    <w:tl2br w:val="nil"/>
                    <w:tr2bl w:val="nil"/>
                  </w:tcBorders>
                  <w:noWrap w:val="0"/>
                  <w:vAlign w:val="center"/>
                </w:tcPr>
                <w:p w14:paraId="390FDDD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噪声防治措施</w:t>
                  </w:r>
                </w:p>
              </w:tc>
              <w:tc>
                <w:tcPr>
                  <w:tcW w:w="3346" w:type="pct"/>
                  <w:tcBorders>
                    <w:tl2br w:val="nil"/>
                    <w:tr2bl w:val="nil"/>
                  </w:tcBorders>
                  <w:noWrap w:val="0"/>
                  <w:vAlign w:val="center"/>
                </w:tcPr>
                <w:p w14:paraId="4C66E3F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sz w:val="21"/>
                      <w:szCs w:val="21"/>
                      <w:lang w:val="en-US" w:eastAsia="zh-CN"/>
                    </w:rPr>
                    <w:t>采用减振、吸声、隔声设施。</w:t>
                  </w:r>
                </w:p>
              </w:tc>
            </w:tr>
            <w:tr w14:paraId="704581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4" w:type="pct"/>
                  <w:vMerge w:val="continue"/>
                  <w:tcBorders>
                    <w:tl2br w:val="nil"/>
                    <w:tr2bl w:val="nil"/>
                  </w:tcBorders>
                  <w:noWrap w:val="0"/>
                  <w:vAlign w:val="center"/>
                </w:tcPr>
                <w:p w14:paraId="75B50B7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p>
              </w:tc>
              <w:tc>
                <w:tcPr>
                  <w:tcW w:w="949" w:type="pct"/>
                  <w:tcBorders>
                    <w:tl2br w:val="nil"/>
                    <w:tr2bl w:val="nil"/>
                  </w:tcBorders>
                  <w:noWrap w:val="0"/>
                  <w:vAlign w:val="center"/>
                </w:tcPr>
                <w:p w14:paraId="0078672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废水</w:t>
                  </w:r>
                  <w:r>
                    <w:rPr>
                      <w:rFonts w:hint="default" w:ascii="Times New Roman" w:hAnsi="Times New Roman" w:cs="Times New Roman"/>
                      <w:color w:val="auto"/>
                      <w:sz w:val="21"/>
                      <w:szCs w:val="21"/>
                    </w:rPr>
                    <w:t>防治措施</w:t>
                  </w:r>
                </w:p>
              </w:tc>
              <w:tc>
                <w:tcPr>
                  <w:tcW w:w="3346" w:type="pct"/>
                  <w:tcBorders>
                    <w:tl2br w:val="nil"/>
                    <w:tr2bl w:val="nil"/>
                  </w:tcBorders>
                  <w:noWrap w:val="0"/>
                  <w:vAlign w:val="center"/>
                </w:tcPr>
                <w:p w14:paraId="1FA1273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本项目无工业用水，无工业废水产生，</w:t>
                  </w:r>
                  <w:r>
                    <w:rPr>
                      <w:rFonts w:hint="default" w:ascii="Times New Roman" w:hAnsi="Times New Roman" w:cs="Times New Roman"/>
                      <w:color w:val="auto"/>
                      <w:sz w:val="21"/>
                      <w:szCs w:val="21"/>
                      <w:lang w:val="en-US" w:eastAsia="zh-CN"/>
                    </w:rPr>
                    <w:t>生活污水排入防渗旱厕，定期清掏。</w:t>
                  </w:r>
                </w:p>
              </w:tc>
            </w:tr>
            <w:tr w14:paraId="4924CD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4" w:type="pct"/>
                  <w:vMerge w:val="continue"/>
                  <w:tcBorders>
                    <w:tl2br w:val="nil"/>
                    <w:tr2bl w:val="nil"/>
                  </w:tcBorders>
                  <w:noWrap w:val="0"/>
                  <w:vAlign w:val="center"/>
                </w:tcPr>
                <w:p w14:paraId="7F02FC8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p>
              </w:tc>
              <w:tc>
                <w:tcPr>
                  <w:tcW w:w="949" w:type="pct"/>
                  <w:tcBorders>
                    <w:tl2br w:val="nil"/>
                    <w:tr2bl w:val="nil"/>
                  </w:tcBorders>
                  <w:noWrap w:val="0"/>
                  <w:vAlign w:val="center"/>
                </w:tcPr>
                <w:p w14:paraId="3CB451F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固体废物</w:t>
                  </w:r>
                  <w:r>
                    <w:rPr>
                      <w:rFonts w:hint="default" w:ascii="Times New Roman" w:hAnsi="Times New Roman" w:cs="Times New Roman"/>
                      <w:color w:val="auto"/>
                      <w:sz w:val="21"/>
                      <w:szCs w:val="21"/>
                    </w:rPr>
                    <w:t>防治措施</w:t>
                  </w:r>
                </w:p>
              </w:tc>
              <w:tc>
                <w:tcPr>
                  <w:tcW w:w="3346" w:type="pct"/>
                  <w:tcBorders>
                    <w:tl2br w:val="nil"/>
                    <w:tr2bl w:val="nil"/>
                  </w:tcBorders>
                  <w:noWrap w:val="0"/>
                  <w:vAlign w:val="center"/>
                </w:tcPr>
                <w:p w14:paraId="1B2BDE1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本项目产生的固体废物主要为生活垃圾、锅炉炉渣和生产过程中产生的粉尘、粮食杂质等，锅炉炉渣综合</w:t>
                  </w:r>
                  <w:r>
                    <w:rPr>
                      <w:rFonts w:hint="eastAsia" w:cs="Times New Roman"/>
                      <w:color w:val="auto"/>
                      <w:sz w:val="21"/>
                      <w:szCs w:val="21"/>
                      <w:lang w:val="en-US" w:eastAsia="zh-CN"/>
                    </w:rPr>
                    <w:t>外卖</w:t>
                  </w:r>
                  <w:r>
                    <w:rPr>
                      <w:rFonts w:hint="default" w:ascii="Times New Roman" w:hAnsi="Times New Roman" w:eastAsia="宋体" w:cs="Times New Roman"/>
                      <w:color w:val="auto"/>
                      <w:sz w:val="21"/>
                      <w:szCs w:val="21"/>
                      <w:lang w:val="en-US" w:eastAsia="zh-CN"/>
                    </w:rPr>
                    <w:t>制砖，生活垃圾</w:t>
                  </w:r>
                  <w:r>
                    <w:rPr>
                      <w:rFonts w:hint="eastAsia" w:cs="Times New Roman"/>
                      <w:color w:val="auto"/>
                      <w:sz w:val="21"/>
                      <w:szCs w:val="21"/>
                      <w:lang w:val="en-US" w:eastAsia="zh-CN"/>
                    </w:rPr>
                    <w:t>集中</w:t>
                  </w:r>
                  <w:r>
                    <w:rPr>
                      <w:rFonts w:hint="default" w:ascii="Times New Roman" w:hAnsi="Times New Roman" w:eastAsia="宋体" w:cs="Times New Roman"/>
                      <w:color w:val="auto"/>
                      <w:sz w:val="21"/>
                      <w:szCs w:val="21"/>
                      <w:lang w:val="en-US" w:eastAsia="zh-CN"/>
                    </w:rPr>
                    <w:t>收集由环卫部门统一处理，粉尘和粮食杂质全部出售。</w:t>
                  </w:r>
                </w:p>
              </w:tc>
            </w:tr>
          </w:tbl>
          <w:p w14:paraId="1886C36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二、原有污染情况</w:t>
            </w:r>
          </w:p>
          <w:p w14:paraId="66DBAEDD">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1、废水</w:t>
            </w:r>
          </w:p>
          <w:p w14:paraId="52F9C5C0">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生活污水排水量按用水量80%计</w:t>
            </w:r>
            <w:r>
              <w:rPr>
                <w:rFonts w:hint="eastAsia" w:cs="Times New Roman"/>
                <w:color w:val="auto"/>
                <w:kern w:val="0"/>
                <w:sz w:val="24"/>
                <w:szCs w:val="24"/>
                <w:highlight w:val="none"/>
                <w:lang w:val="en-US" w:eastAsia="zh-CN"/>
              </w:rPr>
              <w:t>，</w:t>
            </w:r>
            <w:r>
              <w:rPr>
                <w:rFonts w:hint="eastAsia" w:ascii="Times New Roman" w:hAnsi="Times New Roman" w:eastAsia="宋体" w:cs="Times New Roman"/>
                <w:color w:val="auto"/>
                <w:kern w:val="0"/>
                <w:sz w:val="24"/>
                <w:szCs w:val="24"/>
                <w:highlight w:val="none"/>
                <w:lang w:val="en-US" w:eastAsia="zh-CN"/>
              </w:rPr>
              <w:t>生活污水排放量为</w:t>
            </w:r>
            <w:r>
              <w:rPr>
                <w:rFonts w:hint="eastAsia" w:cs="Times New Roman"/>
                <w:color w:val="auto"/>
                <w:kern w:val="0"/>
                <w:sz w:val="24"/>
                <w:szCs w:val="24"/>
                <w:highlight w:val="none"/>
                <w:lang w:val="en-US" w:eastAsia="zh-CN"/>
              </w:rPr>
              <w:t>32</w:t>
            </w:r>
            <w:r>
              <w:rPr>
                <w:rFonts w:hint="eastAsia" w:ascii="Times New Roman" w:hAnsi="Times New Roman" w:eastAsia="宋体" w:cs="Times New Roman"/>
                <w:color w:val="auto"/>
                <w:kern w:val="0"/>
                <w:sz w:val="24"/>
                <w:szCs w:val="24"/>
                <w:highlight w:val="none"/>
                <w:lang w:val="en-US" w:eastAsia="zh-CN"/>
              </w:rPr>
              <w:t>m</w:t>
            </w:r>
            <w:r>
              <w:rPr>
                <w:rFonts w:hint="eastAsia" w:ascii="Times New Roman" w:hAnsi="Times New Roman" w:eastAsia="宋体" w:cs="Times New Roman"/>
                <w:color w:val="auto"/>
                <w:kern w:val="0"/>
                <w:sz w:val="24"/>
                <w:szCs w:val="24"/>
                <w:highlight w:val="none"/>
                <w:vertAlign w:val="superscript"/>
                <w:lang w:val="en-US" w:eastAsia="zh-CN"/>
              </w:rPr>
              <w:t>3</w:t>
            </w:r>
            <w:r>
              <w:rPr>
                <w:rFonts w:hint="eastAsia" w:ascii="Times New Roman" w:hAnsi="Times New Roman" w:eastAsia="宋体" w:cs="Times New Roman"/>
                <w:color w:val="auto"/>
                <w:kern w:val="0"/>
                <w:sz w:val="24"/>
                <w:szCs w:val="24"/>
                <w:highlight w:val="none"/>
                <w:lang w:val="en-US" w:eastAsia="zh-CN"/>
              </w:rPr>
              <w:t>/a。生活用水排入防渗化类池，定期清掏。无生产废水。</w:t>
            </w:r>
          </w:p>
          <w:p w14:paraId="153FBD5A">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2、废气</w:t>
            </w:r>
          </w:p>
          <w:p w14:paraId="655EBBB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本工程运营期产生的废气主要为热风炉废气。180万kcal燃煤热风炉烟气经旋风除尘器处理后经</w:t>
            </w:r>
            <w:r>
              <w:rPr>
                <w:rFonts w:hint="eastAsia" w:cs="Times New Roman"/>
                <w:color w:val="auto"/>
                <w:kern w:val="0"/>
                <w:sz w:val="24"/>
                <w:szCs w:val="24"/>
                <w:highlight w:val="none"/>
                <w:lang w:val="en-US" w:eastAsia="zh-CN"/>
              </w:rPr>
              <w:t>35</w:t>
            </w:r>
            <w:r>
              <w:rPr>
                <w:rFonts w:hint="eastAsia" w:ascii="Times New Roman" w:hAnsi="Times New Roman" w:eastAsia="宋体" w:cs="Times New Roman"/>
                <w:color w:val="auto"/>
                <w:kern w:val="0"/>
                <w:sz w:val="24"/>
                <w:szCs w:val="24"/>
                <w:highlight w:val="none"/>
                <w:lang w:val="en-US" w:eastAsia="zh-CN"/>
              </w:rPr>
              <w:t>米排气</w:t>
            </w:r>
            <w:r>
              <w:rPr>
                <w:rFonts w:hint="eastAsia" w:cs="Times New Roman"/>
                <w:color w:val="auto"/>
                <w:kern w:val="0"/>
                <w:sz w:val="24"/>
                <w:szCs w:val="24"/>
                <w:highlight w:val="none"/>
                <w:lang w:val="en-US" w:eastAsia="zh-CN"/>
              </w:rPr>
              <w:t>筒</w:t>
            </w:r>
            <w:r>
              <w:rPr>
                <w:rFonts w:hint="eastAsia" w:ascii="Times New Roman" w:hAnsi="Times New Roman" w:eastAsia="宋体" w:cs="Times New Roman"/>
                <w:color w:val="auto"/>
                <w:kern w:val="0"/>
                <w:sz w:val="24"/>
                <w:szCs w:val="24"/>
                <w:highlight w:val="none"/>
                <w:lang w:val="en-US" w:eastAsia="zh-CN"/>
              </w:rPr>
              <w:t>排放。</w:t>
            </w:r>
            <w:r>
              <w:rPr>
                <w:rFonts w:hint="eastAsia" w:cs="Times New Roman"/>
                <w:color w:val="auto"/>
                <w:kern w:val="0"/>
                <w:sz w:val="24"/>
                <w:szCs w:val="24"/>
                <w:highlight w:val="none"/>
                <w:lang w:val="en-US" w:eastAsia="zh-CN"/>
              </w:rPr>
              <w:t>根据评估报告，</w:t>
            </w:r>
            <w:r>
              <w:rPr>
                <w:rFonts w:hint="eastAsia" w:ascii="Times New Roman" w:hAnsi="Times New Roman" w:eastAsia="宋体" w:cs="Times New Roman"/>
                <w:color w:val="auto"/>
                <w:kern w:val="0"/>
                <w:sz w:val="24"/>
                <w:szCs w:val="24"/>
                <w:highlight w:val="none"/>
                <w:lang w:val="en-US" w:eastAsia="zh-CN"/>
              </w:rPr>
              <w:t>锅炉年燃煤600吨，颗粒物：2.1t/a，二氧化硫：3.8t/a，氮氧化物：1.75t/a。根据企业现状评估报告内容可知：180万kcal燃煤热风炉出口最大烟尘排放浓度为75.5mg/m</w:t>
            </w:r>
            <w:r>
              <w:rPr>
                <w:rFonts w:hint="eastAsia" w:ascii="Times New Roman" w:hAnsi="Times New Roman" w:eastAsia="宋体" w:cs="Times New Roman"/>
                <w:color w:val="auto"/>
                <w:kern w:val="0"/>
                <w:sz w:val="24"/>
                <w:szCs w:val="24"/>
                <w:highlight w:val="none"/>
                <w:vertAlign w:val="superscript"/>
                <w:lang w:val="en-US" w:eastAsia="zh-CN"/>
              </w:rPr>
              <w:t>3</w:t>
            </w:r>
            <w:r>
              <w:rPr>
                <w:rFonts w:hint="eastAsia" w:ascii="Times New Roman" w:hAnsi="Times New Roman" w:eastAsia="宋体" w:cs="Times New Roman"/>
                <w:color w:val="auto"/>
                <w:kern w:val="0"/>
                <w:sz w:val="24"/>
                <w:szCs w:val="24"/>
                <w:highlight w:val="none"/>
                <w:lang w:val="en-US" w:eastAsia="zh-CN"/>
              </w:rPr>
              <w:t>、NOx排放浓度338mg/m</w:t>
            </w:r>
            <w:r>
              <w:rPr>
                <w:rFonts w:hint="eastAsia" w:ascii="Times New Roman" w:hAnsi="Times New Roman" w:eastAsia="宋体" w:cs="Times New Roman"/>
                <w:color w:val="auto"/>
                <w:kern w:val="0"/>
                <w:sz w:val="24"/>
                <w:szCs w:val="24"/>
                <w:highlight w:val="none"/>
                <w:vertAlign w:val="superscript"/>
                <w:lang w:val="en-US" w:eastAsia="zh-CN"/>
              </w:rPr>
              <w:t>3</w:t>
            </w:r>
            <w:r>
              <w:rPr>
                <w:rFonts w:hint="eastAsia" w:ascii="Times New Roman" w:hAnsi="Times New Roman" w:eastAsia="宋体" w:cs="Times New Roman"/>
                <w:color w:val="auto"/>
                <w:kern w:val="0"/>
                <w:sz w:val="24"/>
                <w:szCs w:val="24"/>
                <w:highlight w:val="none"/>
                <w:lang w:val="en-US" w:eastAsia="zh-CN"/>
              </w:rPr>
              <w:t>、S</w:t>
            </w:r>
            <w:r>
              <w:rPr>
                <w:rFonts w:hint="eastAsia" w:cs="Times New Roman"/>
                <w:color w:val="auto"/>
                <w:kern w:val="0"/>
                <w:sz w:val="24"/>
                <w:szCs w:val="24"/>
                <w:highlight w:val="none"/>
                <w:lang w:val="en-US" w:eastAsia="zh-CN"/>
              </w:rPr>
              <w:t>O</w:t>
            </w:r>
            <w:r>
              <w:rPr>
                <w:rFonts w:hint="eastAsia" w:ascii="Times New Roman" w:hAnsi="Times New Roman" w:eastAsia="宋体" w:cs="Times New Roman"/>
                <w:color w:val="auto"/>
                <w:kern w:val="0"/>
                <w:sz w:val="24"/>
                <w:szCs w:val="24"/>
                <w:highlight w:val="none"/>
                <w:vertAlign w:val="subscript"/>
                <w:lang w:val="en-US" w:eastAsia="zh-CN"/>
              </w:rPr>
              <w:t>2</w:t>
            </w:r>
            <w:r>
              <w:rPr>
                <w:rFonts w:hint="eastAsia" w:ascii="Times New Roman" w:hAnsi="Times New Roman" w:eastAsia="宋体" w:cs="Times New Roman"/>
                <w:color w:val="auto"/>
                <w:kern w:val="0"/>
                <w:sz w:val="24"/>
                <w:szCs w:val="24"/>
                <w:highlight w:val="none"/>
                <w:lang w:val="en-US" w:eastAsia="zh-CN"/>
              </w:rPr>
              <w:t>排放浓度437mg/m</w:t>
            </w:r>
            <w:r>
              <w:rPr>
                <w:rFonts w:hint="eastAsia" w:ascii="Times New Roman" w:hAnsi="Times New Roman" w:eastAsia="宋体" w:cs="Times New Roman"/>
                <w:color w:val="auto"/>
                <w:kern w:val="0"/>
                <w:sz w:val="24"/>
                <w:szCs w:val="24"/>
                <w:highlight w:val="none"/>
                <w:vertAlign w:val="superscript"/>
                <w:lang w:val="en-US" w:eastAsia="zh-CN"/>
              </w:rPr>
              <w:t>3</w:t>
            </w:r>
            <w:r>
              <w:rPr>
                <w:rFonts w:hint="eastAsia" w:ascii="Times New Roman" w:hAnsi="Times New Roman" w:eastAsia="宋体" w:cs="Times New Roman"/>
                <w:color w:val="auto"/>
                <w:kern w:val="0"/>
                <w:sz w:val="24"/>
                <w:szCs w:val="24"/>
                <w:highlight w:val="none"/>
                <w:lang w:val="en-US" w:eastAsia="zh-CN"/>
              </w:rPr>
              <w:t>。热风炉烟气烟尘排放满足《工业炉窑大气污染物排放标准》（GB9078-1996）中表2标准</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厂界下风向无组织颗粒物最大值为0.0193</w:t>
            </w:r>
            <w:r>
              <w:rPr>
                <w:rFonts w:hint="eastAsia" w:ascii="Times New Roman" w:hAnsi="Times New Roman" w:eastAsia="宋体" w:cs="Times New Roman"/>
                <w:color w:val="auto"/>
                <w:kern w:val="0"/>
                <w:sz w:val="24"/>
                <w:szCs w:val="24"/>
                <w:highlight w:val="none"/>
                <w:lang w:val="en-US" w:eastAsia="zh-CN"/>
              </w:rPr>
              <w:t>mg/m</w:t>
            </w:r>
            <w:r>
              <w:rPr>
                <w:rFonts w:hint="eastAsia" w:ascii="Times New Roman" w:hAnsi="Times New Roman" w:eastAsia="宋体" w:cs="Times New Roman"/>
                <w:color w:val="auto"/>
                <w:kern w:val="0"/>
                <w:sz w:val="24"/>
                <w:szCs w:val="24"/>
                <w:highlight w:val="none"/>
                <w:vertAlign w:val="superscript"/>
                <w:lang w:val="en-US" w:eastAsia="zh-CN"/>
              </w:rPr>
              <w:t>3</w:t>
            </w:r>
            <w:r>
              <w:rPr>
                <w:rFonts w:hint="eastAsia" w:ascii="Times New Roman" w:hAnsi="Times New Roman" w:eastAsia="宋体" w:cs="Times New Roman"/>
                <w:color w:val="auto"/>
                <w:kern w:val="0"/>
                <w:sz w:val="24"/>
                <w:szCs w:val="24"/>
                <w:highlight w:val="none"/>
                <w:lang w:val="en-US" w:eastAsia="zh-CN"/>
              </w:rPr>
              <w:t>，满足</w:t>
            </w:r>
            <w:r>
              <w:rPr>
                <w:rFonts w:hint="default" w:ascii="Times New Roman" w:hAnsi="Times New Roman" w:cs="Times New Roman"/>
                <w:color w:val="auto"/>
                <w:sz w:val="24"/>
                <w:szCs w:val="24"/>
                <w:highlight w:val="none"/>
              </w:rPr>
              <w:t>《</w:t>
            </w:r>
            <w:r>
              <w:rPr>
                <w:rFonts w:hint="default" w:ascii="Times New Roman" w:hAnsi="Times New Roman" w:eastAsia="宋体" w:cs="Times New Roman"/>
                <w:color w:val="auto"/>
                <w:kern w:val="0"/>
                <w:sz w:val="24"/>
                <w:szCs w:val="24"/>
                <w:highlight w:val="none"/>
                <w:lang w:val="en-US" w:eastAsia="zh-CN"/>
              </w:rPr>
              <w:t>大气污染物综合排放标准》（GB16297-1996）无组织排放</w:t>
            </w:r>
            <w:r>
              <w:rPr>
                <w:rFonts w:hint="eastAsia" w:ascii="Times New Roman" w:hAnsi="Times New Roman" w:eastAsia="宋体" w:cs="Times New Roman"/>
                <w:color w:val="auto"/>
                <w:kern w:val="0"/>
                <w:sz w:val="24"/>
                <w:szCs w:val="24"/>
                <w:highlight w:val="none"/>
                <w:lang w:val="en-US" w:eastAsia="zh-CN"/>
              </w:rPr>
              <w:t>监控</w:t>
            </w:r>
            <w:r>
              <w:rPr>
                <w:rFonts w:hint="default" w:ascii="Times New Roman" w:hAnsi="Times New Roman" w:eastAsia="宋体" w:cs="Times New Roman"/>
                <w:color w:val="auto"/>
                <w:kern w:val="0"/>
                <w:sz w:val="24"/>
                <w:szCs w:val="24"/>
                <w:highlight w:val="none"/>
                <w:lang w:val="en-US" w:eastAsia="zh-CN"/>
              </w:rPr>
              <w:t>浓度限值要求。</w:t>
            </w:r>
          </w:p>
          <w:p w14:paraId="12F15F59">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3、噪声</w:t>
            </w:r>
          </w:p>
          <w:p w14:paraId="3D0A78C8">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根据企业现状评估报告内容可知：噪声昼间最大值为</w:t>
            </w:r>
            <w:r>
              <w:rPr>
                <w:rFonts w:hint="default" w:ascii="Times New Roman" w:hAnsi="Times New Roman" w:eastAsia="宋体" w:cs="Times New Roman"/>
                <w:color w:val="auto"/>
                <w:kern w:val="0"/>
                <w:sz w:val="24"/>
                <w:szCs w:val="24"/>
                <w:highlight w:val="none"/>
                <w:lang w:val="en-US" w:eastAsia="zh-CN"/>
              </w:rPr>
              <w:t>5</w:t>
            </w:r>
            <w:r>
              <w:rPr>
                <w:rFonts w:hint="eastAsia" w:ascii="Times New Roman" w:hAnsi="Times New Roman" w:eastAsia="宋体" w:cs="Times New Roman"/>
                <w:color w:val="auto"/>
                <w:kern w:val="0"/>
                <w:sz w:val="24"/>
                <w:szCs w:val="24"/>
                <w:highlight w:val="none"/>
                <w:lang w:val="en-US" w:eastAsia="zh-CN"/>
              </w:rPr>
              <w:t>6.3</w:t>
            </w:r>
            <w:r>
              <w:rPr>
                <w:rFonts w:hint="default" w:ascii="Times New Roman" w:hAnsi="Times New Roman" w:eastAsia="宋体" w:cs="Times New Roman"/>
                <w:color w:val="auto"/>
                <w:kern w:val="0"/>
                <w:sz w:val="24"/>
                <w:szCs w:val="24"/>
                <w:highlight w:val="none"/>
                <w:lang w:val="en-US" w:eastAsia="zh-CN"/>
              </w:rPr>
              <w:t>dB</w:t>
            </w:r>
            <w:r>
              <w:rPr>
                <w:rFonts w:hint="eastAsia" w:ascii="Times New Roman" w:hAnsi="Times New Roman" w:eastAsia="宋体" w:cs="Times New Roman"/>
                <w:color w:val="auto"/>
                <w:kern w:val="0"/>
                <w:sz w:val="24"/>
                <w:szCs w:val="24"/>
                <w:highlight w:val="none"/>
                <w:lang w:val="en-US" w:eastAsia="zh-CN"/>
              </w:rPr>
              <w:t>（A），厂界噪声可满足《工业企业厂界环境噪声排放标准》（GB12348-2008）中2类标准。</w:t>
            </w:r>
          </w:p>
          <w:p w14:paraId="6AADA7CE">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4、固体废物</w:t>
            </w:r>
          </w:p>
          <w:p w14:paraId="0BD3458A">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生活垃圾产生量为</w:t>
            </w:r>
            <w:r>
              <w:rPr>
                <w:rFonts w:hint="eastAsia" w:cs="Times New Roman"/>
                <w:color w:val="auto"/>
                <w:kern w:val="0"/>
                <w:sz w:val="24"/>
                <w:szCs w:val="24"/>
                <w:highlight w:val="none"/>
                <w:lang w:val="en-US" w:eastAsia="zh-CN"/>
              </w:rPr>
              <w:t>1</w:t>
            </w:r>
            <w:r>
              <w:rPr>
                <w:rFonts w:hint="eastAsia" w:ascii="Times New Roman" w:hAnsi="Times New Roman" w:eastAsia="宋体" w:cs="Times New Roman"/>
                <w:color w:val="auto"/>
                <w:kern w:val="0"/>
                <w:sz w:val="24"/>
                <w:szCs w:val="24"/>
                <w:highlight w:val="none"/>
                <w:lang w:val="en-US" w:eastAsia="zh-CN"/>
              </w:rPr>
              <w:t>t/a，</w:t>
            </w:r>
            <w:r>
              <w:rPr>
                <w:rFonts w:hint="eastAsia" w:cs="Times New Roman"/>
                <w:color w:val="auto"/>
                <w:kern w:val="0"/>
                <w:sz w:val="24"/>
                <w:szCs w:val="24"/>
                <w:highlight w:val="none"/>
                <w:lang w:val="en-US" w:eastAsia="zh-CN"/>
              </w:rPr>
              <w:t>集中收集</w:t>
            </w:r>
            <w:r>
              <w:rPr>
                <w:rFonts w:hint="eastAsia" w:ascii="Times New Roman" w:hAnsi="Times New Roman" w:eastAsia="宋体" w:cs="Times New Roman"/>
                <w:color w:val="auto"/>
                <w:kern w:val="0"/>
                <w:sz w:val="24"/>
                <w:szCs w:val="24"/>
                <w:highlight w:val="none"/>
                <w:lang w:val="en-US" w:eastAsia="zh-CN"/>
              </w:rPr>
              <w:t>由</w:t>
            </w:r>
            <w:r>
              <w:rPr>
                <w:rFonts w:hint="eastAsia" w:cs="Times New Roman"/>
                <w:color w:val="auto"/>
                <w:kern w:val="0"/>
                <w:sz w:val="24"/>
                <w:szCs w:val="24"/>
                <w:highlight w:val="none"/>
                <w:lang w:val="en-US" w:eastAsia="zh-CN"/>
              </w:rPr>
              <w:t>环卫</w:t>
            </w:r>
            <w:r>
              <w:rPr>
                <w:rFonts w:hint="eastAsia" w:ascii="Times New Roman" w:hAnsi="Times New Roman" w:eastAsia="宋体" w:cs="Times New Roman"/>
                <w:color w:val="auto"/>
                <w:kern w:val="0"/>
                <w:sz w:val="24"/>
                <w:szCs w:val="24"/>
                <w:highlight w:val="none"/>
                <w:lang w:val="en-US" w:eastAsia="zh-CN"/>
              </w:rPr>
              <w:t>部门统一</w:t>
            </w:r>
            <w:r>
              <w:rPr>
                <w:rFonts w:hint="eastAsia" w:cs="Times New Roman"/>
                <w:color w:val="auto"/>
                <w:kern w:val="0"/>
                <w:sz w:val="24"/>
                <w:szCs w:val="24"/>
                <w:highlight w:val="none"/>
                <w:lang w:val="en-US" w:eastAsia="zh-CN"/>
              </w:rPr>
              <w:t>收集</w:t>
            </w:r>
            <w:r>
              <w:rPr>
                <w:rFonts w:hint="eastAsia" w:ascii="Times New Roman" w:hAnsi="Times New Roman" w:eastAsia="宋体" w:cs="Times New Roman"/>
                <w:color w:val="auto"/>
                <w:kern w:val="0"/>
                <w:sz w:val="24"/>
                <w:szCs w:val="24"/>
                <w:highlight w:val="none"/>
                <w:lang w:val="en-US" w:eastAsia="zh-CN"/>
              </w:rPr>
              <w:t>处理；锅炉炉渣产生量为</w:t>
            </w:r>
            <w:r>
              <w:rPr>
                <w:rFonts w:hint="eastAsia" w:cs="Times New Roman"/>
                <w:color w:val="auto"/>
                <w:kern w:val="0"/>
                <w:sz w:val="24"/>
                <w:szCs w:val="24"/>
                <w:highlight w:val="none"/>
                <w:lang w:val="en-US" w:eastAsia="zh-CN"/>
              </w:rPr>
              <w:t>150</w:t>
            </w:r>
            <w:r>
              <w:rPr>
                <w:rFonts w:hint="eastAsia" w:ascii="Times New Roman" w:hAnsi="Times New Roman" w:eastAsia="宋体" w:cs="Times New Roman"/>
                <w:color w:val="auto"/>
                <w:kern w:val="0"/>
                <w:sz w:val="24"/>
                <w:szCs w:val="24"/>
                <w:highlight w:val="none"/>
                <w:lang w:val="en-US" w:eastAsia="zh-CN"/>
              </w:rPr>
              <w:t>t/a</w:t>
            </w:r>
            <w:r>
              <w:rPr>
                <w:rFonts w:hint="eastAsia" w:cs="Times New Roman"/>
                <w:color w:val="auto"/>
                <w:kern w:val="0"/>
                <w:sz w:val="24"/>
                <w:szCs w:val="24"/>
                <w:highlight w:val="none"/>
                <w:lang w:val="en-US" w:eastAsia="zh-CN"/>
              </w:rPr>
              <w:t>，综合利用</w:t>
            </w:r>
            <w:r>
              <w:rPr>
                <w:rFonts w:hint="eastAsia" w:ascii="Times New Roman" w:hAnsi="Times New Roman" w:eastAsia="宋体" w:cs="Times New Roman"/>
                <w:color w:val="auto"/>
                <w:kern w:val="0"/>
                <w:sz w:val="24"/>
                <w:szCs w:val="24"/>
                <w:highlight w:val="none"/>
                <w:lang w:val="en-US" w:eastAsia="zh-CN"/>
              </w:rPr>
              <w:t>；粉尘量为</w:t>
            </w:r>
            <w:r>
              <w:rPr>
                <w:rFonts w:hint="eastAsia" w:cs="Times New Roman"/>
                <w:color w:val="auto"/>
                <w:kern w:val="0"/>
                <w:sz w:val="24"/>
                <w:szCs w:val="24"/>
                <w:highlight w:val="none"/>
                <w:lang w:val="en-US" w:eastAsia="zh-CN"/>
              </w:rPr>
              <w:t>2</w:t>
            </w:r>
            <w:r>
              <w:rPr>
                <w:rFonts w:hint="eastAsia" w:ascii="Times New Roman" w:hAnsi="Times New Roman" w:eastAsia="宋体" w:cs="Times New Roman"/>
                <w:color w:val="auto"/>
                <w:kern w:val="0"/>
                <w:sz w:val="24"/>
                <w:szCs w:val="24"/>
                <w:highlight w:val="none"/>
                <w:lang w:val="en-US" w:eastAsia="zh-CN"/>
              </w:rPr>
              <w:t>t/a</w:t>
            </w:r>
            <w:r>
              <w:rPr>
                <w:rFonts w:hint="eastAsia" w:cs="Times New Roman"/>
                <w:color w:val="auto"/>
                <w:kern w:val="0"/>
                <w:sz w:val="24"/>
                <w:szCs w:val="24"/>
                <w:highlight w:val="none"/>
                <w:lang w:val="en-US" w:eastAsia="zh-CN"/>
              </w:rPr>
              <w:t>和粮食杂质500</w:t>
            </w:r>
            <w:r>
              <w:rPr>
                <w:rFonts w:hint="eastAsia" w:ascii="Times New Roman" w:hAnsi="Times New Roman" w:eastAsia="宋体" w:cs="Times New Roman"/>
                <w:color w:val="auto"/>
                <w:kern w:val="0"/>
                <w:sz w:val="24"/>
                <w:szCs w:val="24"/>
                <w:highlight w:val="none"/>
                <w:lang w:val="en-US" w:eastAsia="zh-CN"/>
              </w:rPr>
              <w:t>t/a，全部外售。</w:t>
            </w:r>
          </w:p>
          <w:p w14:paraId="3502ACA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三</w:t>
            </w:r>
            <w:r>
              <w:rPr>
                <w:rFonts w:hint="eastAsia" w:ascii="Times New Roman" w:hAnsi="Times New Roman" w:eastAsia="宋体"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rPr>
              <w:t>现有工程及在建项目问题及整改措施</w:t>
            </w:r>
          </w:p>
          <w:p w14:paraId="0D3758DB">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1、环保问题</w:t>
            </w:r>
          </w:p>
          <w:p w14:paraId="55BDCB7C">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（1）</w:t>
            </w:r>
            <w:r>
              <w:rPr>
                <w:rFonts w:hint="eastAsia" w:ascii="Times New Roman" w:hAnsi="Times New Roman" w:eastAsia="宋体" w:cs="Times New Roman"/>
                <w:color w:val="auto"/>
                <w:kern w:val="0"/>
                <w:sz w:val="24"/>
                <w:szCs w:val="24"/>
                <w:highlight w:val="none"/>
                <w:lang w:val="en-US" w:eastAsia="zh-CN"/>
              </w:rPr>
              <w:t>根据《产业结构调整指导目录（2024年本）》第三类“淘汰类”中第64条 每小时10蒸吨及以下燃煤锅炉及第66条 每小时2蒸吨及以下生物质锅炉属于淘汰类，因此3t/h燃煤热风炉</w:t>
            </w:r>
            <w:r>
              <w:rPr>
                <w:rFonts w:hint="default" w:ascii="Times New Roman" w:hAnsi="Times New Roman" w:eastAsia="宋体" w:cs="Times New Roman"/>
                <w:color w:val="auto"/>
                <w:kern w:val="0"/>
                <w:sz w:val="24"/>
                <w:szCs w:val="24"/>
                <w:highlight w:val="none"/>
                <w:lang w:val="en-US" w:eastAsia="zh-CN"/>
              </w:rPr>
              <w:t>不符合产业政策要求，</w:t>
            </w:r>
            <w:r>
              <w:rPr>
                <w:rFonts w:hint="eastAsia" w:cs="Times New Roman"/>
                <w:color w:val="auto"/>
                <w:kern w:val="0"/>
                <w:sz w:val="24"/>
                <w:szCs w:val="24"/>
                <w:highlight w:val="none"/>
                <w:lang w:val="en-US" w:eastAsia="zh-CN"/>
              </w:rPr>
              <w:t>本项目拆除原有</w:t>
            </w:r>
            <w:r>
              <w:rPr>
                <w:rFonts w:hint="eastAsia" w:ascii="Times New Roman" w:hAnsi="Times New Roman" w:eastAsia="宋体" w:cs="Times New Roman"/>
                <w:color w:val="auto"/>
                <w:kern w:val="0"/>
                <w:sz w:val="24"/>
                <w:szCs w:val="24"/>
                <w:highlight w:val="none"/>
                <w:lang w:val="en-US" w:eastAsia="zh-CN"/>
              </w:rPr>
              <w:t>3t/h燃煤热风炉，新建一台</w:t>
            </w:r>
            <w:r>
              <w:rPr>
                <w:rFonts w:hint="default" w:ascii="Times New Roman" w:hAnsi="Times New Roman" w:eastAsia="宋体" w:cs="Times New Roman"/>
                <w:color w:val="auto"/>
                <w:kern w:val="0"/>
                <w:sz w:val="24"/>
                <w:szCs w:val="24"/>
                <w:highlight w:val="none"/>
                <w:lang w:val="en-US" w:eastAsia="zh-CN"/>
              </w:rPr>
              <w:t>1</w:t>
            </w:r>
            <w:r>
              <w:rPr>
                <w:rFonts w:hint="eastAsia" w:ascii="Times New Roman" w:hAnsi="Times New Roman" w:eastAsia="宋体" w:cs="Times New Roman"/>
                <w:color w:val="auto"/>
                <w:kern w:val="0"/>
                <w:sz w:val="24"/>
                <w:szCs w:val="24"/>
                <w:highlight w:val="none"/>
                <w:lang w:val="en-US" w:eastAsia="zh-CN"/>
              </w:rPr>
              <w:t>0</w:t>
            </w:r>
            <w:r>
              <w:rPr>
                <w:rFonts w:hint="default" w:ascii="Times New Roman" w:hAnsi="Times New Roman" w:eastAsia="宋体" w:cs="Times New Roman"/>
                <w:color w:val="auto"/>
                <w:kern w:val="0"/>
                <w:sz w:val="24"/>
                <w:szCs w:val="24"/>
                <w:highlight w:val="none"/>
                <w:lang w:val="en-US" w:eastAsia="zh-CN"/>
              </w:rPr>
              <w:t>t/h</w:t>
            </w:r>
            <w:r>
              <w:rPr>
                <w:rFonts w:hint="eastAsia" w:ascii="Times New Roman" w:hAnsi="Times New Roman" w:eastAsia="宋体" w:cs="Times New Roman"/>
                <w:color w:val="auto"/>
                <w:kern w:val="0"/>
                <w:sz w:val="24"/>
                <w:szCs w:val="24"/>
                <w:highlight w:val="none"/>
                <w:lang w:val="en-US" w:eastAsia="zh-CN"/>
              </w:rPr>
              <w:t>生物质热风炉</w:t>
            </w:r>
            <w:r>
              <w:rPr>
                <w:rFonts w:hint="default" w:ascii="Times New Roman" w:hAnsi="Times New Roman" w:eastAsia="宋体" w:cs="Times New Roman"/>
                <w:color w:val="auto"/>
                <w:kern w:val="0"/>
                <w:sz w:val="24"/>
                <w:szCs w:val="24"/>
                <w:highlight w:val="none"/>
                <w:lang w:val="en-US" w:eastAsia="zh-CN"/>
              </w:rPr>
              <w:t>配套布袋除尘器。</w:t>
            </w:r>
          </w:p>
          <w:p w14:paraId="3CEE9C2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（2）</w:t>
            </w:r>
            <w:r>
              <w:rPr>
                <w:rFonts w:hint="eastAsia" w:ascii="宋体" w:hAnsi="宋体" w:eastAsia="宋体" w:cs="宋体"/>
                <w:color w:val="auto"/>
                <w:kern w:val="0"/>
                <w:sz w:val="24"/>
                <w:szCs w:val="24"/>
                <w:highlight w:val="none"/>
                <w:lang w:val="en-US" w:eastAsia="zh-CN" w:bidi="ar-SA"/>
              </w:rPr>
              <w:t>企业尚未申请排污许可证。</w:t>
            </w:r>
            <w:r>
              <w:rPr>
                <w:rFonts w:hint="eastAsia" w:cs="Times New Roman"/>
                <w:color w:val="auto"/>
                <w:kern w:val="0"/>
                <w:sz w:val="24"/>
                <w:szCs w:val="24"/>
                <w:highlight w:val="none"/>
                <w:lang w:val="en-US" w:eastAsia="zh-CN"/>
              </w:rPr>
              <w:t>根据《固定污染源排污许可分类管理名录（2019年版）》申请排污许可证简化管理。</w:t>
            </w:r>
          </w:p>
          <w:p w14:paraId="752DEA64">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2、</w:t>
            </w:r>
            <w:r>
              <w:rPr>
                <w:rFonts w:hint="default" w:ascii="Times New Roman" w:hAnsi="Times New Roman" w:eastAsia="宋体" w:cs="Times New Roman"/>
                <w:color w:val="auto"/>
                <w:kern w:val="0"/>
                <w:sz w:val="24"/>
                <w:szCs w:val="24"/>
                <w:highlight w:val="none"/>
                <w:lang w:val="en-US" w:eastAsia="zh-CN"/>
              </w:rPr>
              <w:t>整改措施</w:t>
            </w:r>
          </w:p>
          <w:p w14:paraId="1FA9EAF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本项目通过办理环境影响评价手续，建成后尽快办理排污许可证及环保验收文件，完善项目环保手续相关情况。</w:t>
            </w:r>
            <w:r>
              <w:rPr>
                <w:rFonts w:hint="eastAsia" w:ascii="Times New Roman" w:hAnsi="Times New Roman" w:eastAsia="宋体" w:cs="宋体"/>
                <w:color w:val="auto"/>
                <w:kern w:val="0"/>
                <w:sz w:val="24"/>
                <w:szCs w:val="20"/>
                <w:lang w:val="en-US" w:eastAsia="zh-CN" w:bidi="ar"/>
              </w:rPr>
              <w:t>依法取得排污许可证后方可开工生产。</w:t>
            </w:r>
          </w:p>
        </w:tc>
      </w:tr>
    </w:tbl>
    <w:p w14:paraId="352280EF">
      <w:pPr>
        <w:pStyle w:val="34"/>
        <w:spacing w:before="0" w:beforeAutospacing="0" w:after="158" w:afterLines="50" w:afterAutospacing="0"/>
        <w:jc w:val="center"/>
        <w:outlineLvl w:val="9"/>
        <w:rPr>
          <w:rFonts w:hint="default" w:ascii="Times New Roman" w:hAnsi="Times New Roman" w:eastAsia="仿宋_GB2312" w:cs="Times New Roman"/>
          <w:b/>
          <w:bCs/>
          <w:color w:val="FF0000"/>
          <w:highlight w:val="none"/>
        </w:rPr>
        <w:sectPr>
          <w:pgSz w:w="11849" w:h="16781"/>
          <w:pgMar w:top="1701" w:right="1531" w:bottom="1701" w:left="1531" w:header="851" w:footer="1077" w:gutter="0"/>
          <w:pgBorders>
            <w:top w:val="none" w:sz="0" w:space="0"/>
            <w:left w:val="none" w:sz="0" w:space="0"/>
            <w:bottom w:val="none" w:sz="0" w:space="0"/>
            <w:right w:val="none" w:sz="0" w:space="0"/>
          </w:pgBorders>
          <w:pgNumType w:fmt="decimal"/>
          <w:cols w:space="0" w:num="1"/>
          <w:docGrid w:type="lines" w:linePitch="316" w:charSpace="0"/>
        </w:sectPr>
      </w:pPr>
    </w:p>
    <w:p w14:paraId="713279DA">
      <w:pPr>
        <w:pStyle w:val="34"/>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bookmarkStart w:id="42" w:name="_Toc8874"/>
      <w:bookmarkStart w:id="43" w:name="_Toc7093"/>
      <w:bookmarkStart w:id="44" w:name="_Toc4054"/>
      <w:bookmarkStart w:id="45" w:name="_Toc8233"/>
      <w:bookmarkStart w:id="46" w:name="_Toc11534"/>
      <w:bookmarkStart w:id="47" w:name="_Toc20003"/>
      <w:r>
        <w:rPr>
          <w:rFonts w:hint="default" w:ascii="Times New Roman" w:hAnsi="Times New Roman" w:eastAsia="黑体" w:cs="Times New Roman"/>
          <w:snapToGrid w:val="0"/>
          <w:color w:val="auto"/>
          <w:kern w:val="21"/>
          <w:sz w:val="30"/>
          <w:szCs w:val="30"/>
          <w:highlight w:val="none"/>
        </w:rPr>
        <w:t>三、区域环境质量现状、环境保护目标及评价标准</w:t>
      </w:r>
      <w:bookmarkEnd w:id="42"/>
      <w:bookmarkEnd w:id="43"/>
      <w:bookmarkEnd w:id="44"/>
      <w:bookmarkEnd w:id="45"/>
      <w:bookmarkEnd w:id="46"/>
      <w:bookmarkEnd w:id="47"/>
    </w:p>
    <w:tbl>
      <w:tblPr>
        <w:tblStyle w:val="38"/>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0"/>
        <w:gridCol w:w="8251"/>
      </w:tblGrid>
      <w:tr w14:paraId="2E6EDC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452" w:type="pct"/>
            <w:vAlign w:val="center"/>
          </w:tcPr>
          <w:p w14:paraId="0730886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FF0000"/>
                <w:kern w:val="0"/>
                <w:sz w:val="24"/>
                <w:szCs w:val="24"/>
                <w:highlight w:val="none"/>
              </w:rPr>
            </w:pPr>
            <w:r>
              <w:rPr>
                <w:rFonts w:hint="default" w:ascii="Times New Roman" w:hAnsi="Times New Roman" w:cs="Times New Roman"/>
                <w:color w:val="auto"/>
                <w:kern w:val="0"/>
                <w:sz w:val="24"/>
                <w:szCs w:val="24"/>
                <w:highlight w:val="none"/>
              </w:rPr>
              <w:t>区域环境质量现状</w:t>
            </w:r>
          </w:p>
        </w:tc>
        <w:tc>
          <w:tcPr>
            <w:tcW w:w="4547" w:type="pct"/>
            <w:vAlign w:val="center"/>
          </w:tcPr>
          <w:p w14:paraId="4FA1A66E">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b/>
                <w:bCs/>
                <w:color w:val="auto"/>
                <w:sz w:val="24"/>
                <w:szCs w:val="24"/>
                <w:highlight w:val="none"/>
              </w:rPr>
            </w:pPr>
            <w:r>
              <w:rPr>
                <w:rFonts w:hint="default"/>
                <w:b/>
                <w:bCs/>
                <w:color w:val="auto"/>
                <w:sz w:val="24"/>
                <w:szCs w:val="24"/>
                <w:highlight w:val="none"/>
              </w:rPr>
              <w:t>大气环境</w:t>
            </w:r>
          </w:p>
          <w:p w14:paraId="138573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1</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基本污染物</w:t>
            </w:r>
          </w:p>
          <w:p w14:paraId="59284D40">
            <w:pPr>
              <w:pStyle w:val="76"/>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根据黑龙江省生态环境厅《202</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年黑龙江省生态环境质量状况》，202</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年，全省各项污染物平均浓度均达二级标准，13个城市中仅哈尔滨市</w:t>
            </w:r>
            <w:r>
              <w:rPr>
                <w:rFonts w:hint="default" w:ascii="Times New Roman" w:hAnsi="Times New Roman" w:eastAsia="宋体" w:cs="Times New Roman"/>
                <w:color w:val="auto"/>
                <w:sz w:val="24"/>
                <w:szCs w:val="24"/>
                <w:highlight w:val="none"/>
                <w:lang w:val="en-US" w:eastAsia="zh-CN"/>
              </w:rPr>
              <w:t>和绥化市2</w:t>
            </w:r>
            <w:r>
              <w:rPr>
                <w:rFonts w:hint="default" w:ascii="Times New Roman" w:hAnsi="Times New Roman" w:eastAsia="宋体" w:cs="Times New Roman"/>
                <w:color w:val="auto"/>
                <w:sz w:val="24"/>
                <w:szCs w:val="24"/>
                <w:highlight w:val="none"/>
              </w:rPr>
              <w:t>个城市未达标，超标污染物为PM</w:t>
            </w:r>
            <w:r>
              <w:rPr>
                <w:rFonts w:hint="default" w:ascii="Times New Roman" w:hAnsi="Times New Roman" w:eastAsia="宋体" w:cs="Times New Roman"/>
                <w:color w:val="auto"/>
                <w:sz w:val="24"/>
                <w:szCs w:val="24"/>
                <w:highlight w:val="none"/>
                <w:vertAlign w:val="subscript"/>
              </w:rPr>
              <w:t>2.5</w:t>
            </w:r>
            <w:r>
              <w:rPr>
                <w:rFonts w:hint="default" w:ascii="Times New Roman" w:hAnsi="Times New Roman" w:eastAsia="宋体" w:cs="Times New Roman"/>
                <w:color w:val="auto"/>
                <w:sz w:val="24"/>
                <w:szCs w:val="24"/>
                <w:highlight w:val="none"/>
              </w:rPr>
              <w:t>。鸡西市空气质量级别达二级标准，达标天数为</w:t>
            </w:r>
            <w:r>
              <w:rPr>
                <w:rFonts w:hint="default" w:ascii="Times New Roman" w:hAnsi="Times New Roman" w:eastAsia="宋体" w:cs="Times New Roman"/>
                <w:color w:val="auto"/>
                <w:sz w:val="24"/>
                <w:szCs w:val="24"/>
                <w:highlight w:val="none"/>
                <w:lang w:val="en-US" w:eastAsia="zh-CN"/>
              </w:rPr>
              <w:t>348</w:t>
            </w:r>
            <w:r>
              <w:rPr>
                <w:rFonts w:hint="default" w:ascii="Times New Roman" w:hAnsi="Times New Roman" w:eastAsia="宋体" w:cs="Times New Roman"/>
                <w:color w:val="auto"/>
                <w:sz w:val="24"/>
                <w:szCs w:val="24"/>
                <w:highlight w:val="none"/>
              </w:rPr>
              <w:t>天（</w:t>
            </w:r>
            <w:r>
              <w:rPr>
                <w:rFonts w:hint="default" w:ascii="Times New Roman" w:hAnsi="Times New Roman" w:eastAsia="宋体" w:cs="Times New Roman"/>
                <w:color w:val="auto"/>
                <w:sz w:val="24"/>
                <w:szCs w:val="24"/>
                <w:highlight w:val="none"/>
                <w:lang w:val="en-US" w:eastAsia="zh-CN"/>
              </w:rPr>
              <w:t>95.1</w:t>
            </w:r>
            <w:r>
              <w:rPr>
                <w:rFonts w:hint="default" w:ascii="Times New Roman" w:hAnsi="Times New Roman" w:eastAsia="宋体" w:cs="Times New Roman"/>
                <w:color w:val="auto"/>
                <w:sz w:val="24"/>
                <w:szCs w:val="24"/>
                <w:highlight w:val="none"/>
              </w:rPr>
              <w:t>%）。PM</w:t>
            </w:r>
            <w:r>
              <w:rPr>
                <w:rFonts w:hint="default" w:ascii="Times New Roman" w:hAnsi="Times New Roman" w:eastAsia="宋体" w:cs="Times New Roman"/>
                <w:color w:val="auto"/>
                <w:sz w:val="24"/>
                <w:szCs w:val="24"/>
                <w:highlight w:val="none"/>
                <w:vertAlign w:val="subscript"/>
              </w:rPr>
              <w:t>2.5</w:t>
            </w:r>
            <w:r>
              <w:rPr>
                <w:rFonts w:hint="default" w:ascii="Times New Roman" w:hAnsi="Times New Roman" w:eastAsia="宋体" w:cs="Times New Roman"/>
                <w:color w:val="auto"/>
                <w:sz w:val="24"/>
                <w:szCs w:val="24"/>
                <w:highlight w:val="none"/>
              </w:rPr>
              <w:t>、PM</w:t>
            </w:r>
            <w:r>
              <w:rPr>
                <w:rFonts w:hint="default" w:ascii="Times New Roman" w:hAnsi="Times New Roman" w:eastAsia="宋体" w:cs="Times New Roman"/>
                <w:color w:val="auto"/>
                <w:sz w:val="24"/>
                <w:szCs w:val="24"/>
                <w:highlight w:val="none"/>
                <w:vertAlign w:val="subscript"/>
              </w:rPr>
              <w:t>10</w:t>
            </w:r>
            <w:r>
              <w:rPr>
                <w:rFonts w:hint="default" w:ascii="Times New Roman" w:hAnsi="Times New Roman" w:eastAsia="宋体" w:cs="Times New Roman"/>
                <w:color w:val="auto"/>
                <w:sz w:val="24"/>
                <w:szCs w:val="24"/>
                <w:highlight w:val="none"/>
              </w:rPr>
              <w:t>、SO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、NO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、CO-95per和O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-8h-90per年均浓度分别为</w:t>
            </w:r>
            <w:r>
              <w:rPr>
                <w:rFonts w:hint="default" w:ascii="Times New Roman" w:hAnsi="Times New Roman" w:eastAsia="宋体" w:cs="Times New Roman"/>
                <w:color w:val="auto"/>
                <w:sz w:val="24"/>
                <w:szCs w:val="24"/>
                <w:highlight w:val="none"/>
                <w:lang w:val="en-US" w:eastAsia="zh-CN"/>
              </w:rPr>
              <w:t>27</w:t>
            </w:r>
            <w:r>
              <w:rPr>
                <w:rFonts w:hint="default" w:ascii="Times New Roman" w:hAnsi="Times New Roman" w:eastAsia="宋体" w:cs="Times New Roman"/>
                <w:color w:val="auto"/>
                <w:sz w:val="24"/>
                <w:szCs w:val="24"/>
                <w:highlight w:val="none"/>
              </w:rPr>
              <w:t>μg/m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46</w:t>
            </w:r>
            <w:r>
              <w:rPr>
                <w:rFonts w:hint="default" w:ascii="Times New Roman" w:hAnsi="Times New Roman" w:eastAsia="宋体" w:cs="Times New Roman"/>
                <w:color w:val="auto"/>
                <w:sz w:val="24"/>
                <w:szCs w:val="24"/>
                <w:highlight w:val="none"/>
              </w:rPr>
              <w:t>μg/m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、8μg/m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17</w:t>
            </w:r>
            <w:r>
              <w:rPr>
                <w:rFonts w:hint="default" w:ascii="Times New Roman" w:hAnsi="Times New Roman" w:eastAsia="宋体" w:cs="Times New Roman"/>
                <w:color w:val="auto"/>
                <w:sz w:val="24"/>
                <w:szCs w:val="24"/>
                <w:highlight w:val="none"/>
              </w:rPr>
              <w:t>μg/m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、1.0mg/m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、9</w:t>
            </w:r>
            <w:r>
              <w:rPr>
                <w:rFonts w:hint="default"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μg/m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。因此本项目所在区域鸡西市属于城市环境空气质量达标区。</w:t>
            </w:r>
          </w:p>
          <w:p w14:paraId="07FC1255">
            <w:pPr>
              <w:pStyle w:val="11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z w:val="24"/>
                <w:szCs w:val="24"/>
                <w:highlight w:val="none"/>
              </w:rPr>
              <w:t>本项目所在区域空气质量达标情况判定结果见表3</w:t>
            </w:r>
            <w:r>
              <w:rPr>
                <w:rFonts w:hint="default" w:ascii="Times New Roman" w:hAnsi="Times New Roman" w:eastAsia="宋体" w:cs="Times New Roman"/>
                <w:color w:val="auto"/>
                <w:sz w:val="24"/>
                <w:szCs w:val="24"/>
                <w:highlight w:val="none"/>
                <w:lang w:val="en-US" w:eastAsia="zh-CN"/>
              </w:rPr>
              <w:t>-1。</w:t>
            </w:r>
          </w:p>
          <w:p w14:paraId="7E2F7C22">
            <w:pPr>
              <w:keepNext w:val="0"/>
              <w:keepLines w:val="0"/>
              <w:suppressLineNumbers w:val="0"/>
              <w:tabs>
                <w:tab w:val="center" w:pos="4153"/>
                <w:tab w:val="right" w:pos="8306"/>
              </w:tabs>
              <w:adjustRightInd w:val="0"/>
              <w:snapToGrid w:val="0"/>
              <w:spacing w:before="0" w:beforeAutospacing="0" w:after="0" w:afterAutospacing="0" w:line="240" w:lineRule="auto"/>
              <w:ind w:left="0" w:right="0" w:firstLine="0" w:firstLineChars="0"/>
              <w:jc w:val="center"/>
              <w:rPr>
                <w:rFonts w:hint="eastAsia" w:ascii="宋体" w:hAnsi="宋体" w:eastAsia="宋体" w:cs="宋体"/>
                <w:b/>
                <w:bCs/>
                <w:color w:val="auto"/>
                <w:spacing w:val="0"/>
                <w:kern w:val="0"/>
                <w:sz w:val="24"/>
                <w:szCs w:val="24"/>
                <w:highlight w:val="none"/>
                <w:lang w:eastAsia="zh-CN"/>
              </w:rPr>
            </w:pPr>
            <w:r>
              <w:rPr>
                <w:rFonts w:hint="default" w:ascii="Times New Roman" w:hAnsi="Times New Roman" w:eastAsia="宋体" w:cs="Times New Roman"/>
                <w:b/>
                <w:bCs/>
                <w:color w:val="auto"/>
                <w:spacing w:val="0"/>
                <w:kern w:val="0"/>
                <w:sz w:val="24"/>
                <w:szCs w:val="24"/>
                <w:highlight w:val="none"/>
              </w:rPr>
              <w:t>表</w:t>
            </w:r>
            <w:r>
              <w:rPr>
                <w:rFonts w:hint="default" w:ascii="Times New Roman" w:hAnsi="Times New Roman" w:eastAsia="宋体" w:cs="Times New Roman"/>
                <w:b/>
                <w:bCs/>
                <w:color w:val="auto"/>
                <w:spacing w:val="0"/>
                <w:kern w:val="0"/>
                <w:sz w:val="24"/>
                <w:szCs w:val="24"/>
                <w:highlight w:val="none"/>
                <w:lang w:val="en-US" w:eastAsia="zh-CN"/>
              </w:rPr>
              <w:t>3</w:t>
            </w:r>
            <w:r>
              <w:rPr>
                <w:rFonts w:hint="default" w:ascii="Times New Roman" w:hAnsi="Times New Roman" w:eastAsia="宋体" w:cs="Times New Roman"/>
                <w:b/>
                <w:bCs/>
                <w:color w:val="auto"/>
                <w:spacing w:val="0"/>
                <w:kern w:val="0"/>
                <w:sz w:val="24"/>
                <w:szCs w:val="24"/>
                <w:highlight w:val="none"/>
              </w:rPr>
              <w:t xml:space="preserve">-1 </w:t>
            </w:r>
            <w:r>
              <w:rPr>
                <w:rFonts w:hint="default" w:ascii="Times New Roman" w:hAnsi="Times New Roman" w:eastAsia="宋体" w:cs="Times New Roman"/>
                <w:b/>
                <w:bCs/>
                <w:color w:val="auto"/>
                <w:spacing w:val="0"/>
                <w:kern w:val="0"/>
                <w:sz w:val="24"/>
                <w:szCs w:val="24"/>
                <w:highlight w:val="none"/>
                <w:lang w:eastAsia="zh-CN"/>
              </w:rPr>
              <w:t>鸡</w:t>
            </w:r>
            <w:r>
              <w:rPr>
                <w:rFonts w:hint="eastAsia" w:ascii="宋体" w:hAnsi="宋体" w:eastAsia="宋体" w:cs="宋体"/>
                <w:b/>
                <w:bCs/>
                <w:color w:val="auto"/>
                <w:spacing w:val="0"/>
                <w:kern w:val="0"/>
                <w:sz w:val="24"/>
                <w:szCs w:val="24"/>
                <w:highlight w:val="none"/>
                <w:lang w:eastAsia="zh-CN"/>
              </w:rPr>
              <w:t>西市</w:t>
            </w:r>
            <w:r>
              <w:rPr>
                <w:rFonts w:hint="eastAsia" w:ascii="宋体" w:hAnsi="宋体" w:eastAsia="宋体" w:cs="宋体"/>
                <w:b/>
                <w:bCs/>
                <w:color w:val="auto"/>
                <w:spacing w:val="0"/>
                <w:kern w:val="0"/>
                <w:sz w:val="24"/>
                <w:szCs w:val="24"/>
                <w:highlight w:val="none"/>
              </w:rPr>
              <w:t>环境空气质量现状评价表</w:t>
            </w:r>
          </w:p>
          <w:tbl>
            <w:tblPr>
              <w:tblStyle w:val="38"/>
              <w:tblW w:w="80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07"/>
              <w:gridCol w:w="3202"/>
              <w:gridCol w:w="1193"/>
              <w:gridCol w:w="1193"/>
              <w:gridCol w:w="884"/>
              <w:gridCol w:w="841"/>
            </w:tblGrid>
            <w:tr w14:paraId="24A1A1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20" w:hRule="atLeast"/>
                <w:jc w:val="center"/>
              </w:trPr>
              <w:tc>
                <w:tcPr>
                  <w:tcW w:w="707" w:type="dxa"/>
                  <w:vMerge w:val="restart"/>
                  <w:tcBorders>
                    <w:tl2br w:val="nil"/>
                    <w:tr2bl w:val="nil"/>
                  </w:tcBorders>
                  <w:shd w:val="clear" w:color="auto" w:fill="auto"/>
                  <w:vAlign w:val="center"/>
                </w:tcPr>
                <w:p w14:paraId="4F4BED10">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bCs/>
                      <w:i w:val="0"/>
                      <w:iCs w:val="0"/>
                      <w:color w:val="auto"/>
                      <w:kern w:val="0"/>
                      <w:sz w:val="21"/>
                      <w:szCs w:val="21"/>
                      <w:highlight w:val="none"/>
                      <w:u w:val="none"/>
                      <w:lang w:val="en-US" w:eastAsia="zh-CN" w:bidi="ar"/>
                    </w:rPr>
                  </w:pPr>
                  <w:r>
                    <w:rPr>
                      <w:rFonts w:hint="eastAsia" w:ascii="宋体" w:hAnsi="宋体" w:eastAsia="宋体" w:cs="宋体"/>
                      <w:bCs/>
                      <w:i w:val="0"/>
                      <w:iCs w:val="0"/>
                      <w:color w:val="auto"/>
                      <w:kern w:val="0"/>
                      <w:sz w:val="21"/>
                      <w:szCs w:val="21"/>
                      <w:highlight w:val="none"/>
                      <w:u w:val="none"/>
                      <w:lang w:val="en-US" w:eastAsia="zh-CN" w:bidi="ar"/>
                    </w:rPr>
                    <w:t>污染</w:t>
                  </w:r>
                </w:p>
                <w:p w14:paraId="0DBB7706">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物</w:t>
                  </w:r>
                </w:p>
              </w:tc>
              <w:tc>
                <w:tcPr>
                  <w:tcW w:w="3202" w:type="dxa"/>
                  <w:vMerge w:val="restart"/>
                  <w:tcBorders>
                    <w:tl2br w:val="nil"/>
                    <w:tr2bl w:val="nil"/>
                  </w:tcBorders>
                  <w:shd w:val="clear" w:color="auto" w:fill="auto"/>
                  <w:vAlign w:val="center"/>
                </w:tcPr>
                <w:p w14:paraId="47D98332">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年度评价指标</w:t>
                  </w:r>
                </w:p>
              </w:tc>
              <w:tc>
                <w:tcPr>
                  <w:tcW w:w="1193" w:type="dxa"/>
                  <w:tcBorders>
                    <w:tl2br w:val="nil"/>
                    <w:tr2bl w:val="nil"/>
                  </w:tcBorders>
                  <w:shd w:val="clear" w:color="auto" w:fill="auto"/>
                  <w:vAlign w:val="center"/>
                </w:tcPr>
                <w:p w14:paraId="606AAFD3">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现状浓度</w:t>
                  </w:r>
                </w:p>
              </w:tc>
              <w:tc>
                <w:tcPr>
                  <w:tcW w:w="1193" w:type="dxa"/>
                  <w:tcBorders>
                    <w:tl2br w:val="nil"/>
                    <w:tr2bl w:val="nil"/>
                  </w:tcBorders>
                  <w:shd w:val="clear" w:color="auto" w:fill="auto"/>
                  <w:vAlign w:val="center"/>
                </w:tcPr>
                <w:p w14:paraId="2300D0EE">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标准值</w:t>
                  </w:r>
                </w:p>
              </w:tc>
              <w:tc>
                <w:tcPr>
                  <w:tcW w:w="884" w:type="dxa"/>
                  <w:tcBorders>
                    <w:tl2br w:val="nil"/>
                    <w:tr2bl w:val="nil"/>
                  </w:tcBorders>
                  <w:shd w:val="clear" w:color="auto" w:fill="auto"/>
                  <w:vAlign w:val="center"/>
                </w:tcPr>
                <w:p w14:paraId="60108F45">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占标</w:t>
                  </w:r>
                </w:p>
              </w:tc>
              <w:tc>
                <w:tcPr>
                  <w:tcW w:w="841" w:type="dxa"/>
                  <w:tcBorders>
                    <w:tl2br w:val="nil"/>
                    <w:tr2bl w:val="nil"/>
                  </w:tcBorders>
                  <w:shd w:val="clear" w:color="auto" w:fill="auto"/>
                  <w:vAlign w:val="center"/>
                </w:tcPr>
                <w:p w14:paraId="1EF2EC5D">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达标</w:t>
                  </w:r>
                </w:p>
              </w:tc>
            </w:tr>
            <w:tr w14:paraId="65CBF5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7" w:type="dxa"/>
                  <w:vMerge w:val="continue"/>
                  <w:tcBorders>
                    <w:tl2br w:val="nil"/>
                    <w:tr2bl w:val="nil"/>
                  </w:tcBorders>
                  <w:shd w:val="clear" w:color="auto" w:fill="auto"/>
                  <w:vAlign w:val="center"/>
                </w:tcPr>
                <w:p w14:paraId="587EAFDD">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p>
              </w:tc>
              <w:tc>
                <w:tcPr>
                  <w:tcW w:w="3202" w:type="dxa"/>
                  <w:vMerge w:val="continue"/>
                  <w:tcBorders>
                    <w:tl2br w:val="nil"/>
                    <w:tr2bl w:val="nil"/>
                  </w:tcBorders>
                  <w:shd w:val="clear" w:color="auto" w:fill="auto"/>
                  <w:vAlign w:val="center"/>
                </w:tcPr>
                <w:p w14:paraId="52CA9258">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ascii="宋体" w:hAnsi="宋体" w:eastAsia="宋体" w:cs="宋体"/>
                      <w:i w:val="0"/>
                      <w:iCs w:val="0"/>
                      <w:color w:val="auto"/>
                      <w:sz w:val="21"/>
                      <w:szCs w:val="21"/>
                      <w:highlight w:val="none"/>
                      <w:u w:val="none"/>
                    </w:rPr>
                  </w:pPr>
                </w:p>
              </w:tc>
              <w:tc>
                <w:tcPr>
                  <w:tcW w:w="1193" w:type="dxa"/>
                  <w:tcBorders>
                    <w:tl2br w:val="nil"/>
                    <w:tr2bl w:val="nil"/>
                  </w:tcBorders>
                  <w:shd w:val="clear" w:color="auto" w:fill="auto"/>
                  <w:vAlign w:val="center"/>
                </w:tcPr>
                <w:p w14:paraId="757B777C">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（μg/m</w:t>
                  </w:r>
                  <w:r>
                    <w:rPr>
                      <w:rFonts w:hint="default" w:ascii="Times New Roman" w:hAnsi="Times New Roman" w:eastAsia="宋体" w:cs="Times New Roman"/>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Cs/>
                      <w:i w:val="0"/>
                      <w:iCs w:val="0"/>
                      <w:color w:val="auto"/>
                      <w:kern w:val="0"/>
                      <w:sz w:val="21"/>
                      <w:szCs w:val="21"/>
                      <w:highlight w:val="none"/>
                      <w:u w:val="none"/>
                      <w:lang w:val="en-US" w:eastAsia="zh-CN" w:bidi="ar"/>
                    </w:rPr>
                    <w:t>）</w:t>
                  </w:r>
                </w:p>
              </w:tc>
              <w:tc>
                <w:tcPr>
                  <w:tcW w:w="1193" w:type="dxa"/>
                  <w:tcBorders>
                    <w:tl2br w:val="nil"/>
                    <w:tr2bl w:val="nil"/>
                  </w:tcBorders>
                  <w:shd w:val="clear" w:color="auto" w:fill="auto"/>
                  <w:vAlign w:val="center"/>
                </w:tcPr>
                <w:p w14:paraId="049ED785">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（μg/m</w:t>
                  </w:r>
                  <w:r>
                    <w:rPr>
                      <w:rFonts w:hint="default" w:ascii="Times New Roman" w:hAnsi="Times New Roman" w:eastAsia="宋体" w:cs="Times New Roman"/>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Cs/>
                      <w:i w:val="0"/>
                      <w:iCs w:val="0"/>
                      <w:color w:val="auto"/>
                      <w:kern w:val="0"/>
                      <w:sz w:val="21"/>
                      <w:szCs w:val="21"/>
                      <w:highlight w:val="none"/>
                      <w:u w:val="none"/>
                      <w:lang w:val="en-US" w:eastAsia="zh-CN" w:bidi="ar"/>
                    </w:rPr>
                    <w:t>）</w:t>
                  </w:r>
                </w:p>
              </w:tc>
              <w:tc>
                <w:tcPr>
                  <w:tcW w:w="884" w:type="dxa"/>
                  <w:tcBorders>
                    <w:tl2br w:val="nil"/>
                    <w:tr2bl w:val="nil"/>
                  </w:tcBorders>
                  <w:shd w:val="clear" w:color="auto" w:fill="auto"/>
                  <w:vAlign w:val="center"/>
                </w:tcPr>
                <w:p w14:paraId="05470AE1">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率（%）</w:t>
                  </w:r>
                </w:p>
              </w:tc>
              <w:tc>
                <w:tcPr>
                  <w:tcW w:w="841" w:type="dxa"/>
                  <w:tcBorders>
                    <w:tl2br w:val="nil"/>
                    <w:tr2bl w:val="nil"/>
                  </w:tcBorders>
                  <w:shd w:val="clear" w:color="auto" w:fill="auto"/>
                  <w:vAlign w:val="center"/>
                </w:tcPr>
                <w:p w14:paraId="327EF38A">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情况</w:t>
                  </w:r>
                </w:p>
              </w:tc>
            </w:tr>
            <w:tr w14:paraId="35D489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7" w:type="dxa"/>
                  <w:vMerge w:val="restart"/>
                  <w:tcBorders>
                    <w:tl2br w:val="nil"/>
                    <w:tr2bl w:val="nil"/>
                  </w:tcBorders>
                  <w:shd w:val="clear" w:color="auto" w:fill="auto"/>
                  <w:vAlign w:val="center"/>
                </w:tcPr>
                <w:p w14:paraId="703421A4">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PM</w:t>
                  </w:r>
                  <w:r>
                    <w:rPr>
                      <w:rFonts w:hint="default" w:ascii="Times New Roman" w:hAnsi="Times New Roman" w:eastAsia="宋体" w:cs="Times New Roman"/>
                      <w:bCs/>
                      <w:i w:val="0"/>
                      <w:iCs w:val="0"/>
                      <w:color w:val="auto"/>
                      <w:kern w:val="0"/>
                      <w:sz w:val="21"/>
                      <w:szCs w:val="21"/>
                      <w:highlight w:val="none"/>
                      <w:u w:val="none"/>
                      <w:vertAlign w:val="subscript"/>
                      <w:lang w:val="en-US" w:eastAsia="zh-CN" w:bidi="ar"/>
                    </w:rPr>
                    <w:t>2.5</w:t>
                  </w:r>
                </w:p>
              </w:tc>
              <w:tc>
                <w:tcPr>
                  <w:tcW w:w="3202" w:type="dxa"/>
                  <w:tcBorders>
                    <w:tl2br w:val="nil"/>
                    <w:tr2bl w:val="nil"/>
                  </w:tcBorders>
                  <w:shd w:val="clear" w:color="auto" w:fill="auto"/>
                  <w:vAlign w:val="center"/>
                </w:tcPr>
                <w:p w14:paraId="36DBB4BC">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年平均质量浓度</w:t>
                  </w:r>
                </w:p>
              </w:tc>
              <w:tc>
                <w:tcPr>
                  <w:tcW w:w="1193" w:type="dxa"/>
                  <w:tcBorders>
                    <w:tl2br w:val="nil"/>
                    <w:tr2bl w:val="nil"/>
                  </w:tcBorders>
                  <w:shd w:val="clear" w:color="auto" w:fill="auto"/>
                  <w:vAlign w:val="center"/>
                </w:tcPr>
                <w:p w14:paraId="754AFB79">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bCs/>
                      <w:i w:val="0"/>
                      <w:iCs w:val="0"/>
                      <w:color w:val="auto"/>
                      <w:kern w:val="0"/>
                      <w:sz w:val="21"/>
                      <w:szCs w:val="21"/>
                      <w:highlight w:val="none"/>
                      <w:u w:val="none"/>
                      <w:lang w:val="en-US" w:eastAsia="zh-CN" w:bidi="ar"/>
                    </w:rPr>
                    <w:t>27</w:t>
                  </w:r>
                </w:p>
              </w:tc>
              <w:tc>
                <w:tcPr>
                  <w:tcW w:w="1193" w:type="dxa"/>
                  <w:tcBorders>
                    <w:tl2br w:val="nil"/>
                    <w:tr2bl w:val="nil"/>
                  </w:tcBorders>
                  <w:shd w:val="clear" w:color="auto" w:fill="auto"/>
                  <w:vAlign w:val="center"/>
                </w:tcPr>
                <w:p w14:paraId="1906C25B">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35</w:t>
                  </w:r>
                </w:p>
              </w:tc>
              <w:tc>
                <w:tcPr>
                  <w:tcW w:w="884" w:type="dxa"/>
                  <w:tcBorders>
                    <w:tl2br w:val="nil"/>
                    <w:tr2bl w:val="nil"/>
                  </w:tcBorders>
                  <w:shd w:val="clear" w:color="auto" w:fill="auto"/>
                  <w:vAlign w:val="center"/>
                </w:tcPr>
                <w:p w14:paraId="236AF047">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bCs/>
                      <w:i w:val="0"/>
                      <w:iCs w:val="0"/>
                      <w:color w:val="auto"/>
                      <w:kern w:val="0"/>
                      <w:sz w:val="21"/>
                      <w:szCs w:val="21"/>
                      <w:highlight w:val="none"/>
                      <w:u w:val="none"/>
                      <w:lang w:val="en-US" w:eastAsia="zh-CN" w:bidi="ar"/>
                    </w:rPr>
                    <w:t>77.14</w:t>
                  </w:r>
                </w:p>
              </w:tc>
              <w:tc>
                <w:tcPr>
                  <w:tcW w:w="841" w:type="dxa"/>
                  <w:tcBorders>
                    <w:tl2br w:val="nil"/>
                    <w:tr2bl w:val="nil"/>
                  </w:tcBorders>
                  <w:shd w:val="clear" w:color="auto" w:fill="auto"/>
                  <w:vAlign w:val="center"/>
                </w:tcPr>
                <w:p w14:paraId="635666FE">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达标</w:t>
                  </w:r>
                </w:p>
              </w:tc>
            </w:tr>
            <w:tr w14:paraId="4BE037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7" w:type="dxa"/>
                  <w:vMerge w:val="continue"/>
                  <w:tcBorders>
                    <w:tl2br w:val="nil"/>
                    <w:tr2bl w:val="nil"/>
                  </w:tcBorders>
                  <w:shd w:val="clear" w:color="auto" w:fill="auto"/>
                  <w:vAlign w:val="center"/>
                </w:tcPr>
                <w:p w14:paraId="5846F661">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auto"/>
                      <w:sz w:val="21"/>
                      <w:szCs w:val="21"/>
                      <w:highlight w:val="none"/>
                      <w:u w:val="none"/>
                    </w:rPr>
                  </w:pPr>
                </w:p>
              </w:tc>
              <w:tc>
                <w:tcPr>
                  <w:tcW w:w="3202" w:type="dxa"/>
                  <w:tcBorders>
                    <w:tl2br w:val="nil"/>
                    <w:tr2bl w:val="nil"/>
                  </w:tcBorders>
                  <w:shd w:val="clear" w:color="auto" w:fill="auto"/>
                  <w:vAlign w:val="center"/>
                </w:tcPr>
                <w:p w14:paraId="34DABF4D">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第</w:t>
                  </w:r>
                  <w:r>
                    <w:rPr>
                      <w:rFonts w:hint="eastAsia" w:ascii="Times New Roman" w:hAnsi="Times New Roman" w:eastAsia="宋体" w:cs="Times New Roman"/>
                      <w:bCs/>
                      <w:i w:val="0"/>
                      <w:iCs w:val="0"/>
                      <w:color w:val="auto"/>
                      <w:kern w:val="0"/>
                      <w:sz w:val="21"/>
                      <w:szCs w:val="21"/>
                      <w:highlight w:val="none"/>
                      <w:u w:val="none"/>
                      <w:lang w:val="en-US" w:eastAsia="zh-CN" w:bidi="ar"/>
                    </w:rPr>
                    <w:t>95</w:t>
                  </w:r>
                  <w:r>
                    <w:rPr>
                      <w:rFonts w:hint="eastAsia" w:ascii="宋体" w:hAnsi="宋体" w:eastAsia="宋体" w:cs="宋体"/>
                      <w:bCs/>
                      <w:i w:val="0"/>
                      <w:iCs w:val="0"/>
                      <w:color w:val="auto"/>
                      <w:kern w:val="0"/>
                      <w:sz w:val="21"/>
                      <w:szCs w:val="21"/>
                      <w:highlight w:val="none"/>
                      <w:u w:val="none"/>
                      <w:lang w:val="en-US" w:eastAsia="zh-CN" w:bidi="ar"/>
                    </w:rPr>
                    <w:t>百分位数日平均质量浓度</w:t>
                  </w:r>
                </w:p>
              </w:tc>
              <w:tc>
                <w:tcPr>
                  <w:tcW w:w="1193" w:type="dxa"/>
                  <w:tcBorders>
                    <w:tl2br w:val="nil"/>
                    <w:tr2bl w:val="nil"/>
                  </w:tcBorders>
                  <w:shd w:val="clear" w:color="auto" w:fill="auto"/>
                  <w:vAlign w:val="center"/>
                </w:tcPr>
                <w:p w14:paraId="71AF42D0">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w:t>
                  </w:r>
                </w:p>
              </w:tc>
              <w:tc>
                <w:tcPr>
                  <w:tcW w:w="1193" w:type="dxa"/>
                  <w:tcBorders>
                    <w:tl2br w:val="nil"/>
                    <w:tr2bl w:val="nil"/>
                  </w:tcBorders>
                  <w:shd w:val="clear" w:color="auto" w:fill="auto"/>
                  <w:vAlign w:val="center"/>
                </w:tcPr>
                <w:p w14:paraId="3B55748A">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75</w:t>
                  </w:r>
                </w:p>
              </w:tc>
              <w:tc>
                <w:tcPr>
                  <w:tcW w:w="884" w:type="dxa"/>
                  <w:tcBorders>
                    <w:tl2br w:val="nil"/>
                    <w:tr2bl w:val="nil"/>
                  </w:tcBorders>
                  <w:shd w:val="clear" w:color="auto" w:fill="auto"/>
                  <w:vAlign w:val="center"/>
                </w:tcPr>
                <w:p w14:paraId="0862CBAA">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w:t>
                  </w:r>
                </w:p>
              </w:tc>
              <w:tc>
                <w:tcPr>
                  <w:tcW w:w="841" w:type="dxa"/>
                  <w:tcBorders>
                    <w:tl2br w:val="nil"/>
                    <w:tr2bl w:val="nil"/>
                  </w:tcBorders>
                  <w:shd w:val="clear" w:color="auto" w:fill="auto"/>
                  <w:vAlign w:val="center"/>
                </w:tcPr>
                <w:p w14:paraId="4B685770">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w:t>
                  </w:r>
                </w:p>
              </w:tc>
            </w:tr>
            <w:tr w14:paraId="39976C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7" w:type="dxa"/>
                  <w:vMerge w:val="restart"/>
                  <w:tcBorders>
                    <w:tl2br w:val="nil"/>
                    <w:tr2bl w:val="nil"/>
                  </w:tcBorders>
                  <w:shd w:val="clear" w:color="auto" w:fill="auto"/>
                  <w:vAlign w:val="center"/>
                </w:tcPr>
                <w:p w14:paraId="0B1465CE">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PM</w:t>
                  </w:r>
                  <w:r>
                    <w:rPr>
                      <w:rFonts w:hint="default" w:ascii="Times New Roman" w:hAnsi="Times New Roman" w:eastAsia="宋体" w:cs="Times New Roman"/>
                      <w:bCs/>
                      <w:i w:val="0"/>
                      <w:iCs w:val="0"/>
                      <w:color w:val="auto"/>
                      <w:kern w:val="0"/>
                      <w:sz w:val="21"/>
                      <w:szCs w:val="21"/>
                      <w:highlight w:val="none"/>
                      <w:u w:val="none"/>
                      <w:vertAlign w:val="subscript"/>
                      <w:lang w:val="en-US" w:eastAsia="zh-CN" w:bidi="ar"/>
                    </w:rPr>
                    <w:t>10</w:t>
                  </w:r>
                </w:p>
              </w:tc>
              <w:tc>
                <w:tcPr>
                  <w:tcW w:w="3202" w:type="dxa"/>
                  <w:tcBorders>
                    <w:tl2br w:val="nil"/>
                    <w:tr2bl w:val="nil"/>
                  </w:tcBorders>
                  <w:shd w:val="clear" w:color="auto" w:fill="auto"/>
                  <w:vAlign w:val="center"/>
                </w:tcPr>
                <w:p w14:paraId="63681170">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年平均质量浓度</w:t>
                  </w:r>
                </w:p>
              </w:tc>
              <w:tc>
                <w:tcPr>
                  <w:tcW w:w="1193" w:type="dxa"/>
                  <w:tcBorders>
                    <w:tl2br w:val="nil"/>
                    <w:tr2bl w:val="nil"/>
                  </w:tcBorders>
                  <w:shd w:val="clear" w:color="auto" w:fill="auto"/>
                  <w:vAlign w:val="center"/>
                </w:tcPr>
                <w:p w14:paraId="356C8F4B">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bCs/>
                      <w:i w:val="0"/>
                      <w:iCs w:val="0"/>
                      <w:color w:val="auto"/>
                      <w:kern w:val="0"/>
                      <w:sz w:val="21"/>
                      <w:szCs w:val="21"/>
                      <w:highlight w:val="none"/>
                      <w:u w:val="none"/>
                      <w:lang w:val="en-US" w:eastAsia="zh-CN" w:bidi="ar"/>
                    </w:rPr>
                    <w:t>46</w:t>
                  </w:r>
                </w:p>
              </w:tc>
              <w:tc>
                <w:tcPr>
                  <w:tcW w:w="1193" w:type="dxa"/>
                  <w:tcBorders>
                    <w:tl2br w:val="nil"/>
                    <w:tr2bl w:val="nil"/>
                  </w:tcBorders>
                  <w:shd w:val="clear" w:color="auto" w:fill="auto"/>
                  <w:vAlign w:val="center"/>
                </w:tcPr>
                <w:p w14:paraId="4149F0C4">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70</w:t>
                  </w:r>
                </w:p>
              </w:tc>
              <w:tc>
                <w:tcPr>
                  <w:tcW w:w="884" w:type="dxa"/>
                  <w:tcBorders>
                    <w:tl2br w:val="nil"/>
                    <w:tr2bl w:val="nil"/>
                  </w:tcBorders>
                  <w:shd w:val="clear" w:color="auto" w:fill="auto"/>
                  <w:vAlign w:val="center"/>
                </w:tcPr>
                <w:p w14:paraId="373AC503">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bCs/>
                      <w:i w:val="0"/>
                      <w:iCs w:val="0"/>
                      <w:color w:val="auto"/>
                      <w:kern w:val="0"/>
                      <w:sz w:val="21"/>
                      <w:szCs w:val="21"/>
                      <w:highlight w:val="none"/>
                      <w:u w:val="none"/>
                      <w:lang w:val="en-US" w:eastAsia="zh-CN" w:bidi="ar"/>
                    </w:rPr>
                    <w:t>65.71</w:t>
                  </w:r>
                </w:p>
              </w:tc>
              <w:tc>
                <w:tcPr>
                  <w:tcW w:w="841" w:type="dxa"/>
                  <w:tcBorders>
                    <w:tl2br w:val="nil"/>
                    <w:tr2bl w:val="nil"/>
                  </w:tcBorders>
                  <w:shd w:val="clear" w:color="auto" w:fill="auto"/>
                  <w:vAlign w:val="center"/>
                </w:tcPr>
                <w:p w14:paraId="7F4BDAD7">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达标</w:t>
                  </w:r>
                </w:p>
              </w:tc>
            </w:tr>
            <w:tr w14:paraId="7D2419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7" w:type="dxa"/>
                  <w:vMerge w:val="continue"/>
                  <w:tcBorders>
                    <w:tl2br w:val="nil"/>
                    <w:tr2bl w:val="nil"/>
                  </w:tcBorders>
                  <w:shd w:val="clear" w:color="auto" w:fill="auto"/>
                  <w:vAlign w:val="center"/>
                </w:tcPr>
                <w:p w14:paraId="7A20E9E7">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auto"/>
                      <w:sz w:val="21"/>
                      <w:szCs w:val="21"/>
                      <w:highlight w:val="none"/>
                      <w:u w:val="none"/>
                    </w:rPr>
                  </w:pPr>
                </w:p>
              </w:tc>
              <w:tc>
                <w:tcPr>
                  <w:tcW w:w="3202" w:type="dxa"/>
                  <w:tcBorders>
                    <w:tl2br w:val="nil"/>
                    <w:tr2bl w:val="nil"/>
                  </w:tcBorders>
                  <w:shd w:val="clear" w:color="auto" w:fill="auto"/>
                  <w:vAlign w:val="center"/>
                </w:tcPr>
                <w:p w14:paraId="496B5B3A">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第</w:t>
                  </w:r>
                  <w:r>
                    <w:rPr>
                      <w:rFonts w:hint="eastAsia" w:ascii="Times New Roman" w:hAnsi="Times New Roman" w:eastAsia="宋体" w:cs="Times New Roman"/>
                      <w:bCs/>
                      <w:i w:val="0"/>
                      <w:iCs w:val="0"/>
                      <w:color w:val="auto"/>
                      <w:kern w:val="0"/>
                      <w:sz w:val="21"/>
                      <w:szCs w:val="21"/>
                      <w:highlight w:val="none"/>
                      <w:u w:val="none"/>
                      <w:lang w:val="en-US" w:eastAsia="zh-CN" w:bidi="ar"/>
                    </w:rPr>
                    <w:t>95</w:t>
                  </w:r>
                  <w:r>
                    <w:rPr>
                      <w:rFonts w:hint="eastAsia" w:ascii="宋体" w:hAnsi="宋体" w:eastAsia="宋体" w:cs="宋体"/>
                      <w:bCs/>
                      <w:i w:val="0"/>
                      <w:iCs w:val="0"/>
                      <w:color w:val="auto"/>
                      <w:kern w:val="0"/>
                      <w:sz w:val="21"/>
                      <w:szCs w:val="21"/>
                      <w:highlight w:val="none"/>
                      <w:u w:val="none"/>
                      <w:lang w:val="en-US" w:eastAsia="zh-CN" w:bidi="ar"/>
                    </w:rPr>
                    <w:t>百分位数日平均质量浓度</w:t>
                  </w:r>
                </w:p>
              </w:tc>
              <w:tc>
                <w:tcPr>
                  <w:tcW w:w="1193" w:type="dxa"/>
                  <w:tcBorders>
                    <w:tl2br w:val="nil"/>
                    <w:tr2bl w:val="nil"/>
                  </w:tcBorders>
                  <w:shd w:val="clear" w:color="auto" w:fill="auto"/>
                  <w:vAlign w:val="center"/>
                </w:tcPr>
                <w:p w14:paraId="5AC84A59">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w:t>
                  </w:r>
                </w:p>
              </w:tc>
              <w:tc>
                <w:tcPr>
                  <w:tcW w:w="1193" w:type="dxa"/>
                  <w:tcBorders>
                    <w:tl2br w:val="nil"/>
                    <w:tr2bl w:val="nil"/>
                  </w:tcBorders>
                  <w:shd w:val="clear" w:color="auto" w:fill="auto"/>
                  <w:vAlign w:val="center"/>
                </w:tcPr>
                <w:p w14:paraId="1D1DCBA7">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150</w:t>
                  </w:r>
                </w:p>
              </w:tc>
              <w:tc>
                <w:tcPr>
                  <w:tcW w:w="884" w:type="dxa"/>
                  <w:tcBorders>
                    <w:tl2br w:val="nil"/>
                    <w:tr2bl w:val="nil"/>
                  </w:tcBorders>
                  <w:shd w:val="clear" w:color="auto" w:fill="auto"/>
                  <w:vAlign w:val="center"/>
                </w:tcPr>
                <w:p w14:paraId="5B89030E">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w:t>
                  </w:r>
                </w:p>
              </w:tc>
              <w:tc>
                <w:tcPr>
                  <w:tcW w:w="841" w:type="dxa"/>
                  <w:tcBorders>
                    <w:tl2br w:val="nil"/>
                    <w:tr2bl w:val="nil"/>
                  </w:tcBorders>
                  <w:shd w:val="clear" w:color="auto" w:fill="auto"/>
                  <w:vAlign w:val="center"/>
                </w:tcPr>
                <w:p w14:paraId="422AE657">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w:t>
                  </w:r>
                </w:p>
              </w:tc>
            </w:tr>
            <w:tr w14:paraId="3C62FE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7" w:type="dxa"/>
                  <w:vMerge w:val="restart"/>
                  <w:tcBorders>
                    <w:tl2br w:val="nil"/>
                    <w:tr2bl w:val="nil"/>
                  </w:tcBorders>
                  <w:shd w:val="clear" w:color="auto" w:fill="auto"/>
                  <w:vAlign w:val="center"/>
                </w:tcPr>
                <w:p w14:paraId="2CA2C0BB">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SO</w:t>
                  </w:r>
                  <w:r>
                    <w:rPr>
                      <w:rFonts w:hint="default" w:ascii="Times New Roman" w:hAnsi="Times New Roman" w:eastAsia="宋体" w:cs="Times New Roman"/>
                      <w:bCs/>
                      <w:i w:val="0"/>
                      <w:iCs w:val="0"/>
                      <w:color w:val="auto"/>
                      <w:kern w:val="0"/>
                      <w:sz w:val="21"/>
                      <w:szCs w:val="21"/>
                      <w:highlight w:val="none"/>
                      <w:u w:val="none"/>
                      <w:vertAlign w:val="subscript"/>
                      <w:lang w:val="en-US" w:eastAsia="zh-CN" w:bidi="ar"/>
                    </w:rPr>
                    <w:t>2</w:t>
                  </w:r>
                </w:p>
              </w:tc>
              <w:tc>
                <w:tcPr>
                  <w:tcW w:w="3202" w:type="dxa"/>
                  <w:tcBorders>
                    <w:tl2br w:val="nil"/>
                    <w:tr2bl w:val="nil"/>
                  </w:tcBorders>
                  <w:shd w:val="clear" w:color="auto" w:fill="auto"/>
                  <w:vAlign w:val="center"/>
                </w:tcPr>
                <w:p w14:paraId="5B682F3B">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年平均质量浓度</w:t>
                  </w:r>
                </w:p>
              </w:tc>
              <w:tc>
                <w:tcPr>
                  <w:tcW w:w="1193" w:type="dxa"/>
                  <w:tcBorders>
                    <w:tl2br w:val="nil"/>
                    <w:tr2bl w:val="nil"/>
                  </w:tcBorders>
                  <w:shd w:val="clear" w:color="auto" w:fill="auto"/>
                  <w:vAlign w:val="center"/>
                </w:tcPr>
                <w:p w14:paraId="2113428C">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8</w:t>
                  </w:r>
                </w:p>
              </w:tc>
              <w:tc>
                <w:tcPr>
                  <w:tcW w:w="1193" w:type="dxa"/>
                  <w:tcBorders>
                    <w:tl2br w:val="nil"/>
                    <w:tr2bl w:val="nil"/>
                  </w:tcBorders>
                  <w:shd w:val="clear" w:color="auto" w:fill="auto"/>
                  <w:vAlign w:val="center"/>
                </w:tcPr>
                <w:p w14:paraId="5352FA02">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60</w:t>
                  </w:r>
                </w:p>
              </w:tc>
              <w:tc>
                <w:tcPr>
                  <w:tcW w:w="884" w:type="dxa"/>
                  <w:tcBorders>
                    <w:tl2br w:val="nil"/>
                    <w:tr2bl w:val="nil"/>
                  </w:tcBorders>
                  <w:shd w:val="clear" w:color="auto" w:fill="auto"/>
                  <w:vAlign w:val="center"/>
                </w:tcPr>
                <w:p w14:paraId="0DA00B12">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13.33</w:t>
                  </w:r>
                </w:p>
              </w:tc>
              <w:tc>
                <w:tcPr>
                  <w:tcW w:w="841" w:type="dxa"/>
                  <w:tcBorders>
                    <w:tl2br w:val="nil"/>
                    <w:tr2bl w:val="nil"/>
                  </w:tcBorders>
                  <w:shd w:val="clear" w:color="auto" w:fill="auto"/>
                  <w:vAlign w:val="center"/>
                </w:tcPr>
                <w:p w14:paraId="7FCDC029">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达标</w:t>
                  </w:r>
                </w:p>
              </w:tc>
            </w:tr>
            <w:tr w14:paraId="3F56AC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7" w:type="dxa"/>
                  <w:vMerge w:val="continue"/>
                  <w:tcBorders>
                    <w:tl2br w:val="nil"/>
                    <w:tr2bl w:val="nil"/>
                  </w:tcBorders>
                  <w:shd w:val="clear" w:color="auto" w:fill="auto"/>
                  <w:vAlign w:val="center"/>
                </w:tcPr>
                <w:p w14:paraId="26CB3CAB">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auto"/>
                      <w:sz w:val="21"/>
                      <w:szCs w:val="21"/>
                      <w:highlight w:val="none"/>
                      <w:u w:val="none"/>
                    </w:rPr>
                  </w:pPr>
                </w:p>
              </w:tc>
              <w:tc>
                <w:tcPr>
                  <w:tcW w:w="3202" w:type="dxa"/>
                  <w:tcBorders>
                    <w:tl2br w:val="nil"/>
                    <w:tr2bl w:val="nil"/>
                  </w:tcBorders>
                  <w:shd w:val="clear" w:color="auto" w:fill="auto"/>
                  <w:vAlign w:val="center"/>
                </w:tcPr>
                <w:p w14:paraId="2B45368C">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第</w:t>
                  </w:r>
                  <w:r>
                    <w:rPr>
                      <w:rFonts w:hint="eastAsia" w:ascii="Times New Roman" w:hAnsi="Times New Roman" w:eastAsia="宋体" w:cs="Times New Roman"/>
                      <w:bCs/>
                      <w:i w:val="0"/>
                      <w:iCs w:val="0"/>
                      <w:color w:val="auto"/>
                      <w:kern w:val="0"/>
                      <w:sz w:val="21"/>
                      <w:szCs w:val="21"/>
                      <w:highlight w:val="none"/>
                      <w:u w:val="none"/>
                      <w:lang w:val="en-US" w:eastAsia="zh-CN" w:bidi="ar"/>
                    </w:rPr>
                    <w:t>98</w:t>
                  </w:r>
                  <w:r>
                    <w:rPr>
                      <w:rFonts w:hint="eastAsia" w:ascii="宋体" w:hAnsi="宋体" w:eastAsia="宋体" w:cs="宋体"/>
                      <w:bCs/>
                      <w:i w:val="0"/>
                      <w:iCs w:val="0"/>
                      <w:color w:val="auto"/>
                      <w:kern w:val="0"/>
                      <w:sz w:val="21"/>
                      <w:szCs w:val="21"/>
                      <w:highlight w:val="none"/>
                      <w:u w:val="none"/>
                      <w:lang w:val="en-US" w:eastAsia="zh-CN" w:bidi="ar"/>
                    </w:rPr>
                    <w:t>百分位数日平均质量浓度</w:t>
                  </w:r>
                </w:p>
              </w:tc>
              <w:tc>
                <w:tcPr>
                  <w:tcW w:w="1193" w:type="dxa"/>
                  <w:tcBorders>
                    <w:tl2br w:val="nil"/>
                    <w:tr2bl w:val="nil"/>
                  </w:tcBorders>
                  <w:shd w:val="clear" w:color="auto" w:fill="auto"/>
                  <w:vAlign w:val="center"/>
                </w:tcPr>
                <w:p w14:paraId="06384141">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w:t>
                  </w:r>
                </w:p>
              </w:tc>
              <w:tc>
                <w:tcPr>
                  <w:tcW w:w="1193" w:type="dxa"/>
                  <w:tcBorders>
                    <w:tl2br w:val="nil"/>
                    <w:tr2bl w:val="nil"/>
                  </w:tcBorders>
                  <w:shd w:val="clear" w:color="auto" w:fill="auto"/>
                  <w:vAlign w:val="center"/>
                </w:tcPr>
                <w:p w14:paraId="03A8C863">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150</w:t>
                  </w:r>
                </w:p>
              </w:tc>
              <w:tc>
                <w:tcPr>
                  <w:tcW w:w="884" w:type="dxa"/>
                  <w:tcBorders>
                    <w:tl2br w:val="nil"/>
                    <w:tr2bl w:val="nil"/>
                  </w:tcBorders>
                  <w:shd w:val="clear" w:color="auto" w:fill="auto"/>
                  <w:vAlign w:val="center"/>
                </w:tcPr>
                <w:p w14:paraId="1B4CBB41">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w:t>
                  </w:r>
                </w:p>
              </w:tc>
              <w:tc>
                <w:tcPr>
                  <w:tcW w:w="841" w:type="dxa"/>
                  <w:tcBorders>
                    <w:tl2br w:val="nil"/>
                    <w:tr2bl w:val="nil"/>
                  </w:tcBorders>
                  <w:shd w:val="clear" w:color="auto" w:fill="auto"/>
                  <w:vAlign w:val="center"/>
                </w:tcPr>
                <w:p w14:paraId="1C0DE996">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w:t>
                  </w:r>
                </w:p>
              </w:tc>
            </w:tr>
            <w:tr w14:paraId="7EB798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7" w:type="dxa"/>
                  <w:vMerge w:val="restart"/>
                  <w:tcBorders>
                    <w:tl2br w:val="nil"/>
                    <w:tr2bl w:val="nil"/>
                  </w:tcBorders>
                  <w:shd w:val="clear" w:color="auto" w:fill="auto"/>
                  <w:vAlign w:val="center"/>
                </w:tcPr>
                <w:p w14:paraId="58A59A37">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NO</w:t>
                  </w:r>
                  <w:r>
                    <w:rPr>
                      <w:rFonts w:hint="default" w:ascii="Times New Roman" w:hAnsi="Times New Roman" w:eastAsia="宋体" w:cs="Times New Roman"/>
                      <w:bCs/>
                      <w:i w:val="0"/>
                      <w:iCs w:val="0"/>
                      <w:color w:val="auto"/>
                      <w:kern w:val="0"/>
                      <w:sz w:val="21"/>
                      <w:szCs w:val="21"/>
                      <w:highlight w:val="none"/>
                      <w:u w:val="none"/>
                      <w:vertAlign w:val="subscript"/>
                      <w:lang w:val="en-US" w:eastAsia="zh-CN" w:bidi="ar"/>
                    </w:rPr>
                    <w:t>2</w:t>
                  </w:r>
                </w:p>
              </w:tc>
              <w:tc>
                <w:tcPr>
                  <w:tcW w:w="3202" w:type="dxa"/>
                  <w:tcBorders>
                    <w:tl2br w:val="nil"/>
                    <w:tr2bl w:val="nil"/>
                  </w:tcBorders>
                  <w:shd w:val="clear" w:color="auto" w:fill="auto"/>
                  <w:vAlign w:val="center"/>
                </w:tcPr>
                <w:p w14:paraId="5959E02D">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年平均质量浓度</w:t>
                  </w:r>
                </w:p>
              </w:tc>
              <w:tc>
                <w:tcPr>
                  <w:tcW w:w="1193" w:type="dxa"/>
                  <w:tcBorders>
                    <w:tl2br w:val="nil"/>
                    <w:tr2bl w:val="nil"/>
                  </w:tcBorders>
                  <w:shd w:val="clear" w:color="auto" w:fill="auto"/>
                  <w:vAlign w:val="center"/>
                </w:tcPr>
                <w:p w14:paraId="18690C56">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bCs/>
                      <w:i w:val="0"/>
                      <w:iCs w:val="0"/>
                      <w:color w:val="auto"/>
                      <w:kern w:val="0"/>
                      <w:sz w:val="21"/>
                      <w:szCs w:val="21"/>
                      <w:highlight w:val="none"/>
                      <w:u w:val="none"/>
                      <w:lang w:val="en-US" w:eastAsia="zh-CN" w:bidi="ar"/>
                    </w:rPr>
                    <w:t>17</w:t>
                  </w:r>
                </w:p>
              </w:tc>
              <w:tc>
                <w:tcPr>
                  <w:tcW w:w="1193" w:type="dxa"/>
                  <w:tcBorders>
                    <w:tl2br w:val="nil"/>
                    <w:tr2bl w:val="nil"/>
                  </w:tcBorders>
                  <w:shd w:val="clear" w:color="auto" w:fill="auto"/>
                  <w:vAlign w:val="center"/>
                </w:tcPr>
                <w:p w14:paraId="2295A34A">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40</w:t>
                  </w:r>
                </w:p>
              </w:tc>
              <w:tc>
                <w:tcPr>
                  <w:tcW w:w="884" w:type="dxa"/>
                  <w:tcBorders>
                    <w:tl2br w:val="nil"/>
                    <w:tr2bl w:val="nil"/>
                  </w:tcBorders>
                  <w:shd w:val="clear" w:color="auto" w:fill="auto"/>
                  <w:vAlign w:val="center"/>
                </w:tcPr>
                <w:p w14:paraId="77D125FE">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42.5</w:t>
                  </w:r>
                </w:p>
              </w:tc>
              <w:tc>
                <w:tcPr>
                  <w:tcW w:w="841" w:type="dxa"/>
                  <w:tcBorders>
                    <w:tl2br w:val="nil"/>
                    <w:tr2bl w:val="nil"/>
                  </w:tcBorders>
                  <w:shd w:val="clear" w:color="auto" w:fill="auto"/>
                  <w:vAlign w:val="center"/>
                </w:tcPr>
                <w:p w14:paraId="1AFD6FF2">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达标</w:t>
                  </w:r>
                </w:p>
              </w:tc>
            </w:tr>
            <w:tr w14:paraId="32BE68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7" w:type="dxa"/>
                  <w:vMerge w:val="continue"/>
                  <w:tcBorders>
                    <w:tl2br w:val="nil"/>
                    <w:tr2bl w:val="nil"/>
                  </w:tcBorders>
                  <w:shd w:val="clear" w:color="auto" w:fill="auto"/>
                  <w:vAlign w:val="center"/>
                </w:tcPr>
                <w:p w14:paraId="43486662">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auto"/>
                      <w:sz w:val="21"/>
                      <w:szCs w:val="21"/>
                      <w:highlight w:val="none"/>
                      <w:u w:val="none"/>
                    </w:rPr>
                  </w:pPr>
                </w:p>
              </w:tc>
              <w:tc>
                <w:tcPr>
                  <w:tcW w:w="3202" w:type="dxa"/>
                  <w:tcBorders>
                    <w:tl2br w:val="nil"/>
                    <w:tr2bl w:val="nil"/>
                  </w:tcBorders>
                  <w:shd w:val="clear" w:color="auto" w:fill="auto"/>
                  <w:vAlign w:val="center"/>
                </w:tcPr>
                <w:p w14:paraId="2C9ECEB7">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第</w:t>
                  </w:r>
                  <w:r>
                    <w:rPr>
                      <w:rFonts w:hint="eastAsia" w:ascii="Times New Roman" w:hAnsi="Times New Roman" w:eastAsia="宋体" w:cs="Times New Roman"/>
                      <w:bCs/>
                      <w:i w:val="0"/>
                      <w:iCs w:val="0"/>
                      <w:color w:val="auto"/>
                      <w:kern w:val="0"/>
                      <w:sz w:val="21"/>
                      <w:szCs w:val="21"/>
                      <w:highlight w:val="none"/>
                      <w:u w:val="none"/>
                      <w:lang w:val="en-US" w:eastAsia="zh-CN" w:bidi="ar"/>
                    </w:rPr>
                    <w:t>98</w:t>
                  </w:r>
                  <w:r>
                    <w:rPr>
                      <w:rFonts w:hint="eastAsia" w:ascii="宋体" w:hAnsi="宋体" w:eastAsia="宋体" w:cs="宋体"/>
                      <w:bCs/>
                      <w:i w:val="0"/>
                      <w:iCs w:val="0"/>
                      <w:color w:val="auto"/>
                      <w:kern w:val="0"/>
                      <w:sz w:val="21"/>
                      <w:szCs w:val="21"/>
                      <w:highlight w:val="none"/>
                      <w:u w:val="none"/>
                      <w:lang w:val="en-US" w:eastAsia="zh-CN" w:bidi="ar"/>
                    </w:rPr>
                    <w:t>百分位数日平均质量浓度</w:t>
                  </w:r>
                </w:p>
              </w:tc>
              <w:tc>
                <w:tcPr>
                  <w:tcW w:w="1193" w:type="dxa"/>
                  <w:tcBorders>
                    <w:tl2br w:val="nil"/>
                    <w:tr2bl w:val="nil"/>
                  </w:tcBorders>
                  <w:shd w:val="clear" w:color="auto" w:fill="auto"/>
                  <w:vAlign w:val="center"/>
                </w:tcPr>
                <w:p w14:paraId="43CBFDBD">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w:t>
                  </w:r>
                </w:p>
              </w:tc>
              <w:tc>
                <w:tcPr>
                  <w:tcW w:w="1193" w:type="dxa"/>
                  <w:tcBorders>
                    <w:tl2br w:val="nil"/>
                    <w:tr2bl w:val="nil"/>
                  </w:tcBorders>
                  <w:shd w:val="clear" w:color="auto" w:fill="auto"/>
                  <w:vAlign w:val="center"/>
                </w:tcPr>
                <w:p w14:paraId="41B0D625">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80</w:t>
                  </w:r>
                </w:p>
              </w:tc>
              <w:tc>
                <w:tcPr>
                  <w:tcW w:w="884" w:type="dxa"/>
                  <w:tcBorders>
                    <w:tl2br w:val="nil"/>
                    <w:tr2bl w:val="nil"/>
                  </w:tcBorders>
                  <w:shd w:val="clear" w:color="auto" w:fill="auto"/>
                  <w:vAlign w:val="center"/>
                </w:tcPr>
                <w:p w14:paraId="674A52AF">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w:t>
                  </w:r>
                </w:p>
              </w:tc>
              <w:tc>
                <w:tcPr>
                  <w:tcW w:w="841" w:type="dxa"/>
                  <w:tcBorders>
                    <w:tl2br w:val="nil"/>
                    <w:tr2bl w:val="nil"/>
                  </w:tcBorders>
                  <w:shd w:val="clear" w:color="auto" w:fill="auto"/>
                  <w:vAlign w:val="center"/>
                </w:tcPr>
                <w:p w14:paraId="3EA96846">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w:t>
                  </w:r>
                </w:p>
              </w:tc>
            </w:tr>
            <w:tr w14:paraId="5A5216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7" w:type="dxa"/>
                  <w:tcBorders>
                    <w:tl2br w:val="nil"/>
                    <w:tr2bl w:val="nil"/>
                  </w:tcBorders>
                  <w:shd w:val="clear" w:color="auto" w:fill="auto"/>
                  <w:vAlign w:val="center"/>
                </w:tcPr>
                <w:p w14:paraId="37CB2A80">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CO</w:t>
                  </w:r>
                </w:p>
              </w:tc>
              <w:tc>
                <w:tcPr>
                  <w:tcW w:w="3202" w:type="dxa"/>
                  <w:tcBorders>
                    <w:tl2br w:val="nil"/>
                    <w:tr2bl w:val="nil"/>
                  </w:tcBorders>
                  <w:shd w:val="clear" w:color="auto" w:fill="auto"/>
                  <w:vAlign w:val="center"/>
                </w:tcPr>
                <w:p w14:paraId="51F07B54">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第</w:t>
                  </w:r>
                  <w:r>
                    <w:rPr>
                      <w:rFonts w:hint="eastAsia" w:ascii="Times New Roman" w:hAnsi="Times New Roman" w:eastAsia="宋体" w:cs="Times New Roman"/>
                      <w:bCs/>
                      <w:i w:val="0"/>
                      <w:iCs w:val="0"/>
                      <w:color w:val="auto"/>
                      <w:kern w:val="0"/>
                      <w:sz w:val="21"/>
                      <w:szCs w:val="21"/>
                      <w:highlight w:val="none"/>
                      <w:u w:val="none"/>
                      <w:lang w:val="en-US" w:eastAsia="zh-CN" w:bidi="ar"/>
                    </w:rPr>
                    <w:t>95</w:t>
                  </w:r>
                  <w:r>
                    <w:rPr>
                      <w:rFonts w:hint="eastAsia" w:ascii="宋体" w:hAnsi="宋体" w:eastAsia="宋体" w:cs="宋体"/>
                      <w:bCs/>
                      <w:i w:val="0"/>
                      <w:iCs w:val="0"/>
                      <w:color w:val="auto"/>
                      <w:kern w:val="0"/>
                      <w:sz w:val="21"/>
                      <w:szCs w:val="21"/>
                      <w:highlight w:val="none"/>
                      <w:u w:val="none"/>
                      <w:lang w:val="en-US" w:eastAsia="zh-CN" w:bidi="ar"/>
                    </w:rPr>
                    <w:t>百分位数日平均质量浓度</w:t>
                  </w:r>
                </w:p>
              </w:tc>
              <w:tc>
                <w:tcPr>
                  <w:tcW w:w="1193" w:type="dxa"/>
                  <w:tcBorders>
                    <w:tl2br w:val="nil"/>
                    <w:tr2bl w:val="nil"/>
                  </w:tcBorders>
                  <w:shd w:val="clear" w:color="auto" w:fill="auto"/>
                  <w:vAlign w:val="center"/>
                </w:tcPr>
                <w:p w14:paraId="39E4EEB5">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1.0mg/m</w:t>
                  </w:r>
                  <w:r>
                    <w:rPr>
                      <w:rFonts w:hint="default" w:ascii="Times New Roman" w:hAnsi="Times New Roman" w:eastAsia="宋体" w:cs="Times New Roman"/>
                      <w:bCs/>
                      <w:i w:val="0"/>
                      <w:iCs w:val="0"/>
                      <w:color w:val="auto"/>
                      <w:kern w:val="0"/>
                      <w:sz w:val="21"/>
                      <w:szCs w:val="21"/>
                      <w:highlight w:val="none"/>
                      <w:u w:val="none"/>
                      <w:vertAlign w:val="superscript"/>
                      <w:lang w:val="en-US" w:eastAsia="zh-CN" w:bidi="ar"/>
                    </w:rPr>
                    <w:t>3</w:t>
                  </w:r>
                </w:p>
              </w:tc>
              <w:tc>
                <w:tcPr>
                  <w:tcW w:w="1193" w:type="dxa"/>
                  <w:tcBorders>
                    <w:tl2br w:val="nil"/>
                    <w:tr2bl w:val="nil"/>
                  </w:tcBorders>
                  <w:shd w:val="clear" w:color="auto" w:fill="auto"/>
                  <w:vAlign w:val="center"/>
                </w:tcPr>
                <w:p w14:paraId="1A5ECBB7">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4mg/m</w:t>
                  </w:r>
                  <w:r>
                    <w:rPr>
                      <w:rFonts w:hint="default" w:ascii="Times New Roman" w:hAnsi="Times New Roman" w:eastAsia="宋体" w:cs="Times New Roman"/>
                      <w:bCs/>
                      <w:i w:val="0"/>
                      <w:iCs w:val="0"/>
                      <w:color w:val="auto"/>
                      <w:kern w:val="0"/>
                      <w:sz w:val="21"/>
                      <w:szCs w:val="21"/>
                      <w:highlight w:val="none"/>
                      <w:u w:val="none"/>
                      <w:vertAlign w:val="superscript"/>
                      <w:lang w:val="en-US" w:eastAsia="zh-CN" w:bidi="ar"/>
                    </w:rPr>
                    <w:t>3</w:t>
                  </w:r>
                </w:p>
              </w:tc>
              <w:tc>
                <w:tcPr>
                  <w:tcW w:w="884" w:type="dxa"/>
                  <w:tcBorders>
                    <w:tl2br w:val="nil"/>
                    <w:tr2bl w:val="nil"/>
                  </w:tcBorders>
                  <w:shd w:val="clear" w:color="auto" w:fill="auto"/>
                  <w:vAlign w:val="center"/>
                </w:tcPr>
                <w:p w14:paraId="7F4C5F97">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25</w:t>
                  </w:r>
                </w:p>
              </w:tc>
              <w:tc>
                <w:tcPr>
                  <w:tcW w:w="841" w:type="dxa"/>
                  <w:tcBorders>
                    <w:tl2br w:val="nil"/>
                    <w:tr2bl w:val="nil"/>
                  </w:tcBorders>
                  <w:shd w:val="clear" w:color="auto" w:fill="auto"/>
                  <w:vAlign w:val="center"/>
                </w:tcPr>
                <w:p w14:paraId="756BD7CE">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达标</w:t>
                  </w:r>
                </w:p>
              </w:tc>
            </w:tr>
            <w:tr w14:paraId="3E56AD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07" w:type="dxa"/>
                  <w:tcBorders>
                    <w:tl2br w:val="nil"/>
                    <w:tr2bl w:val="nil"/>
                  </w:tcBorders>
                  <w:shd w:val="clear" w:color="auto" w:fill="auto"/>
                  <w:vAlign w:val="center"/>
                </w:tcPr>
                <w:p w14:paraId="412D840A">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O3</w:t>
                  </w:r>
                </w:p>
              </w:tc>
              <w:tc>
                <w:tcPr>
                  <w:tcW w:w="3202" w:type="dxa"/>
                  <w:tcBorders>
                    <w:tl2br w:val="nil"/>
                    <w:tr2bl w:val="nil"/>
                  </w:tcBorders>
                  <w:shd w:val="clear" w:color="auto" w:fill="auto"/>
                  <w:vAlign w:val="center"/>
                </w:tcPr>
                <w:p w14:paraId="692261AF">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eastAsia="宋体" w:cs="宋体"/>
                      <w:bCs/>
                      <w:i w:val="0"/>
                      <w:iCs w:val="0"/>
                      <w:color w:val="auto"/>
                      <w:kern w:val="0"/>
                      <w:sz w:val="21"/>
                      <w:szCs w:val="21"/>
                      <w:highlight w:val="none"/>
                      <w:u w:val="none"/>
                      <w:lang w:val="en-US" w:eastAsia="zh-CN" w:bidi="ar"/>
                    </w:rPr>
                    <w:t>日最大</w:t>
                  </w:r>
                  <w:r>
                    <w:rPr>
                      <w:rFonts w:hint="eastAsia" w:ascii="Times New Roman" w:hAnsi="Times New Roman" w:eastAsia="宋体" w:cs="Times New Roman"/>
                      <w:bCs/>
                      <w:i w:val="0"/>
                      <w:iCs w:val="0"/>
                      <w:color w:val="auto"/>
                      <w:kern w:val="0"/>
                      <w:sz w:val="21"/>
                      <w:szCs w:val="21"/>
                      <w:highlight w:val="none"/>
                      <w:u w:val="none"/>
                      <w:lang w:val="en-US" w:eastAsia="zh-CN" w:bidi="ar"/>
                    </w:rPr>
                    <w:t>8</w:t>
                  </w:r>
                  <w:r>
                    <w:rPr>
                      <w:rFonts w:hint="eastAsia" w:ascii="宋体" w:hAnsi="宋体" w:eastAsia="宋体" w:cs="宋体"/>
                      <w:bCs/>
                      <w:i w:val="0"/>
                      <w:iCs w:val="0"/>
                      <w:color w:val="auto"/>
                      <w:kern w:val="0"/>
                      <w:sz w:val="21"/>
                      <w:szCs w:val="21"/>
                      <w:highlight w:val="none"/>
                      <w:u w:val="none"/>
                      <w:lang w:val="en-US" w:eastAsia="zh-CN" w:bidi="ar"/>
                    </w:rPr>
                    <w:t>小时滑动平均值第</w:t>
                  </w:r>
                  <w:r>
                    <w:rPr>
                      <w:rFonts w:hint="default" w:ascii="Times New Roman" w:hAnsi="Times New Roman" w:eastAsia="宋体" w:cs="Times New Roman"/>
                      <w:bCs/>
                      <w:i w:val="0"/>
                      <w:iCs w:val="0"/>
                      <w:color w:val="auto"/>
                      <w:kern w:val="0"/>
                      <w:sz w:val="21"/>
                      <w:szCs w:val="21"/>
                      <w:highlight w:val="none"/>
                      <w:u w:val="none"/>
                      <w:lang w:val="en-US" w:eastAsia="zh-CN" w:bidi="ar"/>
                    </w:rPr>
                    <w:t>90</w:t>
                  </w:r>
                  <w:r>
                    <w:rPr>
                      <w:rFonts w:hint="eastAsia" w:cs="Times New Roman"/>
                      <w:bCs/>
                      <w:i w:val="0"/>
                      <w:iCs w:val="0"/>
                      <w:color w:val="auto"/>
                      <w:kern w:val="0"/>
                      <w:sz w:val="21"/>
                      <w:szCs w:val="21"/>
                      <w:highlight w:val="none"/>
                      <w:u w:val="none"/>
                      <w:lang w:val="en-US" w:eastAsia="zh-CN" w:bidi="ar"/>
                    </w:rPr>
                    <w:t>百分位数</w:t>
                  </w:r>
                </w:p>
              </w:tc>
              <w:tc>
                <w:tcPr>
                  <w:tcW w:w="1193" w:type="dxa"/>
                  <w:tcBorders>
                    <w:tl2br w:val="nil"/>
                    <w:tr2bl w:val="nil"/>
                  </w:tcBorders>
                  <w:shd w:val="clear" w:color="auto" w:fill="auto"/>
                  <w:vAlign w:val="center"/>
                </w:tcPr>
                <w:p w14:paraId="48C3C927">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bCs/>
                      <w:i w:val="0"/>
                      <w:iCs w:val="0"/>
                      <w:color w:val="auto"/>
                      <w:kern w:val="0"/>
                      <w:sz w:val="21"/>
                      <w:szCs w:val="21"/>
                      <w:highlight w:val="none"/>
                      <w:u w:val="none"/>
                      <w:lang w:val="en-US" w:eastAsia="zh-CN" w:bidi="ar"/>
                    </w:rPr>
                    <w:t>90</w:t>
                  </w:r>
                </w:p>
              </w:tc>
              <w:tc>
                <w:tcPr>
                  <w:tcW w:w="1193" w:type="dxa"/>
                  <w:tcBorders>
                    <w:tl2br w:val="nil"/>
                    <w:tr2bl w:val="nil"/>
                  </w:tcBorders>
                  <w:shd w:val="clear" w:color="auto" w:fill="auto"/>
                  <w:vAlign w:val="center"/>
                </w:tcPr>
                <w:p w14:paraId="0E1FE8D5">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i w:val="0"/>
                      <w:iCs w:val="0"/>
                      <w:color w:val="auto"/>
                      <w:kern w:val="0"/>
                      <w:sz w:val="21"/>
                      <w:szCs w:val="21"/>
                      <w:highlight w:val="none"/>
                      <w:u w:val="none"/>
                      <w:lang w:val="en-US" w:eastAsia="zh-CN" w:bidi="ar"/>
                    </w:rPr>
                    <w:t>160</w:t>
                  </w:r>
                </w:p>
              </w:tc>
              <w:tc>
                <w:tcPr>
                  <w:tcW w:w="884" w:type="dxa"/>
                  <w:tcBorders>
                    <w:tl2br w:val="nil"/>
                    <w:tr2bl w:val="nil"/>
                  </w:tcBorders>
                  <w:shd w:val="clear" w:color="auto" w:fill="auto"/>
                  <w:vAlign w:val="center"/>
                </w:tcPr>
                <w:p w14:paraId="689DC5BC">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bCs/>
                      <w:i w:val="0"/>
                      <w:iCs w:val="0"/>
                      <w:color w:val="auto"/>
                      <w:kern w:val="0"/>
                      <w:sz w:val="21"/>
                      <w:szCs w:val="21"/>
                      <w:highlight w:val="none"/>
                      <w:u w:val="none"/>
                      <w:lang w:val="en-US" w:eastAsia="zh-CN" w:bidi="ar"/>
                    </w:rPr>
                    <w:t>56.25</w:t>
                  </w:r>
                </w:p>
              </w:tc>
              <w:tc>
                <w:tcPr>
                  <w:tcW w:w="841" w:type="dxa"/>
                  <w:tcBorders>
                    <w:tl2br w:val="nil"/>
                    <w:tr2bl w:val="nil"/>
                  </w:tcBorders>
                  <w:shd w:val="clear" w:color="auto" w:fill="auto"/>
                  <w:vAlign w:val="center"/>
                </w:tcPr>
                <w:p w14:paraId="0A58C272">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Cs/>
                      <w:i w:val="0"/>
                      <w:iCs w:val="0"/>
                      <w:color w:val="auto"/>
                      <w:kern w:val="0"/>
                      <w:sz w:val="21"/>
                      <w:szCs w:val="21"/>
                      <w:highlight w:val="none"/>
                      <w:u w:val="none"/>
                      <w:lang w:val="en-US" w:eastAsia="zh-CN" w:bidi="ar"/>
                    </w:rPr>
                    <w:t>达标</w:t>
                  </w:r>
                </w:p>
              </w:tc>
            </w:tr>
          </w:tbl>
          <w:p w14:paraId="698F0502">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val="en-US" w:eastAsia="zh-CN"/>
              </w:rPr>
              <w:t>（2）</w:t>
            </w:r>
            <w:r>
              <w:rPr>
                <w:rFonts w:hint="eastAsia" w:ascii="Times New Roman" w:hAnsi="Times New Roman" w:cs="Times New Roman"/>
                <w:color w:val="auto"/>
                <w:sz w:val="24"/>
                <w:szCs w:val="24"/>
                <w:highlight w:val="none"/>
                <w:lang w:val="en-US" w:eastAsia="zh-CN"/>
              </w:rPr>
              <w:t>其他</w:t>
            </w:r>
            <w:r>
              <w:rPr>
                <w:rFonts w:hint="default" w:ascii="Times New Roman" w:hAnsi="Times New Roman" w:cs="Times New Roman"/>
                <w:color w:val="auto"/>
                <w:sz w:val="24"/>
                <w:szCs w:val="24"/>
                <w:highlight w:val="none"/>
              </w:rPr>
              <w:t>污染物</w:t>
            </w:r>
          </w:p>
          <w:p w14:paraId="599A0BC6">
            <w:pPr>
              <w:keepNext w:val="0"/>
              <w:keepLines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b/>
                <w:color w:val="auto"/>
                <w:kern w:val="0"/>
                <w:sz w:val="24"/>
                <w:szCs w:val="24"/>
                <w:highlight w:val="none"/>
                <w:lang w:eastAsia="zh-CN"/>
              </w:rPr>
            </w:pPr>
            <w:r>
              <w:rPr>
                <w:rFonts w:hint="eastAsia" w:ascii="Times New Roman" w:hAnsi="Times New Roman" w:eastAsia="宋体" w:cs="Times New Roman"/>
                <w:color w:val="auto"/>
                <w:kern w:val="0"/>
                <w:sz w:val="24"/>
                <w:szCs w:val="24"/>
                <w:highlight w:val="none"/>
                <w:lang w:val="en-US" w:eastAsia="zh-CN" w:bidi="he-IL"/>
              </w:rPr>
              <w:t>根据《建设项目环境影响报告表编制技术指南污染影响类（试行）》可知，</w:t>
            </w:r>
            <w:r>
              <w:rPr>
                <w:rFonts w:hint="default" w:ascii="Times New Roman" w:hAnsi="Times New Roman" w:eastAsia="宋体" w:cs="Times New Roman"/>
                <w:color w:val="auto"/>
                <w:kern w:val="0"/>
                <w:sz w:val="24"/>
                <w:szCs w:val="24"/>
                <w:highlight w:val="none"/>
                <w:lang w:val="en-US" w:eastAsia="zh-CN" w:bidi="he-IL"/>
              </w:rPr>
              <w:t>排放国家、地方环境空气质量标准中有标准限制要求的特征污染物时，引用建设项目周边5千米范围内近3年的现有监测数据，无相关数据的选择当</w:t>
            </w:r>
            <w:r>
              <w:rPr>
                <w:rFonts w:hint="eastAsia" w:ascii="Times New Roman" w:hAnsi="Times New Roman" w:eastAsia="宋体" w:cs="Times New Roman"/>
                <w:color w:val="auto"/>
                <w:kern w:val="0"/>
                <w:sz w:val="24"/>
                <w:szCs w:val="24"/>
                <w:highlight w:val="none"/>
                <w:lang w:val="en-US" w:eastAsia="zh-CN" w:bidi="he-IL"/>
              </w:rPr>
              <w:t>季</w:t>
            </w:r>
            <w:r>
              <w:rPr>
                <w:rFonts w:hint="default" w:ascii="Times New Roman" w:hAnsi="Times New Roman" w:eastAsia="宋体" w:cs="Times New Roman"/>
                <w:color w:val="auto"/>
                <w:kern w:val="0"/>
                <w:sz w:val="24"/>
                <w:szCs w:val="24"/>
                <w:highlight w:val="none"/>
                <w:lang w:val="en-US" w:eastAsia="zh-CN" w:bidi="he-IL"/>
              </w:rPr>
              <w:t>主导风向下风向1个点位补充不少于3天的监测数据，</w:t>
            </w:r>
            <w:r>
              <w:rPr>
                <w:rFonts w:hint="eastAsia" w:ascii="Times New Roman" w:hAnsi="Times New Roman" w:eastAsia="宋体" w:cs="Times New Roman"/>
                <w:color w:val="auto"/>
                <w:kern w:val="0"/>
                <w:sz w:val="24"/>
                <w:szCs w:val="24"/>
                <w:highlight w:val="none"/>
                <w:lang w:val="en-US" w:eastAsia="zh-CN" w:bidi="he-IL"/>
              </w:rPr>
              <w:t>现引用</w:t>
            </w:r>
            <w:r>
              <w:rPr>
                <w:rFonts w:hint="eastAsia"/>
                <w:color w:val="auto"/>
              </w:rPr>
              <w:t>《</w:t>
            </w:r>
            <w:r>
              <w:rPr>
                <w:rFonts w:hint="eastAsia"/>
                <w:color w:val="auto"/>
                <w:sz w:val="24"/>
                <w:highlight w:val="none"/>
                <w:lang w:eastAsia="zh-CN"/>
              </w:rPr>
              <w:t>虎林市国顺报废汽车回收有限公司项目</w:t>
            </w:r>
            <w:r>
              <w:rPr>
                <w:rFonts w:hint="eastAsia"/>
                <w:color w:val="auto"/>
                <w:sz w:val="24"/>
                <w:szCs w:val="24"/>
              </w:rPr>
              <w:t>》</w:t>
            </w:r>
            <w:r>
              <w:rPr>
                <w:rFonts w:hint="eastAsia" w:ascii="Times New Roman" w:hAnsi="Times New Roman" w:eastAsia="宋体" w:cs="Times New Roman"/>
                <w:color w:val="auto"/>
                <w:kern w:val="0"/>
                <w:sz w:val="24"/>
                <w:szCs w:val="24"/>
                <w:highlight w:val="none"/>
                <w:lang w:val="en-US" w:eastAsia="zh-CN" w:bidi="he-IL"/>
              </w:rPr>
              <w:t>中的监测数据，该监测点距离本项目为</w:t>
            </w:r>
            <w:r>
              <w:rPr>
                <w:rFonts w:hint="eastAsia" w:cs="Times New Roman"/>
                <w:color w:val="auto"/>
                <w:kern w:val="0"/>
                <w:sz w:val="24"/>
                <w:szCs w:val="24"/>
                <w:highlight w:val="none"/>
                <w:lang w:val="en-US" w:eastAsia="zh-CN" w:bidi="he-IL"/>
              </w:rPr>
              <w:t>3150</w:t>
            </w:r>
            <w:r>
              <w:rPr>
                <w:rFonts w:hint="eastAsia" w:ascii="Times New Roman" w:hAnsi="Times New Roman" w:eastAsia="宋体" w:cs="Times New Roman"/>
                <w:color w:val="auto"/>
                <w:kern w:val="0"/>
                <w:sz w:val="24"/>
                <w:szCs w:val="24"/>
                <w:highlight w:val="none"/>
                <w:lang w:val="en-US" w:eastAsia="zh-CN" w:bidi="he-IL"/>
              </w:rPr>
              <w:t>m，</w:t>
            </w:r>
            <w:r>
              <w:rPr>
                <w:rFonts w:hint="default" w:ascii="Times New Roman" w:hAnsi="Times New Roman" w:eastAsia="宋体" w:cs="Times New Roman"/>
                <w:color w:val="auto"/>
                <w:kern w:val="0"/>
                <w:sz w:val="24"/>
                <w:szCs w:val="24"/>
                <w:highlight w:val="none"/>
                <w:lang w:val="en-US" w:eastAsia="zh-CN" w:bidi="he-IL"/>
              </w:rPr>
              <w:t>该项目的其他污染物为TSP</w:t>
            </w:r>
            <w:r>
              <w:rPr>
                <w:rFonts w:hint="eastAsia" w:ascii="Times New Roman" w:hAnsi="Times New Roman" w:eastAsia="宋体" w:cs="Times New Roman"/>
                <w:color w:val="auto"/>
                <w:kern w:val="0"/>
                <w:sz w:val="24"/>
                <w:szCs w:val="24"/>
                <w:highlight w:val="none"/>
                <w:lang w:val="en-US" w:eastAsia="zh-CN" w:bidi="he-IL"/>
              </w:rPr>
              <w:t>，</w:t>
            </w:r>
            <w:r>
              <w:rPr>
                <w:rFonts w:hint="default" w:ascii="Times New Roman" w:hAnsi="Times New Roman" w:eastAsia="宋体" w:cs="Times New Roman"/>
                <w:color w:val="auto"/>
                <w:kern w:val="0"/>
                <w:sz w:val="24"/>
                <w:szCs w:val="24"/>
                <w:highlight w:val="none"/>
                <w:lang w:val="en-US" w:eastAsia="zh-CN" w:bidi="he-IL"/>
              </w:rPr>
              <w:t>环境质量现状监测委托</w:t>
            </w:r>
            <w:r>
              <w:rPr>
                <w:rFonts w:hint="eastAsia"/>
                <w:color w:val="auto"/>
                <w:sz w:val="24"/>
                <w:highlight w:val="none"/>
                <w:lang w:val="en-US" w:eastAsia="zh-CN"/>
              </w:rPr>
              <w:t>黑龙江汉风环境检测技术有限公司</w:t>
            </w:r>
            <w:r>
              <w:rPr>
                <w:rFonts w:hint="default"/>
                <w:color w:val="auto"/>
                <w:sz w:val="24"/>
                <w:highlight w:val="none"/>
              </w:rPr>
              <w:t>于</w:t>
            </w:r>
            <w:r>
              <w:rPr>
                <w:rFonts w:hint="eastAsia"/>
                <w:color w:val="auto"/>
                <w:sz w:val="24"/>
                <w:highlight w:val="none"/>
                <w:lang w:val="en-US" w:eastAsia="zh-CN"/>
              </w:rPr>
              <w:t>2025</w:t>
            </w:r>
            <w:r>
              <w:rPr>
                <w:rFonts w:hint="default"/>
                <w:color w:val="auto"/>
                <w:sz w:val="24"/>
                <w:highlight w:val="none"/>
              </w:rPr>
              <w:t>年</w:t>
            </w:r>
            <w:r>
              <w:rPr>
                <w:rFonts w:hint="eastAsia"/>
                <w:color w:val="auto"/>
                <w:sz w:val="24"/>
                <w:highlight w:val="none"/>
                <w:lang w:val="en-US" w:eastAsia="zh-CN"/>
              </w:rPr>
              <w:t>4</w:t>
            </w:r>
            <w:r>
              <w:rPr>
                <w:rFonts w:hint="default"/>
                <w:color w:val="auto"/>
                <w:sz w:val="24"/>
                <w:highlight w:val="none"/>
              </w:rPr>
              <w:t>月</w:t>
            </w:r>
            <w:r>
              <w:rPr>
                <w:rFonts w:hint="eastAsia"/>
                <w:color w:val="auto"/>
                <w:sz w:val="24"/>
                <w:highlight w:val="none"/>
                <w:lang w:val="en-US" w:eastAsia="zh-CN"/>
              </w:rPr>
              <w:t>21</w:t>
            </w:r>
            <w:r>
              <w:rPr>
                <w:rFonts w:hint="default"/>
                <w:color w:val="auto"/>
                <w:sz w:val="24"/>
                <w:highlight w:val="none"/>
              </w:rPr>
              <w:t>日</w:t>
            </w:r>
            <w:r>
              <w:rPr>
                <w:rFonts w:hint="eastAsia"/>
                <w:color w:val="auto"/>
                <w:sz w:val="24"/>
                <w:highlight w:val="none"/>
              </w:rPr>
              <w:t>~</w:t>
            </w:r>
            <w:r>
              <w:rPr>
                <w:rFonts w:hint="eastAsia"/>
                <w:color w:val="auto"/>
                <w:sz w:val="24"/>
                <w:highlight w:val="none"/>
                <w:lang w:val="en-US" w:eastAsia="zh-CN"/>
              </w:rPr>
              <w:t>23</w:t>
            </w:r>
            <w:r>
              <w:rPr>
                <w:rFonts w:hint="default"/>
                <w:color w:val="auto"/>
                <w:sz w:val="24"/>
                <w:highlight w:val="none"/>
              </w:rPr>
              <w:t>日</w:t>
            </w:r>
            <w:r>
              <w:rPr>
                <w:rFonts w:hint="default" w:ascii="Times New Roman" w:hAnsi="Times New Roman" w:eastAsia="宋体" w:cs="Times New Roman"/>
                <w:color w:val="auto"/>
                <w:kern w:val="0"/>
                <w:sz w:val="24"/>
                <w:szCs w:val="24"/>
                <w:highlight w:val="none"/>
                <w:lang w:val="en-US" w:eastAsia="zh-CN" w:bidi="he-IL"/>
              </w:rPr>
              <w:t>进行特征污染物TSP的监测</w:t>
            </w:r>
            <w:r>
              <w:rPr>
                <w:rFonts w:hint="eastAsia" w:ascii="Times New Roman" w:hAnsi="Times New Roman" w:eastAsia="宋体" w:cs="Times New Roman"/>
                <w:color w:val="auto"/>
                <w:kern w:val="0"/>
                <w:sz w:val="24"/>
                <w:szCs w:val="24"/>
                <w:highlight w:val="none"/>
                <w:lang w:val="en-US" w:eastAsia="zh-CN" w:bidi="he-IL"/>
              </w:rPr>
              <w:t>，</w:t>
            </w:r>
            <w:r>
              <w:rPr>
                <w:rFonts w:hint="default" w:ascii="Times New Roman" w:hAnsi="Times New Roman" w:eastAsia="宋体" w:cs="Times New Roman"/>
                <w:color w:val="auto"/>
                <w:kern w:val="0"/>
                <w:sz w:val="24"/>
                <w:szCs w:val="24"/>
                <w:highlight w:val="none"/>
                <w:lang w:val="en-US" w:eastAsia="zh-CN" w:bidi="he-IL"/>
              </w:rPr>
              <w:t>根据项目所在位置、区域状况及气象特征本项目监测点基本信息见表3-</w:t>
            </w:r>
            <w:r>
              <w:rPr>
                <w:rFonts w:hint="eastAsia" w:ascii="Times New Roman" w:hAnsi="Times New Roman" w:eastAsia="宋体" w:cs="Times New Roman"/>
                <w:color w:val="auto"/>
                <w:kern w:val="0"/>
                <w:sz w:val="24"/>
                <w:szCs w:val="24"/>
                <w:highlight w:val="none"/>
                <w:lang w:val="en-US" w:eastAsia="zh-CN" w:bidi="he-IL"/>
              </w:rPr>
              <w:t>2</w:t>
            </w:r>
            <w:r>
              <w:rPr>
                <w:rFonts w:hint="default" w:ascii="Times New Roman" w:hAnsi="Times New Roman" w:eastAsia="宋体" w:cs="Times New Roman"/>
                <w:color w:val="auto"/>
                <w:kern w:val="0"/>
                <w:sz w:val="24"/>
                <w:szCs w:val="24"/>
                <w:highlight w:val="none"/>
                <w:lang w:val="en-US" w:eastAsia="zh-CN" w:bidi="he-IL"/>
              </w:rPr>
              <w:t>，</w:t>
            </w:r>
            <w:r>
              <w:rPr>
                <w:rFonts w:hint="eastAsia" w:ascii="Times New Roman" w:hAnsi="Times New Roman" w:eastAsia="宋体" w:cs="Times New Roman"/>
                <w:color w:val="auto"/>
                <w:kern w:val="0"/>
                <w:sz w:val="24"/>
                <w:szCs w:val="24"/>
                <w:highlight w:val="none"/>
                <w:lang w:val="en-US" w:eastAsia="zh-CN" w:bidi="he-IL"/>
              </w:rPr>
              <w:t>本项目与监测点位置见附图</w:t>
            </w:r>
            <w:r>
              <w:rPr>
                <w:rFonts w:hint="eastAsia" w:cs="Times New Roman"/>
                <w:color w:val="auto"/>
                <w:kern w:val="0"/>
                <w:sz w:val="24"/>
                <w:szCs w:val="24"/>
                <w:highlight w:val="none"/>
                <w:lang w:val="en-US" w:eastAsia="zh-CN" w:bidi="he-IL"/>
              </w:rPr>
              <w:t>5</w:t>
            </w:r>
            <w:r>
              <w:rPr>
                <w:rFonts w:hint="eastAsia" w:ascii="Times New Roman" w:hAnsi="Times New Roman" w:eastAsia="宋体" w:cs="Times New Roman"/>
                <w:color w:val="auto"/>
                <w:kern w:val="0"/>
                <w:sz w:val="24"/>
                <w:szCs w:val="24"/>
                <w:highlight w:val="none"/>
                <w:lang w:val="en-US" w:eastAsia="zh-CN" w:bidi="he-IL"/>
              </w:rPr>
              <w:t>，监测报告见附件</w:t>
            </w:r>
            <w:r>
              <w:rPr>
                <w:rFonts w:hint="eastAsia" w:cs="Times New Roman"/>
                <w:color w:val="auto"/>
                <w:kern w:val="0"/>
                <w:sz w:val="24"/>
                <w:szCs w:val="24"/>
                <w:highlight w:val="none"/>
                <w:lang w:val="en-US" w:eastAsia="zh-CN" w:bidi="he-IL"/>
              </w:rPr>
              <w:t>4</w:t>
            </w:r>
            <w:r>
              <w:rPr>
                <w:rFonts w:hint="default" w:ascii="Times New Roman" w:hAnsi="Times New Roman" w:eastAsia="宋体" w:cs="Times New Roman"/>
                <w:color w:val="auto"/>
                <w:kern w:val="0"/>
                <w:sz w:val="24"/>
                <w:szCs w:val="24"/>
                <w:highlight w:val="none"/>
                <w:lang w:val="en-US" w:eastAsia="zh-CN" w:bidi="he-IL"/>
              </w:rPr>
              <w:t>。</w:t>
            </w:r>
          </w:p>
          <w:p w14:paraId="7883B4F2">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szCs w:val="24"/>
                <w:highlight w:val="none"/>
                <w:lang w:val="en-US"/>
              </w:rPr>
            </w:pPr>
            <w:r>
              <w:rPr>
                <w:rFonts w:hint="default" w:ascii="Times New Roman" w:hAnsi="Times New Roman" w:cs="Times New Roman"/>
                <w:color w:val="auto"/>
                <w:sz w:val="24"/>
                <w:szCs w:val="24"/>
                <w:highlight w:val="none"/>
              </w:rPr>
              <w:t>监测点基本信息见表3-</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，评价结果见表3-</w:t>
            </w:r>
            <w:r>
              <w:rPr>
                <w:rFonts w:hint="default" w:ascii="Times New Roman" w:hAnsi="Times New Roman" w:cs="Times New Roman"/>
                <w:color w:val="auto"/>
                <w:sz w:val="24"/>
                <w:szCs w:val="24"/>
                <w:highlight w:val="none"/>
                <w:lang w:val="en-US" w:eastAsia="zh-CN"/>
              </w:rPr>
              <w:t>3</w:t>
            </w:r>
            <w:r>
              <w:rPr>
                <w:rFonts w:hint="eastAsia" w:ascii="Times New Roman" w:hAnsi="Times New Roman" w:cs="Times New Roman"/>
                <w:color w:val="auto"/>
                <w:sz w:val="24"/>
                <w:szCs w:val="24"/>
                <w:highlight w:val="none"/>
                <w:lang w:val="en-US" w:eastAsia="zh-CN"/>
              </w:rPr>
              <w:t>。</w:t>
            </w:r>
          </w:p>
          <w:p w14:paraId="6FB4B17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kern w:val="0"/>
                <w:sz w:val="24"/>
                <w:szCs w:val="24"/>
                <w:highlight w:val="none"/>
              </w:rPr>
            </w:pPr>
            <w:r>
              <w:rPr>
                <w:rFonts w:hint="default" w:ascii="Times New Roman" w:hAnsi="Times New Roman" w:cs="Times New Roman"/>
                <w:b/>
                <w:bCs/>
                <w:color w:val="auto"/>
                <w:kern w:val="0"/>
                <w:sz w:val="24"/>
                <w:szCs w:val="24"/>
                <w:highlight w:val="none"/>
              </w:rPr>
              <w:t>表3-</w:t>
            </w:r>
            <w:r>
              <w:rPr>
                <w:rFonts w:hint="default" w:ascii="Times New Roman" w:hAnsi="Times New Roman" w:cs="Times New Roman"/>
                <w:b/>
                <w:bCs/>
                <w:color w:val="auto"/>
                <w:kern w:val="0"/>
                <w:sz w:val="24"/>
                <w:szCs w:val="24"/>
                <w:highlight w:val="none"/>
                <w:lang w:val="en-US" w:eastAsia="zh-CN"/>
              </w:rPr>
              <w:t>2</w:t>
            </w:r>
            <w:r>
              <w:rPr>
                <w:rFonts w:hint="default" w:ascii="Times New Roman" w:hAnsi="Times New Roman" w:cs="Times New Roman"/>
                <w:b/>
                <w:bCs/>
                <w:color w:val="auto"/>
                <w:kern w:val="0"/>
                <w:sz w:val="24"/>
                <w:szCs w:val="24"/>
                <w:highlight w:val="none"/>
              </w:rPr>
              <w:t xml:space="preserve"> 监测点基本信息表</w:t>
            </w:r>
          </w:p>
          <w:tbl>
            <w:tblPr>
              <w:tblStyle w:val="38"/>
              <w:tblW w:w="8044"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5"/>
              <w:gridCol w:w="1884"/>
              <w:gridCol w:w="1935"/>
              <w:gridCol w:w="1215"/>
              <w:gridCol w:w="1935"/>
            </w:tblGrid>
            <w:tr w14:paraId="4AEB96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668" w:type="pct"/>
                  <w:vMerge w:val="restart"/>
                  <w:tcBorders>
                    <w:tl2br w:val="nil"/>
                    <w:tr2bl w:val="nil"/>
                  </w:tcBorders>
                  <w:vAlign w:val="center"/>
                </w:tcPr>
                <w:p w14:paraId="553FF58A">
                  <w:pPr>
                    <w:keepNext w:val="0"/>
                    <w:keepLines w:val="0"/>
                    <w:suppressLineNumbers w:val="0"/>
                    <w:spacing w:before="0" w:beforeAutospacing="0" w:after="0" w:afterAutospacing="0" w:line="320" w:lineRule="atLeast"/>
                    <w:ind w:left="0" w:right="0"/>
                    <w:jc w:val="center"/>
                    <w:rPr>
                      <w:rFonts w:hint="default"/>
                      <w:color w:val="auto"/>
                      <w:szCs w:val="21"/>
                      <w:highlight w:val="none"/>
                    </w:rPr>
                  </w:pPr>
                  <w:r>
                    <w:rPr>
                      <w:rFonts w:hint="default"/>
                      <w:color w:val="auto"/>
                      <w:szCs w:val="21"/>
                      <w:highlight w:val="none"/>
                    </w:rPr>
                    <w:t>监测点</w:t>
                  </w:r>
                </w:p>
                <w:p w14:paraId="73F38D3D">
                  <w:pPr>
                    <w:keepNext w:val="0"/>
                    <w:keepLines w:val="0"/>
                    <w:suppressLineNumbers w:val="0"/>
                    <w:spacing w:before="0" w:beforeAutospacing="0" w:after="0" w:afterAutospacing="0" w:line="320" w:lineRule="atLeast"/>
                    <w:ind w:left="0" w:right="0"/>
                    <w:jc w:val="center"/>
                    <w:rPr>
                      <w:rFonts w:hint="default"/>
                      <w:color w:val="auto"/>
                      <w:szCs w:val="21"/>
                      <w:highlight w:val="none"/>
                    </w:rPr>
                  </w:pPr>
                  <w:r>
                    <w:rPr>
                      <w:rFonts w:hint="default"/>
                      <w:color w:val="auto"/>
                      <w:szCs w:val="21"/>
                      <w:highlight w:val="none"/>
                    </w:rPr>
                    <w:t>名称</w:t>
                  </w:r>
                </w:p>
              </w:tc>
              <w:tc>
                <w:tcPr>
                  <w:tcW w:w="2373" w:type="pct"/>
                  <w:gridSpan w:val="2"/>
                  <w:tcBorders>
                    <w:tl2br w:val="nil"/>
                    <w:tr2bl w:val="nil"/>
                  </w:tcBorders>
                  <w:vAlign w:val="center"/>
                </w:tcPr>
                <w:p w14:paraId="4D45552C">
                  <w:pPr>
                    <w:keepNext w:val="0"/>
                    <w:keepLines w:val="0"/>
                    <w:suppressLineNumbers w:val="0"/>
                    <w:spacing w:before="0" w:beforeAutospacing="0" w:after="0" w:afterAutospacing="0" w:line="320" w:lineRule="atLeast"/>
                    <w:ind w:left="0" w:right="0"/>
                    <w:jc w:val="center"/>
                    <w:rPr>
                      <w:rFonts w:hint="default"/>
                      <w:color w:val="auto"/>
                      <w:kern w:val="0"/>
                      <w:szCs w:val="21"/>
                      <w:highlight w:val="none"/>
                    </w:rPr>
                  </w:pPr>
                  <w:r>
                    <w:rPr>
                      <w:rFonts w:hint="default"/>
                      <w:color w:val="auto"/>
                      <w:kern w:val="0"/>
                      <w:szCs w:val="21"/>
                      <w:highlight w:val="none"/>
                    </w:rPr>
                    <w:t>监测点坐标</w:t>
                  </w:r>
                </w:p>
              </w:tc>
              <w:tc>
                <w:tcPr>
                  <w:tcW w:w="755" w:type="pct"/>
                  <w:vMerge w:val="restart"/>
                  <w:tcBorders>
                    <w:tl2br w:val="nil"/>
                    <w:tr2bl w:val="nil"/>
                  </w:tcBorders>
                  <w:vAlign w:val="center"/>
                </w:tcPr>
                <w:p w14:paraId="7F218055">
                  <w:pPr>
                    <w:keepNext w:val="0"/>
                    <w:keepLines w:val="0"/>
                    <w:suppressLineNumbers w:val="0"/>
                    <w:spacing w:before="0" w:beforeAutospacing="0" w:after="0" w:afterAutospacing="0" w:line="320" w:lineRule="atLeast"/>
                    <w:ind w:left="0" w:right="0"/>
                    <w:jc w:val="center"/>
                    <w:rPr>
                      <w:rFonts w:hint="default"/>
                      <w:color w:val="auto"/>
                      <w:kern w:val="0"/>
                      <w:szCs w:val="21"/>
                      <w:highlight w:val="none"/>
                    </w:rPr>
                  </w:pPr>
                  <w:r>
                    <w:rPr>
                      <w:rFonts w:hint="default"/>
                      <w:color w:val="auto"/>
                      <w:kern w:val="0"/>
                      <w:szCs w:val="21"/>
                      <w:highlight w:val="none"/>
                    </w:rPr>
                    <w:t>监测因子</w:t>
                  </w:r>
                </w:p>
              </w:tc>
              <w:tc>
                <w:tcPr>
                  <w:tcW w:w="1202" w:type="pct"/>
                  <w:vMerge w:val="restart"/>
                  <w:tcBorders>
                    <w:tl2br w:val="nil"/>
                    <w:tr2bl w:val="nil"/>
                  </w:tcBorders>
                  <w:vAlign w:val="center"/>
                </w:tcPr>
                <w:p w14:paraId="52216AE3">
                  <w:pPr>
                    <w:keepNext w:val="0"/>
                    <w:keepLines w:val="0"/>
                    <w:suppressLineNumbers w:val="0"/>
                    <w:spacing w:before="0" w:beforeAutospacing="0" w:after="0" w:afterAutospacing="0" w:line="320" w:lineRule="atLeast"/>
                    <w:ind w:left="0" w:right="0"/>
                    <w:jc w:val="center"/>
                    <w:rPr>
                      <w:rFonts w:hint="default"/>
                      <w:color w:val="auto"/>
                      <w:szCs w:val="21"/>
                      <w:highlight w:val="none"/>
                    </w:rPr>
                  </w:pPr>
                  <w:r>
                    <w:rPr>
                      <w:rFonts w:hint="default"/>
                      <w:color w:val="auto"/>
                      <w:szCs w:val="21"/>
                      <w:highlight w:val="none"/>
                    </w:rPr>
                    <w:t>监测时段</w:t>
                  </w:r>
                </w:p>
              </w:tc>
            </w:tr>
            <w:tr w14:paraId="3FB512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668" w:type="pct"/>
                  <w:vMerge w:val="continue"/>
                  <w:tcBorders>
                    <w:tl2br w:val="nil"/>
                    <w:tr2bl w:val="nil"/>
                  </w:tcBorders>
                  <w:vAlign w:val="center"/>
                </w:tcPr>
                <w:p w14:paraId="28610474">
                  <w:pPr>
                    <w:keepNext w:val="0"/>
                    <w:keepLines w:val="0"/>
                    <w:suppressLineNumbers w:val="0"/>
                    <w:spacing w:before="0" w:beforeAutospacing="0" w:after="0" w:afterAutospacing="0" w:line="320" w:lineRule="atLeast"/>
                    <w:ind w:left="0" w:right="0"/>
                    <w:jc w:val="center"/>
                    <w:rPr>
                      <w:rFonts w:hint="default"/>
                      <w:color w:val="auto"/>
                      <w:szCs w:val="21"/>
                      <w:highlight w:val="none"/>
                    </w:rPr>
                  </w:pPr>
                </w:p>
              </w:tc>
              <w:tc>
                <w:tcPr>
                  <w:tcW w:w="1171" w:type="pct"/>
                  <w:tcBorders>
                    <w:tl2br w:val="nil"/>
                    <w:tr2bl w:val="nil"/>
                  </w:tcBorders>
                  <w:vAlign w:val="center"/>
                </w:tcPr>
                <w:p w14:paraId="1D7AF10A">
                  <w:pPr>
                    <w:keepNext w:val="0"/>
                    <w:keepLines w:val="0"/>
                    <w:suppressLineNumbers w:val="0"/>
                    <w:spacing w:before="0" w:beforeAutospacing="0" w:after="0" w:afterAutospacing="0" w:line="240" w:lineRule="atLeast"/>
                    <w:ind w:left="0" w:right="0"/>
                    <w:jc w:val="center"/>
                    <w:rPr>
                      <w:rFonts w:hint="default"/>
                      <w:color w:val="auto"/>
                      <w:kern w:val="0"/>
                      <w:szCs w:val="21"/>
                      <w:highlight w:val="none"/>
                    </w:rPr>
                  </w:pPr>
                  <w:r>
                    <w:rPr>
                      <w:rFonts w:hint="default"/>
                      <w:color w:val="auto"/>
                      <w:kern w:val="0"/>
                      <w:szCs w:val="21"/>
                      <w:highlight w:val="none"/>
                    </w:rPr>
                    <w:t>北纬</w:t>
                  </w:r>
                </w:p>
              </w:tc>
              <w:tc>
                <w:tcPr>
                  <w:tcW w:w="1202" w:type="pct"/>
                  <w:tcBorders>
                    <w:tl2br w:val="nil"/>
                    <w:tr2bl w:val="nil"/>
                  </w:tcBorders>
                  <w:vAlign w:val="center"/>
                </w:tcPr>
                <w:p w14:paraId="3EE80A94">
                  <w:pPr>
                    <w:keepNext w:val="0"/>
                    <w:keepLines w:val="0"/>
                    <w:suppressLineNumbers w:val="0"/>
                    <w:spacing w:before="0" w:beforeAutospacing="0" w:after="0" w:afterAutospacing="0" w:line="240" w:lineRule="atLeast"/>
                    <w:ind w:left="0" w:right="0"/>
                    <w:jc w:val="center"/>
                    <w:rPr>
                      <w:rFonts w:hint="default"/>
                      <w:color w:val="auto"/>
                      <w:kern w:val="0"/>
                      <w:szCs w:val="21"/>
                      <w:highlight w:val="none"/>
                    </w:rPr>
                  </w:pPr>
                  <w:r>
                    <w:rPr>
                      <w:rFonts w:hint="default"/>
                      <w:color w:val="auto"/>
                      <w:kern w:val="0"/>
                      <w:szCs w:val="21"/>
                      <w:highlight w:val="none"/>
                    </w:rPr>
                    <w:t>东经</w:t>
                  </w:r>
                </w:p>
              </w:tc>
              <w:tc>
                <w:tcPr>
                  <w:tcW w:w="755" w:type="pct"/>
                  <w:vMerge w:val="continue"/>
                  <w:tcBorders>
                    <w:tl2br w:val="nil"/>
                    <w:tr2bl w:val="nil"/>
                  </w:tcBorders>
                  <w:vAlign w:val="center"/>
                </w:tcPr>
                <w:p w14:paraId="6C02083F">
                  <w:pPr>
                    <w:keepNext w:val="0"/>
                    <w:keepLines w:val="0"/>
                    <w:suppressLineNumbers w:val="0"/>
                    <w:spacing w:before="0" w:beforeAutospacing="0" w:after="0" w:afterAutospacing="0" w:line="320" w:lineRule="atLeast"/>
                    <w:ind w:left="0" w:right="0"/>
                    <w:jc w:val="center"/>
                    <w:rPr>
                      <w:rFonts w:hint="default"/>
                      <w:color w:val="auto"/>
                      <w:szCs w:val="21"/>
                      <w:highlight w:val="none"/>
                    </w:rPr>
                  </w:pPr>
                </w:p>
              </w:tc>
              <w:tc>
                <w:tcPr>
                  <w:tcW w:w="1202" w:type="pct"/>
                  <w:vMerge w:val="continue"/>
                  <w:tcBorders>
                    <w:tl2br w:val="nil"/>
                    <w:tr2bl w:val="nil"/>
                  </w:tcBorders>
                  <w:vAlign w:val="center"/>
                </w:tcPr>
                <w:p w14:paraId="05E21DE5">
                  <w:pPr>
                    <w:keepNext w:val="0"/>
                    <w:keepLines w:val="0"/>
                    <w:suppressLineNumbers w:val="0"/>
                    <w:spacing w:before="0" w:beforeAutospacing="0" w:after="0" w:afterAutospacing="0" w:line="320" w:lineRule="atLeast"/>
                    <w:ind w:left="0" w:right="0"/>
                    <w:jc w:val="center"/>
                    <w:rPr>
                      <w:rFonts w:hint="default"/>
                      <w:color w:val="auto"/>
                      <w:szCs w:val="21"/>
                      <w:highlight w:val="none"/>
                    </w:rPr>
                  </w:pPr>
                </w:p>
              </w:tc>
            </w:tr>
            <w:tr w14:paraId="486F21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668" w:type="pct"/>
                  <w:tcBorders>
                    <w:tl2br w:val="nil"/>
                    <w:tr2bl w:val="nil"/>
                  </w:tcBorders>
                  <w:vAlign w:val="center"/>
                </w:tcPr>
                <w:p w14:paraId="24EDF60C">
                  <w:pPr>
                    <w:keepNext w:val="0"/>
                    <w:keepLines w:val="0"/>
                    <w:suppressLineNumbers w:val="0"/>
                    <w:spacing w:before="0" w:beforeAutospacing="0" w:after="0" w:afterAutospacing="0" w:line="320" w:lineRule="atLeast"/>
                    <w:ind w:left="0" w:right="0"/>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1#下风向监测点</w:t>
                  </w:r>
                </w:p>
              </w:tc>
              <w:tc>
                <w:tcPr>
                  <w:tcW w:w="1171" w:type="pct"/>
                  <w:tcBorders>
                    <w:tl2br w:val="nil"/>
                    <w:tr2bl w:val="nil"/>
                  </w:tcBorders>
                  <w:vAlign w:val="center"/>
                </w:tcPr>
                <w:p w14:paraId="3D672B3B">
                  <w:pPr>
                    <w:pStyle w:val="151"/>
                    <w:keepNext w:val="0"/>
                    <w:keepLines w:val="0"/>
                    <w:suppressLineNumbers w:val="0"/>
                    <w:spacing w:before="0" w:beforeAutospacing="0" w:after="0" w:afterAutospacing="0"/>
                    <w:ind w:left="0" w:right="0"/>
                    <w:rPr>
                      <w:rFonts w:hint="default"/>
                      <w:color w:val="auto"/>
                      <w:szCs w:val="21"/>
                      <w:highlight w:val="none"/>
                    </w:rPr>
                  </w:pPr>
                  <w:r>
                    <w:rPr>
                      <w:rFonts w:hint="eastAsia"/>
                      <w:color w:val="auto"/>
                      <w:szCs w:val="21"/>
                      <w:highlight w:val="none"/>
                      <w:u w:val="none"/>
                      <w:lang w:val="en-US" w:eastAsia="zh-CN"/>
                    </w:rPr>
                    <w:t>132°58</w:t>
                  </w:r>
                  <w:r>
                    <w:rPr>
                      <w:rFonts w:hint="eastAsia"/>
                      <w:color w:val="auto"/>
                      <w:szCs w:val="21"/>
                      <w:highlight w:val="none"/>
                      <w:u w:val="none"/>
                      <w:lang w:eastAsia="zh-CN"/>
                    </w:rPr>
                    <w:t>′</w:t>
                  </w:r>
                  <w:r>
                    <w:rPr>
                      <w:rFonts w:hint="eastAsia"/>
                      <w:color w:val="auto"/>
                      <w:szCs w:val="21"/>
                      <w:highlight w:val="none"/>
                      <w:u w:val="none"/>
                      <w:lang w:val="en-US" w:eastAsia="zh-CN"/>
                    </w:rPr>
                    <w:t>1.837</w:t>
                  </w:r>
                  <w:r>
                    <w:rPr>
                      <w:rFonts w:hint="eastAsia"/>
                      <w:color w:val="auto"/>
                      <w:szCs w:val="21"/>
                      <w:highlight w:val="none"/>
                      <w:u w:val="none"/>
                      <w:lang w:eastAsia="zh-CN"/>
                    </w:rPr>
                    <w:t>″</w:t>
                  </w:r>
                </w:p>
              </w:tc>
              <w:tc>
                <w:tcPr>
                  <w:tcW w:w="1202" w:type="pct"/>
                  <w:tcBorders>
                    <w:tl2br w:val="nil"/>
                    <w:tr2bl w:val="nil"/>
                  </w:tcBorders>
                  <w:vAlign w:val="center"/>
                </w:tcPr>
                <w:p w14:paraId="3DB5280C">
                  <w:pPr>
                    <w:pStyle w:val="151"/>
                    <w:keepNext w:val="0"/>
                    <w:keepLines w:val="0"/>
                    <w:suppressLineNumbers w:val="0"/>
                    <w:spacing w:before="0" w:beforeAutospacing="0" w:after="0" w:afterAutospacing="0"/>
                    <w:ind w:left="0" w:right="0"/>
                    <w:rPr>
                      <w:rFonts w:hint="default"/>
                      <w:color w:val="auto"/>
                      <w:szCs w:val="21"/>
                      <w:highlight w:val="none"/>
                    </w:rPr>
                  </w:pPr>
                  <w:r>
                    <w:rPr>
                      <w:rFonts w:hint="eastAsia"/>
                      <w:color w:val="auto"/>
                      <w:szCs w:val="21"/>
                      <w:highlight w:val="none"/>
                      <w:u w:val="none"/>
                      <w:lang w:val="en-US" w:eastAsia="zh-CN"/>
                    </w:rPr>
                    <w:t>45°44</w:t>
                  </w:r>
                  <w:r>
                    <w:rPr>
                      <w:rFonts w:hint="eastAsia"/>
                      <w:color w:val="auto"/>
                      <w:szCs w:val="21"/>
                      <w:highlight w:val="none"/>
                      <w:u w:val="none"/>
                      <w:lang w:eastAsia="zh-CN"/>
                    </w:rPr>
                    <w:t>′</w:t>
                  </w:r>
                  <w:r>
                    <w:rPr>
                      <w:rFonts w:hint="eastAsia"/>
                      <w:color w:val="auto"/>
                      <w:szCs w:val="21"/>
                      <w:highlight w:val="none"/>
                      <w:u w:val="none"/>
                      <w:lang w:val="en-US" w:eastAsia="zh-CN"/>
                    </w:rPr>
                    <w:t>57.004</w:t>
                  </w:r>
                  <w:r>
                    <w:rPr>
                      <w:rFonts w:hint="eastAsia"/>
                      <w:color w:val="auto"/>
                      <w:szCs w:val="21"/>
                      <w:highlight w:val="none"/>
                      <w:u w:val="none"/>
                      <w:lang w:eastAsia="zh-CN"/>
                    </w:rPr>
                    <w:t>″</w:t>
                  </w:r>
                </w:p>
              </w:tc>
              <w:tc>
                <w:tcPr>
                  <w:tcW w:w="755" w:type="pct"/>
                  <w:tcBorders>
                    <w:tl2br w:val="nil"/>
                    <w:tr2bl w:val="nil"/>
                  </w:tcBorders>
                  <w:vAlign w:val="center"/>
                </w:tcPr>
                <w:p w14:paraId="23FDFA24">
                  <w:pPr>
                    <w:keepNext w:val="0"/>
                    <w:keepLines w:val="0"/>
                    <w:suppressLineNumbers w:val="0"/>
                    <w:spacing w:before="0" w:beforeAutospacing="0" w:after="0" w:afterAutospacing="0" w:line="240" w:lineRule="atLeast"/>
                    <w:ind w:left="0" w:right="0"/>
                    <w:jc w:val="center"/>
                    <w:rPr>
                      <w:rFonts w:hint="default"/>
                      <w:color w:val="auto"/>
                      <w:szCs w:val="21"/>
                      <w:highlight w:val="none"/>
                    </w:rPr>
                  </w:pPr>
                  <w:r>
                    <w:rPr>
                      <w:rFonts w:hint="eastAsia"/>
                      <w:color w:val="auto"/>
                      <w:kern w:val="0"/>
                      <w:szCs w:val="21"/>
                      <w:highlight w:val="none"/>
                    </w:rPr>
                    <w:t>TSP</w:t>
                  </w:r>
                </w:p>
              </w:tc>
              <w:tc>
                <w:tcPr>
                  <w:tcW w:w="1202" w:type="pct"/>
                  <w:tcBorders>
                    <w:tl2br w:val="nil"/>
                    <w:tr2bl w:val="nil"/>
                  </w:tcBorders>
                  <w:vAlign w:val="center"/>
                </w:tcPr>
                <w:p w14:paraId="04A08CCB">
                  <w:pPr>
                    <w:keepNext w:val="0"/>
                    <w:keepLines w:val="0"/>
                    <w:suppressLineNumbers w:val="0"/>
                    <w:spacing w:before="0" w:beforeAutospacing="0" w:after="0" w:afterAutospacing="0" w:line="320" w:lineRule="atLeast"/>
                    <w:ind w:left="0" w:right="0"/>
                    <w:jc w:val="center"/>
                    <w:rPr>
                      <w:rFonts w:hint="default"/>
                      <w:color w:val="auto"/>
                      <w:szCs w:val="21"/>
                      <w:highlight w:val="none"/>
                    </w:rPr>
                  </w:pPr>
                  <w:r>
                    <w:rPr>
                      <w:rFonts w:hint="default" w:ascii="Times New Roman" w:hAnsi="Times New Roman" w:eastAsia="Times New Roman" w:cs="Times New Roman"/>
                      <w:color w:val="auto"/>
                      <w:spacing w:val="5"/>
                      <w:highlight w:val="none"/>
                    </w:rPr>
                    <w:t>24</w:t>
                  </w:r>
                  <w:r>
                    <w:rPr>
                      <w:rFonts w:hint="default"/>
                      <w:color w:val="auto"/>
                      <w:spacing w:val="5"/>
                      <w:highlight w:val="none"/>
                    </w:rPr>
                    <w:t>小时平均值</w:t>
                  </w:r>
                </w:p>
              </w:tc>
            </w:tr>
          </w:tbl>
          <w:p w14:paraId="3E40203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kern w:val="0"/>
                <w:sz w:val="24"/>
                <w:szCs w:val="24"/>
                <w:highlight w:val="none"/>
              </w:rPr>
            </w:pPr>
            <w:r>
              <w:rPr>
                <w:rFonts w:hint="default" w:ascii="Times New Roman" w:hAnsi="Times New Roman" w:cs="Times New Roman"/>
                <w:b/>
                <w:bCs/>
                <w:color w:val="auto"/>
                <w:kern w:val="0"/>
                <w:sz w:val="24"/>
                <w:szCs w:val="24"/>
                <w:highlight w:val="none"/>
              </w:rPr>
              <w:t>表3-</w:t>
            </w:r>
            <w:r>
              <w:rPr>
                <w:rFonts w:hint="default" w:ascii="Times New Roman" w:hAnsi="Times New Roman" w:cs="Times New Roman"/>
                <w:b/>
                <w:bCs/>
                <w:color w:val="auto"/>
                <w:kern w:val="0"/>
                <w:sz w:val="24"/>
                <w:szCs w:val="24"/>
                <w:highlight w:val="none"/>
                <w:lang w:val="en-US" w:eastAsia="zh-CN"/>
              </w:rPr>
              <w:t>3</w:t>
            </w:r>
            <w:r>
              <w:rPr>
                <w:rFonts w:hint="eastAsia" w:cs="Times New Roman"/>
                <w:b/>
                <w:bCs/>
                <w:color w:val="auto"/>
                <w:kern w:val="0"/>
                <w:sz w:val="24"/>
                <w:szCs w:val="24"/>
                <w:highlight w:val="none"/>
                <w:lang w:val="en-US" w:eastAsia="zh-CN"/>
              </w:rPr>
              <w:t xml:space="preserve"> </w:t>
            </w:r>
            <w:r>
              <w:rPr>
                <w:rFonts w:hint="default" w:ascii="Times New Roman" w:hAnsi="Times New Roman" w:cs="Times New Roman"/>
                <w:b/>
                <w:bCs/>
                <w:color w:val="auto"/>
                <w:kern w:val="0"/>
                <w:sz w:val="24"/>
                <w:szCs w:val="24"/>
                <w:highlight w:val="none"/>
              </w:rPr>
              <w:t>监测结果</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3"/>
              <w:gridCol w:w="1051"/>
              <w:gridCol w:w="1187"/>
              <w:gridCol w:w="657"/>
              <w:gridCol w:w="660"/>
              <w:gridCol w:w="990"/>
              <w:gridCol w:w="1020"/>
              <w:gridCol w:w="762"/>
              <w:gridCol w:w="538"/>
              <w:gridCol w:w="538"/>
            </w:tblGrid>
            <w:tr w14:paraId="429FE6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393" w:type="pct"/>
                  <w:vMerge w:val="restart"/>
                  <w:tcBorders>
                    <w:tl2br w:val="nil"/>
                    <w:tr2bl w:val="nil"/>
                  </w:tcBorders>
                  <w:tcMar>
                    <w:left w:w="57" w:type="dxa"/>
                    <w:right w:w="57" w:type="dxa"/>
                  </w:tcMar>
                  <w:vAlign w:val="center"/>
                </w:tcPr>
                <w:p w14:paraId="3D85EDB7">
                  <w:pPr>
                    <w:keepNext w:val="0"/>
                    <w:keepLines w:val="0"/>
                    <w:suppressLineNumbers w:val="0"/>
                    <w:spacing w:before="0" w:beforeAutospacing="0" w:after="0" w:afterAutospacing="0" w:line="320" w:lineRule="exact"/>
                    <w:ind w:left="0" w:right="0"/>
                    <w:jc w:val="center"/>
                    <w:rPr>
                      <w:rFonts w:hint="default"/>
                      <w:color w:val="auto"/>
                      <w:kern w:val="0"/>
                      <w:szCs w:val="21"/>
                      <w:highlight w:val="none"/>
                    </w:rPr>
                  </w:pPr>
                  <w:r>
                    <w:rPr>
                      <w:rFonts w:hint="default"/>
                      <w:color w:val="auto"/>
                      <w:kern w:val="0"/>
                      <w:szCs w:val="21"/>
                      <w:highlight w:val="none"/>
                    </w:rPr>
                    <w:t>监测点位</w:t>
                  </w:r>
                </w:p>
              </w:tc>
              <w:tc>
                <w:tcPr>
                  <w:tcW w:w="1392" w:type="pct"/>
                  <w:gridSpan w:val="2"/>
                  <w:tcBorders>
                    <w:tl2br w:val="nil"/>
                    <w:tr2bl w:val="nil"/>
                  </w:tcBorders>
                  <w:tcMar>
                    <w:left w:w="57" w:type="dxa"/>
                    <w:right w:w="57" w:type="dxa"/>
                  </w:tcMar>
                  <w:vAlign w:val="center"/>
                </w:tcPr>
                <w:p w14:paraId="660C0202">
                  <w:pPr>
                    <w:keepNext w:val="0"/>
                    <w:keepLines w:val="0"/>
                    <w:suppressLineNumbers w:val="0"/>
                    <w:spacing w:before="0" w:beforeAutospacing="0" w:after="0" w:afterAutospacing="0" w:line="320" w:lineRule="exact"/>
                    <w:ind w:left="0" w:right="0"/>
                    <w:jc w:val="center"/>
                    <w:rPr>
                      <w:rFonts w:hint="default"/>
                      <w:color w:val="auto"/>
                      <w:kern w:val="0"/>
                      <w:szCs w:val="21"/>
                      <w:highlight w:val="none"/>
                    </w:rPr>
                  </w:pPr>
                  <w:r>
                    <w:rPr>
                      <w:rFonts w:hint="default"/>
                      <w:color w:val="auto"/>
                      <w:kern w:val="0"/>
                      <w:szCs w:val="21"/>
                      <w:highlight w:val="none"/>
                    </w:rPr>
                    <w:t>监测点坐标</w:t>
                  </w:r>
                </w:p>
              </w:tc>
              <w:tc>
                <w:tcPr>
                  <w:tcW w:w="408" w:type="pct"/>
                  <w:vMerge w:val="restart"/>
                  <w:tcBorders>
                    <w:tl2br w:val="nil"/>
                    <w:tr2bl w:val="nil"/>
                  </w:tcBorders>
                  <w:tcMar>
                    <w:left w:w="57" w:type="dxa"/>
                    <w:right w:w="57" w:type="dxa"/>
                  </w:tcMar>
                  <w:vAlign w:val="center"/>
                </w:tcPr>
                <w:p w14:paraId="06ED5CB8">
                  <w:pPr>
                    <w:keepNext w:val="0"/>
                    <w:keepLines w:val="0"/>
                    <w:suppressLineNumbers w:val="0"/>
                    <w:spacing w:before="0" w:beforeAutospacing="0" w:after="0" w:afterAutospacing="0" w:line="320" w:lineRule="exact"/>
                    <w:ind w:left="0" w:right="0"/>
                    <w:jc w:val="center"/>
                    <w:rPr>
                      <w:rFonts w:hint="default"/>
                      <w:color w:val="auto"/>
                      <w:kern w:val="0"/>
                      <w:szCs w:val="21"/>
                      <w:highlight w:val="none"/>
                    </w:rPr>
                  </w:pPr>
                  <w:r>
                    <w:rPr>
                      <w:rFonts w:hint="default"/>
                      <w:color w:val="auto"/>
                      <w:kern w:val="0"/>
                      <w:szCs w:val="21"/>
                      <w:highlight w:val="none"/>
                    </w:rPr>
                    <w:t>污染物</w:t>
                  </w:r>
                </w:p>
              </w:tc>
              <w:tc>
                <w:tcPr>
                  <w:tcW w:w="410" w:type="pct"/>
                  <w:vMerge w:val="restart"/>
                  <w:tcBorders>
                    <w:tl2br w:val="nil"/>
                    <w:tr2bl w:val="nil"/>
                  </w:tcBorders>
                  <w:tcMar>
                    <w:left w:w="57" w:type="dxa"/>
                    <w:right w:w="57" w:type="dxa"/>
                  </w:tcMar>
                  <w:vAlign w:val="center"/>
                </w:tcPr>
                <w:p w14:paraId="6B6B8C1B">
                  <w:pPr>
                    <w:keepNext w:val="0"/>
                    <w:keepLines w:val="0"/>
                    <w:suppressLineNumbers w:val="0"/>
                    <w:spacing w:before="0" w:beforeAutospacing="0" w:after="0" w:afterAutospacing="0" w:line="320" w:lineRule="exact"/>
                    <w:ind w:left="0" w:right="0"/>
                    <w:jc w:val="center"/>
                    <w:rPr>
                      <w:rFonts w:hint="default"/>
                      <w:color w:val="auto"/>
                      <w:kern w:val="0"/>
                      <w:szCs w:val="21"/>
                      <w:highlight w:val="none"/>
                    </w:rPr>
                  </w:pPr>
                  <w:r>
                    <w:rPr>
                      <w:rFonts w:hint="default"/>
                      <w:color w:val="auto"/>
                      <w:kern w:val="0"/>
                      <w:szCs w:val="21"/>
                      <w:highlight w:val="none"/>
                    </w:rPr>
                    <w:t>平均时间</w:t>
                  </w:r>
                </w:p>
              </w:tc>
              <w:tc>
                <w:tcPr>
                  <w:tcW w:w="615" w:type="pct"/>
                  <w:vMerge w:val="restart"/>
                  <w:tcBorders>
                    <w:tl2br w:val="nil"/>
                    <w:tr2bl w:val="nil"/>
                  </w:tcBorders>
                  <w:tcMar>
                    <w:left w:w="57" w:type="dxa"/>
                    <w:right w:w="57" w:type="dxa"/>
                  </w:tcMar>
                  <w:vAlign w:val="center"/>
                </w:tcPr>
                <w:p w14:paraId="60F2752F">
                  <w:pPr>
                    <w:keepNext w:val="0"/>
                    <w:keepLines w:val="0"/>
                    <w:suppressLineNumbers w:val="0"/>
                    <w:spacing w:before="0" w:beforeAutospacing="0" w:after="0" w:afterAutospacing="0" w:line="320" w:lineRule="exact"/>
                    <w:ind w:left="0" w:right="0"/>
                    <w:jc w:val="center"/>
                    <w:rPr>
                      <w:rFonts w:hint="default"/>
                      <w:color w:val="auto"/>
                      <w:kern w:val="0"/>
                      <w:szCs w:val="21"/>
                      <w:highlight w:val="none"/>
                    </w:rPr>
                  </w:pPr>
                  <w:r>
                    <w:rPr>
                      <w:rFonts w:hint="default"/>
                      <w:color w:val="auto"/>
                      <w:kern w:val="0"/>
                      <w:szCs w:val="21"/>
                      <w:highlight w:val="none"/>
                    </w:rPr>
                    <w:t>评价标准</w:t>
                  </w:r>
                  <w:r>
                    <w:rPr>
                      <w:rFonts w:hint="default"/>
                      <w:color w:val="auto"/>
                      <w:szCs w:val="21"/>
                      <w:highlight w:val="none"/>
                    </w:rPr>
                    <w:t>/</w:t>
                  </w:r>
                  <w:r>
                    <w:rPr>
                      <w:rFonts w:hint="eastAsia"/>
                      <w:color w:val="auto"/>
                      <w:szCs w:val="21"/>
                      <w:highlight w:val="none"/>
                      <w:lang w:eastAsia="zh-CN"/>
                    </w:rPr>
                    <w:t>（</w:t>
                  </w:r>
                  <w:r>
                    <w:rPr>
                      <w:rFonts w:hint="default"/>
                      <w:color w:val="auto"/>
                      <w:szCs w:val="21"/>
                      <w:highlight w:val="none"/>
                    </w:rPr>
                    <w:t>μg/m</w:t>
                  </w:r>
                  <w:r>
                    <w:rPr>
                      <w:rFonts w:hint="default"/>
                      <w:color w:val="auto"/>
                      <w:szCs w:val="21"/>
                      <w:highlight w:val="none"/>
                      <w:vertAlign w:val="superscript"/>
                    </w:rPr>
                    <w:t>3</w:t>
                  </w:r>
                  <w:r>
                    <w:rPr>
                      <w:rFonts w:hint="eastAsia"/>
                      <w:color w:val="auto"/>
                      <w:szCs w:val="21"/>
                      <w:highlight w:val="none"/>
                      <w:lang w:eastAsia="zh-CN"/>
                    </w:rPr>
                    <w:t>）</w:t>
                  </w:r>
                </w:p>
              </w:tc>
              <w:tc>
                <w:tcPr>
                  <w:tcW w:w="634" w:type="pct"/>
                  <w:vMerge w:val="restart"/>
                  <w:tcBorders>
                    <w:tl2br w:val="nil"/>
                    <w:tr2bl w:val="nil"/>
                  </w:tcBorders>
                  <w:tcMar>
                    <w:left w:w="57" w:type="dxa"/>
                    <w:right w:w="57" w:type="dxa"/>
                  </w:tcMar>
                  <w:vAlign w:val="center"/>
                </w:tcPr>
                <w:p w14:paraId="3A65D822">
                  <w:pPr>
                    <w:keepNext w:val="0"/>
                    <w:keepLines w:val="0"/>
                    <w:suppressLineNumbers w:val="0"/>
                    <w:spacing w:before="0" w:beforeAutospacing="0" w:after="0" w:afterAutospacing="0" w:line="320" w:lineRule="exact"/>
                    <w:ind w:left="0" w:right="0"/>
                    <w:jc w:val="center"/>
                    <w:rPr>
                      <w:rFonts w:hint="default"/>
                      <w:color w:val="auto"/>
                      <w:kern w:val="0"/>
                      <w:szCs w:val="21"/>
                      <w:highlight w:val="none"/>
                    </w:rPr>
                  </w:pPr>
                  <w:r>
                    <w:rPr>
                      <w:rFonts w:hint="default"/>
                      <w:color w:val="auto"/>
                      <w:kern w:val="0"/>
                      <w:szCs w:val="21"/>
                      <w:highlight w:val="none"/>
                    </w:rPr>
                    <w:t>监测浓度范围</w:t>
                  </w:r>
                  <w:r>
                    <w:rPr>
                      <w:rFonts w:hint="default"/>
                      <w:color w:val="auto"/>
                      <w:szCs w:val="21"/>
                      <w:highlight w:val="none"/>
                    </w:rPr>
                    <w:t>/</w:t>
                  </w:r>
                  <w:r>
                    <w:rPr>
                      <w:rFonts w:hint="eastAsia"/>
                      <w:color w:val="auto"/>
                      <w:szCs w:val="21"/>
                      <w:highlight w:val="none"/>
                      <w:lang w:eastAsia="zh-CN"/>
                    </w:rPr>
                    <w:t>（</w:t>
                  </w:r>
                  <w:r>
                    <w:rPr>
                      <w:rFonts w:hint="default"/>
                      <w:color w:val="auto"/>
                      <w:szCs w:val="21"/>
                      <w:highlight w:val="none"/>
                    </w:rPr>
                    <w:t>μg/m</w:t>
                  </w:r>
                  <w:r>
                    <w:rPr>
                      <w:rFonts w:hint="default"/>
                      <w:color w:val="auto"/>
                      <w:szCs w:val="21"/>
                      <w:highlight w:val="none"/>
                      <w:vertAlign w:val="superscript"/>
                    </w:rPr>
                    <w:t>3</w:t>
                  </w:r>
                  <w:r>
                    <w:rPr>
                      <w:rFonts w:hint="eastAsia"/>
                      <w:color w:val="auto"/>
                      <w:szCs w:val="21"/>
                      <w:highlight w:val="none"/>
                      <w:lang w:eastAsia="zh-CN"/>
                    </w:rPr>
                    <w:t>）</w:t>
                  </w:r>
                </w:p>
              </w:tc>
              <w:tc>
                <w:tcPr>
                  <w:tcW w:w="474" w:type="pct"/>
                  <w:vMerge w:val="restart"/>
                  <w:tcBorders>
                    <w:tl2br w:val="nil"/>
                    <w:tr2bl w:val="nil"/>
                  </w:tcBorders>
                  <w:tcMar>
                    <w:left w:w="57" w:type="dxa"/>
                    <w:right w:w="57" w:type="dxa"/>
                  </w:tcMar>
                  <w:vAlign w:val="center"/>
                </w:tcPr>
                <w:p w14:paraId="78D5804E">
                  <w:pPr>
                    <w:keepNext w:val="0"/>
                    <w:keepLines w:val="0"/>
                    <w:suppressLineNumbers w:val="0"/>
                    <w:spacing w:before="0" w:beforeAutospacing="0" w:after="0" w:afterAutospacing="0" w:line="320" w:lineRule="exact"/>
                    <w:ind w:left="0" w:right="0"/>
                    <w:jc w:val="center"/>
                    <w:rPr>
                      <w:rFonts w:hint="default"/>
                      <w:color w:val="auto"/>
                      <w:kern w:val="0"/>
                      <w:szCs w:val="21"/>
                      <w:highlight w:val="none"/>
                    </w:rPr>
                  </w:pPr>
                  <w:r>
                    <w:rPr>
                      <w:rFonts w:hint="default"/>
                      <w:color w:val="auto"/>
                      <w:kern w:val="0"/>
                      <w:szCs w:val="21"/>
                      <w:highlight w:val="none"/>
                    </w:rPr>
                    <w:t>最大浓度占标率/%</w:t>
                  </w:r>
                </w:p>
              </w:tc>
              <w:tc>
                <w:tcPr>
                  <w:tcW w:w="334" w:type="pct"/>
                  <w:vMerge w:val="restart"/>
                  <w:tcBorders>
                    <w:tl2br w:val="nil"/>
                    <w:tr2bl w:val="nil"/>
                  </w:tcBorders>
                  <w:tcMar>
                    <w:left w:w="57" w:type="dxa"/>
                    <w:right w:w="57" w:type="dxa"/>
                  </w:tcMar>
                  <w:vAlign w:val="center"/>
                </w:tcPr>
                <w:p w14:paraId="530D7BC4">
                  <w:pPr>
                    <w:keepNext w:val="0"/>
                    <w:keepLines w:val="0"/>
                    <w:suppressLineNumbers w:val="0"/>
                    <w:spacing w:before="0" w:beforeAutospacing="0" w:after="0" w:afterAutospacing="0" w:line="320" w:lineRule="exact"/>
                    <w:ind w:left="0" w:right="0"/>
                    <w:jc w:val="center"/>
                    <w:rPr>
                      <w:rFonts w:hint="default"/>
                      <w:color w:val="auto"/>
                      <w:kern w:val="0"/>
                      <w:szCs w:val="21"/>
                      <w:highlight w:val="none"/>
                    </w:rPr>
                  </w:pPr>
                  <w:r>
                    <w:rPr>
                      <w:rFonts w:hint="default"/>
                      <w:color w:val="auto"/>
                      <w:kern w:val="0"/>
                      <w:szCs w:val="21"/>
                      <w:highlight w:val="none"/>
                    </w:rPr>
                    <w:t>超标率/%</w:t>
                  </w:r>
                </w:p>
              </w:tc>
              <w:tc>
                <w:tcPr>
                  <w:tcW w:w="334" w:type="pct"/>
                  <w:vMerge w:val="restart"/>
                  <w:tcBorders>
                    <w:tl2br w:val="nil"/>
                    <w:tr2bl w:val="nil"/>
                  </w:tcBorders>
                  <w:tcMar>
                    <w:left w:w="57" w:type="dxa"/>
                    <w:right w:w="57" w:type="dxa"/>
                  </w:tcMar>
                  <w:vAlign w:val="center"/>
                </w:tcPr>
                <w:p w14:paraId="231EA458">
                  <w:pPr>
                    <w:keepNext w:val="0"/>
                    <w:keepLines w:val="0"/>
                    <w:suppressLineNumbers w:val="0"/>
                    <w:spacing w:before="0" w:beforeAutospacing="0" w:after="0" w:afterAutospacing="0" w:line="320" w:lineRule="exact"/>
                    <w:ind w:left="0" w:right="0"/>
                    <w:jc w:val="center"/>
                    <w:rPr>
                      <w:rFonts w:hint="default"/>
                      <w:color w:val="auto"/>
                      <w:kern w:val="0"/>
                      <w:szCs w:val="21"/>
                      <w:highlight w:val="none"/>
                    </w:rPr>
                  </w:pPr>
                  <w:r>
                    <w:rPr>
                      <w:rFonts w:hint="default"/>
                      <w:color w:val="auto"/>
                      <w:kern w:val="0"/>
                      <w:szCs w:val="21"/>
                      <w:highlight w:val="none"/>
                    </w:rPr>
                    <w:t>达标情况</w:t>
                  </w:r>
                </w:p>
              </w:tc>
            </w:tr>
            <w:tr w14:paraId="411F45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393" w:type="pct"/>
                  <w:vMerge w:val="continue"/>
                  <w:tcBorders>
                    <w:tl2br w:val="nil"/>
                    <w:tr2bl w:val="nil"/>
                  </w:tcBorders>
                  <w:tcMar>
                    <w:left w:w="57" w:type="dxa"/>
                    <w:right w:w="57" w:type="dxa"/>
                  </w:tcMar>
                  <w:vAlign w:val="center"/>
                </w:tcPr>
                <w:p w14:paraId="342E2011">
                  <w:pPr>
                    <w:keepNext w:val="0"/>
                    <w:keepLines w:val="0"/>
                    <w:suppressLineNumbers w:val="0"/>
                    <w:spacing w:before="0" w:beforeAutospacing="0" w:after="0" w:afterAutospacing="0" w:line="320" w:lineRule="exact"/>
                    <w:ind w:left="0" w:right="0"/>
                    <w:jc w:val="center"/>
                    <w:rPr>
                      <w:rFonts w:hint="default"/>
                      <w:color w:val="auto"/>
                      <w:kern w:val="0"/>
                      <w:szCs w:val="21"/>
                      <w:highlight w:val="none"/>
                    </w:rPr>
                  </w:pPr>
                </w:p>
              </w:tc>
              <w:tc>
                <w:tcPr>
                  <w:tcW w:w="653" w:type="pct"/>
                  <w:tcBorders>
                    <w:tl2br w:val="nil"/>
                    <w:tr2bl w:val="nil"/>
                  </w:tcBorders>
                  <w:tcMar>
                    <w:left w:w="57" w:type="dxa"/>
                    <w:right w:w="57" w:type="dxa"/>
                  </w:tcMar>
                  <w:vAlign w:val="center"/>
                </w:tcPr>
                <w:p w14:paraId="55EFC3EC">
                  <w:pPr>
                    <w:keepNext w:val="0"/>
                    <w:keepLines w:val="0"/>
                    <w:suppressLineNumbers w:val="0"/>
                    <w:spacing w:before="0" w:beforeAutospacing="0" w:after="0" w:afterAutospacing="0" w:line="240" w:lineRule="atLeast"/>
                    <w:ind w:left="0" w:right="0"/>
                    <w:jc w:val="center"/>
                    <w:rPr>
                      <w:rFonts w:hint="default"/>
                      <w:color w:val="auto"/>
                      <w:kern w:val="0"/>
                      <w:szCs w:val="21"/>
                      <w:highlight w:val="none"/>
                    </w:rPr>
                  </w:pPr>
                  <w:r>
                    <w:rPr>
                      <w:rFonts w:hint="default"/>
                      <w:color w:val="auto"/>
                      <w:kern w:val="0"/>
                      <w:szCs w:val="21"/>
                      <w:highlight w:val="none"/>
                    </w:rPr>
                    <w:t>北纬</w:t>
                  </w:r>
                </w:p>
              </w:tc>
              <w:tc>
                <w:tcPr>
                  <w:tcW w:w="738" w:type="pct"/>
                  <w:tcBorders>
                    <w:tl2br w:val="nil"/>
                    <w:tr2bl w:val="nil"/>
                  </w:tcBorders>
                  <w:tcMar>
                    <w:left w:w="57" w:type="dxa"/>
                    <w:right w:w="57" w:type="dxa"/>
                  </w:tcMar>
                  <w:vAlign w:val="center"/>
                </w:tcPr>
                <w:p w14:paraId="67DBE10F">
                  <w:pPr>
                    <w:keepNext w:val="0"/>
                    <w:keepLines w:val="0"/>
                    <w:suppressLineNumbers w:val="0"/>
                    <w:spacing w:before="0" w:beforeAutospacing="0" w:after="0" w:afterAutospacing="0" w:line="240" w:lineRule="atLeast"/>
                    <w:ind w:left="0" w:right="0"/>
                    <w:jc w:val="center"/>
                    <w:rPr>
                      <w:rFonts w:hint="default"/>
                      <w:color w:val="auto"/>
                      <w:kern w:val="0"/>
                      <w:szCs w:val="21"/>
                      <w:highlight w:val="none"/>
                    </w:rPr>
                  </w:pPr>
                  <w:r>
                    <w:rPr>
                      <w:rFonts w:hint="default"/>
                      <w:color w:val="auto"/>
                      <w:kern w:val="0"/>
                      <w:szCs w:val="21"/>
                      <w:highlight w:val="none"/>
                    </w:rPr>
                    <w:t>东经</w:t>
                  </w:r>
                </w:p>
              </w:tc>
              <w:tc>
                <w:tcPr>
                  <w:tcW w:w="408" w:type="pct"/>
                  <w:vMerge w:val="continue"/>
                  <w:tcBorders>
                    <w:tl2br w:val="nil"/>
                    <w:tr2bl w:val="nil"/>
                  </w:tcBorders>
                  <w:tcMar>
                    <w:left w:w="57" w:type="dxa"/>
                    <w:right w:w="57" w:type="dxa"/>
                  </w:tcMar>
                  <w:vAlign w:val="center"/>
                </w:tcPr>
                <w:p w14:paraId="1274A65B">
                  <w:pPr>
                    <w:keepNext w:val="0"/>
                    <w:keepLines w:val="0"/>
                    <w:suppressLineNumbers w:val="0"/>
                    <w:spacing w:before="0" w:beforeAutospacing="0" w:after="0" w:afterAutospacing="0" w:line="320" w:lineRule="exact"/>
                    <w:ind w:left="0" w:right="0"/>
                    <w:jc w:val="center"/>
                    <w:rPr>
                      <w:rFonts w:hint="default"/>
                      <w:color w:val="auto"/>
                      <w:kern w:val="0"/>
                      <w:szCs w:val="21"/>
                      <w:highlight w:val="none"/>
                    </w:rPr>
                  </w:pPr>
                </w:p>
              </w:tc>
              <w:tc>
                <w:tcPr>
                  <w:tcW w:w="410" w:type="pct"/>
                  <w:vMerge w:val="continue"/>
                  <w:tcBorders>
                    <w:tl2br w:val="nil"/>
                    <w:tr2bl w:val="nil"/>
                  </w:tcBorders>
                  <w:tcMar>
                    <w:left w:w="57" w:type="dxa"/>
                    <w:right w:w="57" w:type="dxa"/>
                  </w:tcMar>
                  <w:vAlign w:val="center"/>
                </w:tcPr>
                <w:p w14:paraId="38C20B28">
                  <w:pPr>
                    <w:keepNext w:val="0"/>
                    <w:keepLines w:val="0"/>
                    <w:suppressLineNumbers w:val="0"/>
                    <w:spacing w:before="0" w:beforeAutospacing="0" w:after="0" w:afterAutospacing="0" w:line="320" w:lineRule="exact"/>
                    <w:ind w:left="0" w:right="0"/>
                    <w:jc w:val="center"/>
                    <w:rPr>
                      <w:rFonts w:hint="default"/>
                      <w:color w:val="auto"/>
                      <w:kern w:val="0"/>
                      <w:szCs w:val="21"/>
                      <w:highlight w:val="none"/>
                    </w:rPr>
                  </w:pPr>
                </w:p>
              </w:tc>
              <w:tc>
                <w:tcPr>
                  <w:tcW w:w="615" w:type="pct"/>
                  <w:vMerge w:val="continue"/>
                  <w:tcBorders>
                    <w:tl2br w:val="nil"/>
                    <w:tr2bl w:val="nil"/>
                  </w:tcBorders>
                  <w:tcMar>
                    <w:left w:w="57" w:type="dxa"/>
                    <w:right w:w="57" w:type="dxa"/>
                  </w:tcMar>
                  <w:vAlign w:val="center"/>
                </w:tcPr>
                <w:p w14:paraId="27607C5C">
                  <w:pPr>
                    <w:keepNext w:val="0"/>
                    <w:keepLines w:val="0"/>
                    <w:suppressLineNumbers w:val="0"/>
                    <w:spacing w:before="0" w:beforeAutospacing="0" w:after="0" w:afterAutospacing="0" w:line="320" w:lineRule="exact"/>
                    <w:ind w:left="0" w:right="0"/>
                    <w:jc w:val="center"/>
                    <w:rPr>
                      <w:rFonts w:hint="default"/>
                      <w:color w:val="auto"/>
                      <w:kern w:val="0"/>
                      <w:szCs w:val="21"/>
                      <w:highlight w:val="none"/>
                    </w:rPr>
                  </w:pPr>
                </w:p>
              </w:tc>
              <w:tc>
                <w:tcPr>
                  <w:tcW w:w="634" w:type="pct"/>
                  <w:vMerge w:val="continue"/>
                  <w:tcBorders>
                    <w:tl2br w:val="nil"/>
                    <w:tr2bl w:val="nil"/>
                  </w:tcBorders>
                  <w:tcMar>
                    <w:left w:w="57" w:type="dxa"/>
                    <w:right w:w="57" w:type="dxa"/>
                  </w:tcMar>
                  <w:vAlign w:val="center"/>
                </w:tcPr>
                <w:p w14:paraId="0C77A9D1">
                  <w:pPr>
                    <w:keepNext w:val="0"/>
                    <w:keepLines w:val="0"/>
                    <w:suppressLineNumbers w:val="0"/>
                    <w:spacing w:before="0" w:beforeAutospacing="0" w:after="0" w:afterAutospacing="0" w:line="320" w:lineRule="exact"/>
                    <w:ind w:left="0" w:right="0"/>
                    <w:jc w:val="center"/>
                    <w:rPr>
                      <w:rFonts w:hint="default"/>
                      <w:color w:val="auto"/>
                      <w:kern w:val="0"/>
                      <w:szCs w:val="21"/>
                      <w:highlight w:val="none"/>
                    </w:rPr>
                  </w:pPr>
                </w:p>
              </w:tc>
              <w:tc>
                <w:tcPr>
                  <w:tcW w:w="474" w:type="pct"/>
                  <w:vMerge w:val="continue"/>
                  <w:tcBorders>
                    <w:tl2br w:val="nil"/>
                    <w:tr2bl w:val="nil"/>
                  </w:tcBorders>
                  <w:tcMar>
                    <w:left w:w="57" w:type="dxa"/>
                    <w:right w:w="57" w:type="dxa"/>
                  </w:tcMar>
                  <w:vAlign w:val="center"/>
                </w:tcPr>
                <w:p w14:paraId="73B43645">
                  <w:pPr>
                    <w:keepNext w:val="0"/>
                    <w:keepLines w:val="0"/>
                    <w:suppressLineNumbers w:val="0"/>
                    <w:spacing w:before="0" w:beforeAutospacing="0" w:after="0" w:afterAutospacing="0" w:line="320" w:lineRule="exact"/>
                    <w:ind w:left="0" w:right="0"/>
                    <w:jc w:val="center"/>
                    <w:rPr>
                      <w:rFonts w:hint="default"/>
                      <w:color w:val="auto"/>
                      <w:kern w:val="0"/>
                      <w:szCs w:val="21"/>
                      <w:highlight w:val="none"/>
                    </w:rPr>
                  </w:pPr>
                </w:p>
              </w:tc>
              <w:tc>
                <w:tcPr>
                  <w:tcW w:w="334" w:type="pct"/>
                  <w:vMerge w:val="continue"/>
                  <w:tcBorders>
                    <w:tl2br w:val="nil"/>
                    <w:tr2bl w:val="nil"/>
                  </w:tcBorders>
                  <w:tcMar>
                    <w:left w:w="57" w:type="dxa"/>
                    <w:right w:w="57" w:type="dxa"/>
                  </w:tcMar>
                  <w:vAlign w:val="center"/>
                </w:tcPr>
                <w:p w14:paraId="0625A21B">
                  <w:pPr>
                    <w:keepNext w:val="0"/>
                    <w:keepLines w:val="0"/>
                    <w:suppressLineNumbers w:val="0"/>
                    <w:spacing w:before="0" w:beforeAutospacing="0" w:after="0" w:afterAutospacing="0" w:line="320" w:lineRule="exact"/>
                    <w:ind w:left="0" w:right="0"/>
                    <w:jc w:val="center"/>
                    <w:rPr>
                      <w:rFonts w:hint="default"/>
                      <w:color w:val="auto"/>
                      <w:kern w:val="0"/>
                      <w:szCs w:val="21"/>
                      <w:highlight w:val="none"/>
                    </w:rPr>
                  </w:pPr>
                </w:p>
              </w:tc>
              <w:tc>
                <w:tcPr>
                  <w:tcW w:w="334" w:type="pct"/>
                  <w:vMerge w:val="continue"/>
                  <w:tcBorders>
                    <w:tl2br w:val="nil"/>
                    <w:tr2bl w:val="nil"/>
                  </w:tcBorders>
                  <w:tcMar>
                    <w:left w:w="57" w:type="dxa"/>
                    <w:right w:w="57" w:type="dxa"/>
                  </w:tcMar>
                  <w:vAlign w:val="center"/>
                </w:tcPr>
                <w:p w14:paraId="129D904A">
                  <w:pPr>
                    <w:keepNext w:val="0"/>
                    <w:keepLines w:val="0"/>
                    <w:suppressLineNumbers w:val="0"/>
                    <w:spacing w:before="0" w:beforeAutospacing="0" w:after="0" w:afterAutospacing="0" w:line="320" w:lineRule="exact"/>
                    <w:ind w:left="0" w:right="0"/>
                    <w:jc w:val="center"/>
                    <w:rPr>
                      <w:rFonts w:hint="default"/>
                      <w:color w:val="auto"/>
                      <w:kern w:val="0"/>
                      <w:szCs w:val="21"/>
                      <w:highlight w:val="none"/>
                    </w:rPr>
                  </w:pPr>
                </w:p>
              </w:tc>
            </w:tr>
            <w:tr w14:paraId="38279A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393" w:type="pct"/>
                  <w:tcBorders>
                    <w:tl2br w:val="nil"/>
                    <w:tr2bl w:val="nil"/>
                  </w:tcBorders>
                  <w:tcMar>
                    <w:left w:w="57" w:type="dxa"/>
                    <w:right w:w="57" w:type="dxa"/>
                  </w:tcMar>
                  <w:vAlign w:val="center"/>
                </w:tcPr>
                <w:p w14:paraId="2CF70882">
                  <w:pPr>
                    <w:keepNext w:val="0"/>
                    <w:keepLines w:val="0"/>
                    <w:suppressLineNumbers w:val="0"/>
                    <w:spacing w:before="0" w:beforeAutospacing="0" w:after="0" w:afterAutospacing="0" w:line="320" w:lineRule="atLeast"/>
                    <w:ind w:left="0" w:right="0"/>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1#下风向监测点</w:t>
                  </w:r>
                </w:p>
              </w:tc>
              <w:tc>
                <w:tcPr>
                  <w:tcW w:w="653" w:type="pct"/>
                  <w:tcBorders>
                    <w:tl2br w:val="nil"/>
                    <w:tr2bl w:val="nil"/>
                  </w:tcBorders>
                  <w:tcMar>
                    <w:left w:w="57" w:type="dxa"/>
                    <w:right w:w="57" w:type="dxa"/>
                  </w:tcMar>
                  <w:vAlign w:val="center"/>
                </w:tcPr>
                <w:p w14:paraId="56540C84">
                  <w:pPr>
                    <w:pStyle w:val="151"/>
                    <w:keepNext w:val="0"/>
                    <w:keepLines w:val="0"/>
                    <w:suppressLineNumbers w:val="0"/>
                    <w:spacing w:before="0" w:beforeAutospacing="0" w:after="0" w:afterAutospacing="0"/>
                    <w:ind w:left="0" w:right="0"/>
                    <w:rPr>
                      <w:rFonts w:hint="default"/>
                      <w:color w:val="auto"/>
                      <w:szCs w:val="21"/>
                      <w:highlight w:val="none"/>
                    </w:rPr>
                  </w:pPr>
                  <w:r>
                    <w:rPr>
                      <w:rFonts w:hint="eastAsia"/>
                      <w:color w:val="auto"/>
                      <w:szCs w:val="21"/>
                      <w:highlight w:val="none"/>
                      <w:u w:val="none"/>
                      <w:lang w:val="en-US" w:eastAsia="zh-CN"/>
                    </w:rPr>
                    <w:t>132°58</w:t>
                  </w:r>
                  <w:r>
                    <w:rPr>
                      <w:rFonts w:hint="eastAsia"/>
                      <w:color w:val="auto"/>
                      <w:szCs w:val="21"/>
                      <w:highlight w:val="none"/>
                      <w:u w:val="none"/>
                      <w:lang w:eastAsia="zh-CN"/>
                    </w:rPr>
                    <w:t>′</w:t>
                  </w:r>
                  <w:r>
                    <w:rPr>
                      <w:rFonts w:hint="eastAsia"/>
                      <w:color w:val="auto"/>
                      <w:szCs w:val="21"/>
                      <w:highlight w:val="none"/>
                      <w:u w:val="none"/>
                      <w:lang w:val="en-US" w:eastAsia="zh-CN"/>
                    </w:rPr>
                    <w:t>1.837</w:t>
                  </w:r>
                  <w:r>
                    <w:rPr>
                      <w:rFonts w:hint="eastAsia"/>
                      <w:color w:val="auto"/>
                      <w:szCs w:val="21"/>
                      <w:highlight w:val="none"/>
                      <w:u w:val="none"/>
                      <w:lang w:eastAsia="zh-CN"/>
                    </w:rPr>
                    <w:t>″</w:t>
                  </w:r>
                </w:p>
              </w:tc>
              <w:tc>
                <w:tcPr>
                  <w:tcW w:w="738" w:type="pct"/>
                  <w:tcBorders>
                    <w:tl2br w:val="nil"/>
                    <w:tr2bl w:val="nil"/>
                  </w:tcBorders>
                  <w:tcMar>
                    <w:left w:w="57" w:type="dxa"/>
                    <w:right w:w="57" w:type="dxa"/>
                  </w:tcMar>
                  <w:vAlign w:val="center"/>
                </w:tcPr>
                <w:p w14:paraId="332D089D">
                  <w:pPr>
                    <w:pStyle w:val="151"/>
                    <w:keepNext w:val="0"/>
                    <w:keepLines w:val="0"/>
                    <w:suppressLineNumbers w:val="0"/>
                    <w:spacing w:before="0" w:beforeAutospacing="0" w:after="0" w:afterAutospacing="0"/>
                    <w:ind w:left="0" w:right="0"/>
                    <w:rPr>
                      <w:rFonts w:hint="default"/>
                      <w:color w:val="auto"/>
                      <w:szCs w:val="21"/>
                      <w:highlight w:val="none"/>
                    </w:rPr>
                  </w:pPr>
                  <w:r>
                    <w:rPr>
                      <w:rFonts w:hint="eastAsia"/>
                      <w:color w:val="auto"/>
                      <w:szCs w:val="21"/>
                      <w:highlight w:val="none"/>
                      <w:u w:val="none"/>
                      <w:lang w:val="en-US" w:eastAsia="zh-CN"/>
                    </w:rPr>
                    <w:t>45°44</w:t>
                  </w:r>
                  <w:r>
                    <w:rPr>
                      <w:rFonts w:hint="eastAsia"/>
                      <w:color w:val="auto"/>
                      <w:szCs w:val="21"/>
                      <w:highlight w:val="none"/>
                      <w:u w:val="none"/>
                      <w:lang w:eastAsia="zh-CN"/>
                    </w:rPr>
                    <w:t>′</w:t>
                  </w:r>
                  <w:r>
                    <w:rPr>
                      <w:rFonts w:hint="eastAsia"/>
                      <w:color w:val="auto"/>
                      <w:szCs w:val="21"/>
                      <w:highlight w:val="none"/>
                      <w:u w:val="none"/>
                      <w:lang w:val="en-US" w:eastAsia="zh-CN"/>
                    </w:rPr>
                    <w:t>57.004</w:t>
                  </w:r>
                  <w:r>
                    <w:rPr>
                      <w:rFonts w:hint="eastAsia"/>
                      <w:color w:val="auto"/>
                      <w:szCs w:val="21"/>
                      <w:highlight w:val="none"/>
                      <w:u w:val="none"/>
                      <w:lang w:eastAsia="zh-CN"/>
                    </w:rPr>
                    <w:t>″</w:t>
                  </w:r>
                </w:p>
              </w:tc>
              <w:tc>
                <w:tcPr>
                  <w:tcW w:w="408" w:type="pct"/>
                  <w:tcBorders>
                    <w:tl2br w:val="nil"/>
                    <w:tr2bl w:val="nil"/>
                  </w:tcBorders>
                  <w:tcMar>
                    <w:left w:w="57" w:type="dxa"/>
                    <w:right w:w="57" w:type="dxa"/>
                  </w:tcMar>
                  <w:vAlign w:val="center"/>
                </w:tcPr>
                <w:p w14:paraId="22B76C2E">
                  <w:pPr>
                    <w:keepNext w:val="0"/>
                    <w:keepLines w:val="0"/>
                    <w:suppressLineNumbers w:val="0"/>
                    <w:spacing w:before="0" w:beforeAutospacing="0" w:after="0" w:afterAutospacing="0" w:line="240" w:lineRule="atLeast"/>
                    <w:ind w:left="0" w:right="0"/>
                    <w:jc w:val="center"/>
                    <w:rPr>
                      <w:rFonts w:hint="default"/>
                      <w:color w:val="auto"/>
                      <w:szCs w:val="21"/>
                      <w:highlight w:val="none"/>
                    </w:rPr>
                  </w:pPr>
                  <w:r>
                    <w:rPr>
                      <w:rFonts w:hint="eastAsia"/>
                      <w:color w:val="auto"/>
                      <w:kern w:val="0"/>
                      <w:szCs w:val="21"/>
                      <w:highlight w:val="none"/>
                    </w:rPr>
                    <w:t>TSP</w:t>
                  </w:r>
                </w:p>
              </w:tc>
              <w:tc>
                <w:tcPr>
                  <w:tcW w:w="410" w:type="pct"/>
                  <w:tcBorders>
                    <w:tl2br w:val="nil"/>
                    <w:tr2bl w:val="nil"/>
                  </w:tcBorders>
                  <w:tcMar>
                    <w:left w:w="57" w:type="dxa"/>
                    <w:right w:w="57" w:type="dxa"/>
                  </w:tcMar>
                  <w:vAlign w:val="center"/>
                </w:tcPr>
                <w:p w14:paraId="755D1070">
                  <w:pPr>
                    <w:keepNext w:val="0"/>
                    <w:keepLines w:val="0"/>
                    <w:suppressLineNumbers w:val="0"/>
                    <w:spacing w:before="0" w:beforeAutospacing="0" w:after="0" w:afterAutospacing="0" w:line="320" w:lineRule="exact"/>
                    <w:ind w:left="0" w:right="0"/>
                    <w:jc w:val="center"/>
                    <w:rPr>
                      <w:rFonts w:hint="default"/>
                      <w:color w:val="auto"/>
                      <w:kern w:val="0"/>
                      <w:szCs w:val="21"/>
                      <w:highlight w:val="none"/>
                    </w:rPr>
                  </w:pPr>
                  <w:r>
                    <w:rPr>
                      <w:rFonts w:hint="eastAsia"/>
                      <w:color w:val="auto"/>
                      <w:kern w:val="0"/>
                      <w:szCs w:val="21"/>
                      <w:highlight w:val="none"/>
                    </w:rPr>
                    <w:t>24h</w:t>
                  </w:r>
                </w:p>
              </w:tc>
              <w:tc>
                <w:tcPr>
                  <w:tcW w:w="615" w:type="pct"/>
                  <w:tcBorders>
                    <w:tl2br w:val="nil"/>
                    <w:tr2bl w:val="nil"/>
                  </w:tcBorders>
                  <w:tcMar>
                    <w:left w:w="57" w:type="dxa"/>
                    <w:right w:w="57" w:type="dxa"/>
                  </w:tcMar>
                  <w:vAlign w:val="center"/>
                </w:tcPr>
                <w:p w14:paraId="5E38D291">
                  <w:pPr>
                    <w:keepNext w:val="0"/>
                    <w:keepLines w:val="0"/>
                    <w:suppressLineNumbers w:val="0"/>
                    <w:spacing w:before="0" w:beforeAutospacing="0" w:after="0" w:afterAutospacing="0"/>
                    <w:ind w:left="0" w:right="0"/>
                    <w:jc w:val="center"/>
                    <w:rPr>
                      <w:rFonts w:hint="default"/>
                      <w:color w:val="auto"/>
                      <w:kern w:val="0"/>
                      <w:szCs w:val="21"/>
                      <w:highlight w:val="none"/>
                    </w:rPr>
                  </w:pPr>
                  <w:r>
                    <w:rPr>
                      <w:rFonts w:hint="eastAsia"/>
                      <w:color w:val="auto"/>
                      <w:kern w:val="0"/>
                      <w:szCs w:val="21"/>
                      <w:highlight w:val="none"/>
                    </w:rPr>
                    <w:t>300</w:t>
                  </w:r>
                </w:p>
              </w:tc>
              <w:tc>
                <w:tcPr>
                  <w:tcW w:w="634" w:type="pct"/>
                  <w:tcBorders>
                    <w:tl2br w:val="nil"/>
                    <w:tr2bl w:val="nil"/>
                  </w:tcBorders>
                  <w:tcMar>
                    <w:left w:w="57" w:type="dxa"/>
                    <w:right w:w="57" w:type="dxa"/>
                  </w:tcMar>
                  <w:vAlign w:val="center"/>
                </w:tcPr>
                <w:p w14:paraId="7B70EEC9">
                  <w:pPr>
                    <w:keepNext w:val="0"/>
                    <w:keepLines w:val="0"/>
                    <w:suppressLineNumbers w:val="0"/>
                    <w:spacing w:before="0" w:beforeAutospacing="0" w:after="0" w:afterAutospacing="0" w:line="240" w:lineRule="atLeast"/>
                    <w:ind w:left="0" w:right="0"/>
                    <w:jc w:val="center"/>
                    <w:rPr>
                      <w:rFonts w:hint="default"/>
                      <w:color w:val="auto"/>
                      <w:kern w:val="0"/>
                      <w:szCs w:val="21"/>
                      <w:highlight w:val="none"/>
                      <w:lang w:val="en-US" w:eastAsia="zh-CN"/>
                    </w:rPr>
                  </w:pPr>
                  <w:r>
                    <w:rPr>
                      <w:rFonts w:hint="eastAsia"/>
                      <w:color w:val="auto"/>
                      <w:kern w:val="0"/>
                      <w:szCs w:val="21"/>
                      <w:highlight w:val="none"/>
                      <w:lang w:val="en-US" w:eastAsia="zh-CN"/>
                    </w:rPr>
                    <w:t>86-92</w:t>
                  </w:r>
                </w:p>
              </w:tc>
              <w:tc>
                <w:tcPr>
                  <w:tcW w:w="474" w:type="pct"/>
                  <w:tcBorders>
                    <w:tl2br w:val="nil"/>
                    <w:tr2bl w:val="nil"/>
                  </w:tcBorders>
                  <w:tcMar>
                    <w:left w:w="57" w:type="dxa"/>
                    <w:right w:w="57" w:type="dxa"/>
                  </w:tcMar>
                  <w:vAlign w:val="center"/>
                </w:tcPr>
                <w:p w14:paraId="7FAF3FD6">
                  <w:pPr>
                    <w:keepNext w:val="0"/>
                    <w:keepLines w:val="0"/>
                    <w:suppressLineNumbers w:val="0"/>
                    <w:spacing w:before="0" w:beforeAutospacing="0" w:after="0" w:afterAutospacing="0" w:line="240" w:lineRule="atLeast"/>
                    <w:ind w:left="0" w:right="0"/>
                    <w:jc w:val="center"/>
                    <w:rPr>
                      <w:rFonts w:hint="default"/>
                      <w:color w:val="auto"/>
                      <w:kern w:val="0"/>
                      <w:szCs w:val="21"/>
                      <w:highlight w:val="none"/>
                      <w:lang w:val="en-US" w:eastAsia="zh-CN"/>
                    </w:rPr>
                  </w:pPr>
                  <w:r>
                    <w:rPr>
                      <w:rFonts w:hint="eastAsia"/>
                      <w:color w:val="auto"/>
                      <w:kern w:val="0"/>
                      <w:szCs w:val="21"/>
                      <w:highlight w:val="none"/>
                      <w:lang w:val="en-US" w:eastAsia="zh-CN"/>
                    </w:rPr>
                    <w:t>28.67-30.67</w:t>
                  </w:r>
                </w:p>
              </w:tc>
              <w:tc>
                <w:tcPr>
                  <w:tcW w:w="334" w:type="pct"/>
                  <w:tcBorders>
                    <w:tl2br w:val="nil"/>
                    <w:tr2bl w:val="nil"/>
                  </w:tcBorders>
                  <w:tcMar>
                    <w:left w:w="57" w:type="dxa"/>
                    <w:right w:w="57" w:type="dxa"/>
                  </w:tcMar>
                  <w:vAlign w:val="center"/>
                </w:tcPr>
                <w:p w14:paraId="4951BBE4">
                  <w:pPr>
                    <w:keepNext w:val="0"/>
                    <w:keepLines w:val="0"/>
                    <w:suppressLineNumbers w:val="0"/>
                    <w:spacing w:before="0" w:beforeAutospacing="0" w:after="0" w:afterAutospacing="0"/>
                    <w:ind w:left="0" w:right="0"/>
                    <w:jc w:val="center"/>
                    <w:rPr>
                      <w:rFonts w:hint="default"/>
                      <w:color w:val="auto"/>
                      <w:kern w:val="0"/>
                      <w:szCs w:val="21"/>
                      <w:highlight w:val="none"/>
                    </w:rPr>
                  </w:pPr>
                  <w:r>
                    <w:rPr>
                      <w:rFonts w:hint="eastAsia"/>
                      <w:color w:val="auto"/>
                      <w:kern w:val="0"/>
                      <w:szCs w:val="21"/>
                      <w:highlight w:val="none"/>
                    </w:rPr>
                    <w:t>0</w:t>
                  </w:r>
                </w:p>
              </w:tc>
              <w:tc>
                <w:tcPr>
                  <w:tcW w:w="334" w:type="pct"/>
                  <w:tcBorders>
                    <w:tl2br w:val="nil"/>
                    <w:tr2bl w:val="nil"/>
                  </w:tcBorders>
                  <w:tcMar>
                    <w:left w:w="57" w:type="dxa"/>
                    <w:right w:w="0" w:type="dxa"/>
                  </w:tcMar>
                  <w:vAlign w:val="center"/>
                </w:tcPr>
                <w:p w14:paraId="040AB68C">
                  <w:pPr>
                    <w:keepNext w:val="0"/>
                    <w:keepLines w:val="0"/>
                    <w:suppressLineNumbers w:val="0"/>
                    <w:spacing w:before="0" w:beforeAutospacing="0" w:after="0" w:afterAutospacing="0"/>
                    <w:ind w:left="0" w:right="0"/>
                    <w:jc w:val="center"/>
                    <w:rPr>
                      <w:rFonts w:hint="default"/>
                      <w:color w:val="auto"/>
                      <w:kern w:val="0"/>
                      <w:szCs w:val="21"/>
                      <w:highlight w:val="none"/>
                    </w:rPr>
                  </w:pPr>
                  <w:r>
                    <w:rPr>
                      <w:rFonts w:hint="eastAsia"/>
                      <w:color w:val="auto"/>
                      <w:kern w:val="0"/>
                      <w:szCs w:val="21"/>
                      <w:highlight w:val="none"/>
                    </w:rPr>
                    <w:t>达标</w:t>
                  </w:r>
                </w:p>
              </w:tc>
            </w:tr>
          </w:tbl>
          <w:p w14:paraId="25E542D3">
            <w:pPr>
              <w:keepNext w:val="0"/>
              <w:keepLines w:val="0"/>
              <w:suppressLineNumbers w:val="0"/>
              <w:spacing w:before="0" w:beforeAutospacing="0" w:after="0" w:afterAutospacing="0" w:line="360" w:lineRule="auto"/>
              <w:ind w:left="0" w:right="0" w:firstLine="480" w:firstLineChars="200"/>
              <w:outlineLvl w:val="2"/>
              <w:rPr>
                <w:rFonts w:hint="default"/>
                <w:color w:val="auto"/>
                <w:sz w:val="24"/>
                <w:highlight w:val="none"/>
              </w:rPr>
            </w:pPr>
            <w:bookmarkStart w:id="48" w:name="_Toc9505"/>
            <w:bookmarkStart w:id="49" w:name="_Toc19048"/>
            <w:bookmarkStart w:id="50" w:name="_Toc2753"/>
            <w:bookmarkStart w:id="51" w:name="_Toc21345"/>
            <w:r>
              <w:rPr>
                <w:rFonts w:hint="eastAsia"/>
                <w:color w:val="auto"/>
                <w:sz w:val="24"/>
                <w:highlight w:val="none"/>
              </w:rPr>
              <w:t>现状评价结果表明，项目厂址</w:t>
            </w:r>
            <w:r>
              <w:rPr>
                <w:rFonts w:hint="eastAsia"/>
                <w:color w:val="auto"/>
                <w:sz w:val="24"/>
                <w:highlight w:val="none"/>
                <w:lang w:val="en-US" w:eastAsia="zh-CN"/>
              </w:rPr>
              <w:t>东北侧下风向</w:t>
            </w:r>
            <w:r>
              <w:rPr>
                <w:rFonts w:hint="eastAsia"/>
                <w:color w:val="auto"/>
                <w:sz w:val="24"/>
                <w:highlight w:val="none"/>
              </w:rPr>
              <w:t>监测点TSP的占标百分比均小于1。本项目TSP浓度满足《环境空气质量标准》</w:t>
            </w:r>
            <w:r>
              <w:rPr>
                <w:rFonts w:hint="eastAsia"/>
                <w:color w:val="auto"/>
                <w:sz w:val="24"/>
                <w:highlight w:val="none"/>
                <w:lang w:eastAsia="zh-CN"/>
              </w:rPr>
              <w:t>（</w:t>
            </w:r>
            <w:r>
              <w:rPr>
                <w:rFonts w:hint="eastAsia"/>
                <w:color w:val="auto"/>
                <w:sz w:val="24"/>
                <w:highlight w:val="none"/>
              </w:rPr>
              <w:t>GB3095-2012</w:t>
            </w:r>
            <w:r>
              <w:rPr>
                <w:rFonts w:hint="eastAsia"/>
                <w:color w:val="auto"/>
                <w:sz w:val="24"/>
                <w:highlight w:val="none"/>
                <w:lang w:eastAsia="zh-CN"/>
              </w:rPr>
              <w:t>）</w:t>
            </w:r>
            <w:r>
              <w:rPr>
                <w:rFonts w:hint="eastAsia"/>
                <w:color w:val="auto"/>
                <w:sz w:val="24"/>
                <w:highlight w:val="none"/>
              </w:rPr>
              <w:t>及修改单中二级标准</w:t>
            </w:r>
            <w:r>
              <w:rPr>
                <w:rFonts w:hint="default"/>
                <w:color w:val="auto"/>
                <w:sz w:val="24"/>
                <w:highlight w:val="none"/>
              </w:rPr>
              <w:t>。</w:t>
            </w:r>
            <w:bookmarkEnd w:id="48"/>
            <w:bookmarkEnd w:id="49"/>
            <w:bookmarkEnd w:id="50"/>
            <w:bookmarkEnd w:id="51"/>
          </w:p>
          <w:p w14:paraId="7B5D3C28">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2" w:firstLineChars="200"/>
              <w:textAlignment w:val="auto"/>
              <w:rPr>
                <w:rFonts w:hint="default"/>
                <w:b/>
                <w:bCs/>
                <w:color w:val="auto"/>
                <w:sz w:val="24"/>
                <w:szCs w:val="24"/>
                <w:highlight w:val="none"/>
              </w:rPr>
            </w:pPr>
            <w:r>
              <w:rPr>
                <w:rFonts w:hint="default"/>
                <w:b/>
                <w:bCs/>
                <w:color w:val="auto"/>
                <w:sz w:val="24"/>
                <w:szCs w:val="24"/>
                <w:highlight w:val="none"/>
              </w:rPr>
              <w:t>2、地表水环境</w:t>
            </w:r>
          </w:p>
          <w:p w14:paraId="29B3CDC3">
            <w:pPr>
              <w:keepNext w:val="0"/>
              <w:keepLines w:val="0"/>
              <w:suppressLineNumbers w:val="0"/>
              <w:spacing w:before="0" w:beforeAutospacing="0" w:after="0" w:afterAutospacing="0" w:line="360" w:lineRule="auto"/>
              <w:ind w:left="0" w:right="0" w:firstLine="480" w:firstLineChars="200"/>
              <w:outlineLvl w:val="2"/>
              <w:rPr>
                <w:rFonts w:hint="default" w:ascii="Times New Roman" w:hAnsi="Times New Roman" w:eastAsia="宋体" w:cs="Times New Roman"/>
                <w:color w:val="auto"/>
                <w:sz w:val="24"/>
                <w:highlight w:val="none"/>
                <w:lang w:val="zh-CN" w:eastAsia="zh-CN"/>
              </w:rPr>
            </w:pPr>
            <w:bookmarkStart w:id="52" w:name="_Toc27133"/>
            <w:bookmarkStart w:id="53" w:name="_Toc19779"/>
            <w:bookmarkStart w:id="54" w:name="_Toc30198"/>
            <w:bookmarkStart w:id="55" w:name="_Toc18551"/>
            <w:r>
              <w:rPr>
                <w:rFonts w:hint="default" w:ascii="Times New Roman" w:hAnsi="Times New Roman" w:eastAsia="宋体" w:cs="Times New Roman"/>
                <w:color w:val="auto"/>
                <w:sz w:val="24"/>
                <w:highlight w:val="none"/>
                <w:lang w:val="en-US" w:eastAsia="zh-CN"/>
              </w:rPr>
              <w:t>本项目选址地表水体为穆棱河，根据《全国重要江河湖泊水功能区划（2011-2030年）》</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zh-CN" w:eastAsia="zh-CN"/>
              </w:rPr>
              <w:t>本项目纳污断面属穆棱河</w:t>
            </w:r>
            <w:r>
              <w:rPr>
                <w:rFonts w:hint="default" w:ascii="Times New Roman" w:hAnsi="Times New Roman" w:eastAsia="宋体" w:cs="Times New Roman"/>
                <w:color w:val="auto"/>
                <w:sz w:val="24"/>
                <w:highlight w:val="none"/>
                <w:lang w:val="en-US" w:eastAsia="zh-CN"/>
              </w:rPr>
              <w:t>口内，水质目标为Ⅲ类，根据鸡西市生态环境局网站公布的2024年1月—12月《鸡西市地表水国控考核断面水质信息公开》，</w:t>
            </w:r>
            <w:r>
              <w:rPr>
                <w:rFonts w:hint="default" w:ascii="Times New Roman" w:hAnsi="Times New Roman" w:eastAsia="宋体" w:cs="Times New Roman"/>
                <w:color w:val="auto"/>
                <w:sz w:val="24"/>
                <w:highlight w:val="none"/>
                <w:lang w:val="zh-CN" w:eastAsia="zh-CN"/>
              </w:rPr>
              <w:t>穆棱河水质现状</w:t>
            </w:r>
            <w:r>
              <w:rPr>
                <w:rFonts w:hint="default" w:ascii="Times New Roman" w:hAnsi="Times New Roman" w:eastAsia="宋体" w:cs="Times New Roman"/>
                <w:color w:val="auto"/>
                <w:sz w:val="24"/>
                <w:highlight w:val="none"/>
                <w:lang w:val="en-US" w:eastAsia="zh-CN"/>
              </w:rPr>
              <w:t>能够</w:t>
            </w:r>
            <w:r>
              <w:rPr>
                <w:rFonts w:hint="default" w:ascii="Times New Roman" w:hAnsi="Times New Roman" w:eastAsia="宋体" w:cs="Times New Roman"/>
                <w:color w:val="auto"/>
                <w:sz w:val="24"/>
                <w:highlight w:val="none"/>
                <w:lang w:val="zh-CN" w:eastAsia="zh-CN"/>
              </w:rPr>
              <w:t>满足《地表水质量标准（GB3838-2002）》中的Ⅲ类标准。</w:t>
            </w:r>
            <w:bookmarkEnd w:id="52"/>
            <w:bookmarkEnd w:id="53"/>
            <w:bookmarkEnd w:id="54"/>
            <w:bookmarkEnd w:id="55"/>
          </w:p>
          <w:p w14:paraId="2A54F61C">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2" w:firstLineChars="200"/>
              <w:textAlignment w:val="auto"/>
              <w:rPr>
                <w:rFonts w:hint="default"/>
                <w:b/>
                <w:bCs/>
                <w:color w:val="auto"/>
                <w:sz w:val="24"/>
                <w:szCs w:val="24"/>
                <w:highlight w:val="none"/>
              </w:rPr>
            </w:pPr>
            <w:r>
              <w:rPr>
                <w:rFonts w:hint="default"/>
                <w:b/>
                <w:bCs/>
                <w:color w:val="auto"/>
                <w:sz w:val="24"/>
                <w:szCs w:val="24"/>
                <w:highlight w:val="none"/>
              </w:rPr>
              <w:t>3、声环境</w:t>
            </w:r>
          </w:p>
          <w:p w14:paraId="76E560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auto"/>
              <w:rPr>
                <w:rFonts w:hint="eastAsia" w:ascii="Times New Roman" w:hAnsi="Times New Roman" w:eastAsia="宋体" w:cs="Times New Roman"/>
                <w:color w:val="auto"/>
                <w:kern w:val="0"/>
                <w:sz w:val="24"/>
                <w:szCs w:val="24"/>
                <w:highlight w:val="none"/>
                <w:lang w:val="en-US" w:eastAsia="zh-CN" w:bidi="he-IL"/>
              </w:rPr>
            </w:pPr>
            <w:r>
              <w:rPr>
                <w:rFonts w:hint="eastAsia" w:ascii="Times New Roman" w:hAnsi="Times New Roman" w:eastAsia="宋体" w:cs="Times New Roman"/>
                <w:color w:val="auto"/>
                <w:kern w:val="0"/>
                <w:sz w:val="24"/>
                <w:szCs w:val="24"/>
                <w:highlight w:val="none"/>
                <w:lang w:val="en-US" w:eastAsia="zh-CN" w:bidi="he-IL"/>
              </w:rPr>
              <w:t>本项目位于鸡西市，根据《202</w:t>
            </w:r>
            <w:r>
              <w:rPr>
                <w:rFonts w:hint="eastAsia" w:cs="Times New Roman"/>
                <w:color w:val="auto"/>
                <w:kern w:val="0"/>
                <w:sz w:val="24"/>
                <w:szCs w:val="24"/>
                <w:highlight w:val="none"/>
                <w:lang w:val="en-US" w:eastAsia="zh-CN" w:bidi="he-IL"/>
              </w:rPr>
              <w:t>4</w:t>
            </w:r>
            <w:r>
              <w:rPr>
                <w:rFonts w:hint="eastAsia" w:ascii="Times New Roman" w:hAnsi="Times New Roman" w:eastAsia="宋体" w:cs="Times New Roman"/>
                <w:color w:val="auto"/>
                <w:kern w:val="0"/>
                <w:sz w:val="24"/>
                <w:szCs w:val="24"/>
                <w:highlight w:val="none"/>
                <w:lang w:val="en-US" w:eastAsia="zh-CN" w:bidi="he-IL"/>
              </w:rPr>
              <w:t>年黑龙江省生态环境质量状况》，鸡西市区域昼间声环境质量为二级，等效声级为54.9dB（A），夜间声环境质量为二级，等效声级为42.6dB（A）；道路交通昼间声环境质量为一级，等效声级为66.5dB（A），夜间声环境质量为一级，等效声级为53.4dB（A）；功能区昼间达标率100%；功能区夜间达标率100%。</w:t>
            </w:r>
          </w:p>
          <w:p w14:paraId="37C533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auto"/>
              <w:rPr>
                <w:rFonts w:hint="eastAsia" w:ascii="Times New Roman" w:hAnsi="Times New Roman" w:eastAsia="宋体" w:cs="Times New Roman"/>
                <w:color w:val="auto"/>
                <w:kern w:val="0"/>
                <w:sz w:val="24"/>
                <w:szCs w:val="24"/>
                <w:highlight w:val="none"/>
                <w:lang w:val="en-US" w:eastAsia="zh-CN" w:bidi="he-IL"/>
              </w:rPr>
            </w:pPr>
            <w:r>
              <w:rPr>
                <w:rFonts w:hint="eastAsia" w:ascii="Times New Roman" w:hAnsi="Times New Roman" w:eastAsia="宋体" w:cs="Times New Roman"/>
                <w:color w:val="auto"/>
                <w:kern w:val="0"/>
                <w:sz w:val="24"/>
                <w:szCs w:val="24"/>
                <w:highlight w:val="none"/>
                <w:lang w:val="en-US" w:eastAsia="zh-CN" w:bidi="he-IL"/>
              </w:rPr>
              <w:t>根据《虎林市人民政府办公室关于印发虎林市城市声环境功能区划分方案的通知》（虎政办规〔2021〕5号），本项目位于2类声环境功能区内。厂界</w:t>
            </w:r>
            <w:r>
              <w:rPr>
                <w:rFonts w:hint="eastAsia" w:ascii="Times New Roman" w:hAnsi="Times New Roman" w:cs="Times New Roman"/>
                <w:color w:val="auto"/>
                <w:kern w:val="0"/>
                <w:sz w:val="24"/>
                <w:szCs w:val="24"/>
                <w:highlight w:val="none"/>
                <w:lang w:val="en-US" w:eastAsia="zh-CN" w:bidi="he-IL"/>
              </w:rPr>
              <w:t>北侧、南侧、西侧</w:t>
            </w:r>
            <w:r>
              <w:rPr>
                <w:rFonts w:hint="eastAsia" w:ascii="Times New Roman" w:hAnsi="Times New Roman" w:eastAsia="宋体" w:cs="Times New Roman"/>
                <w:color w:val="auto"/>
                <w:kern w:val="0"/>
                <w:sz w:val="24"/>
                <w:szCs w:val="24"/>
                <w:highlight w:val="none"/>
                <w:lang w:val="en-US" w:eastAsia="zh-CN" w:bidi="he-IL"/>
              </w:rPr>
              <w:t>执行《声环境质量标准》（GB3096-2008）2类标准。</w:t>
            </w:r>
            <w:r>
              <w:rPr>
                <w:rFonts w:hint="eastAsia"/>
                <w:color w:val="auto"/>
                <w:sz w:val="24"/>
                <w:szCs w:val="24"/>
                <w:highlight w:val="none"/>
                <w:lang w:val="en-US" w:eastAsia="zh-CN"/>
              </w:rPr>
              <w:t>根据《声环境功能区划分技术规范》4.5“4b类为铁路干线两侧区域”，厂界东侧为铁路线（密东线，非专用线），距离20m，</w:t>
            </w:r>
            <w:r>
              <w:rPr>
                <w:rFonts w:hint="eastAsia" w:ascii="Times New Roman" w:hAnsi="Times New Roman" w:cs="Times New Roman"/>
                <w:color w:val="auto"/>
                <w:kern w:val="0"/>
                <w:sz w:val="24"/>
                <w:szCs w:val="24"/>
                <w:highlight w:val="none"/>
                <w:lang w:val="en-US" w:eastAsia="zh-CN" w:bidi="he-IL"/>
              </w:rPr>
              <w:t>东侧执行</w:t>
            </w:r>
            <w:r>
              <w:rPr>
                <w:rFonts w:hint="eastAsia" w:ascii="Times New Roman" w:hAnsi="Times New Roman" w:eastAsia="宋体" w:cs="Times New Roman"/>
                <w:color w:val="auto"/>
                <w:kern w:val="0"/>
                <w:sz w:val="24"/>
                <w:szCs w:val="24"/>
                <w:highlight w:val="none"/>
                <w:lang w:val="en-US" w:eastAsia="zh-CN" w:bidi="he-IL"/>
              </w:rPr>
              <w:t>《声环境质量标准》（</w:t>
            </w:r>
            <w:r>
              <w:rPr>
                <w:rFonts w:hint="default" w:ascii="Times New Roman" w:hAnsi="Times New Roman" w:eastAsia="宋体" w:cs="Times New Roman"/>
                <w:color w:val="auto"/>
                <w:kern w:val="0"/>
                <w:sz w:val="24"/>
                <w:szCs w:val="24"/>
                <w:highlight w:val="none"/>
                <w:lang w:val="en-US" w:eastAsia="zh-CN" w:bidi="he-IL"/>
              </w:rPr>
              <w:t>GB3096-2008</w:t>
            </w:r>
            <w:r>
              <w:rPr>
                <w:rFonts w:hint="eastAsia" w:ascii="Times New Roman" w:hAnsi="Times New Roman" w:eastAsia="宋体" w:cs="Times New Roman"/>
                <w:color w:val="auto"/>
                <w:kern w:val="0"/>
                <w:sz w:val="24"/>
                <w:szCs w:val="24"/>
                <w:highlight w:val="none"/>
                <w:lang w:val="en-US" w:eastAsia="zh-CN" w:bidi="he-IL"/>
              </w:rPr>
              <w:t>）中</w:t>
            </w:r>
            <w:r>
              <w:rPr>
                <w:rFonts w:hint="default" w:ascii="Times New Roman" w:hAnsi="Times New Roman" w:eastAsia="宋体" w:cs="Times New Roman"/>
                <w:color w:val="auto"/>
                <w:kern w:val="0"/>
                <w:sz w:val="24"/>
                <w:szCs w:val="24"/>
                <w:highlight w:val="none"/>
                <w:lang w:val="en-US" w:eastAsia="zh-CN" w:bidi="he-IL"/>
              </w:rPr>
              <w:t>4b</w:t>
            </w:r>
            <w:r>
              <w:rPr>
                <w:rFonts w:hint="eastAsia" w:ascii="Times New Roman" w:hAnsi="Times New Roman" w:eastAsia="宋体" w:cs="Times New Roman"/>
                <w:color w:val="auto"/>
                <w:kern w:val="0"/>
                <w:sz w:val="24"/>
                <w:szCs w:val="24"/>
                <w:highlight w:val="none"/>
                <w:lang w:val="en-US" w:eastAsia="zh-CN" w:bidi="he-IL"/>
              </w:rPr>
              <w:t>类标准限值要求，项目所在区域声环境质量良好。</w:t>
            </w:r>
          </w:p>
          <w:p w14:paraId="798462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auto"/>
              <w:rPr>
                <w:rFonts w:hint="default" w:ascii="Times New Roman" w:hAnsi="Times New Roman" w:eastAsia="宋体" w:cs="Times New Roman"/>
                <w:color w:val="auto"/>
                <w:kern w:val="0"/>
                <w:sz w:val="24"/>
                <w:szCs w:val="24"/>
                <w:highlight w:val="none"/>
                <w:lang w:val="en-US" w:eastAsia="zh-CN" w:bidi="he-IL"/>
              </w:rPr>
            </w:pPr>
            <w:r>
              <w:rPr>
                <w:rFonts w:hint="eastAsia" w:ascii="Times New Roman" w:hAnsi="Times New Roman" w:eastAsia="宋体" w:cs="Times New Roman"/>
                <w:color w:val="auto"/>
                <w:kern w:val="0"/>
                <w:sz w:val="24"/>
                <w:szCs w:val="24"/>
                <w:highlight w:val="none"/>
                <w:lang w:val="en-US" w:eastAsia="zh-CN" w:bidi="he-IL"/>
              </w:rPr>
              <w:t>（</w:t>
            </w:r>
            <w:r>
              <w:rPr>
                <w:rFonts w:hint="default" w:ascii="Times New Roman" w:hAnsi="Times New Roman" w:eastAsia="宋体" w:cs="Times New Roman"/>
                <w:color w:val="auto"/>
                <w:kern w:val="0"/>
                <w:sz w:val="24"/>
                <w:szCs w:val="24"/>
                <w:highlight w:val="none"/>
                <w:lang w:val="en-US" w:eastAsia="zh-CN" w:bidi="he-IL"/>
              </w:rPr>
              <w:t>1）监测点布设</w:t>
            </w:r>
          </w:p>
          <w:p w14:paraId="7A559B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auto"/>
              <w:rPr>
                <w:rFonts w:hint="eastAsia" w:ascii="Times New Roman" w:hAnsi="Times New Roman" w:eastAsia="宋体" w:cs="Times New Roman"/>
                <w:color w:val="auto"/>
                <w:kern w:val="0"/>
                <w:sz w:val="24"/>
                <w:szCs w:val="24"/>
                <w:highlight w:val="none"/>
                <w:lang w:val="en-US" w:eastAsia="zh-CN" w:bidi="he-IL"/>
              </w:rPr>
            </w:pPr>
            <w:r>
              <w:rPr>
                <w:rFonts w:hint="default" w:ascii="Times New Roman" w:hAnsi="Times New Roman" w:eastAsia="宋体" w:cs="Times New Roman"/>
                <w:color w:val="auto"/>
                <w:kern w:val="0"/>
                <w:sz w:val="24"/>
                <w:szCs w:val="24"/>
                <w:highlight w:val="none"/>
                <w:lang w:val="en-US" w:eastAsia="zh-CN" w:bidi="he-IL"/>
              </w:rPr>
              <w:t>本次评价在厂界</w:t>
            </w:r>
            <w:r>
              <w:rPr>
                <w:rFonts w:hint="eastAsia" w:ascii="Times New Roman" w:hAnsi="Times New Roman" w:eastAsia="宋体" w:cs="Times New Roman"/>
                <w:color w:val="auto"/>
                <w:kern w:val="0"/>
                <w:sz w:val="24"/>
                <w:szCs w:val="24"/>
                <w:highlight w:val="none"/>
                <w:lang w:val="en-US" w:eastAsia="zh-CN" w:bidi="he-IL"/>
              </w:rPr>
              <w:t>外</w:t>
            </w:r>
            <w:r>
              <w:rPr>
                <w:rFonts w:hint="default" w:ascii="Times New Roman" w:hAnsi="Times New Roman" w:eastAsia="宋体" w:cs="Times New Roman"/>
                <w:color w:val="auto"/>
                <w:kern w:val="0"/>
                <w:sz w:val="24"/>
                <w:szCs w:val="24"/>
                <w:highlight w:val="none"/>
                <w:lang w:val="en-US" w:eastAsia="zh-CN" w:bidi="he-IL"/>
              </w:rPr>
              <w:t>敏感点布设1个监测点。</w:t>
            </w:r>
            <w:r>
              <w:rPr>
                <w:rFonts w:hint="eastAsia" w:ascii="Times New Roman" w:hAnsi="Times New Roman" w:eastAsia="宋体" w:cs="Times New Roman"/>
                <w:b w:val="0"/>
                <w:bCs w:val="0"/>
                <w:color w:val="auto"/>
                <w:sz w:val="24"/>
                <w:szCs w:val="24"/>
                <w:lang w:val="en-US" w:eastAsia="zh-CN"/>
              </w:rPr>
              <w:t>敏感点监测点位与铁路的距离为40m，</w:t>
            </w:r>
            <w:r>
              <w:rPr>
                <w:rFonts w:hint="default" w:ascii="Times New Roman" w:hAnsi="Times New Roman" w:eastAsia="宋体" w:cs="Times New Roman"/>
                <w:color w:val="auto"/>
                <w:kern w:val="0"/>
                <w:sz w:val="24"/>
                <w:szCs w:val="24"/>
                <w:highlight w:val="none"/>
                <w:lang w:val="en-US" w:eastAsia="zh-CN" w:bidi="he-IL"/>
              </w:rPr>
              <w:t>详见图3-</w:t>
            </w:r>
            <w:r>
              <w:rPr>
                <w:rFonts w:hint="eastAsia" w:ascii="Times New Roman" w:hAnsi="Times New Roman" w:eastAsia="宋体" w:cs="Times New Roman"/>
                <w:color w:val="auto"/>
                <w:kern w:val="0"/>
                <w:sz w:val="24"/>
                <w:szCs w:val="24"/>
                <w:highlight w:val="none"/>
                <w:lang w:val="en-US" w:eastAsia="zh-CN" w:bidi="he-IL"/>
              </w:rPr>
              <w:t>1。</w:t>
            </w:r>
          </w:p>
          <w:p w14:paraId="3DC9E9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kern w:val="0"/>
                <w:sz w:val="24"/>
                <w:szCs w:val="24"/>
                <w:highlight w:val="none"/>
                <w:lang w:val="en-US" w:eastAsia="zh-CN" w:bidi="he-IL"/>
              </w:rPr>
            </w:pPr>
            <w:r>
              <w:rPr>
                <w:rFonts w:hint="eastAsia" w:eastAsia="宋体"/>
                <w:color w:val="auto"/>
                <w:lang w:eastAsia="zh-CN"/>
              </w:rPr>
              <w:drawing>
                <wp:anchor distT="0" distB="0" distL="114300" distR="114300" simplePos="0" relativeHeight="251697152" behindDoc="0" locked="0" layoutInCell="1" allowOverlap="1">
                  <wp:simplePos x="0" y="0"/>
                  <wp:positionH relativeFrom="column">
                    <wp:posOffset>3975735</wp:posOffset>
                  </wp:positionH>
                  <wp:positionV relativeFrom="paragraph">
                    <wp:posOffset>66040</wp:posOffset>
                  </wp:positionV>
                  <wp:extent cx="541655" cy="553720"/>
                  <wp:effectExtent l="0" t="0" r="10795" b="17780"/>
                  <wp:wrapNone/>
                  <wp:docPr id="81" name="图片 81" descr="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风玫瑰"/>
                          <pic:cNvPicPr>
                            <a:picLocks noChangeAspect="1"/>
                          </pic:cNvPicPr>
                        </pic:nvPicPr>
                        <pic:blipFill>
                          <a:blip r:embed="rId13"/>
                          <a:stretch>
                            <a:fillRect/>
                          </a:stretch>
                        </pic:blipFill>
                        <pic:spPr>
                          <a:xfrm>
                            <a:off x="0" y="0"/>
                            <a:ext cx="541655" cy="553720"/>
                          </a:xfrm>
                          <a:prstGeom prst="rect">
                            <a:avLst/>
                          </a:prstGeom>
                        </pic:spPr>
                      </pic:pic>
                    </a:graphicData>
                  </a:graphic>
                </wp:anchor>
              </w:drawing>
            </w:r>
            <w:r>
              <w:rPr>
                <w:rFonts w:hint="default"/>
                <w:color w:val="auto"/>
                <w:sz w:val="21"/>
              </w:rPr>
              <mc:AlternateContent>
                <mc:Choice Requires="wps">
                  <w:drawing>
                    <wp:anchor distT="0" distB="0" distL="114300" distR="114300" simplePos="0" relativeHeight="251696128" behindDoc="0" locked="0" layoutInCell="1" allowOverlap="1">
                      <wp:simplePos x="0" y="0"/>
                      <wp:positionH relativeFrom="column">
                        <wp:posOffset>2651125</wp:posOffset>
                      </wp:positionH>
                      <wp:positionV relativeFrom="paragraph">
                        <wp:posOffset>1947545</wp:posOffset>
                      </wp:positionV>
                      <wp:extent cx="342265" cy="23749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342265" cy="2374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B9308E">
                                  <w:pPr>
                                    <w:rPr>
                                      <w:rFonts w:hint="default" w:eastAsia="宋体"/>
                                      <w:color w:val="FF0000"/>
                                      <w:lang w:val="en-US" w:eastAsia="zh-CN"/>
                                    </w:rPr>
                                  </w:pPr>
                                  <w:r>
                                    <w:rPr>
                                      <w:rFonts w:hint="eastAsia"/>
                                      <w:color w:val="FF0000"/>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75pt;margin-top:153.35pt;height:18.7pt;width:26.95pt;z-index:251696128;mso-width-relative:page;mso-height-relative:page;" filled="f" stroked="f" coordsize="21600,21600" o:gfxdata="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zXOYbcAAAACwEAAA8AAAAAAAAAAQAgAAAAIgAA&#10;AGRycy9kb3ducmV2LnhtbFBLAQIUABQAAAAIAIdO4kCNQNQUPQIAAGcEAAAOAAAAAAAAAAEAIAAA&#10;ACsBAABkcnMvZTJvRG9jLnhtbFBLBQYAAAAABgAGAFkBAADaBQAAAAA=&#10;">
                      <v:fill on="f" focussize="0,0"/>
                      <v:stroke on="f" weight="0.5pt"/>
                      <v:imagedata o:title=""/>
                      <o:lock v:ext="edit" aspectratio="f"/>
                      <v:textbox>
                        <w:txbxContent>
                          <w:p w14:paraId="09B9308E">
                            <w:pPr>
                              <w:rPr>
                                <w:rFonts w:hint="default" w:eastAsia="宋体"/>
                                <w:color w:val="FF0000"/>
                                <w:lang w:val="en-US" w:eastAsia="zh-CN"/>
                              </w:rPr>
                            </w:pPr>
                            <w:r>
                              <w:rPr>
                                <w:rFonts w:hint="eastAsia"/>
                                <w:color w:val="FF0000"/>
                                <w:lang w:val="en-US" w:eastAsia="zh-CN"/>
                              </w:rPr>
                              <w:t>1#</w:t>
                            </w:r>
                          </w:p>
                        </w:txbxContent>
                      </v:textbox>
                    </v:shape>
                  </w:pict>
                </mc:Fallback>
              </mc:AlternateContent>
            </w:r>
            <w:r>
              <w:rPr>
                <w:rFonts w:hint="default"/>
                <w:color w:val="auto"/>
                <w:sz w:val="21"/>
              </w:rPr>
              <mc:AlternateContent>
                <mc:Choice Requires="wps">
                  <w:drawing>
                    <wp:anchor distT="0" distB="0" distL="114300" distR="114300" simplePos="0" relativeHeight="251694080" behindDoc="0" locked="0" layoutInCell="1" allowOverlap="1">
                      <wp:simplePos x="0" y="0"/>
                      <wp:positionH relativeFrom="column">
                        <wp:posOffset>2600960</wp:posOffset>
                      </wp:positionH>
                      <wp:positionV relativeFrom="paragraph">
                        <wp:posOffset>2023745</wp:posOffset>
                      </wp:positionV>
                      <wp:extent cx="114300" cy="123825"/>
                      <wp:effectExtent l="7620" t="11430" r="11430" b="17145"/>
                      <wp:wrapNone/>
                      <wp:docPr id="44" name="等腰三角形 44"/>
                      <wp:cNvGraphicFramePr/>
                      <a:graphic xmlns:a="http://schemas.openxmlformats.org/drawingml/2006/main">
                        <a:graphicData uri="http://schemas.microsoft.com/office/word/2010/wordprocessingShape">
                          <wps:wsp>
                            <wps:cNvSpPr/>
                            <wps:spPr>
                              <a:xfrm>
                                <a:off x="0" y="0"/>
                                <a:ext cx="114300" cy="123825"/>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204.8pt;margin-top:159.35pt;height:9.75pt;width:9pt;z-index:251694080;mso-width-relative:page;mso-height-relative:page;" fillcolor="#FF0000" filled="t" stroked="t" coordsize="21600,21600" o:gfxdata="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jswd&#10;7NkAAAALAQAADwAAAAAAAAABACAAAAAiAAAAZHJzL2Rvd25yZXYueG1sUEsBAhQAFAAAAAgAh07i&#10;QMK60HMhAgAAWAQAAA4AAAAAAAAAAQAgAAAAKAEAAGRycy9lMm9Eb2MueG1sUEsFBgAAAAAGAAYA&#10;WQEAALsFAAAAAA==&#10;" adj="10800">
                      <v:fill on="t" focussize="0,0"/>
                      <v:stroke color="#FF0000" joinstyle="miter"/>
                      <v:imagedata o:title=""/>
                      <o:lock v:ext="edit" aspectratio="f"/>
                    </v:shape>
                  </w:pict>
                </mc:Fallback>
              </mc:AlternateContent>
            </w:r>
            <w:r>
              <w:rPr>
                <w:rFonts w:hint="default"/>
                <w:color w:val="auto"/>
                <w:sz w:val="21"/>
              </w:rPr>
              <mc:AlternateContent>
                <mc:Choice Requires="wps">
                  <w:drawing>
                    <wp:anchor distT="0" distB="0" distL="114300" distR="114300" simplePos="0" relativeHeight="251695104" behindDoc="0" locked="0" layoutInCell="1" allowOverlap="1">
                      <wp:simplePos x="0" y="0"/>
                      <wp:positionH relativeFrom="column">
                        <wp:posOffset>724535</wp:posOffset>
                      </wp:positionH>
                      <wp:positionV relativeFrom="paragraph">
                        <wp:posOffset>2700020</wp:posOffset>
                      </wp:positionV>
                      <wp:extent cx="114300" cy="123825"/>
                      <wp:effectExtent l="7620" t="11430" r="11430" b="17145"/>
                      <wp:wrapNone/>
                      <wp:docPr id="79" name="等腰三角形 79"/>
                      <wp:cNvGraphicFramePr/>
                      <a:graphic xmlns:a="http://schemas.openxmlformats.org/drawingml/2006/main">
                        <a:graphicData uri="http://schemas.microsoft.com/office/word/2010/wordprocessingShape">
                          <wps:wsp>
                            <wps:cNvSpPr/>
                            <wps:spPr>
                              <a:xfrm>
                                <a:off x="0" y="0"/>
                                <a:ext cx="114300" cy="123825"/>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57.05pt;margin-top:212.6pt;height:9.75pt;width:9pt;z-index:251695104;mso-width-relative:page;mso-height-relative:page;" fillcolor="#FF0000" filled="t" stroked="t" coordsize="21600,21600" o:gfxdata="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C22aj7X&#10;AAAACwEAAA8AAAAAAAAAAQAgAAAAIgAAAGRycy9kb3ducmV2LnhtbFBLAQIUABQAAAAIAIdO4kAH&#10;pJdqIQIAAFgEAAAOAAAAAAAAAAEAIAAAACYBAABkcnMvZTJvRG9jLnhtbFBLBQYAAAAABgAGAFkB&#10;AAC5BQAAAAA=&#10;" adj="10800">
                      <v:fill on="t" focussize="0,0"/>
                      <v:stroke color="#FF0000" joinstyle="miter"/>
                      <v:imagedata o:title=""/>
                      <o:lock v:ext="edit" aspectratio="f"/>
                    </v:shape>
                  </w:pict>
                </mc:Fallback>
              </mc:AlternateContent>
            </w:r>
            <w:r>
              <w:rPr>
                <w:rFonts w:hint="default"/>
                <w:color w:val="auto"/>
                <w:sz w:val="21"/>
              </w:rPr>
              <mc:AlternateContent>
                <mc:Choice Requires="wps">
                  <w:drawing>
                    <wp:anchor distT="0" distB="0" distL="114300" distR="114300" simplePos="0" relativeHeight="251693056" behindDoc="0" locked="0" layoutInCell="1" allowOverlap="1">
                      <wp:simplePos x="0" y="0"/>
                      <wp:positionH relativeFrom="column">
                        <wp:posOffset>643890</wp:posOffset>
                      </wp:positionH>
                      <wp:positionV relativeFrom="paragraph">
                        <wp:posOffset>2566035</wp:posOffset>
                      </wp:positionV>
                      <wp:extent cx="257175" cy="75565"/>
                      <wp:effectExtent l="12700" t="12700" r="15875" b="26035"/>
                      <wp:wrapNone/>
                      <wp:docPr id="43" name="矩形 43"/>
                      <wp:cNvGraphicFramePr/>
                      <a:graphic xmlns:a="http://schemas.openxmlformats.org/drawingml/2006/main">
                        <a:graphicData uri="http://schemas.microsoft.com/office/word/2010/wordprocessingShape">
                          <wps:wsp>
                            <wps:cNvSpPr/>
                            <wps:spPr>
                              <a:xfrm>
                                <a:off x="0" y="0"/>
                                <a:ext cx="257175" cy="7556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7pt;margin-top:202.05pt;height:5.95pt;width:20.25pt;z-index:251693056;v-text-anchor:middle;mso-width-relative:page;mso-height-relative:page;" filled="f" stroked="t" coordsize="21600,21600" o:gfxdata="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jinwZ2AAAAAsBAAAPAAAAAAAAAAEAIAAAACIAAABkcnMvZG93bnJldi54bWxQSwECFAAU&#10;AAAACACHTuJAb4Z0a2MCAADCBAAADgAAAAAAAAABACAAAAAnAQAAZHJzL2Uyb0RvYy54bWxQSwUG&#10;AAAAAAYABgBZAQAA/AUAAAAA&#10;">
                      <v:fill on="f" focussize="0,0"/>
                      <v:stroke weight="2pt" color="#FF0000" joinstyle="round"/>
                      <v:imagedata o:title=""/>
                      <o:lock v:ext="edit" aspectratio="f"/>
                    </v:rect>
                  </w:pict>
                </mc:Fallback>
              </mc:AlternateContent>
            </w:r>
            <w:r>
              <w:rPr>
                <w:rFonts w:hint="default"/>
                <w:color w:val="auto"/>
                <w:sz w:val="21"/>
              </w:rPr>
              <mc:AlternateContent>
                <mc:Choice Requires="wps">
                  <w:drawing>
                    <wp:anchor distT="0" distB="0" distL="114300" distR="114300" simplePos="0" relativeHeight="251692032" behindDoc="0" locked="0" layoutInCell="1" allowOverlap="1">
                      <wp:simplePos x="0" y="0"/>
                      <wp:positionH relativeFrom="column">
                        <wp:posOffset>573405</wp:posOffset>
                      </wp:positionH>
                      <wp:positionV relativeFrom="paragraph">
                        <wp:posOffset>2255520</wp:posOffset>
                      </wp:positionV>
                      <wp:extent cx="1363345" cy="673100"/>
                      <wp:effectExtent l="4445" t="4445" r="22860" b="8255"/>
                      <wp:wrapNone/>
                      <wp:docPr id="42" name="文本框 42"/>
                      <wp:cNvGraphicFramePr/>
                      <a:graphic xmlns:a="http://schemas.openxmlformats.org/drawingml/2006/main">
                        <a:graphicData uri="http://schemas.microsoft.com/office/word/2010/wordprocessingShape">
                          <wps:wsp>
                            <wps:cNvSpPr txBox="1"/>
                            <wps:spPr>
                              <a:xfrm>
                                <a:off x="0" y="0"/>
                                <a:ext cx="1363345" cy="673100"/>
                              </a:xfrm>
                              <a:prstGeom prst="rect">
                                <a:avLst/>
                              </a:prstGeom>
                              <a:solidFill>
                                <a:srgbClr val="FFFFFF"/>
                              </a:solidFill>
                              <a:ln w="6350">
                                <a:solidFill>
                                  <a:prstClr val="black"/>
                                </a:solidFill>
                              </a:ln>
                              <a:effectLst/>
                            </wps:spPr>
                            <wps:txbx>
                              <w:txbxContent>
                                <w:p w14:paraId="3519E9C5">
                                  <w:pPr>
                                    <w:jc w:val="center"/>
                                    <w:rPr>
                                      <w:rFonts w:hint="eastAsia"/>
                                      <w:b/>
                                      <w:bCs/>
                                      <w:color w:val="auto"/>
                                      <w:sz w:val="18"/>
                                      <w:szCs w:val="18"/>
                                      <w:lang w:val="en-US" w:eastAsia="zh-CN"/>
                                    </w:rPr>
                                  </w:pPr>
                                  <w:r>
                                    <w:rPr>
                                      <w:rFonts w:hint="eastAsia"/>
                                      <w:b/>
                                      <w:bCs/>
                                      <w:color w:val="auto"/>
                                      <w:sz w:val="18"/>
                                      <w:szCs w:val="18"/>
                                      <w:lang w:val="en-US" w:eastAsia="zh-CN"/>
                                    </w:rPr>
                                    <w:t>图例</w:t>
                                  </w:r>
                                </w:p>
                                <w:p w14:paraId="0B365A20">
                                  <w:pPr>
                                    <w:pStyle w:val="47"/>
                                    <w:ind w:left="0" w:leftChars="0" w:firstLine="450" w:firstLineChars="300"/>
                                    <w:rPr>
                                      <w:rFonts w:hint="eastAsia"/>
                                      <w:sz w:val="15"/>
                                      <w:szCs w:val="15"/>
                                      <w:lang w:val="en-US" w:eastAsia="zh-CN"/>
                                    </w:rPr>
                                  </w:pPr>
                                  <w:r>
                                    <w:rPr>
                                      <w:rFonts w:hint="eastAsia"/>
                                      <w:sz w:val="15"/>
                                      <w:szCs w:val="15"/>
                                      <w:lang w:val="en-US" w:eastAsia="zh-CN"/>
                                    </w:rPr>
                                    <w:t>项目位置</w:t>
                                  </w:r>
                                </w:p>
                                <w:p w14:paraId="7D32F811">
                                  <w:pPr>
                                    <w:pStyle w:val="47"/>
                                    <w:ind w:left="0" w:leftChars="0" w:firstLine="450" w:firstLineChars="300"/>
                                    <w:rPr>
                                      <w:rFonts w:hint="default"/>
                                      <w:sz w:val="15"/>
                                      <w:szCs w:val="15"/>
                                      <w:lang w:val="en-US" w:eastAsia="zh-CN"/>
                                    </w:rPr>
                                  </w:pPr>
                                  <w:r>
                                    <w:rPr>
                                      <w:rFonts w:hint="eastAsia"/>
                                      <w:sz w:val="15"/>
                                      <w:szCs w:val="15"/>
                                      <w:lang w:val="en-US" w:eastAsia="zh-CN"/>
                                    </w:rPr>
                                    <w:t>噪声敏感点监测点位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15pt;margin-top:177.6pt;height:53pt;width:107.35pt;z-index:251692032;mso-width-relative:page;mso-height-relative:page;" fillcolor="#FFFFFF" filled="t" stroked="t" coordsize="21600,21600" o:gfxdata="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h9V/71wAAAAoBAAAPAAAAAAAAAAEAIAAAACIAAABkcnMvZG93bnJldi54bWxQSwECFAAUAAAA&#10;CACHTuJAICSDQWECAADHBAAADgAAAAAAAAABACAAAAAmAQAAZHJzL2Uyb0RvYy54bWxQSwUGAAAA&#10;AAYABgBZAQAA+QUAAAAA&#10;">
                      <v:fill on="t" focussize="0,0"/>
                      <v:stroke weight="0.5pt" color="#000000" joinstyle="round"/>
                      <v:imagedata o:title=""/>
                      <o:lock v:ext="edit" aspectratio="f"/>
                      <v:textbox>
                        <w:txbxContent>
                          <w:p w14:paraId="3519E9C5">
                            <w:pPr>
                              <w:jc w:val="center"/>
                              <w:rPr>
                                <w:rFonts w:hint="eastAsia"/>
                                <w:b/>
                                <w:bCs/>
                                <w:color w:val="auto"/>
                                <w:sz w:val="18"/>
                                <w:szCs w:val="18"/>
                                <w:lang w:val="en-US" w:eastAsia="zh-CN"/>
                              </w:rPr>
                            </w:pPr>
                            <w:r>
                              <w:rPr>
                                <w:rFonts w:hint="eastAsia"/>
                                <w:b/>
                                <w:bCs/>
                                <w:color w:val="auto"/>
                                <w:sz w:val="18"/>
                                <w:szCs w:val="18"/>
                                <w:lang w:val="en-US" w:eastAsia="zh-CN"/>
                              </w:rPr>
                              <w:t>图例</w:t>
                            </w:r>
                          </w:p>
                          <w:p w14:paraId="0B365A20">
                            <w:pPr>
                              <w:pStyle w:val="47"/>
                              <w:ind w:left="0" w:leftChars="0" w:firstLine="450" w:firstLineChars="300"/>
                              <w:rPr>
                                <w:rFonts w:hint="eastAsia"/>
                                <w:sz w:val="15"/>
                                <w:szCs w:val="15"/>
                                <w:lang w:val="en-US" w:eastAsia="zh-CN"/>
                              </w:rPr>
                            </w:pPr>
                            <w:r>
                              <w:rPr>
                                <w:rFonts w:hint="eastAsia"/>
                                <w:sz w:val="15"/>
                                <w:szCs w:val="15"/>
                                <w:lang w:val="en-US" w:eastAsia="zh-CN"/>
                              </w:rPr>
                              <w:t>项目位置</w:t>
                            </w:r>
                          </w:p>
                          <w:p w14:paraId="7D32F811">
                            <w:pPr>
                              <w:pStyle w:val="47"/>
                              <w:ind w:left="0" w:leftChars="0" w:firstLine="450" w:firstLineChars="300"/>
                              <w:rPr>
                                <w:rFonts w:hint="default"/>
                                <w:sz w:val="15"/>
                                <w:szCs w:val="15"/>
                                <w:lang w:val="en-US" w:eastAsia="zh-CN"/>
                              </w:rPr>
                            </w:pPr>
                            <w:r>
                              <w:rPr>
                                <w:rFonts w:hint="eastAsia"/>
                                <w:sz w:val="15"/>
                                <w:szCs w:val="15"/>
                                <w:lang w:val="en-US" w:eastAsia="zh-CN"/>
                              </w:rPr>
                              <w:t>噪声敏感点监测点位</w:t>
                            </w:r>
                          </w:p>
                        </w:txbxContent>
                      </v:textbox>
                    </v:shape>
                  </w:pict>
                </mc:Fallback>
              </mc:AlternateContent>
            </w:r>
            <w:r>
              <w:rPr>
                <w:rFonts w:hint="default"/>
                <w:color w:val="auto"/>
              </w:rPr>
              <w:drawing>
                <wp:inline distT="0" distB="0" distL="114300" distR="114300">
                  <wp:extent cx="3937000" cy="2884170"/>
                  <wp:effectExtent l="0" t="0" r="6350" b="1143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14"/>
                          <a:stretch>
                            <a:fillRect/>
                          </a:stretch>
                        </pic:blipFill>
                        <pic:spPr>
                          <a:xfrm>
                            <a:off x="0" y="0"/>
                            <a:ext cx="3937000" cy="2884170"/>
                          </a:xfrm>
                          <a:prstGeom prst="rect">
                            <a:avLst/>
                          </a:prstGeom>
                          <a:noFill/>
                          <a:ln>
                            <a:noFill/>
                          </a:ln>
                        </pic:spPr>
                      </pic:pic>
                    </a:graphicData>
                  </a:graphic>
                </wp:inline>
              </w:drawing>
            </w:r>
          </w:p>
          <w:p w14:paraId="6A5E05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bCs/>
                <w:color w:val="auto"/>
                <w:kern w:val="0"/>
                <w:sz w:val="24"/>
                <w:szCs w:val="24"/>
                <w:highlight w:val="none"/>
                <w:lang w:val="en-US" w:eastAsia="zh-CN" w:bidi="he-IL"/>
              </w:rPr>
            </w:pPr>
            <w:r>
              <w:rPr>
                <w:rFonts w:hint="eastAsia" w:ascii="Times New Roman" w:hAnsi="Times New Roman" w:eastAsia="宋体" w:cs="Times New Roman"/>
                <w:b/>
                <w:bCs/>
                <w:color w:val="auto"/>
                <w:kern w:val="0"/>
                <w:sz w:val="24"/>
                <w:szCs w:val="24"/>
                <w:highlight w:val="none"/>
                <w:lang w:val="zh-CN" w:eastAsia="zh-CN" w:bidi="he-IL"/>
              </w:rPr>
              <w:t>图3-</w:t>
            </w:r>
            <w:r>
              <w:rPr>
                <w:rFonts w:hint="eastAsia" w:ascii="Times New Roman" w:hAnsi="Times New Roman" w:eastAsia="宋体" w:cs="Times New Roman"/>
                <w:b/>
                <w:bCs/>
                <w:color w:val="auto"/>
                <w:kern w:val="0"/>
                <w:sz w:val="24"/>
                <w:szCs w:val="24"/>
                <w:highlight w:val="none"/>
                <w:lang w:val="en-US" w:eastAsia="zh-CN" w:bidi="he-IL"/>
              </w:rPr>
              <w:t>1</w:t>
            </w:r>
            <w:r>
              <w:rPr>
                <w:rFonts w:hint="eastAsia" w:ascii="Times New Roman" w:hAnsi="Times New Roman" w:eastAsia="宋体" w:cs="Times New Roman"/>
                <w:b/>
                <w:bCs/>
                <w:color w:val="auto"/>
                <w:kern w:val="0"/>
                <w:sz w:val="24"/>
                <w:szCs w:val="24"/>
                <w:highlight w:val="none"/>
                <w:lang w:val="zh-CN" w:eastAsia="zh-CN" w:bidi="he-IL"/>
              </w:rPr>
              <w:t xml:space="preserve"> 环境</w:t>
            </w:r>
            <w:r>
              <w:rPr>
                <w:rFonts w:hint="eastAsia" w:ascii="Times New Roman" w:hAnsi="Times New Roman" w:eastAsia="宋体" w:cs="Times New Roman"/>
                <w:b/>
                <w:bCs/>
                <w:color w:val="auto"/>
                <w:kern w:val="0"/>
                <w:sz w:val="24"/>
                <w:szCs w:val="24"/>
                <w:highlight w:val="none"/>
                <w:lang w:val="en-US" w:eastAsia="zh-CN" w:bidi="he-IL"/>
              </w:rPr>
              <w:t>噪声</w:t>
            </w:r>
            <w:r>
              <w:rPr>
                <w:rFonts w:hint="eastAsia" w:ascii="Times New Roman" w:hAnsi="Times New Roman" w:eastAsia="宋体" w:cs="Times New Roman"/>
                <w:b/>
                <w:bCs/>
                <w:color w:val="auto"/>
                <w:kern w:val="0"/>
                <w:sz w:val="24"/>
                <w:szCs w:val="24"/>
                <w:highlight w:val="none"/>
                <w:lang w:val="zh-CN" w:eastAsia="zh-CN" w:bidi="he-IL"/>
              </w:rPr>
              <w:t>监测点位图</w:t>
            </w:r>
          </w:p>
          <w:p w14:paraId="138420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auto"/>
              <w:rPr>
                <w:rFonts w:hint="default" w:ascii="Times New Roman" w:hAnsi="Times New Roman" w:eastAsia="宋体" w:cs="Times New Roman"/>
                <w:color w:val="auto"/>
                <w:kern w:val="0"/>
                <w:sz w:val="24"/>
                <w:szCs w:val="24"/>
                <w:highlight w:val="none"/>
                <w:lang w:val="en-US" w:eastAsia="zh-CN" w:bidi="he-IL"/>
              </w:rPr>
            </w:pPr>
            <w:r>
              <w:rPr>
                <w:rFonts w:hint="default" w:ascii="Times New Roman" w:hAnsi="Times New Roman" w:eastAsia="宋体" w:cs="Times New Roman"/>
                <w:color w:val="auto"/>
                <w:kern w:val="0"/>
                <w:sz w:val="24"/>
                <w:szCs w:val="24"/>
                <w:highlight w:val="none"/>
                <w:lang w:val="en-US" w:eastAsia="zh-CN" w:bidi="he-IL"/>
              </w:rPr>
              <w:t>（2）监测单位及时间</w:t>
            </w:r>
          </w:p>
          <w:p w14:paraId="43697A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auto"/>
              <w:rPr>
                <w:rFonts w:hint="default" w:ascii="Times New Roman" w:hAnsi="Times New Roman" w:eastAsia="宋体" w:cs="Times New Roman"/>
                <w:color w:val="auto"/>
                <w:kern w:val="0"/>
                <w:sz w:val="24"/>
                <w:szCs w:val="24"/>
                <w:highlight w:val="none"/>
                <w:lang w:val="en-US" w:eastAsia="zh-CN" w:bidi="he-IL"/>
              </w:rPr>
            </w:pPr>
            <w:r>
              <w:rPr>
                <w:rFonts w:hint="default" w:ascii="Times New Roman" w:hAnsi="Times New Roman" w:eastAsia="宋体" w:cs="Times New Roman"/>
                <w:color w:val="auto"/>
                <w:kern w:val="0"/>
                <w:sz w:val="24"/>
                <w:szCs w:val="24"/>
                <w:highlight w:val="none"/>
                <w:lang w:val="en-US" w:eastAsia="zh-CN" w:bidi="he-IL"/>
              </w:rPr>
              <w:t>由</w:t>
            </w:r>
            <w:r>
              <w:rPr>
                <w:rFonts w:hint="default" w:ascii="Times New Roman" w:hAnsi="Times New Roman" w:eastAsia="宋体" w:cs="Times New Roman"/>
                <w:b w:val="0"/>
                <w:bCs w:val="0"/>
                <w:color w:val="auto"/>
                <w:kern w:val="0"/>
                <w:sz w:val="24"/>
                <w:szCs w:val="24"/>
                <w:lang w:val="en-US" w:eastAsia="zh-CN"/>
              </w:rPr>
              <w:t>黑龙江</w:t>
            </w:r>
            <w:r>
              <w:rPr>
                <w:rFonts w:hint="eastAsia" w:ascii="Times New Roman" w:hAnsi="Times New Roman" w:eastAsia="宋体" w:cs="Times New Roman"/>
                <w:b w:val="0"/>
                <w:bCs w:val="0"/>
                <w:color w:val="auto"/>
                <w:kern w:val="0"/>
                <w:sz w:val="24"/>
                <w:szCs w:val="24"/>
                <w:lang w:val="en-US" w:eastAsia="zh-CN"/>
              </w:rPr>
              <w:t>汉风环境检测技术有限公司</w:t>
            </w:r>
            <w:r>
              <w:rPr>
                <w:rFonts w:hint="eastAsia" w:ascii="Times New Roman" w:hAnsi="Times New Roman" w:eastAsia="宋体" w:cs="Times New Roman"/>
                <w:color w:val="auto"/>
                <w:kern w:val="0"/>
                <w:sz w:val="24"/>
                <w:szCs w:val="24"/>
                <w:highlight w:val="none"/>
                <w:lang w:val="en-US" w:eastAsia="zh-CN" w:bidi="he-IL"/>
              </w:rPr>
              <w:t>进行检测</w:t>
            </w:r>
            <w:r>
              <w:rPr>
                <w:rFonts w:hint="default" w:ascii="Times New Roman" w:hAnsi="Times New Roman" w:eastAsia="宋体" w:cs="Times New Roman"/>
                <w:color w:val="auto"/>
                <w:kern w:val="0"/>
                <w:sz w:val="24"/>
                <w:szCs w:val="24"/>
                <w:highlight w:val="none"/>
                <w:lang w:val="en-US" w:eastAsia="zh-CN" w:bidi="he-IL"/>
              </w:rPr>
              <w:t>，监测</w:t>
            </w:r>
            <w:r>
              <w:rPr>
                <w:rFonts w:hint="eastAsia" w:ascii="Times New Roman" w:hAnsi="Times New Roman" w:eastAsia="宋体" w:cs="Times New Roman"/>
                <w:color w:val="auto"/>
                <w:kern w:val="0"/>
                <w:sz w:val="24"/>
                <w:szCs w:val="24"/>
                <w:highlight w:val="none"/>
                <w:lang w:val="en-US" w:eastAsia="zh-CN" w:bidi="he-IL"/>
              </w:rPr>
              <w:t>时间为2</w:t>
            </w:r>
            <w:r>
              <w:rPr>
                <w:rFonts w:hint="default" w:ascii="Times New Roman" w:hAnsi="Times New Roman" w:eastAsia="宋体" w:cs="Times New Roman"/>
                <w:color w:val="auto"/>
                <w:kern w:val="0"/>
                <w:sz w:val="24"/>
                <w:szCs w:val="24"/>
                <w:highlight w:val="none"/>
                <w:lang w:val="en-US" w:eastAsia="zh-CN" w:bidi="he-IL"/>
              </w:rPr>
              <w:t>天，昼</w:t>
            </w:r>
            <w:r>
              <w:rPr>
                <w:rFonts w:hint="eastAsia" w:ascii="Times New Roman" w:hAnsi="Times New Roman" w:eastAsia="宋体" w:cs="Times New Roman"/>
                <w:color w:val="auto"/>
                <w:kern w:val="0"/>
                <w:sz w:val="24"/>
                <w:szCs w:val="24"/>
                <w:highlight w:val="none"/>
                <w:lang w:val="en-US" w:eastAsia="zh-CN" w:bidi="he-IL"/>
              </w:rPr>
              <w:t>夜各监</w:t>
            </w:r>
            <w:r>
              <w:rPr>
                <w:rFonts w:hint="default" w:ascii="Times New Roman" w:hAnsi="Times New Roman" w:eastAsia="宋体" w:cs="Times New Roman"/>
                <w:color w:val="auto"/>
                <w:kern w:val="0"/>
                <w:sz w:val="24"/>
                <w:szCs w:val="24"/>
                <w:highlight w:val="none"/>
                <w:lang w:val="en-US" w:eastAsia="zh-CN" w:bidi="he-IL"/>
              </w:rPr>
              <w:t>测一次。</w:t>
            </w:r>
          </w:p>
          <w:p w14:paraId="619505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auto"/>
              <w:rPr>
                <w:rFonts w:hint="default" w:ascii="Times New Roman" w:hAnsi="Times New Roman" w:eastAsia="宋体" w:cs="Times New Roman"/>
                <w:color w:val="auto"/>
                <w:kern w:val="0"/>
                <w:sz w:val="24"/>
                <w:szCs w:val="24"/>
                <w:highlight w:val="none"/>
                <w:lang w:val="en-US" w:eastAsia="zh-CN" w:bidi="he-IL"/>
              </w:rPr>
            </w:pPr>
            <w:r>
              <w:rPr>
                <w:rFonts w:hint="default" w:ascii="Times New Roman" w:hAnsi="Times New Roman" w:eastAsia="宋体" w:cs="Times New Roman"/>
                <w:color w:val="auto"/>
                <w:kern w:val="0"/>
                <w:sz w:val="24"/>
                <w:szCs w:val="24"/>
                <w:highlight w:val="none"/>
                <w:lang w:val="en-US" w:eastAsia="zh-CN" w:bidi="he-IL"/>
              </w:rPr>
              <w:t>（3）监测结果</w:t>
            </w:r>
          </w:p>
          <w:p w14:paraId="321950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auto"/>
              <w:rPr>
                <w:rFonts w:hint="eastAsia" w:ascii="Times New Roman" w:hAnsi="Times New Roman" w:eastAsia="宋体" w:cs="Times New Roman"/>
                <w:color w:val="auto"/>
                <w:kern w:val="0"/>
                <w:sz w:val="24"/>
                <w:szCs w:val="24"/>
                <w:highlight w:val="none"/>
                <w:lang w:val="en-US" w:eastAsia="zh-CN" w:bidi="he-IL"/>
              </w:rPr>
            </w:pPr>
            <w:r>
              <w:rPr>
                <w:rFonts w:hint="default" w:ascii="Times New Roman" w:hAnsi="Times New Roman" w:eastAsia="宋体" w:cs="Times New Roman"/>
                <w:color w:val="auto"/>
                <w:kern w:val="0"/>
                <w:sz w:val="24"/>
                <w:szCs w:val="24"/>
                <w:highlight w:val="none"/>
                <w:lang w:val="en-US" w:eastAsia="zh-CN" w:bidi="he-IL"/>
              </w:rPr>
              <w:t>环境噪声监测结果</w:t>
            </w:r>
            <w:r>
              <w:rPr>
                <w:rFonts w:hint="eastAsia" w:ascii="Times New Roman" w:hAnsi="Times New Roman" w:eastAsia="宋体" w:cs="Times New Roman"/>
                <w:color w:val="auto"/>
                <w:kern w:val="0"/>
                <w:sz w:val="24"/>
                <w:szCs w:val="24"/>
                <w:highlight w:val="none"/>
                <w:lang w:val="en-US" w:eastAsia="zh-CN" w:bidi="he-IL"/>
              </w:rPr>
              <w:t>见下表</w:t>
            </w:r>
            <w:r>
              <w:rPr>
                <w:rFonts w:hint="default" w:ascii="Times New Roman" w:hAnsi="Times New Roman" w:eastAsia="宋体" w:cs="Times New Roman"/>
                <w:color w:val="auto"/>
                <w:kern w:val="0"/>
                <w:sz w:val="24"/>
                <w:szCs w:val="24"/>
                <w:highlight w:val="none"/>
                <w:lang w:val="en-US" w:eastAsia="zh-CN" w:bidi="he-IL"/>
              </w:rPr>
              <w:t>。</w:t>
            </w:r>
          </w:p>
          <w:p w14:paraId="18A4E69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4"/>
                <w:szCs w:val="24"/>
                <w:lang w:val="en-US" w:eastAsia="zh-CN"/>
              </w:rPr>
            </w:pPr>
            <w:r>
              <w:rPr>
                <w:rFonts w:hint="default" w:ascii="Times New Roman" w:hAnsi="Times New Roman" w:eastAsia="宋体" w:cs="Times New Roman"/>
                <w:b/>
                <w:bCs/>
                <w:color w:val="auto"/>
                <w:kern w:val="0"/>
                <w:sz w:val="24"/>
                <w:szCs w:val="24"/>
                <w:lang w:val="en-US" w:eastAsia="zh-CN"/>
              </w:rPr>
              <w:t>表3-</w:t>
            </w:r>
            <w:r>
              <w:rPr>
                <w:rFonts w:hint="eastAsia" w:cs="Times New Roman"/>
                <w:b/>
                <w:bCs/>
                <w:color w:val="auto"/>
                <w:kern w:val="0"/>
                <w:sz w:val="24"/>
                <w:szCs w:val="24"/>
                <w:lang w:val="en-US" w:eastAsia="zh-CN"/>
              </w:rPr>
              <w:t>4</w:t>
            </w:r>
            <w:r>
              <w:rPr>
                <w:rFonts w:hint="default" w:ascii="Times New Roman" w:hAnsi="Times New Roman" w:eastAsia="宋体" w:cs="Times New Roman"/>
                <w:b/>
                <w:bCs/>
                <w:color w:val="auto"/>
                <w:kern w:val="0"/>
                <w:sz w:val="24"/>
                <w:szCs w:val="24"/>
                <w:lang w:val="en-US" w:eastAsia="zh-CN"/>
              </w:rPr>
              <w:t xml:space="preserve"> 敏感点声环境质量监测数据一览表 单位：dB（A）</w:t>
            </w:r>
          </w:p>
          <w:tbl>
            <w:tblPr>
              <w:tblStyle w:val="38"/>
              <w:tblW w:w="497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285"/>
              <w:gridCol w:w="1509"/>
              <w:gridCol w:w="1396"/>
              <w:gridCol w:w="1336"/>
              <w:gridCol w:w="1476"/>
            </w:tblGrid>
            <w:tr w14:paraId="2519C3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6" w:hRule="atLeast"/>
                <w:jc w:val="center"/>
              </w:trPr>
              <w:tc>
                <w:tcPr>
                  <w:tcW w:w="1427" w:type="pct"/>
                  <w:vMerge w:val="restart"/>
                  <w:noWrap w:val="0"/>
                  <w:vAlign w:val="center"/>
                </w:tcPr>
                <w:p w14:paraId="54F4526B">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监测点位</w:t>
                  </w:r>
                </w:p>
              </w:tc>
              <w:tc>
                <w:tcPr>
                  <w:tcW w:w="1815" w:type="pct"/>
                  <w:gridSpan w:val="2"/>
                  <w:noWrap w:val="0"/>
                  <w:vAlign w:val="center"/>
                </w:tcPr>
                <w:p w14:paraId="68551268">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eastAsia="zh-CN"/>
                    </w:rPr>
                    <w:t>监测结果（</w:t>
                  </w:r>
                  <w:r>
                    <w:rPr>
                      <w:rFonts w:hint="default" w:ascii="Times New Roman" w:hAnsi="Times New Roman" w:eastAsia="宋体" w:cs="Times New Roman"/>
                      <w:color w:val="auto"/>
                      <w:kern w:val="0"/>
                      <w:szCs w:val="21"/>
                      <w:lang w:val="en-US" w:eastAsia="zh-CN"/>
                    </w:rPr>
                    <w:t>202</w:t>
                  </w:r>
                  <w:r>
                    <w:rPr>
                      <w:rFonts w:hint="eastAsia" w:cs="Times New Roman"/>
                      <w:color w:val="auto"/>
                      <w:kern w:val="0"/>
                      <w:szCs w:val="21"/>
                      <w:lang w:val="en-US" w:eastAsia="zh-CN"/>
                    </w:rPr>
                    <w:t>6</w:t>
                  </w:r>
                  <w:r>
                    <w:rPr>
                      <w:rFonts w:hint="default" w:ascii="Times New Roman" w:hAnsi="Times New Roman" w:eastAsia="宋体" w:cs="Times New Roman"/>
                      <w:color w:val="auto"/>
                      <w:kern w:val="0"/>
                      <w:szCs w:val="21"/>
                      <w:lang w:val="en-US" w:eastAsia="zh-CN"/>
                    </w:rPr>
                    <w:t>.</w:t>
                  </w:r>
                  <w:r>
                    <w:rPr>
                      <w:rFonts w:hint="eastAsia" w:cs="Times New Roman"/>
                      <w:color w:val="auto"/>
                      <w:kern w:val="0"/>
                      <w:szCs w:val="21"/>
                      <w:lang w:val="en-US" w:eastAsia="zh-CN"/>
                    </w:rPr>
                    <w:t>1</w:t>
                  </w:r>
                  <w:r>
                    <w:rPr>
                      <w:rFonts w:hint="eastAsia" w:ascii="Times New Roman" w:hAnsi="Times New Roman" w:eastAsia="宋体" w:cs="Times New Roman"/>
                      <w:color w:val="auto"/>
                      <w:kern w:val="0"/>
                      <w:szCs w:val="21"/>
                      <w:lang w:val="en-US" w:eastAsia="zh-CN"/>
                    </w:rPr>
                    <w:t>.</w:t>
                  </w:r>
                  <w:r>
                    <w:rPr>
                      <w:rFonts w:hint="eastAsia" w:cs="Times New Roman"/>
                      <w:color w:val="auto"/>
                      <w:kern w:val="0"/>
                      <w:szCs w:val="21"/>
                      <w:lang w:val="en-US" w:eastAsia="zh-CN"/>
                    </w:rPr>
                    <w:t>7</w:t>
                  </w:r>
                  <w:r>
                    <w:rPr>
                      <w:rFonts w:hint="default" w:ascii="Times New Roman" w:hAnsi="Times New Roman" w:eastAsia="宋体" w:cs="Times New Roman"/>
                      <w:color w:val="auto"/>
                      <w:kern w:val="0"/>
                      <w:szCs w:val="21"/>
                      <w:lang w:eastAsia="zh-CN"/>
                    </w:rPr>
                    <w:t>）</w:t>
                  </w:r>
                </w:p>
              </w:tc>
              <w:tc>
                <w:tcPr>
                  <w:tcW w:w="1757" w:type="pct"/>
                  <w:gridSpan w:val="2"/>
                  <w:noWrap w:val="0"/>
                  <w:vAlign w:val="center"/>
                </w:tcPr>
                <w:p w14:paraId="2A1C98E5">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eastAsia="zh-CN"/>
                    </w:rPr>
                    <w:t>监测结果（</w:t>
                  </w:r>
                  <w:r>
                    <w:rPr>
                      <w:rFonts w:hint="default" w:ascii="Times New Roman" w:hAnsi="Times New Roman" w:eastAsia="宋体" w:cs="Times New Roman"/>
                      <w:color w:val="auto"/>
                      <w:kern w:val="0"/>
                      <w:szCs w:val="21"/>
                      <w:lang w:val="en-US" w:eastAsia="zh-CN"/>
                    </w:rPr>
                    <w:t>202</w:t>
                  </w:r>
                  <w:r>
                    <w:rPr>
                      <w:rFonts w:hint="eastAsia" w:cs="Times New Roman"/>
                      <w:color w:val="auto"/>
                      <w:kern w:val="0"/>
                      <w:szCs w:val="21"/>
                      <w:lang w:val="en-US" w:eastAsia="zh-CN"/>
                    </w:rPr>
                    <w:t>6</w:t>
                  </w:r>
                  <w:r>
                    <w:rPr>
                      <w:rFonts w:hint="default" w:ascii="Times New Roman" w:hAnsi="Times New Roman" w:eastAsia="宋体" w:cs="Times New Roman"/>
                      <w:color w:val="auto"/>
                      <w:kern w:val="0"/>
                      <w:szCs w:val="21"/>
                      <w:lang w:val="en-US" w:eastAsia="zh-CN"/>
                    </w:rPr>
                    <w:t>.</w:t>
                  </w:r>
                  <w:r>
                    <w:rPr>
                      <w:rFonts w:hint="eastAsia" w:cs="Times New Roman"/>
                      <w:color w:val="auto"/>
                      <w:kern w:val="0"/>
                      <w:szCs w:val="21"/>
                      <w:lang w:val="en-US" w:eastAsia="zh-CN"/>
                    </w:rPr>
                    <w:t>1</w:t>
                  </w:r>
                  <w:r>
                    <w:rPr>
                      <w:rFonts w:hint="eastAsia" w:ascii="Times New Roman" w:hAnsi="Times New Roman" w:eastAsia="宋体" w:cs="Times New Roman"/>
                      <w:color w:val="auto"/>
                      <w:kern w:val="0"/>
                      <w:szCs w:val="21"/>
                      <w:lang w:val="en-US" w:eastAsia="zh-CN"/>
                    </w:rPr>
                    <w:t>.</w:t>
                  </w:r>
                  <w:r>
                    <w:rPr>
                      <w:rFonts w:hint="eastAsia" w:cs="Times New Roman"/>
                      <w:color w:val="auto"/>
                      <w:kern w:val="0"/>
                      <w:szCs w:val="21"/>
                      <w:lang w:val="en-US" w:eastAsia="zh-CN"/>
                    </w:rPr>
                    <w:t>8</w:t>
                  </w:r>
                  <w:r>
                    <w:rPr>
                      <w:rFonts w:hint="default" w:ascii="Times New Roman" w:hAnsi="Times New Roman" w:eastAsia="宋体" w:cs="Times New Roman"/>
                      <w:color w:val="auto"/>
                      <w:kern w:val="0"/>
                      <w:szCs w:val="21"/>
                      <w:lang w:eastAsia="zh-CN"/>
                    </w:rPr>
                    <w:t>）</w:t>
                  </w:r>
                </w:p>
              </w:tc>
            </w:tr>
            <w:tr w14:paraId="5A0D01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7" w:hRule="atLeast"/>
                <w:jc w:val="center"/>
              </w:trPr>
              <w:tc>
                <w:tcPr>
                  <w:tcW w:w="1427" w:type="pct"/>
                  <w:vMerge w:val="continue"/>
                  <w:noWrap w:val="0"/>
                  <w:vAlign w:val="center"/>
                </w:tcPr>
                <w:p w14:paraId="072C6373">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auto"/>
                      <w:kern w:val="0"/>
                      <w:szCs w:val="21"/>
                    </w:rPr>
                  </w:pPr>
                </w:p>
              </w:tc>
              <w:tc>
                <w:tcPr>
                  <w:tcW w:w="942" w:type="pct"/>
                  <w:noWrap w:val="0"/>
                  <w:vAlign w:val="center"/>
                </w:tcPr>
                <w:p w14:paraId="76E94A64">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eastAsia="zh-CN"/>
                    </w:rPr>
                    <w:t>昼间</w:t>
                  </w:r>
                </w:p>
              </w:tc>
              <w:tc>
                <w:tcPr>
                  <w:tcW w:w="872" w:type="pct"/>
                  <w:noWrap w:val="0"/>
                  <w:vAlign w:val="center"/>
                </w:tcPr>
                <w:p w14:paraId="1DA1A183">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eastAsia="zh-CN"/>
                    </w:rPr>
                    <w:t>夜间</w:t>
                  </w:r>
                </w:p>
              </w:tc>
              <w:tc>
                <w:tcPr>
                  <w:tcW w:w="834" w:type="pct"/>
                  <w:noWrap w:val="0"/>
                  <w:vAlign w:val="center"/>
                </w:tcPr>
                <w:p w14:paraId="017D8253">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eastAsia="zh-CN"/>
                    </w:rPr>
                    <w:t>昼间</w:t>
                  </w:r>
                </w:p>
              </w:tc>
              <w:tc>
                <w:tcPr>
                  <w:tcW w:w="922" w:type="pct"/>
                  <w:noWrap w:val="0"/>
                  <w:vAlign w:val="center"/>
                </w:tcPr>
                <w:p w14:paraId="558AF6E0">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eastAsia="zh-CN"/>
                    </w:rPr>
                    <w:t>夜间</w:t>
                  </w:r>
                </w:p>
              </w:tc>
            </w:tr>
            <w:tr w14:paraId="06EB2A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9" w:hRule="atLeast"/>
                <w:jc w:val="center"/>
              </w:trPr>
              <w:tc>
                <w:tcPr>
                  <w:tcW w:w="1427" w:type="pct"/>
                  <w:noWrap w:val="0"/>
                  <w:vAlign w:val="center"/>
                </w:tcPr>
                <w:p w14:paraId="5FF8ADCB">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1# 耕农村</w:t>
                  </w:r>
                </w:p>
              </w:tc>
              <w:tc>
                <w:tcPr>
                  <w:tcW w:w="942" w:type="pct"/>
                  <w:noWrap w:val="0"/>
                  <w:vAlign w:val="center"/>
                </w:tcPr>
                <w:p w14:paraId="6001AC31">
                  <w:pPr>
                    <w:pStyle w:val="24"/>
                    <w:keepNext w:val="0"/>
                    <w:keepLines w:val="0"/>
                    <w:suppressLineNumbers w:val="0"/>
                    <w:spacing w:before="0" w:beforeAutospacing="0" w:after="0" w:afterAutospacing="0" w:line="240" w:lineRule="auto"/>
                    <w:ind w:left="0" w:leftChars="0" w:right="0" w:firstLine="420" w:firstLineChars="200"/>
                    <w:jc w:val="both"/>
                    <w:rPr>
                      <w:rFonts w:hint="eastAsia"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sz w:val="21"/>
                      <w:szCs w:val="21"/>
                    </w:rPr>
                    <w:t>5</w:t>
                  </w:r>
                  <w:r>
                    <w:rPr>
                      <w:rFonts w:hint="eastAsia" w:cs="Times New Roman"/>
                      <w:color w:val="auto"/>
                      <w:sz w:val="21"/>
                      <w:szCs w:val="21"/>
                      <w:lang w:val="en-US" w:eastAsia="zh-CN"/>
                    </w:rPr>
                    <w:t>4</w:t>
                  </w:r>
                </w:p>
              </w:tc>
              <w:tc>
                <w:tcPr>
                  <w:tcW w:w="872" w:type="pct"/>
                  <w:noWrap w:val="0"/>
                  <w:vAlign w:val="center"/>
                </w:tcPr>
                <w:p w14:paraId="42B4BD36">
                  <w:pPr>
                    <w:pStyle w:val="24"/>
                    <w:keepNext w:val="0"/>
                    <w:keepLines w:val="0"/>
                    <w:suppressLineNumbers w:val="0"/>
                    <w:spacing w:before="0" w:beforeAutospacing="0" w:after="0" w:afterAutospacing="0" w:line="240" w:lineRule="auto"/>
                    <w:ind w:left="0" w:leftChars="0" w:right="0" w:firstLine="420" w:firstLineChars="200"/>
                    <w:jc w:val="both"/>
                    <w:rPr>
                      <w:rFonts w:hint="eastAsia"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sz w:val="21"/>
                      <w:szCs w:val="21"/>
                    </w:rPr>
                    <w:t>4</w:t>
                  </w:r>
                  <w:r>
                    <w:rPr>
                      <w:rFonts w:hint="eastAsia" w:cs="Times New Roman"/>
                      <w:color w:val="auto"/>
                      <w:sz w:val="21"/>
                      <w:szCs w:val="21"/>
                      <w:lang w:val="en-US" w:eastAsia="zh-CN"/>
                    </w:rPr>
                    <w:t>5</w:t>
                  </w:r>
                </w:p>
              </w:tc>
              <w:tc>
                <w:tcPr>
                  <w:tcW w:w="834" w:type="pct"/>
                  <w:noWrap w:val="0"/>
                  <w:vAlign w:val="center"/>
                </w:tcPr>
                <w:p w14:paraId="62EBDEB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sz w:val="21"/>
                      <w:szCs w:val="21"/>
                    </w:rPr>
                    <w:t>5</w:t>
                  </w:r>
                  <w:r>
                    <w:rPr>
                      <w:rFonts w:hint="eastAsia" w:cs="Times New Roman"/>
                      <w:color w:val="auto"/>
                      <w:sz w:val="21"/>
                      <w:szCs w:val="21"/>
                      <w:lang w:val="en-US" w:eastAsia="zh-CN"/>
                    </w:rPr>
                    <w:t>5</w:t>
                  </w:r>
                </w:p>
              </w:tc>
              <w:tc>
                <w:tcPr>
                  <w:tcW w:w="922" w:type="pct"/>
                  <w:noWrap w:val="0"/>
                  <w:vAlign w:val="center"/>
                </w:tcPr>
                <w:p w14:paraId="7B4926C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sz w:val="21"/>
                      <w:szCs w:val="21"/>
                    </w:rPr>
                    <w:t>4</w:t>
                  </w:r>
                  <w:r>
                    <w:rPr>
                      <w:rFonts w:hint="eastAsia" w:cs="Times New Roman"/>
                      <w:color w:val="auto"/>
                      <w:sz w:val="21"/>
                      <w:szCs w:val="21"/>
                      <w:lang w:val="en-US" w:eastAsia="zh-CN"/>
                    </w:rPr>
                    <w:t>6</w:t>
                  </w:r>
                </w:p>
              </w:tc>
            </w:tr>
          </w:tbl>
          <w:p w14:paraId="281AAB69">
            <w:pPr>
              <w:pStyle w:val="7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firstLine="480" w:firstLineChars="200"/>
              <w:rPr>
                <w:rFonts w:hint="default" w:ascii="Times New Roman" w:hAnsi="Times New Roman" w:eastAsia="宋体" w:cs="Times New Roman"/>
                <w:b w:val="0"/>
                <w:bCs/>
                <w:color w:val="auto"/>
                <w:kern w:val="0"/>
                <w:sz w:val="24"/>
                <w:szCs w:val="24"/>
                <w:highlight w:val="none"/>
                <w:lang w:val="en-US" w:eastAsia="zh-CN" w:bidi="he-IL"/>
              </w:rPr>
            </w:pPr>
            <w:r>
              <w:rPr>
                <w:rFonts w:hint="default" w:ascii="Times New Roman" w:hAnsi="Times New Roman" w:eastAsia="宋体" w:cs="Times New Roman"/>
                <w:b w:val="0"/>
                <w:bCs/>
                <w:color w:val="auto"/>
                <w:kern w:val="0"/>
                <w:sz w:val="24"/>
                <w:szCs w:val="24"/>
                <w:highlight w:val="none"/>
                <w:lang w:val="en-US" w:eastAsia="zh-CN" w:bidi="he-IL"/>
              </w:rPr>
              <w:t>现状监测数据表明，敏感点处环境噪声昼间噪声值为5</w:t>
            </w:r>
            <w:r>
              <w:rPr>
                <w:rFonts w:hint="eastAsia" w:cs="Times New Roman"/>
                <w:b w:val="0"/>
                <w:bCs/>
                <w:color w:val="auto"/>
                <w:kern w:val="0"/>
                <w:sz w:val="24"/>
                <w:szCs w:val="24"/>
                <w:highlight w:val="none"/>
                <w:lang w:val="en-US" w:eastAsia="zh-CN" w:bidi="he-IL"/>
              </w:rPr>
              <w:t>4</w:t>
            </w:r>
            <w:r>
              <w:rPr>
                <w:rFonts w:hint="default" w:ascii="Times New Roman" w:hAnsi="Times New Roman" w:eastAsia="宋体" w:cs="Times New Roman"/>
                <w:b w:val="0"/>
                <w:bCs/>
                <w:color w:val="auto"/>
                <w:kern w:val="0"/>
                <w:sz w:val="24"/>
                <w:szCs w:val="24"/>
                <w:highlight w:val="none"/>
                <w:lang w:val="en-US" w:eastAsia="zh-CN" w:bidi="he-IL"/>
              </w:rPr>
              <w:t>.0~5</w:t>
            </w:r>
            <w:r>
              <w:rPr>
                <w:rFonts w:hint="eastAsia" w:cs="Times New Roman"/>
                <w:b w:val="0"/>
                <w:bCs/>
                <w:color w:val="auto"/>
                <w:kern w:val="0"/>
                <w:sz w:val="24"/>
                <w:szCs w:val="24"/>
                <w:highlight w:val="none"/>
                <w:lang w:val="en-US" w:eastAsia="zh-CN" w:bidi="he-IL"/>
              </w:rPr>
              <w:t>5</w:t>
            </w:r>
            <w:r>
              <w:rPr>
                <w:rFonts w:hint="default" w:ascii="Times New Roman" w:hAnsi="Times New Roman" w:eastAsia="宋体" w:cs="Times New Roman"/>
                <w:b w:val="0"/>
                <w:bCs/>
                <w:color w:val="auto"/>
                <w:kern w:val="0"/>
                <w:sz w:val="24"/>
                <w:szCs w:val="24"/>
                <w:highlight w:val="none"/>
                <w:lang w:val="en-US" w:eastAsia="zh-CN" w:bidi="he-IL"/>
              </w:rPr>
              <w:t>.0dB</w:t>
            </w:r>
            <w:r>
              <w:rPr>
                <w:rFonts w:hint="eastAsia" w:cs="Times New Roman"/>
                <w:b w:val="0"/>
                <w:bCs/>
                <w:color w:val="auto"/>
                <w:kern w:val="0"/>
                <w:sz w:val="24"/>
                <w:szCs w:val="24"/>
                <w:highlight w:val="none"/>
                <w:lang w:val="en-US" w:eastAsia="zh-CN" w:bidi="he-IL"/>
              </w:rPr>
              <w:t>（</w:t>
            </w:r>
            <w:r>
              <w:rPr>
                <w:rFonts w:hint="default" w:ascii="Times New Roman" w:hAnsi="Times New Roman" w:eastAsia="宋体" w:cs="Times New Roman"/>
                <w:b w:val="0"/>
                <w:bCs/>
                <w:color w:val="auto"/>
                <w:kern w:val="0"/>
                <w:sz w:val="24"/>
                <w:szCs w:val="24"/>
                <w:highlight w:val="none"/>
                <w:lang w:val="en-US" w:eastAsia="zh-CN" w:bidi="he-IL"/>
              </w:rPr>
              <w:t>A</w:t>
            </w:r>
            <w:r>
              <w:rPr>
                <w:rFonts w:hint="eastAsia" w:cs="Times New Roman"/>
                <w:b w:val="0"/>
                <w:bCs/>
                <w:color w:val="auto"/>
                <w:kern w:val="0"/>
                <w:sz w:val="24"/>
                <w:szCs w:val="24"/>
                <w:highlight w:val="none"/>
                <w:lang w:val="en-US" w:eastAsia="zh-CN" w:bidi="he-IL"/>
              </w:rPr>
              <w:t>）</w:t>
            </w:r>
            <w:r>
              <w:rPr>
                <w:rFonts w:hint="default" w:ascii="Times New Roman" w:hAnsi="Times New Roman" w:eastAsia="宋体" w:cs="Times New Roman"/>
                <w:b w:val="0"/>
                <w:bCs/>
                <w:color w:val="auto"/>
                <w:kern w:val="0"/>
                <w:sz w:val="24"/>
                <w:szCs w:val="24"/>
                <w:highlight w:val="none"/>
                <w:lang w:val="en-US" w:eastAsia="zh-CN" w:bidi="he-IL"/>
              </w:rPr>
              <w:t>，夜间噪声值为4</w:t>
            </w:r>
            <w:r>
              <w:rPr>
                <w:rFonts w:hint="eastAsia" w:cs="Times New Roman"/>
                <w:b w:val="0"/>
                <w:bCs/>
                <w:color w:val="auto"/>
                <w:kern w:val="0"/>
                <w:sz w:val="24"/>
                <w:szCs w:val="24"/>
                <w:highlight w:val="none"/>
                <w:lang w:val="en-US" w:eastAsia="zh-CN" w:bidi="he-IL"/>
              </w:rPr>
              <w:t>5</w:t>
            </w:r>
            <w:r>
              <w:rPr>
                <w:rFonts w:hint="default" w:ascii="Times New Roman" w:hAnsi="Times New Roman" w:eastAsia="宋体" w:cs="Times New Roman"/>
                <w:b w:val="0"/>
                <w:bCs/>
                <w:color w:val="auto"/>
                <w:kern w:val="0"/>
                <w:sz w:val="24"/>
                <w:szCs w:val="24"/>
                <w:highlight w:val="none"/>
                <w:lang w:val="en-US" w:eastAsia="zh-CN" w:bidi="he-IL"/>
              </w:rPr>
              <w:t>.0~4</w:t>
            </w:r>
            <w:r>
              <w:rPr>
                <w:rFonts w:hint="eastAsia" w:cs="Times New Roman"/>
                <w:b w:val="0"/>
                <w:bCs/>
                <w:color w:val="auto"/>
                <w:kern w:val="0"/>
                <w:sz w:val="24"/>
                <w:szCs w:val="24"/>
                <w:highlight w:val="none"/>
                <w:lang w:val="en-US" w:eastAsia="zh-CN" w:bidi="he-IL"/>
              </w:rPr>
              <w:t>6</w:t>
            </w:r>
            <w:r>
              <w:rPr>
                <w:rFonts w:hint="default" w:ascii="Times New Roman" w:hAnsi="Times New Roman" w:eastAsia="宋体" w:cs="Times New Roman"/>
                <w:b w:val="0"/>
                <w:bCs/>
                <w:color w:val="auto"/>
                <w:kern w:val="0"/>
                <w:sz w:val="24"/>
                <w:szCs w:val="24"/>
                <w:highlight w:val="none"/>
                <w:lang w:val="en-US" w:eastAsia="zh-CN" w:bidi="he-IL"/>
              </w:rPr>
              <w:t>.0dB</w:t>
            </w:r>
            <w:r>
              <w:rPr>
                <w:rFonts w:hint="eastAsia" w:cs="Times New Roman"/>
                <w:b w:val="0"/>
                <w:bCs/>
                <w:color w:val="auto"/>
                <w:kern w:val="0"/>
                <w:sz w:val="24"/>
                <w:szCs w:val="24"/>
                <w:highlight w:val="none"/>
                <w:lang w:val="en-US" w:eastAsia="zh-CN" w:bidi="he-IL"/>
              </w:rPr>
              <w:t>（</w:t>
            </w:r>
            <w:r>
              <w:rPr>
                <w:rFonts w:hint="default" w:ascii="Times New Roman" w:hAnsi="Times New Roman" w:eastAsia="宋体" w:cs="Times New Roman"/>
                <w:b w:val="0"/>
                <w:bCs/>
                <w:color w:val="auto"/>
                <w:kern w:val="0"/>
                <w:sz w:val="24"/>
                <w:szCs w:val="24"/>
                <w:highlight w:val="none"/>
                <w:lang w:val="en-US" w:eastAsia="zh-CN" w:bidi="he-IL"/>
              </w:rPr>
              <w:t>A</w:t>
            </w:r>
            <w:r>
              <w:rPr>
                <w:rFonts w:hint="eastAsia" w:cs="Times New Roman"/>
                <w:b w:val="0"/>
                <w:bCs/>
                <w:color w:val="auto"/>
                <w:kern w:val="0"/>
                <w:sz w:val="24"/>
                <w:szCs w:val="24"/>
                <w:highlight w:val="none"/>
                <w:lang w:val="en-US" w:eastAsia="zh-CN" w:bidi="he-IL"/>
              </w:rPr>
              <w:t>）</w:t>
            </w:r>
            <w:r>
              <w:rPr>
                <w:rFonts w:hint="default" w:ascii="Times New Roman" w:hAnsi="Times New Roman" w:eastAsia="宋体" w:cs="Times New Roman"/>
                <w:b w:val="0"/>
                <w:bCs/>
                <w:color w:val="auto"/>
                <w:kern w:val="0"/>
                <w:sz w:val="24"/>
                <w:szCs w:val="24"/>
                <w:highlight w:val="none"/>
                <w:lang w:val="en-US" w:eastAsia="zh-CN" w:bidi="he-IL"/>
              </w:rPr>
              <w:t>，均满足《声环境质量标准》（GB3096-2008）中</w:t>
            </w:r>
            <w:r>
              <w:rPr>
                <w:rFonts w:hint="eastAsia" w:ascii="Times New Roman" w:hAnsi="Times New Roman" w:eastAsia="宋体" w:cs="Times New Roman"/>
                <w:b w:val="0"/>
                <w:bCs/>
                <w:color w:val="auto"/>
                <w:kern w:val="0"/>
                <w:sz w:val="24"/>
                <w:szCs w:val="24"/>
                <w:highlight w:val="none"/>
                <w:lang w:val="en-US" w:eastAsia="zh-CN" w:bidi="he-IL"/>
              </w:rPr>
              <w:t>2</w:t>
            </w:r>
            <w:r>
              <w:rPr>
                <w:rFonts w:hint="default" w:ascii="Times New Roman" w:hAnsi="Times New Roman" w:eastAsia="宋体" w:cs="Times New Roman"/>
                <w:b w:val="0"/>
                <w:bCs/>
                <w:color w:val="auto"/>
                <w:kern w:val="0"/>
                <w:sz w:val="24"/>
                <w:szCs w:val="24"/>
                <w:highlight w:val="none"/>
                <w:lang w:val="en-US" w:eastAsia="zh-CN" w:bidi="he-IL"/>
              </w:rPr>
              <w:t>类标准。声环境质量良好。</w:t>
            </w:r>
          </w:p>
          <w:p w14:paraId="6A8C47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auto"/>
              <w:rPr>
                <w:rFonts w:hint="default" w:ascii="Times New Roman" w:hAnsi="Times New Roman" w:eastAsia="宋体" w:cs="Times New Roman"/>
                <w:b/>
                <w:bCs/>
                <w:color w:val="auto"/>
                <w:kern w:val="0"/>
                <w:sz w:val="24"/>
                <w:szCs w:val="24"/>
                <w:highlight w:val="none"/>
                <w:lang w:val="en-US" w:eastAsia="zh-CN" w:bidi="he-IL"/>
              </w:rPr>
            </w:pPr>
            <w:r>
              <w:rPr>
                <w:rFonts w:hint="default" w:ascii="Times New Roman" w:hAnsi="Times New Roman" w:eastAsia="宋体" w:cs="Times New Roman"/>
                <w:b/>
                <w:bCs/>
                <w:color w:val="auto"/>
                <w:kern w:val="0"/>
                <w:sz w:val="24"/>
                <w:szCs w:val="24"/>
                <w:highlight w:val="none"/>
                <w:lang w:val="en-US" w:eastAsia="zh-CN" w:bidi="he-IL"/>
              </w:rPr>
              <w:t>4、地下水、土壤环境</w:t>
            </w:r>
          </w:p>
          <w:p w14:paraId="54B5A8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auto"/>
              <w:rPr>
                <w:rFonts w:hint="default" w:ascii="Times New Roman" w:hAnsi="Times New Roman" w:eastAsia="宋体" w:cs="Times New Roman"/>
                <w:color w:val="auto"/>
                <w:kern w:val="0"/>
                <w:sz w:val="24"/>
                <w:szCs w:val="24"/>
                <w:highlight w:val="none"/>
                <w:lang w:val="en-US" w:eastAsia="zh-CN" w:bidi="he-IL"/>
              </w:rPr>
            </w:pPr>
            <w:r>
              <w:rPr>
                <w:rFonts w:hint="default" w:ascii="Times New Roman" w:hAnsi="Times New Roman" w:eastAsia="宋体" w:cs="Times New Roman"/>
                <w:color w:val="auto"/>
                <w:kern w:val="0"/>
                <w:sz w:val="24"/>
                <w:szCs w:val="24"/>
                <w:highlight w:val="none"/>
                <w:lang w:val="en-US" w:eastAsia="zh-CN" w:bidi="he-IL"/>
              </w:rPr>
              <w:t>根据《建设项目环境影响报告表编制技术指南</w:t>
            </w:r>
            <w:r>
              <w:rPr>
                <w:rFonts w:hint="eastAsia" w:ascii="Times New Roman" w:hAnsi="Times New Roman" w:eastAsia="宋体" w:cs="Times New Roman"/>
                <w:color w:val="auto"/>
                <w:kern w:val="0"/>
                <w:sz w:val="24"/>
                <w:szCs w:val="24"/>
                <w:highlight w:val="none"/>
                <w:lang w:val="en-US" w:eastAsia="zh-CN" w:bidi="he-IL"/>
              </w:rPr>
              <w:t>（</w:t>
            </w:r>
            <w:r>
              <w:rPr>
                <w:rFonts w:hint="default" w:ascii="Times New Roman" w:hAnsi="Times New Roman" w:eastAsia="宋体" w:cs="Times New Roman"/>
                <w:color w:val="auto"/>
                <w:kern w:val="0"/>
                <w:sz w:val="24"/>
                <w:szCs w:val="24"/>
                <w:highlight w:val="none"/>
                <w:lang w:val="en-US" w:eastAsia="zh-CN" w:bidi="he-IL"/>
              </w:rPr>
              <w:t>污染影响类</w:t>
            </w:r>
            <w:r>
              <w:rPr>
                <w:rFonts w:hint="eastAsia" w:ascii="Times New Roman" w:hAnsi="Times New Roman" w:eastAsia="宋体" w:cs="Times New Roman"/>
                <w:color w:val="auto"/>
                <w:kern w:val="0"/>
                <w:sz w:val="24"/>
                <w:szCs w:val="24"/>
                <w:highlight w:val="none"/>
                <w:lang w:val="en-US" w:eastAsia="zh-CN" w:bidi="he-IL"/>
              </w:rPr>
              <w:t>）</w:t>
            </w:r>
            <w:r>
              <w:rPr>
                <w:rFonts w:hint="default" w:ascii="Times New Roman" w:hAnsi="Times New Roman" w:eastAsia="宋体" w:cs="Times New Roman"/>
                <w:color w:val="auto"/>
                <w:kern w:val="0"/>
                <w:sz w:val="24"/>
                <w:szCs w:val="24"/>
                <w:highlight w:val="none"/>
                <w:lang w:val="en-US" w:eastAsia="zh-CN" w:bidi="he-IL"/>
              </w:rPr>
              <w:t>》，土壤、地下水环境原则不开展环境质量现状调查。</w:t>
            </w:r>
          </w:p>
          <w:p w14:paraId="19E179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auto"/>
              <w:rPr>
                <w:rFonts w:hint="eastAsia" w:ascii="Times New Roman" w:hAnsi="Times New Roman" w:eastAsia="宋体" w:cs="Times New Roman"/>
                <w:b/>
                <w:bCs/>
                <w:color w:val="auto"/>
                <w:kern w:val="0"/>
                <w:sz w:val="24"/>
                <w:szCs w:val="24"/>
                <w:highlight w:val="none"/>
                <w:lang w:val="en-US" w:eastAsia="zh-CN" w:bidi="he-IL"/>
              </w:rPr>
            </w:pPr>
            <w:r>
              <w:rPr>
                <w:rFonts w:hint="eastAsia" w:ascii="Times New Roman" w:hAnsi="Times New Roman" w:eastAsia="宋体" w:cs="Times New Roman"/>
                <w:b/>
                <w:bCs/>
                <w:color w:val="auto"/>
                <w:kern w:val="0"/>
                <w:sz w:val="24"/>
                <w:szCs w:val="24"/>
                <w:highlight w:val="none"/>
                <w:lang w:val="en-US" w:eastAsia="zh-CN" w:bidi="he-IL"/>
              </w:rPr>
              <w:t>5、生态环境</w:t>
            </w:r>
          </w:p>
          <w:p w14:paraId="21645C60">
            <w:pPr>
              <w:pStyle w:val="4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auto"/>
                <w:lang w:val="en-US"/>
              </w:rPr>
            </w:pPr>
            <w:r>
              <w:rPr>
                <w:rFonts w:hint="default" w:ascii="Times New Roman" w:hAnsi="Times New Roman" w:eastAsia="宋体" w:cs="Times New Roman"/>
                <w:color w:val="auto"/>
                <w:kern w:val="0"/>
                <w:sz w:val="24"/>
                <w:szCs w:val="24"/>
                <w:highlight w:val="none"/>
                <w:lang w:val="en-US" w:eastAsia="zh-CN" w:bidi="he-IL"/>
              </w:rPr>
              <w:t>本项目占地范围内无生态环境保护目标</w:t>
            </w:r>
            <w:r>
              <w:rPr>
                <w:rFonts w:hint="eastAsia" w:ascii="Times New Roman" w:hAnsi="Times New Roman" w:eastAsia="宋体" w:cs="Times New Roman"/>
                <w:color w:val="auto"/>
                <w:kern w:val="0"/>
                <w:sz w:val="24"/>
                <w:szCs w:val="24"/>
                <w:highlight w:val="none"/>
                <w:lang w:val="en-US" w:eastAsia="zh-CN" w:bidi="he-IL"/>
              </w:rPr>
              <w:t>，项目土地性质为商业用地，用地范围内无生态环境保护目标，因此不进行生态现状调查。</w:t>
            </w:r>
          </w:p>
        </w:tc>
      </w:tr>
      <w:tr w14:paraId="744201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2" w:type="pct"/>
            <w:vAlign w:val="center"/>
          </w:tcPr>
          <w:p w14:paraId="26AB9AC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FF0000"/>
                <w:kern w:val="0"/>
                <w:sz w:val="24"/>
                <w:szCs w:val="24"/>
                <w:highlight w:val="none"/>
              </w:rPr>
            </w:pPr>
            <w:r>
              <w:rPr>
                <w:rFonts w:hint="default" w:ascii="Times New Roman" w:hAnsi="Times New Roman" w:cs="Times New Roman"/>
                <w:color w:val="auto"/>
                <w:kern w:val="0"/>
                <w:sz w:val="24"/>
                <w:szCs w:val="24"/>
                <w:highlight w:val="none"/>
              </w:rPr>
              <w:t>环境保护目标</w:t>
            </w:r>
          </w:p>
        </w:tc>
        <w:tc>
          <w:tcPr>
            <w:tcW w:w="4547" w:type="pct"/>
            <w:vAlign w:val="center"/>
          </w:tcPr>
          <w:p w14:paraId="3C27A97D">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default"/>
                <w:color w:val="auto"/>
                <w:sz w:val="24"/>
                <w:highlight w:val="none"/>
              </w:rPr>
              <w:t>据现场踏勘可知，本项目厂界外500米范围内无地下水集中式饮用水水源和热水、矿泉水、温泉等特殊地下水资源；无自然保护区、风景名胜区、文化区</w:t>
            </w:r>
            <w:r>
              <w:rPr>
                <w:rFonts w:hint="eastAsia"/>
                <w:color w:val="auto"/>
                <w:sz w:val="24"/>
                <w:highlight w:val="none"/>
                <w:lang w:eastAsia="zh-CN"/>
              </w:rPr>
              <w:t>。</w:t>
            </w:r>
            <w:r>
              <w:rPr>
                <w:rFonts w:hint="eastAsia"/>
                <w:color w:val="auto"/>
                <w:sz w:val="24"/>
                <w:highlight w:val="none"/>
                <w:lang w:val="en-US" w:eastAsia="zh-CN"/>
              </w:rPr>
              <w:t>500m范围内有居住区</w:t>
            </w:r>
            <w:r>
              <w:rPr>
                <w:rFonts w:hint="default"/>
                <w:color w:val="auto"/>
                <w:sz w:val="24"/>
                <w:highlight w:val="none"/>
              </w:rPr>
              <w:t>和农村地区中人群较集中的区域；50米范围内</w:t>
            </w:r>
            <w:r>
              <w:rPr>
                <w:rFonts w:hint="eastAsia"/>
                <w:color w:val="auto"/>
                <w:sz w:val="24"/>
                <w:highlight w:val="none"/>
                <w:lang w:val="en-US" w:eastAsia="zh-CN"/>
              </w:rPr>
              <w:t>有</w:t>
            </w:r>
            <w:r>
              <w:rPr>
                <w:rFonts w:hint="default"/>
                <w:color w:val="auto"/>
                <w:sz w:val="24"/>
                <w:highlight w:val="none"/>
              </w:rPr>
              <w:t>声环境保护目标。</w:t>
            </w:r>
          </w:p>
          <w:p w14:paraId="13C7427E">
            <w:pPr>
              <w:keepNext w:val="0"/>
              <w:keepLines w:val="0"/>
              <w:suppressLineNumbers w:val="0"/>
              <w:spacing w:before="0" w:beforeAutospacing="0" w:after="0" w:afterAutospacing="0" w:line="360" w:lineRule="auto"/>
              <w:ind w:left="0" w:right="0" w:firstLine="482" w:firstLineChars="200"/>
              <w:rPr>
                <w:rFonts w:hint="default"/>
                <w:b/>
                <w:bCs/>
                <w:color w:val="auto"/>
                <w:sz w:val="24"/>
                <w:highlight w:val="none"/>
              </w:rPr>
            </w:pPr>
            <w:r>
              <w:rPr>
                <w:rFonts w:hint="default"/>
                <w:b/>
                <w:bCs/>
                <w:color w:val="auto"/>
                <w:sz w:val="24"/>
                <w:highlight w:val="none"/>
              </w:rPr>
              <w:t>一、大气环境保护目标</w:t>
            </w:r>
          </w:p>
          <w:p w14:paraId="35B68710">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rPr>
            </w:pPr>
            <w:r>
              <w:rPr>
                <w:rFonts w:hint="default"/>
                <w:color w:val="auto"/>
                <w:sz w:val="24"/>
                <w:highlight w:val="none"/>
              </w:rPr>
              <w:t>本项目厂区厂界外500m范围内无自然保护区、风景名胜区。</w:t>
            </w:r>
            <w:r>
              <w:rPr>
                <w:rFonts w:hint="eastAsia"/>
                <w:color w:val="auto"/>
                <w:sz w:val="24"/>
                <w:highlight w:val="none"/>
              </w:rPr>
              <w:t>距离项目厂界最近的敏感目标为周围居民。大气环境保护目标见表3-</w:t>
            </w:r>
            <w:r>
              <w:rPr>
                <w:rFonts w:hint="eastAsia"/>
                <w:color w:val="auto"/>
                <w:sz w:val="24"/>
                <w:highlight w:val="none"/>
                <w:lang w:val="en-US" w:eastAsia="zh-CN"/>
              </w:rPr>
              <w:t>5</w:t>
            </w:r>
            <w:r>
              <w:rPr>
                <w:rFonts w:hint="eastAsia"/>
                <w:color w:val="auto"/>
                <w:sz w:val="24"/>
                <w:highlight w:val="none"/>
              </w:rPr>
              <w:t>。</w:t>
            </w:r>
          </w:p>
          <w:p w14:paraId="6F8596D3">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表3-</w:t>
            </w:r>
            <w:r>
              <w:rPr>
                <w:rFonts w:hint="eastAsia" w:cs="Times New Roman"/>
                <w:b/>
                <w:bCs/>
                <w:color w:val="auto"/>
                <w:sz w:val="24"/>
                <w:szCs w:val="24"/>
                <w:highlight w:val="none"/>
                <w:lang w:val="en-US" w:eastAsia="zh-CN"/>
              </w:rPr>
              <w:t xml:space="preserve">5 </w:t>
            </w:r>
            <w:r>
              <w:rPr>
                <w:rFonts w:hint="default" w:ascii="Times New Roman" w:hAnsi="Times New Roman" w:cs="Times New Roman"/>
                <w:b/>
                <w:bCs/>
                <w:color w:val="auto"/>
                <w:sz w:val="24"/>
                <w:szCs w:val="24"/>
                <w:highlight w:val="none"/>
              </w:rPr>
              <w:t>环境空气保护目标一览表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9"/>
              <w:gridCol w:w="840"/>
              <w:gridCol w:w="983"/>
              <w:gridCol w:w="1005"/>
              <w:gridCol w:w="1335"/>
              <w:gridCol w:w="637"/>
              <w:gridCol w:w="698"/>
              <w:gridCol w:w="675"/>
              <w:gridCol w:w="1073"/>
            </w:tblGrid>
            <w:tr w14:paraId="0E3F37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89" w:type="dxa"/>
                  <w:vMerge w:val="restart"/>
                  <w:vAlign w:val="center"/>
                </w:tcPr>
                <w:p w14:paraId="613102BE">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环境</w:t>
                  </w:r>
                </w:p>
                <w:p w14:paraId="15C269C2">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要素</w:t>
                  </w:r>
                </w:p>
              </w:tc>
              <w:tc>
                <w:tcPr>
                  <w:tcW w:w="840" w:type="dxa"/>
                  <w:vMerge w:val="restart"/>
                  <w:vAlign w:val="center"/>
                </w:tcPr>
                <w:p w14:paraId="143E5E06">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名称</w:t>
                  </w:r>
                </w:p>
              </w:tc>
              <w:tc>
                <w:tcPr>
                  <w:tcW w:w="1988" w:type="dxa"/>
                  <w:gridSpan w:val="2"/>
                  <w:vAlign w:val="center"/>
                </w:tcPr>
                <w:p w14:paraId="39F4E721">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坐标</w:t>
                  </w:r>
                </w:p>
              </w:tc>
              <w:tc>
                <w:tcPr>
                  <w:tcW w:w="1335" w:type="dxa"/>
                  <w:vMerge w:val="restart"/>
                  <w:vAlign w:val="center"/>
                </w:tcPr>
                <w:p w14:paraId="672E0C17">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保护对象</w:t>
                  </w:r>
                </w:p>
              </w:tc>
              <w:tc>
                <w:tcPr>
                  <w:tcW w:w="637" w:type="dxa"/>
                  <w:vMerge w:val="restart"/>
                  <w:vAlign w:val="center"/>
                </w:tcPr>
                <w:p w14:paraId="45A954E8">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相对厂址方位</w:t>
                  </w:r>
                </w:p>
              </w:tc>
              <w:tc>
                <w:tcPr>
                  <w:tcW w:w="698" w:type="dxa"/>
                  <w:vMerge w:val="restart"/>
                  <w:vAlign w:val="center"/>
                </w:tcPr>
                <w:p w14:paraId="3C94701C">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与厂界距离（m）</w:t>
                  </w:r>
                </w:p>
              </w:tc>
              <w:tc>
                <w:tcPr>
                  <w:tcW w:w="675" w:type="dxa"/>
                  <w:vMerge w:val="restart"/>
                  <w:vAlign w:val="center"/>
                </w:tcPr>
                <w:p w14:paraId="76A5882C">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保护内容</w:t>
                  </w:r>
                </w:p>
              </w:tc>
              <w:tc>
                <w:tcPr>
                  <w:tcW w:w="1073" w:type="dxa"/>
                  <w:vMerge w:val="restart"/>
                  <w:vAlign w:val="center"/>
                </w:tcPr>
                <w:p w14:paraId="4E618AC4">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环境功能区</w:t>
                  </w:r>
                </w:p>
              </w:tc>
            </w:tr>
            <w:tr w14:paraId="1DEDFE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89" w:type="dxa"/>
                  <w:vMerge w:val="continue"/>
                  <w:vAlign w:val="center"/>
                </w:tcPr>
                <w:p w14:paraId="338131B8">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rPr>
                  </w:pPr>
                </w:p>
              </w:tc>
              <w:tc>
                <w:tcPr>
                  <w:tcW w:w="840" w:type="dxa"/>
                  <w:vMerge w:val="continue"/>
                  <w:vAlign w:val="center"/>
                </w:tcPr>
                <w:p w14:paraId="2CCBBF4E">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rPr>
                  </w:pPr>
                </w:p>
              </w:tc>
              <w:tc>
                <w:tcPr>
                  <w:tcW w:w="983" w:type="dxa"/>
                  <w:vAlign w:val="center"/>
                </w:tcPr>
                <w:p w14:paraId="49EE8501">
                  <w:pPr>
                    <w:pStyle w:val="87"/>
                    <w:keepNext w:val="0"/>
                    <w:keepLines w:val="0"/>
                    <w:suppressLineNumbers w:val="0"/>
                    <w:spacing w:before="0" w:beforeAutospacing="0" w:after="0" w:afterAutospacing="0" w:line="300" w:lineRule="exact"/>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东经</w:t>
                  </w:r>
                </w:p>
              </w:tc>
              <w:tc>
                <w:tcPr>
                  <w:tcW w:w="1005" w:type="dxa"/>
                  <w:vAlign w:val="center"/>
                </w:tcPr>
                <w:p w14:paraId="2A4D3918">
                  <w:pPr>
                    <w:pStyle w:val="87"/>
                    <w:keepNext w:val="0"/>
                    <w:keepLines w:val="0"/>
                    <w:suppressLineNumbers w:val="0"/>
                    <w:spacing w:before="0" w:beforeAutospacing="0" w:after="0" w:afterAutospacing="0" w:line="300" w:lineRule="exact"/>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北纬</w:t>
                  </w:r>
                </w:p>
              </w:tc>
              <w:tc>
                <w:tcPr>
                  <w:tcW w:w="1335" w:type="dxa"/>
                  <w:vMerge w:val="continue"/>
                  <w:vAlign w:val="center"/>
                </w:tcPr>
                <w:p w14:paraId="5ACD7879">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rPr>
                  </w:pPr>
                </w:p>
              </w:tc>
              <w:tc>
                <w:tcPr>
                  <w:tcW w:w="637" w:type="dxa"/>
                  <w:vMerge w:val="continue"/>
                  <w:vAlign w:val="center"/>
                </w:tcPr>
                <w:p w14:paraId="48F43E51">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rPr>
                  </w:pPr>
                </w:p>
              </w:tc>
              <w:tc>
                <w:tcPr>
                  <w:tcW w:w="698" w:type="dxa"/>
                  <w:vMerge w:val="continue"/>
                  <w:vAlign w:val="center"/>
                </w:tcPr>
                <w:p w14:paraId="7C6CEC85">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rPr>
                  </w:pPr>
                </w:p>
              </w:tc>
              <w:tc>
                <w:tcPr>
                  <w:tcW w:w="675" w:type="dxa"/>
                  <w:vMerge w:val="continue"/>
                  <w:vAlign w:val="center"/>
                </w:tcPr>
                <w:p w14:paraId="203BC3EF">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rPr>
                  </w:pPr>
                </w:p>
              </w:tc>
              <w:tc>
                <w:tcPr>
                  <w:tcW w:w="1073" w:type="dxa"/>
                  <w:vMerge w:val="continue"/>
                  <w:vAlign w:val="center"/>
                </w:tcPr>
                <w:p w14:paraId="7C493F33">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rPr>
                  </w:pPr>
                </w:p>
              </w:tc>
            </w:tr>
            <w:tr w14:paraId="1537A0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89" w:type="dxa"/>
                  <w:vMerge w:val="restart"/>
                  <w:vAlign w:val="center"/>
                </w:tcPr>
                <w:p w14:paraId="2DAF404D">
                  <w:pPr>
                    <w:keepNext w:val="0"/>
                    <w:keepLines w:val="0"/>
                    <w:widowControl/>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环境空气</w:t>
                  </w:r>
                </w:p>
              </w:tc>
              <w:tc>
                <w:tcPr>
                  <w:tcW w:w="840" w:type="dxa"/>
                  <w:vAlign w:val="center"/>
                </w:tcPr>
                <w:p w14:paraId="7E4660C4">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lang w:val="en-US"/>
                    </w:rPr>
                  </w:pPr>
                  <w:r>
                    <w:rPr>
                      <w:rFonts w:hint="default" w:ascii="Times New Roman" w:hAnsi="Times New Roman" w:eastAsia="宋体" w:cs="Times New Roman"/>
                      <w:color w:val="auto"/>
                      <w:kern w:val="0"/>
                      <w:sz w:val="21"/>
                      <w:szCs w:val="21"/>
                      <w:lang w:val="en-US" w:eastAsia="zh-CN"/>
                    </w:rPr>
                    <w:t>耕农村</w:t>
                  </w:r>
                </w:p>
              </w:tc>
              <w:tc>
                <w:tcPr>
                  <w:tcW w:w="983" w:type="dxa"/>
                  <w:vAlign w:val="center"/>
                </w:tcPr>
                <w:p w14:paraId="2F2F7C6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132.988267801</w:t>
                  </w:r>
                </w:p>
              </w:tc>
              <w:tc>
                <w:tcPr>
                  <w:tcW w:w="1005" w:type="dxa"/>
                  <w:vAlign w:val="center"/>
                </w:tcPr>
                <w:p w14:paraId="7CA3FD6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45.773294758</w:t>
                  </w:r>
                </w:p>
              </w:tc>
              <w:tc>
                <w:tcPr>
                  <w:tcW w:w="1335" w:type="dxa"/>
                  <w:vAlign w:val="center"/>
                </w:tcPr>
                <w:p w14:paraId="77A624B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农村地区中人群较集中的区域</w:t>
                  </w:r>
                </w:p>
              </w:tc>
              <w:tc>
                <w:tcPr>
                  <w:tcW w:w="637" w:type="dxa"/>
                  <w:vAlign w:val="center"/>
                </w:tcPr>
                <w:p w14:paraId="328D599F">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S</w:t>
                  </w:r>
                </w:p>
              </w:tc>
              <w:tc>
                <w:tcPr>
                  <w:tcW w:w="698" w:type="dxa"/>
                  <w:vAlign w:val="center"/>
                </w:tcPr>
                <w:p w14:paraId="56355CCF">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10</w:t>
                  </w:r>
                </w:p>
              </w:tc>
              <w:tc>
                <w:tcPr>
                  <w:tcW w:w="675" w:type="dxa"/>
                  <w:vAlign w:val="center"/>
                </w:tcPr>
                <w:p w14:paraId="3BF69682">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人群</w:t>
                  </w:r>
                </w:p>
              </w:tc>
              <w:tc>
                <w:tcPr>
                  <w:tcW w:w="1073" w:type="dxa"/>
                  <w:vMerge w:val="restart"/>
                  <w:vAlign w:val="center"/>
                </w:tcPr>
                <w:p w14:paraId="2A372055">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《环境空气质量标准》（GB3095-2012）中二级标准</w:t>
                  </w:r>
                </w:p>
              </w:tc>
            </w:tr>
            <w:tr w14:paraId="4B15CB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89" w:type="dxa"/>
                  <w:vMerge w:val="continue"/>
                  <w:vAlign w:val="center"/>
                </w:tcPr>
                <w:p w14:paraId="50A75A23">
                  <w:pPr>
                    <w:keepNext w:val="0"/>
                    <w:keepLines w:val="0"/>
                    <w:widowControl/>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rPr>
                  </w:pPr>
                </w:p>
              </w:tc>
              <w:tc>
                <w:tcPr>
                  <w:tcW w:w="840" w:type="dxa"/>
                  <w:vAlign w:val="center"/>
                </w:tcPr>
                <w:p w14:paraId="246BAB81">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厂区西北侧居民</w:t>
                  </w:r>
                </w:p>
              </w:tc>
              <w:tc>
                <w:tcPr>
                  <w:tcW w:w="983" w:type="dxa"/>
                  <w:vAlign w:val="center"/>
                </w:tcPr>
                <w:p w14:paraId="31A9CB5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132.982860467</w:t>
                  </w:r>
                </w:p>
              </w:tc>
              <w:tc>
                <w:tcPr>
                  <w:tcW w:w="1005" w:type="dxa"/>
                  <w:vAlign w:val="center"/>
                </w:tcPr>
                <w:p w14:paraId="60074A2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45.775590729</w:t>
                  </w:r>
                </w:p>
              </w:tc>
              <w:tc>
                <w:tcPr>
                  <w:tcW w:w="1335" w:type="dxa"/>
                  <w:vAlign w:val="center"/>
                </w:tcPr>
                <w:p w14:paraId="4CE627F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农村地区中人群较集中的区域</w:t>
                  </w:r>
                </w:p>
              </w:tc>
              <w:tc>
                <w:tcPr>
                  <w:tcW w:w="637" w:type="dxa"/>
                  <w:vAlign w:val="center"/>
                </w:tcPr>
                <w:p w14:paraId="4E254AB4">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NW</w:t>
                  </w:r>
                </w:p>
              </w:tc>
              <w:tc>
                <w:tcPr>
                  <w:tcW w:w="698" w:type="dxa"/>
                  <w:vAlign w:val="center"/>
                </w:tcPr>
                <w:p w14:paraId="6705D6A6">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260</w:t>
                  </w:r>
                </w:p>
              </w:tc>
              <w:tc>
                <w:tcPr>
                  <w:tcW w:w="675" w:type="dxa"/>
                  <w:vAlign w:val="center"/>
                </w:tcPr>
                <w:p w14:paraId="6C805F97">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人群</w:t>
                  </w:r>
                </w:p>
              </w:tc>
              <w:tc>
                <w:tcPr>
                  <w:tcW w:w="1073" w:type="dxa"/>
                  <w:vMerge w:val="continue"/>
                  <w:vAlign w:val="center"/>
                </w:tcPr>
                <w:p w14:paraId="317B054A">
                  <w:pPr>
                    <w:keepNext w:val="0"/>
                    <w:keepLines w:val="0"/>
                    <w:widowControl/>
                    <w:suppressLineNumbers w:val="0"/>
                    <w:snapToGrid w:val="0"/>
                    <w:spacing w:before="0" w:beforeAutospacing="0" w:after="0" w:afterAutospacing="0" w:line="300" w:lineRule="exact"/>
                    <w:ind w:left="0" w:right="0"/>
                    <w:jc w:val="center"/>
                    <w:rPr>
                      <w:rFonts w:hint="default" w:ascii="Times New Roman" w:hAnsi="Times New Roman" w:eastAsia="宋体" w:cs="Times New Roman"/>
                      <w:color w:val="auto"/>
                      <w:sz w:val="21"/>
                      <w:szCs w:val="21"/>
                      <w:highlight w:val="none"/>
                    </w:rPr>
                  </w:pPr>
                </w:p>
              </w:tc>
            </w:tr>
          </w:tbl>
          <w:p w14:paraId="59B11203">
            <w:pPr>
              <w:keepNext w:val="0"/>
              <w:keepLines w:val="0"/>
              <w:suppressLineNumbers w:val="0"/>
              <w:spacing w:before="0" w:beforeAutospacing="0" w:after="0" w:afterAutospacing="0" w:line="360" w:lineRule="auto"/>
              <w:ind w:left="0" w:right="0" w:firstLine="482" w:firstLineChars="200"/>
              <w:rPr>
                <w:rFonts w:hint="default"/>
                <w:b/>
                <w:bCs/>
                <w:color w:val="auto"/>
                <w:sz w:val="24"/>
                <w:highlight w:val="none"/>
              </w:rPr>
            </w:pPr>
            <w:r>
              <w:rPr>
                <w:rFonts w:hint="default"/>
                <w:b/>
                <w:bCs/>
                <w:color w:val="auto"/>
                <w:sz w:val="24"/>
                <w:highlight w:val="none"/>
              </w:rPr>
              <w:t>二、声环境保护目标</w:t>
            </w:r>
          </w:p>
          <w:p w14:paraId="257842B0">
            <w:pPr>
              <w:pStyle w:val="1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eastAsiaTheme="minorEastAsia"/>
                <w:color w:val="auto"/>
                <w:kern w:val="2"/>
                <w:sz w:val="24"/>
                <w:szCs w:val="24"/>
                <w:highlight w:val="none"/>
                <w:lang w:val="en-US" w:eastAsia="zh-CN" w:bidi="ar-SA"/>
              </w:rPr>
            </w:pPr>
            <w:r>
              <w:rPr>
                <w:rFonts w:hint="default" w:cs="Times New Roman" w:asciiTheme="minorHAnsi" w:hAnsiTheme="minorHAnsi" w:eastAsiaTheme="minorEastAsia"/>
                <w:color w:val="auto"/>
                <w:kern w:val="2"/>
                <w:sz w:val="24"/>
                <w:szCs w:val="24"/>
                <w:highlight w:val="none"/>
                <w:lang w:val="en-US" w:eastAsia="zh-CN" w:bidi="ar-SA"/>
              </w:rPr>
              <w:t>根据《建设项目环境影响评价报告表编制技术指南》（污染影响类）及现状调查结果，</w:t>
            </w:r>
            <w:r>
              <w:rPr>
                <w:rFonts w:hint="default" w:ascii="Times New Roman" w:hAnsi="Times New Roman" w:cs="Times New Roman" w:eastAsiaTheme="minorEastAsia"/>
                <w:color w:val="auto"/>
                <w:kern w:val="2"/>
                <w:sz w:val="24"/>
                <w:szCs w:val="24"/>
                <w:highlight w:val="none"/>
                <w:lang w:val="en-US" w:eastAsia="zh-CN" w:bidi="ar-SA"/>
              </w:rPr>
              <w:t>本项目厂界外50m范围内大气环境保护目标见下表。</w:t>
            </w:r>
          </w:p>
          <w:p w14:paraId="703AD140">
            <w:pPr>
              <w:keepNext w:val="0"/>
              <w:keepLines w:val="0"/>
              <w:suppressLineNumbers w:val="0"/>
              <w:spacing w:before="0" w:beforeAutospacing="0" w:after="0" w:afterAutospacing="0" w:line="240" w:lineRule="auto"/>
              <w:ind w:left="0" w:right="0" w:firstLine="482" w:firstLineChars="200"/>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表3-</w:t>
            </w:r>
            <w:r>
              <w:rPr>
                <w:rFonts w:hint="eastAsia" w:cs="Times New Roman"/>
                <w:b/>
                <w:bCs/>
                <w:color w:val="auto"/>
                <w:sz w:val="24"/>
                <w:szCs w:val="24"/>
                <w:lang w:val="en-US" w:eastAsia="zh-CN"/>
              </w:rPr>
              <w:t>6</w:t>
            </w:r>
            <w:r>
              <w:rPr>
                <w:rFonts w:hint="default" w:ascii="Times New Roman" w:hAnsi="Times New Roman" w:eastAsia="宋体" w:cs="Times New Roman"/>
                <w:b/>
                <w:bCs/>
                <w:color w:val="auto"/>
                <w:sz w:val="24"/>
                <w:szCs w:val="24"/>
                <w:lang w:val="en-US" w:eastAsia="zh-CN"/>
              </w:rPr>
              <w:t xml:space="preserve"> 声环境保护目标</w:t>
            </w:r>
          </w:p>
          <w:tbl>
            <w:tblPr>
              <w:tblStyle w:val="39"/>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7"/>
              <w:gridCol w:w="976"/>
              <w:gridCol w:w="488"/>
              <w:gridCol w:w="477"/>
              <w:gridCol w:w="360"/>
              <w:gridCol w:w="855"/>
              <w:gridCol w:w="555"/>
              <w:gridCol w:w="2520"/>
              <w:gridCol w:w="1279"/>
            </w:tblGrid>
            <w:tr w14:paraId="6D156F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322" w:type="pct"/>
                  <w:vMerge w:val="restart"/>
                  <w:tcBorders>
                    <w:tl2br w:val="nil"/>
                    <w:tr2bl w:val="nil"/>
                  </w:tcBorders>
                  <w:noWrap w:val="0"/>
                  <w:vAlign w:val="center"/>
                </w:tcPr>
                <w:p w14:paraId="069D71AE">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序号</w:t>
                  </w:r>
                </w:p>
              </w:tc>
              <w:tc>
                <w:tcPr>
                  <w:tcW w:w="607" w:type="pct"/>
                  <w:vMerge w:val="restart"/>
                  <w:tcBorders>
                    <w:tl2br w:val="nil"/>
                    <w:tr2bl w:val="nil"/>
                  </w:tcBorders>
                  <w:noWrap w:val="0"/>
                  <w:vAlign w:val="center"/>
                </w:tcPr>
                <w:p w14:paraId="56DD793D">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声环境保护目标名称</w:t>
                  </w:r>
                </w:p>
              </w:tc>
              <w:tc>
                <w:tcPr>
                  <w:tcW w:w="825" w:type="pct"/>
                  <w:gridSpan w:val="3"/>
                  <w:tcBorders>
                    <w:tl2br w:val="nil"/>
                    <w:tr2bl w:val="nil"/>
                  </w:tcBorders>
                  <w:noWrap w:val="0"/>
                  <w:vAlign w:val="center"/>
                </w:tcPr>
                <w:p w14:paraId="6A2F117F">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空间相对</w:t>
                  </w:r>
                </w:p>
                <w:p w14:paraId="1C7F5733">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位置</w:t>
                  </w:r>
                </w:p>
              </w:tc>
              <w:tc>
                <w:tcPr>
                  <w:tcW w:w="532" w:type="pct"/>
                  <w:vMerge w:val="restart"/>
                  <w:tcBorders>
                    <w:tl2br w:val="nil"/>
                    <w:tr2bl w:val="nil"/>
                  </w:tcBorders>
                  <w:noWrap w:val="0"/>
                  <w:vAlign w:val="center"/>
                </w:tcPr>
                <w:p w14:paraId="57B28B08">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距厂界最近距离</w:t>
                  </w:r>
                </w:p>
              </w:tc>
              <w:tc>
                <w:tcPr>
                  <w:tcW w:w="345" w:type="pct"/>
                  <w:vMerge w:val="restart"/>
                  <w:tcBorders>
                    <w:tl2br w:val="nil"/>
                    <w:tr2bl w:val="nil"/>
                  </w:tcBorders>
                  <w:noWrap w:val="0"/>
                  <w:vAlign w:val="center"/>
                </w:tcPr>
                <w:p w14:paraId="2BF0CCF4">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方位</w:t>
                  </w:r>
                </w:p>
              </w:tc>
              <w:tc>
                <w:tcPr>
                  <w:tcW w:w="1569" w:type="pct"/>
                  <w:vMerge w:val="restart"/>
                  <w:tcBorders>
                    <w:tl2br w:val="nil"/>
                    <w:tr2bl w:val="nil"/>
                  </w:tcBorders>
                  <w:noWrap w:val="0"/>
                  <w:vAlign w:val="center"/>
                </w:tcPr>
                <w:p w14:paraId="7DC2FD74">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执行标准</w:t>
                  </w:r>
                </w:p>
              </w:tc>
              <w:tc>
                <w:tcPr>
                  <w:tcW w:w="796" w:type="pct"/>
                  <w:vMerge w:val="restart"/>
                  <w:tcBorders>
                    <w:tl2br w:val="nil"/>
                    <w:tr2bl w:val="nil"/>
                  </w:tcBorders>
                  <w:noWrap w:val="0"/>
                  <w:vAlign w:val="center"/>
                </w:tcPr>
                <w:p w14:paraId="3AA550B9">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声环境保护目标情况说明</w:t>
                  </w:r>
                </w:p>
              </w:tc>
            </w:tr>
            <w:tr w14:paraId="7BA543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322" w:type="pct"/>
                  <w:vMerge w:val="continue"/>
                  <w:tcBorders>
                    <w:tl2br w:val="nil"/>
                    <w:tr2bl w:val="nil"/>
                  </w:tcBorders>
                  <w:noWrap w:val="0"/>
                  <w:vAlign w:val="center"/>
                </w:tcPr>
                <w:p w14:paraId="71C49E43">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607" w:type="pct"/>
                  <w:vMerge w:val="continue"/>
                  <w:tcBorders>
                    <w:tl2br w:val="nil"/>
                    <w:tr2bl w:val="nil"/>
                  </w:tcBorders>
                  <w:noWrap w:val="0"/>
                  <w:vAlign w:val="center"/>
                </w:tcPr>
                <w:p w14:paraId="66F028DB">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303" w:type="pct"/>
                  <w:tcBorders>
                    <w:tl2br w:val="nil"/>
                    <w:tr2bl w:val="nil"/>
                  </w:tcBorders>
                  <w:noWrap w:val="0"/>
                  <w:vAlign w:val="center"/>
                </w:tcPr>
                <w:p w14:paraId="2D7ACB6F">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X</w:t>
                  </w:r>
                </w:p>
              </w:tc>
              <w:tc>
                <w:tcPr>
                  <w:tcW w:w="297" w:type="pct"/>
                  <w:tcBorders>
                    <w:tl2br w:val="nil"/>
                    <w:tr2bl w:val="nil"/>
                  </w:tcBorders>
                  <w:noWrap w:val="0"/>
                  <w:vAlign w:val="center"/>
                </w:tcPr>
                <w:p w14:paraId="13A00BCC">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Y</w:t>
                  </w:r>
                </w:p>
              </w:tc>
              <w:tc>
                <w:tcPr>
                  <w:tcW w:w="224" w:type="pct"/>
                  <w:tcBorders>
                    <w:tl2br w:val="nil"/>
                    <w:tr2bl w:val="nil"/>
                  </w:tcBorders>
                  <w:noWrap w:val="0"/>
                  <w:vAlign w:val="center"/>
                </w:tcPr>
                <w:p w14:paraId="2DADCFF0">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Z</w:t>
                  </w:r>
                </w:p>
              </w:tc>
              <w:tc>
                <w:tcPr>
                  <w:tcW w:w="532" w:type="pct"/>
                  <w:vMerge w:val="continue"/>
                  <w:tcBorders>
                    <w:tl2br w:val="nil"/>
                    <w:tr2bl w:val="nil"/>
                  </w:tcBorders>
                  <w:noWrap w:val="0"/>
                  <w:vAlign w:val="center"/>
                </w:tcPr>
                <w:p w14:paraId="217943E6">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eastAsia="zh-CN"/>
                    </w:rPr>
                  </w:pPr>
                </w:p>
              </w:tc>
              <w:tc>
                <w:tcPr>
                  <w:tcW w:w="345" w:type="pct"/>
                  <w:vMerge w:val="continue"/>
                  <w:tcBorders>
                    <w:tl2br w:val="nil"/>
                    <w:tr2bl w:val="nil"/>
                  </w:tcBorders>
                  <w:noWrap w:val="0"/>
                  <w:vAlign w:val="center"/>
                </w:tcPr>
                <w:p w14:paraId="3A2C8EAB">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eastAsia="zh-CN"/>
                    </w:rPr>
                  </w:pPr>
                </w:p>
              </w:tc>
              <w:tc>
                <w:tcPr>
                  <w:tcW w:w="1569" w:type="pct"/>
                  <w:vMerge w:val="continue"/>
                  <w:tcBorders>
                    <w:tl2br w:val="nil"/>
                    <w:tr2bl w:val="nil"/>
                  </w:tcBorders>
                  <w:noWrap w:val="0"/>
                  <w:vAlign w:val="center"/>
                </w:tcPr>
                <w:p w14:paraId="3E03D23E">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eastAsia="zh-CN"/>
                    </w:rPr>
                  </w:pPr>
                </w:p>
              </w:tc>
              <w:tc>
                <w:tcPr>
                  <w:tcW w:w="796" w:type="pct"/>
                  <w:vMerge w:val="continue"/>
                  <w:tcBorders>
                    <w:tl2br w:val="nil"/>
                    <w:tr2bl w:val="nil"/>
                  </w:tcBorders>
                  <w:noWrap w:val="0"/>
                  <w:vAlign w:val="center"/>
                </w:tcPr>
                <w:p w14:paraId="46FBF798">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eastAsia="zh-CN"/>
                    </w:rPr>
                  </w:pPr>
                </w:p>
              </w:tc>
            </w:tr>
            <w:tr w14:paraId="12BDB1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322" w:type="pct"/>
                  <w:tcBorders>
                    <w:tl2br w:val="nil"/>
                    <w:tr2bl w:val="nil"/>
                  </w:tcBorders>
                  <w:noWrap w:val="0"/>
                  <w:vAlign w:val="center"/>
                </w:tcPr>
                <w:p w14:paraId="2380D5AF">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607" w:type="pct"/>
                  <w:tcBorders>
                    <w:tl2br w:val="nil"/>
                    <w:tr2bl w:val="nil"/>
                  </w:tcBorders>
                  <w:noWrap w:val="0"/>
                  <w:vAlign w:val="center"/>
                </w:tcPr>
                <w:p w14:paraId="6DFB3507">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lang w:val="en-US" w:eastAsia="zh-CN"/>
                    </w:rPr>
                    <w:t>耕农村</w:t>
                  </w:r>
                </w:p>
              </w:tc>
              <w:tc>
                <w:tcPr>
                  <w:tcW w:w="303" w:type="pct"/>
                  <w:tcBorders>
                    <w:tl2br w:val="nil"/>
                    <w:tr2bl w:val="nil"/>
                  </w:tcBorders>
                  <w:noWrap w:val="0"/>
                  <w:vAlign w:val="center"/>
                </w:tcPr>
                <w:p w14:paraId="662C05FF">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66</w:t>
                  </w:r>
                </w:p>
              </w:tc>
              <w:tc>
                <w:tcPr>
                  <w:tcW w:w="297" w:type="pct"/>
                  <w:tcBorders>
                    <w:tl2br w:val="nil"/>
                    <w:tr2bl w:val="nil"/>
                  </w:tcBorders>
                  <w:noWrap w:val="0"/>
                  <w:vAlign w:val="center"/>
                </w:tcPr>
                <w:p w14:paraId="206896E1">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62</w:t>
                  </w:r>
                </w:p>
              </w:tc>
              <w:tc>
                <w:tcPr>
                  <w:tcW w:w="224" w:type="pct"/>
                  <w:tcBorders>
                    <w:tl2br w:val="nil"/>
                    <w:tr2bl w:val="nil"/>
                  </w:tcBorders>
                  <w:noWrap w:val="0"/>
                  <w:vAlign w:val="center"/>
                </w:tcPr>
                <w:p w14:paraId="265147D4">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532" w:type="pct"/>
                  <w:tcBorders>
                    <w:tl2br w:val="nil"/>
                    <w:tr2bl w:val="nil"/>
                  </w:tcBorders>
                  <w:noWrap w:val="0"/>
                  <w:vAlign w:val="center"/>
                </w:tcPr>
                <w:p w14:paraId="51D4F18B">
                  <w:pPr>
                    <w:pStyle w:val="2"/>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10</w:t>
                  </w:r>
                </w:p>
              </w:tc>
              <w:tc>
                <w:tcPr>
                  <w:tcW w:w="345" w:type="pct"/>
                  <w:tcBorders>
                    <w:tl2br w:val="nil"/>
                    <w:tr2bl w:val="nil"/>
                  </w:tcBorders>
                  <w:noWrap w:val="0"/>
                  <w:vAlign w:val="center"/>
                </w:tcPr>
                <w:p w14:paraId="37318691">
                  <w:pPr>
                    <w:pStyle w:val="102"/>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S</w:t>
                  </w:r>
                </w:p>
              </w:tc>
              <w:tc>
                <w:tcPr>
                  <w:tcW w:w="1569" w:type="pct"/>
                  <w:tcBorders>
                    <w:tl2br w:val="nil"/>
                    <w:tr2bl w:val="nil"/>
                  </w:tcBorders>
                  <w:noWrap w:val="0"/>
                  <w:vAlign w:val="center"/>
                </w:tcPr>
                <w:p w14:paraId="1E7C90C7">
                  <w:pPr>
                    <w:pStyle w:val="102"/>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pacing w:val="0"/>
                      <w:sz w:val="21"/>
                      <w:szCs w:val="21"/>
                      <w:highlight w:val="none"/>
                      <w:lang w:val="en-US" w:eastAsia="zh-CN"/>
                    </w:rPr>
                    <w:t>《声环境质量标准》（GB3096-2008）表1环境噪声限值中的</w:t>
                  </w:r>
                  <w:r>
                    <w:rPr>
                      <w:rFonts w:hint="eastAsia" w:ascii="Times New Roman" w:hAnsi="Times New Roman" w:eastAsia="宋体" w:cs="Times New Roman"/>
                      <w:b w:val="0"/>
                      <w:bCs w:val="0"/>
                      <w:color w:val="auto"/>
                      <w:spacing w:val="0"/>
                      <w:sz w:val="21"/>
                      <w:szCs w:val="21"/>
                      <w:highlight w:val="none"/>
                      <w:lang w:val="en-US" w:eastAsia="zh-CN"/>
                    </w:rPr>
                    <w:t>2</w:t>
                  </w:r>
                  <w:r>
                    <w:rPr>
                      <w:rFonts w:hint="default" w:ascii="Times New Roman" w:hAnsi="Times New Roman" w:eastAsia="宋体" w:cs="Times New Roman"/>
                      <w:b w:val="0"/>
                      <w:bCs w:val="0"/>
                      <w:color w:val="auto"/>
                      <w:spacing w:val="0"/>
                      <w:sz w:val="21"/>
                      <w:szCs w:val="21"/>
                      <w:highlight w:val="none"/>
                      <w:lang w:val="en-US" w:eastAsia="zh-CN"/>
                    </w:rPr>
                    <w:t>类标准</w:t>
                  </w:r>
                </w:p>
              </w:tc>
              <w:tc>
                <w:tcPr>
                  <w:tcW w:w="796" w:type="pct"/>
                  <w:tcBorders>
                    <w:tl2br w:val="nil"/>
                    <w:tr2bl w:val="nil"/>
                  </w:tcBorders>
                  <w:noWrap w:val="0"/>
                  <w:vAlign w:val="center"/>
                </w:tcPr>
                <w:p w14:paraId="202493AB">
                  <w:pPr>
                    <w:pStyle w:val="102"/>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b w:val="0"/>
                      <w:bCs w:val="0"/>
                      <w:color w:val="auto"/>
                      <w:spacing w:val="0"/>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w:t>
                  </w:r>
                  <w:r>
                    <w:rPr>
                      <w:rFonts w:hint="default" w:ascii="Times New Roman" w:hAnsi="Times New Roman" w:eastAsia="宋体" w:cs="Times New Roman"/>
                      <w:color w:val="auto"/>
                      <w:sz w:val="21"/>
                      <w:szCs w:val="21"/>
                      <w:highlight w:val="none"/>
                      <w:lang w:eastAsia="zh-CN"/>
                    </w:rPr>
                    <w:t>层结构楼房，建筑物</w:t>
                  </w:r>
                  <w:r>
                    <w:rPr>
                      <w:rFonts w:hint="default" w:ascii="Times New Roman" w:hAnsi="Times New Roman" w:eastAsia="宋体" w:cs="Times New Roman"/>
                      <w:color w:val="auto"/>
                      <w:sz w:val="21"/>
                      <w:szCs w:val="21"/>
                      <w:highlight w:val="none"/>
                      <w:lang w:val="en-US" w:eastAsia="zh-CN"/>
                    </w:rPr>
                    <w:t>为</w:t>
                  </w:r>
                  <w:r>
                    <w:rPr>
                      <w:rFonts w:hint="eastAsia" w:ascii="Times New Roman" w:hAnsi="Times New Roman" w:eastAsia="宋体" w:cs="Times New Roman"/>
                      <w:color w:val="auto"/>
                      <w:sz w:val="21"/>
                      <w:szCs w:val="21"/>
                      <w:highlight w:val="none"/>
                      <w:lang w:val="en-US" w:eastAsia="zh-CN"/>
                    </w:rPr>
                    <w:t>南</w:t>
                  </w:r>
                  <w:r>
                    <w:rPr>
                      <w:rFonts w:hint="default" w:ascii="Times New Roman" w:hAnsi="Times New Roman" w:eastAsia="宋体" w:cs="Times New Roman"/>
                      <w:color w:val="auto"/>
                      <w:sz w:val="21"/>
                      <w:szCs w:val="21"/>
                      <w:highlight w:val="none"/>
                      <w:lang w:val="en-US" w:eastAsia="zh-CN"/>
                    </w:rPr>
                    <w:t>向</w:t>
                  </w:r>
                </w:p>
              </w:tc>
            </w:tr>
          </w:tbl>
          <w:p w14:paraId="27102BD1">
            <w:pPr>
              <w:keepNext w:val="0"/>
              <w:keepLines w:val="0"/>
              <w:suppressLineNumbers w:val="0"/>
              <w:spacing w:before="0" w:beforeAutospacing="0" w:after="0" w:afterAutospacing="0" w:line="360" w:lineRule="auto"/>
              <w:ind w:left="0" w:right="0" w:firstLine="482" w:firstLineChars="200"/>
              <w:rPr>
                <w:rFonts w:hint="default"/>
                <w:b/>
                <w:bCs/>
                <w:color w:val="auto"/>
                <w:sz w:val="24"/>
                <w:highlight w:val="none"/>
              </w:rPr>
            </w:pPr>
            <w:r>
              <w:rPr>
                <w:rFonts w:hint="default"/>
                <w:b/>
                <w:bCs/>
                <w:color w:val="auto"/>
                <w:sz w:val="24"/>
                <w:highlight w:val="none"/>
              </w:rPr>
              <w:t>三、地下水环境保护目标</w:t>
            </w:r>
          </w:p>
          <w:p w14:paraId="283CC965">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eastAsia"/>
                <w:color w:val="auto"/>
                <w:sz w:val="24"/>
                <w:highlight w:val="none"/>
              </w:rPr>
              <w:t>经调查，</w:t>
            </w:r>
            <w:r>
              <w:rPr>
                <w:rFonts w:hint="default"/>
                <w:color w:val="auto"/>
                <w:sz w:val="24"/>
                <w:highlight w:val="none"/>
              </w:rPr>
              <w:t>本项目厂区厂界外500m范围内无地下水集中式饮用水水源和热水、矿泉水、温泉等特殊地下水资源。</w:t>
            </w:r>
          </w:p>
          <w:p w14:paraId="2499B72A">
            <w:pPr>
              <w:keepNext w:val="0"/>
              <w:keepLines w:val="0"/>
              <w:numPr>
                <w:ilvl w:val="0"/>
                <w:numId w:val="8"/>
              </w:numPr>
              <w:suppressLineNumbers w:val="0"/>
              <w:spacing w:before="0" w:beforeAutospacing="0" w:after="0" w:afterAutospacing="0" w:line="360" w:lineRule="auto"/>
              <w:ind w:left="0" w:right="0" w:firstLine="482" w:firstLineChars="200"/>
              <w:rPr>
                <w:rFonts w:hint="default"/>
                <w:b/>
                <w:bCs/>
                <w:color w:val="auto"/>
                <w:sz w:val="24"/>
                <w:highlight w:val="none"/>
              </w:rPr>
            </w:pPr>
            <w:r>
              <w:rPr>
                <w:rFonts w:hint="default"/>
                <w:b/>
                <w:bCs/>
                <w:color w:val="auto"/>
                <w:sz w:val="24"/>
                <w:highlight w:val="none"/>
              </w:rPr>
              <w:t>生态环境保护目标</w:t>
            </w:r>
          </w:p>
          <w:p w14:paraId="30E844C5">
            <w:pPr>
              <w:keepNext w:val="0"/>
              <w:keepLines w:val="0"/>
              <w:numPr>
                <w:ilvl w:val="0"/>
                <w:numId w:val="0"/>
              </w:numPr>
              <w:suppressLineNumbers w:val="0"/>
              <w:spacing w:before="0" w:beforeAutospacing="0" w:after="0" w:afterAutospacing="0" w:line="360" w:lineRule="auto"/>
              <w:ind w:left="0" w:right="0" w:rightChars="0" w:firstLine="480" w:firstLineChars="200"/>
              <w:rPr>
                <w:rFonts w:hint="eastAsia" w:cs="Times New Roman"/>
                <w:bCs/>
                <w:color w:val="auto"/>
                <w:sz w:val="24"/>
                <w:szCs w:val="24"/>
                <w:highlight w:val="none"/>
                <w:lang w:val="en-US" w:eastAsia="zh-CN"/>
              </w:rPr>
            </w:pPr>
            <w:r>
              <w:rPr>
                <w:rFonts w:hint="default"/>
                <w:color w:val="auto"/>
                <w:sz w:val="24"/>
                <w:highlight w:val="none"/>
              </w:rPr>
              <w:t>本项目用地属于</w:t>
            </w:r>
            <w:r>
              <w:rPr>
                <w:rFonts w:hint="eastAsia"/>
                <w:color w:val="auto"/>
                <w:sz w:val="24"/>
                <w:highlight w:val="none"/>
                <w:lang w:val="en-US" w:eastAsia="zh-CN"/>
              </w:rPr>
              <w:t>商业用地</w:t>
            </w:r>
            <w:r>
              <w:rPr>
                <w:rFonts w:hint="default"/>
                <w:color w:val="auto"/>
                <w:sz w:val="24"/>
                <w:highlight w:val="none"/>
              </w:rPr>
              <w:t>，既有存在，无新增用地；周围无风景名胜区、森林公园等重要生态敏感区。</w:t>
            </w:r>
          </w:p>
        </w:tc>
      </w:tr>
      <w:tr w14:paraId="0485CC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7" w:hRule="atLeast"/>
          <w:jc w:val="center"/>
        </w:trPr>
        <w:tc>
          <w:tcPr>
            <w:tcW w:w="452" w:type="pct"/>
            <w:vAlign w:val="center"/>
          </w:tcPr>
          <w:p w14:paraId="32E09F8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FF0000"/>
                <w:kern w:val="0"/>
                <w:sz w:val="24"/>
                <w:szCs w:val="24"/>
                <w:highlight w:val="none"/>
              </w:rPr>
            </w:pPr>
            <w:r>
              <w:rPr>
                <w:rFonts w:hint="default" w:ascii="Times New Roman" w:hAnsi="Times New Roman" w:cs="Times New Roman"/>
                <w:color w:val="auto"/>
                <w:kern w:val="0"/>
                <w:sz w:val="24"/>
                <w:szCs w:val="24"/>
                <w:highlight w:val="none"/>
              </w:rPr>
              <w:t>污染物排放控制标准</w:t>
            </w:r>
          </w:p>
        </w:tc>
        <w:tc>
          <w:tcPr>
            <w:tcW w:w="4547" w:type="pct"/>
            <w:vAlign w:val="center"/>
          </w:tcPr>
          <w:p w14:paraId="69296CA9">
            <w:pPr>
              <w:pStyle w:val="98"/>
              <w:keepNext w:val="0"/>
              <w:keepLines w:val="0"/>
              <w:numPr>
                <w:ilvl w:val="0"/>
                <w:numId w:val="9"/>
              </w:numPr>
              <w:suppressLineNumbers w:val="0"/>
              <w:spacing w:before="0" w:beforeAutospacing="0" w:after="0" w:afterAutospacing="0" w:line="360" w:lineRule="auto"/>
              <w:ind w:left="0" w:right="0" w:firstLine="482" w:firstLineChars="200"/>
              <w:jc w:val="both"/>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废气</w:t>
            </w:r>
          </w:p>
          <w:p w14:paraId="6E6F4752">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sz w:val="24"/>
                <w:szCs w:val="24"/>
                <w:highlight w:val="none"/>
              </w:rPr>
            </w:pPr>
            <w:r>
              <w:rPr>
                <w:rFonts w:hint="default"/>
                <w:color w:val="auto"/>
                <w:sz w:val="24"/>
                <w:szCs w:val="24"/>
                <w:highlight w:val="none"/>
              </w:rPr>
              <w:t>施工期：</w:t>
            </w:r>
            <w:r>
              <w:rPr>
                <w:rFonts w:hint="eastAsia"/>
                <w:color w:val="auto"/>
                <w:sz w:val="24"/>
                <w:szCs w:val="24"/>
                <w:highlight w:val="none"/>
                <w:lang w:val="en-US" w:eastAsia="zh-CN"/>
              </w:rPr>
              <w:t>颗粒物</w:t>
            </w:r>
            <w:r>
              <w:rPr>
                <w:rFonts w:hint="default"/>
                <w:color w:val="auto"/>
                <w:sz w:val="24"/>
                <w:szCs w:val="24"/>
                <w:highlight w:val="none"/>
              </w:rPr>
              <w:t>污染物执行《大气污染物综合排放标准》（GB16297-1996）表2中无组织排放监控浓度限值，具体见表3-</w:t>
            </w:r>
            <w:r>
              <w:rPr>
                <w:rFonts w:hint="eastAsia"/>
                <w:color w:val="auto"/>
                <w:sz w:val="24"/>
                <w:szCs w:val="24"/>
                <w:highlight w:val="none"/>
                <w:lang w:val="en-US" w:eastAsia="zh-CN"/>
              </w:rPr>
              <w:t>7</w:t>
            </w:r>
            <w:r>
              <w:rPr>
                <w:rFonts w:hint="default"/>
                <w:color w:val="auto"/>
                <w:sz w:val="24"/>
                <w:szCs w:val="24"/>
                <w:highlight w:val="none"/>
              </w:rPr>
              <w:t>。</w:t>
            </w:r>
          </w:p>
          <w:p w14:paraId="2640B63D">
            <w:pPr>
              <w:keepNext w:val="0"/>
              <w:keepLines w:val="0"/>
              <w:suppressLineNumbers w:val="0"/>
              <w:spacing w:before="0" w:beforeAutospacing="0" w:after="0" w:afterAutospacing="0"/>
              <w:ind w:left="0" w:right="0"/>
              <w:jc w:val="center"/>
              <w:rPr>
                <w:rFonts w:hint="default"/>
                <w:b/>
                <w:color w:val="auto"/>
                <w:sz w:val="24"/>
                <w:szCs w:val="24"/>
                <w:highlight w:val="none"/>
              </w:rPr>
            </w:pPr>
            <w:r>
              <w:rPr>
                <w:rFonts w:hint="default"/>
                <w:b/>
                <w:color w:val="auto"/>
                <w:sz w:val="24"/>
                <w:szCs w:val="24"/>
                <w:highlight w:val="none"/>
              </w:rPr>
              <w:t>表3-</w:t>
            </w:r>
            <w:r>
              <w:rPr>
                <w:rFonts w:hint="eastAsia"/>
                <w:b/>
                <w:color w:val="auto"/>
                <w:sz w:val="24"/>
                <w:szCs w:val="24"/>
                <w:highlight w:val="none"/>
                <w:lang w:val="en-US" w:eastAsia="zh-CN"/>
              </w:rPr>
              <w:t xml:space="preserve">7 </w:t>
            </w:r>
            <w:r>
              <w:rPr>
                <w:rFonts w:hint="default"/>
                <w:b/>
                <w:color w:val="auto"/>
                <w:sz w:val="24"/>
                <w:szCs w:val="24"/>
                <w:highlight w:val="none"/>
              </w:rPr>
              <w:t>大气污染物</w:t>
            </w:r>
            <w:r>
              <w:rPr>
                <w:rFonts w:hint="eastAsia"/>
                <w:b/>
                <w:color w:val="auto"/>
                <w:sz w:val="24"/>
                <w:szCs w:val="24"/>
                <w:highlight w:val="none"/>
                <w:lang w:val="en-US" w:eastAsia="zh-CN"/>
              </w:rPr>
              <w:t>综合</w:t>
            </w:r>
            <w:r>
              <w:rPr>
                <w:rFonts w:hint="default"/>
                <w:b/>
                <w:color w:val="auto"/>
                <w:sz w:val="24"/>
                <w:szCs w:val="24"/>
                <w:highlight w:val="none"/>
              </w:rPr>
              <w:t>排放标准</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90"/>
              <w:gridCol w:w="2684"/>
              <w:gridCol w:w="3261"/>
            </w:tblGrid>
            <w:tr w14:paraId="7CB7A0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3" w:type="dxa"/>
                  <w:vMerge w:val="restart"/>
                  <w:tcBorders>
                    <w:tl2br w:val="nil"/>
                    <w:tr2bl w:val="nil"/>
                  </w:tcBorders>
                  <w:vAlign w:val="center"/>
                </w:tcPr>
                <w:p w14:paraId="7967C02B">
                  <w:pPr>
                    <w:keepNext w:val="0"/>
                    <w:keepLines w:val="0"/>
                    <w:suppressLineNumbers w:val="0"/>
                    <w:spacing w:before="0" w:beforeAutospacing="0" w:after="0" w:afterAutospacing="0"/>
                    <w:ind w:left="0" w:right="0"/>
                    <w:jc w:val="center"/>
                    <w:rPr>
                      <w:rFonts w:hint="default"/>
                      <w:color w:val="auto"/>
                      <w:sz w:val="21"/>
                      <w:szCs w:val="21"/>
                      <w:highlight w:val="none"/>
                    </w:rPr>
                  </w:pPr>
                  <w:r>
                    <w:rPr>
                      <w:rFonts w:hint="default"/>
                      <w:color w:val="auto"/>
                      <w:sz w:val="21"/>
                      <w:szCs w:val="21"/>
                      <w:highlight w:val="none"/>
                    </w:rPr>
                    <w:t>污染物</w:t>
                  </w:r>
                </w:p>
              </w:tc>
              <w:tc>
                <w:tcPr>
                  <w:tcW w:w="5933" w:type="dxa"/>
                  <w:gridSpan w:val="2"/>
                  <w:tcBorders>
                    <w:tl2br w:val="nil"/>
                    <w:tr2bl w:val="nil"/>
                  </w:tcBorders>
                  <w:vAlign w:val="center"/>
                </w:tcPr>
                <w:p w14:paraId="1E8E2727">
                  <w:pPr>
                    <w:keepNext w:val="0"/>
                    <w:keepLines w:val="0"/>
                    <w:suppressLineNumbers w:val="0"/>
                    <w:spacing w:before="0" w:beforeAutospacing="0" w:after="0" w:afterAutospacing="0"/>
                    <w:ind w:left="0" w:right="0"/>
                    <w:jc w:val="center"/>
                    <w:rPr>
                      <w:rFonts w:hint="default"/>
                      <w:color w:val="auto"/>
                      <w:sz w:val="21"/>
                      <w:szCs w:val="21"/>
                      <w:highlight w:val="none"/>
                    </w:rPr>
                  </w:pPr>
                  <w:r>
                    <w:rPr>
                      <w:rFonts w:hint="default"/>
                      <w:color w:val="auto"/>
                      <w:sz w:val="21"/>
                      <w:szCs w:val="21"/>
                      <w:highlight w:val="none"/>
                    </w:rPr>
                    <w:t>无组织排放监控点</w:t>
                  </w:r>
                </w:p>
              </w:tc>
            </w:tr>
            <w:tr w14:paraId="11A4A4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3" w:type="dxa"/>
                  <w:vMerge w:val="continue"/>
                  <w:tcBorders>
                    <w:tl2br w:val="nil"/>
                    <w:tr2bl w:val="nil"/>
                  </w:tcBorders>
                  <w:vAlign w:val="center"/>
                </w:tcPr>
                <w:p w14:paraId="5A07B2C7">
                  <w:pPr>
                    <w:keepNext w:val="0"/>
                    <w:keepLines w:val="0"/>
                    <w:suppressLineNumbers w:val="0"/>
                    <w:spacing w:before="0" w:beforeAutospacing="0" w:after="0" w:afterAutospacing="0"/>
                    <w:ind w:left="0" w:right="0"/>
                    <w:jc w:val="center"/>
                    <w:rPr>
                      <w:rFonts w:hint="default"/>
                      <w:color w:val="auto"/>
                      <w:sz w:val="21"/>
                      <w:szCs w:val="21"/>
                      <w:highlight w:val="none"/>
                    </w:rPr>
                  </w:pPr>
                </w:p>
              </w:tc>
              <w:tc>
                <w:tcPr>
                  <w:tcW w:w="2579" w:type="dxa"/>
                  <w:tcBorders>
                    <w:tl2br w:val="nil"/>
                    <w:tr2bl w:val="nil"/>
                  </w:tcBorders>
                  <w:vAlign w:val="center"/>
                </w:tcPr>
                <w:p w14:paraId="7368AFE3">
                  <w:pPr>
                    <w:keepNext w:val="0"/>
                    <w:keepLines w:val="0"/>
                    <w:suppressLineNumbers w:val="0"/>
                    <w:spacing w:before="0" w:beforeAutospacing="0" w:after="0" w:afterAutospacing="0"/>
                    <w:ind w:left="0" w:right="0"/>
                    <w:jc w:val="center"/>
                    <w:rPr>
                      <w:rFonts w:hint="default"/>
                      <w:color w:val="auto"/>
                      <w:sz w:val="21"/>
                      <w:szCs w:val="21"/>
                      <w:highlight w:val="none"/>
                    </w:rPr>
                  </w:pPr>
                  <w:r>
                    <w:rPr>
                      <w:rFonts w:hint="default"/>
                      <w:color w:val="auto"/>
                      <w:sz w:val="21"/>
                      <w:szCs w:val="21"/>
                      <w:highlight w:val="none"/>
                    </w:rPr>
                    <w:t>监控点</w:t>
                  </w:r>
                </w:p>
              </w:tc>
              <w:tc>
                <w:tcPr>
                  <w:tcW w:w="3354" w:type="dxa"/>
                  <w:tcBorders>
                    <w:tl2br w:val="nil"/>
                    <w:tr2bl w:val="nil"/>
                  </w:tcBorders>
                  <w:vAlign w:val="center"/>
                </w:tcPr>
                <w:p w14:paraId="03730644">
                  <w:pPr>
                    <w:keepNext w:val="0"/>
                    <w:keepLines w:val="0"/>
                    <w:suppressLineNumbers w:val="0"/>
                    <w:spacing w:before="0" w:beforeAutospacing="0" w:after="0" w:afterAutospacing="0"/>
                    <w:ind w:left="0" w:right="0"/>
                    <w:jc w:val="center"/>
                    <w:rPr>
                      <w:rFonts w:hint="default"/>
                      <w:color w:val="auto"/>
                      <w:sz w:val="21"/>
                      <w:szCs w:val="21"/>
                      <w:highlight w:val="none"/>
                    </w:rPr>
                  </w:pPr>
                  <w:r>
                    <w:rPr>
                      <w:rFonts w:hint="default"/>
                      <w:color w:val="auto"/>
                      <w:sz w:val="21"/>
                      <w:szCs w:val="21"/>
                      <w:highlight w:val="none"/>
                    </w:rPr>
                    <w:t>浓度限值（mg/m</w:t>
                  </w:r>
                  <w:r>
                    <w:rPr>
                      <w:rFonts w:hint="default"/>
                      <w:color w:val="auto"/>
                      <w:sz w:val="21"/>
                      <w:szCs w:val="21"/>
                      <w:highlight w:val="none"/>
                      <w:vertAlign w:val="superscript"/>
                    </w:rPr>
                    <w:t>3</w:t>
                  </w:r>
                  <w:r>
                    <w:rPr>
                      <w:rFonts w:hint="default"/>
                      <w:color w:val="auto"/>
                      <w:sz w:val="21"/>
                      <w:szCs w:val="21"/>
                      <w:highlight w:val="none"/>
                    </w:rPr>
                    <w:t>）</w:t>
                  </w:r>
                </w:p>
              </w:tc>
            </w:tr>
            <w:tr w14:paraId="7A4B20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3" w:type="dxa"/>
                  <w:tcBorders>
                    <w:tl2br w:val="nil"/>
                    <w:tr2bl w:val="nil"/>
                  </w:tcBorders>
                  <w:vAlign w:val="center"/>
                </w:tcPr>
                <w:p w14:paraId="5B821BCC">
                  <w:pPr>
                    <w:keepNext w:val="0"/>
                    <w:keepLines w:val="0"/>
                    <w:suppressLineNumbers w:val="0"/>
                    <w:spacing w:before="0" w:beforeAutospacing="0" w:after="0" w:afterAutospacing="0"/>
                    <w:ind w:left="0" w:right="0"/>
                    <w:jc w:val="center"/>
                    <w:rPr>
                      <w:rFonts w:hint="eastAsia" w:eastAsia="宋体"/>
                      <w:color w:val="auto"/>
                      <w:sz w:val="21"/>
                      <w:szCs w:val="21"/>
                      <w:highlight w:val="none"/>
                      <w:lang w:eastAsia="zh-CN"/>
                    </w:rPr>
                  </w:pPr>
                  <w:r>
                    <w:rPr>
                      <w:rFonts w:hint="eastAsia"/>
                      <w:color w:val="auto"/>
                      <w:sz w:val="21"/>
                      <w:szCs w:val="21"/>
                      <w:highlight w:val="none"/>
                      <w:lang w:val="en-US" w:eastAsia="zh-CN"/>
                    </w:rPr>
                    <w:t>颗粒物</w:t>
                  </w:r>
                </w:p>
              </w:tc>
              <w:tc>
                <w:tcPr>
                  <w:tcW w:w="2579" w:type="dxa"/>
                  <w:tcBorders>
                    <w:tl2br w:val="nil"/>
                    <w:tr2bl w:val="nil"/>
                  </w:tcBorders>
                  <w:vAlign w:val="center"/>
                </w:tcPr>
                <w:p w14:paraId="7D14CD3E">
                  <w:pPr>
                    <w:keepNext w:val="0"/>
                    <w:keepLines w:val="0"/>
                    <w:suppressLineNumbers w:val="0"/>
                    <w:spacing w:before="0" w:beforeAutospacing="0" w:after="0" w:afterAutospacing="0"/>
                    <w:ind w:left="0" w:right="0"/>
                    <w:jc w:val="center"/>
                    <w:rPr>
                      <w:rFonts w:hint="default"/>
                      <w:color w:val="auto"/>
                      <w:sz w:val="21"/>
                      <w:szCs w:val="21"/>
                      <w:highlight w:val="none"/>
                    </w:rPr>
                  </w:pPr>
                  <w:r>
                    <w:rPr>
                      <w:rFonts w:hint="default"/>
                      <w:color w:val="auto"/>
                      <w:sz w:val="21"/>
                      <w:szCs w:val="21"/>
                      <w:highlight w:val="none"/>
                    </w:rPr>
                    <w:t>周界外浓度最高点</w:t>
                  </w:r>
                </w:p>
              </w:tc>
              <w:tc>
                <w:tcPr>
                  <w:tcW w:w="3354" w:type="dxa"/>
                  <w:tcBorders>
                    <w:tl2br w:val="nil"/>
                    <w:tr2bl w:val="nil"/>
                  </w:tcBorders>
                  <w:vAlign w:val="center"/>
                </w:tcPr>
                <w:p w14:paraId="66E9D576">
                  <w:pPr>
                    <w:keepNext w:val="0"/>
                    <w:keepLines w:val="0"/>
                    <w:suppressLineNumbers w:val="0"/>
                    <w:spacing w:before="0" w:beforeAutospacing="0" w:after="0" w:afterAutospacing="0"/>
                    <w:ind w:left="0" w:right="0"/>
                    <w:jc w:val="center"/>
                    <w:rPr>
                      <w:rFonts w:hint="default"/>
                      <w:color w:val="auto"/>
                      <w:sz w:val="21"/>
                      <w:szCs w:val="21"/>
                      <w:highlight w:val="none"/>
                    </w:rPr>
                  </w:pPr>
                  <w:r>
                    <w:rPr>
                      <w:rFonts w:hint="default"/>
                      <w:color w:val="auto"/>
                      <w:sz w:val="21"/>
                      <w:szCs w:val="21"/>
                      <w:highlight w:val="none"/>
                    </w:rPr>
                    <w:t>1.0</w:t>
                  </w:r>
                </w:p>
              </w:tc>
            </w:tr>
          </w:tbl>
          <w:p w14:paraId="5AF2FFB1">
            <w:pPr>
              <w:pStyle w:val="98"/>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360" w:lineRule="auto"/>
              <w:ind w:left="0" w:right="0" w:rightChars="0" w:firstLine="480" w:firstLineChars="200"/>
              <w:jc w:val="both"/>
              <w:textAlignment w:val="baseline"/>
              <w:rPr>
                <w:rFonts w:hint="eastAsia" w:ascii="Times New Roman" w:hAnsi="Times New Roman" w:eastAsia="宋体" w:cs="Times New Roman"/>
                <w:color w:val="auto"/>
                <w:kern w:val="0"/>
                <w:sz w:val="24"/>
                <w:szCs w:val="24"/>
                <w:highlight w:val="none"/>
                <w:lang w:eastAsia="zh-CN"/>
              </w:rPr>
            </w:pPr>
            <w:r>
              <w:rPr>
                <w:rFonts w:hint="eastAsia" w:cs="Times New Roman"/>
                <w:b w:val="0"/>
                <w:bCs w:val="0"/>
                <w:color w:val="auto"/>
                <w:sz w:val="24"/>
                <w:szCs w:val="24"/>
                <w:highlight w:val="none"/>
                <w:lang w:val="en-US" w:eastAsia="zh-CN"/>
              </w:rPr>
              <w:t>运营期：</w:t>
            </w:r>
            <w:r>
              <w:rPr>
                <w:rFonts w:hint="eastAsia" w:ascii="Times New Roman" w:hAnsi="Times New Roman" w:eastAsia="宋体" w:cs="Times New Roman"/>
                <w:color w:val="auto"/>
                <w:kern w:val="0"/>
                <w:sz w:val="24"/>
                <w:szCs w:val="24"/>
                <w:highlight w:val="none"/>
                <w:lang w:val="en-US" w:eastAsia="zh-CN"/>
              </w:rPr>
              <w:t>热风炉废气：</w:t>
            </w:r>
            <w:r>
              <w:rPr>
                <w:rFonts w:hint="default" w:ascii="Times New Roman" w:hAnsi="Times New Roman" w:eastAsia="宋体" w:cs="Times New Roman"/>
                <w:color w:val="auto"/>
                <w:kern w:val="0"/>
                <w:sz w:val="24"/>
                <w:szCs w:val="24"/>
                <w:highlight w:val="none"/>
              </w:rPr>
              <w:t>SO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排放浓度执行《工业炉窑大气污染物排放标准》（GB9078-1996）中的表4中的二级标准，</w:t>
            </w:r>
            <w:r>
              <w:rPr>
                <w:rFonts w:hint="eastAsia" w:ascii="Times New Roman" w:hAnsi="Times New Roman" w:eastAsia="宋体" w:cs="Times New Roman"/>
                <w:color w:val="auto"/>
                <w:kern w:val="0"/>
                <w:sz w:val="24"/>
                <w:szCs w:val="24"/>
                <w:highlight w:val="none"/>
                <w:lang w:eastAsia="zh-CN"/>
              </w:rPr>
              <w:t>烟尘排放浓度及烟气黑度</w:t>
            </w:r>
            <w:r>
              <w:rPr>
                <w:rFonts w:hint="default" w:ascii="Times New Roman" w:hAnsi="Times New Roman" w:eastAsia="宋体" w:cs="Times New Roman"/>
                <w:color w:val="auto"/>
                <w:kern w:val="0"/>
                <w:sz w:val="24"/>
                <w:szCs w:val="24"/>
                <w:highlight w:val="none"/>
              </w:rPr>
              <w:t>执行《工业炉窑大气污染物排放标准》（GB9078-1996）中的表2中的二级标准。</w:t>
            </w:r>
            <w:r>
              <w:rPr>
                <w:rFonts w:hint="eastAsia" w:cs="Times New Roman"/>
                <w:color w:val="auto"/>
                <w:kern w:val="0"/>
                <w:sz w:val="24"/>
                <w:szCs w:val="24"/>
                <w:highlight w:val="none"/>
                <w:lang w:val="en-US" w:eastAsia="zh-CN"/>
              </w:rPr>
              <w:t>热风炉房</w:t>
            </w:r>
            <w:r>
              <w:rPr>
                <w:rFonts w:hint="default" w:ascii="Times New Roman" w:hAnsi="Times New Roman" w:eastAsia="宋体" w:cs="Times New Roman"/>
                <w:bCs/>
                <w:color w:val="auto"/>
                <w:kern w:val="0"/>
                <w:sz w:val="24"/>
                <w:szCs w:val="24"/>
                <w:highlight w:val="none"/>
                <w:lang w:eastAsia="zh-CN"/>
              </w:rPr>
              <w:t>无组织排放粉尘执行《工业炉窑大气污染物排放标准》（GB9078-1996）表3要求</w:t>
            </w:r>
            <w:r>
              <w:rPr>
                <w:rFonts w:hint="eastAsia" w:cs="Times New Roman"/>
                <w:bCs/>
                <w:color w:val="auto"/>
                <w:kern w:val="0"/>
                <w:sz w:val="24"/>
                <w:szCs w:val="24"/>
                <w:highlight w:val="none"/>
                <w:lang w:eastAsia="zh-CN"/>
              </w:rPr>
              <w:t>。</w:t>
            </w:r>
          </w:p>
          <w:p w14:paraId="64E11A7C">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rPr>
              <w:t>表3-</w:t>
            </w:r>
            <w:r>
              <w:rPr>
                <w:rFonts w:hint="eastAsia" w:cs="Times New Roman"/>
                <w:b/>
                <w:bCs/>
                <w:color w:val="auto"/>
                <w:kern w:val="0"/>
                <w:sz w:val="24"/>
                <w:szCs w:val="24"/>
                <w:highlight w:val="none"/>
                <w:lang w:val="en-US" w:eastAsia="zh-CN"/>
              </w:rPr>
              <w:t>8</w:t>
            </w:r>
            <w:r>
              <w:rPr>
                <w:rFonts w:hint="eastAsia" w:ascii="Times New Roman" w:hAnsi="Times New Roman" w:eastAsia="宋体" w:cs="Times New Roman"/>
                <w:b/>
                <w:bCs/>
                <w:color w:val="auto"/>
                <w:kern w:val="0"/>
                <w:sz w:val="24"/>
                <w:szCs w:val="24"/>
                <w:highlight w:val="none"/>
                <w:lang w:val="en-US" w:eastAsia="zh-CN"/>
              </w:rPr>
              <w:t xml:space="preserve"> </w:t>
            </w:r>
            <w:r>
              <w:rPr>
                <w:rFonts w:hint="default" w:ascii="Times New Roman" w:hAnsi="Times New Roman" w:eastAsia="宋体" w:cs="Times New Roman"/>
                <w:b/>
                <w:bCs/>
                <w:color w:val="auto"/>
                <w:kern w:val="0"/>
                <w:sz w:val="24"/>
                <w:szCs w:val="24"/>
                <w:highlight w:val="none"/>
              </w:rPr>
              <w:t>工业炉窑大气污染物排放标准</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34"/>
              <w:gridCol w:w="2230"/>
              <w:gridCol w:w="2668"/>
            </w:tblGrid>
            <w:tr w14:paraId="70A3C8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952" w:type="pct"/>
                  <w:tcBorders>
                    <w:tl2br w:val="nil"/>
                    <w:tr2bl w:val="nil"/>
                  </w:tcBorders>
                  <w:noWrap w:val="0"/>
                  <w:vAlign w:val="center"/>
                </w:tcPr>
                <w:p w14:paraId="10801888">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污染物项目</w:t>
                  </w:r>
                </w:p>
              </w:tc>
              <w:tc>
                <w:tcPr>
                  <w:tcW w:w="1388" w:type="pct"/>
                  <w:tcBorders>
                    <w:tl2br w:val="nil"/>
                    <w:tr2bl w:val="nil"/>
                  </w:tcBorders>
                  <w:noWrap w:val="0"/>
                  <w:vAlign w:val="center"/>
                </w:tcPr>
                <w:p w14:paraId="4DEA98D0">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二级</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1659" w:type="pct"/>
                  <w:tcBorders>
                    <w:tl2br w:val="nil"/>
                    <w:tr2bl w:val="nil"/>
                  </w:tcBorders>
                  <w:noWrap w:val="0"/>
                  <w:vAlign w:val="center"/>
                </w:tcPr>
                <w:p w14:paraId="5053BD15">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污染物排放监控位置</w:t>
                  </w:r>
                </w:p>
              </w:tc>
            </w:tr>
            <w:tr w14:paraId="5BE517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952" w:type="pct"/>
                  <w:tcBorders>
                    <w:tl2br w:val="nil"/>
                    <w:tr2bl w:val="nil"/>
                  </w:tcBorders>
                  <w:noWrap w:val="0"/>
                  <w:vAlign w:val="center"/>
                </w:tcPr>
                <w:p w14:paraId="6CBD603A">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lang w:val="en-US" w:eastAsia="zh-CN"/>
                    </w:rPr>
                  </w:pPr>
                  <w:r>
                    <w:rPr>
                      <w:rFonts w:hint="eastAsia" w:cs="Times New Roman"/>
                      <w:bCs/>
                      <w:color w:val="auto"/>
                      <w:kern w:val="0"/>
                      <w:sz w:val="21"/>
                      <w:szCs w:val="21"/>
                      <w:highlight w:val="none"/>
                      <w:lang w:val="en-US" w:eastAsia="zh-CN"/>
                    </w:rPr>
                    <w:t>烟尘</w:t>
                  </w:r>
                </w:p>
              </w:tc>
              <w:tc>
                <w:tcPr>
                  <w:tcW w:w="1388" w:type="pct"/>
                  <w:tcBorders>
                    <w:tl2br w:val="nil"/>
                    <w:tr2bl w:val="nil"/>
                  </w:tcBorders>
                  <w:noWrap w:val="0"/>
                  <w:vAlign w:val="center"/>
                </w:tcPr>
                <w:p w14:paraId="0DA11089">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200</w:t>
                  </w:r>
                </w:p>
              </w:tc>
              <w:tc>
                <w:tcPr>
                  <w:tcW w:w="1659" w:type="pct"/>
                  <w:vMerge w:val="restart"/>
                  <w:tcBorders>
                    <w:tl2br w:val="nil"/>
                    <w:tr2bl w:val="nil"/>
                  </w:tcBorders>
                  <w:noWrap w:val="0"/>
                  <w:vAlign w:val="center"/>
                </w:tcPr>
                <w:p w14:paraId="47638B87">
                  <w:pPr>
                    <w:keepNext w:val="0"/>
                    <w:keepLines w:val="0"/>
                    <w:widowControl/>
                    <w:suppressLineNumbers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Cs/>
                      <w:color w:val="auto"/>
                      <w:kern w:val="0"/>
                      <w:sz w:val="21"/>
                      <w:szCs w:val="21"/>
                      <w:highlight w:val="none"/>
                      <w:lang w:eastAsia="zh-CN"/>
                    </w:rPr>
                  </w:pPr>
                  <w:r>
                    <w:rPr>
                      <w:rFonts w:hint="eastAsia" w:cs="Times New Roman"/>
                      <w:color w:val="auto"/>
                      <w:sz w:val="21"/>
                      <w:szCs w:val="21"/>
                      <w:highlight w:val="none"/>
                      <w:lang w:eastAsia="zh-CN"/>
                    </w:rPr>
                    <w:t>烟囱</w:t>
                  </w:r>
                </w:p>
              </w:tc>
            </w:tr>
            <w:tr w14:paraId="6BD7D6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952" w:type="pct"/>
                  <w:tcBorders>
                    <w:tl2br w:val="nil"/>
                    <w:tr2bl w:val="nil"/>
                  </w:tcBorders>
                  <w:noWrap w:val="0"/>
                  <w:vAlign w:val="center"/>
                </w:tcPr>
                <w:p w14:paraId="4600C388">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二氧化硫</w:t>
                  </w:r>
                </w:p>
              </w:tc>
              <w:tc>
                <w:tcPr>
                  <w:tcW w:w="1388" w:type="pct"/>
                  <w:tcBorders>
                    <w:tl2br w:val="nil"/>
                    <w:tr2bl w:val="nil"/>
                  </w:tcBorders>
                  <w:noWrap w:val="0"/>
                  <w:vAlign w:val="center"/>
                </w:tcPr>
                <w:p w14:paraId="178C36E9">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850</w:t>
                  </w:r>
                </w:p>
              </w:tc>
              <w:tc>
                <w:tcPr>
                  <w:tcW w:w="1659" w:type="pct"/>
                  <w:vMerge w:val="continue"/>
                  <w:tcBorders>
                    <w:tl2br w:val="nil"/>
                    <w:tr2bl w:val="nil"/>
                  </w:tcBorders>
                  <w:noWrap w:val="0"/>
                  <w:vAlign w:val="center"/>
                </w:tcPr>
                <w:p w14:paraId="50F55BB9">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rPr>
                  </w:pPr>
                </w:p>
              </w:tc>
            </w:tr>
            <w:tr w14:paraId="652D84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952" w:type="pct"/>
                  <w:tcBorders>
                    <w:tl2br w:val="nil"/>
                    <w:tr2bl w:val="nil"/>
                  </w:tcBorders>
                  <w:noWrap w:val="0"/>
                  <w:vAlign w:val="center"/>
                </w:tcPr>
                <w:p w14:paraId="3DEFEED7">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lang w:eastAsia="zh-CN"/>
                    </w:rPr>
                    <w:t>氮氧化物</w:t>
                  </w:r>
                </w:p>
              </w:tc>
              <w:tc>
                <w:tcPr>
                  <w:tcW w:w="1388" w:type="pct"/>
                  <w:tcBorders>
                    <w:tl2br w:val="nil"/>
                    <w:tr2bl w:val="nil"/>
                  </w:tcBorders>
                  <w:noWrap w:val="0"/>
                  <w:vAlign w:val="center"/>
                </w:tcPr>
                <w:p w14:paraId="346F73BF">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w:t>
                  </w:r>
                </w:p>
              </w:tc>
              <w:tc>
                <w:tcPr>
                  <w:tcW w:w="1659" w:type="pct"/>
                  <w:vMerge w:val="continue"/>
                  <w:tcBorders>
                    <w:tl2br w:val="nil"/>
                    <w:tr2bl w:val="nil"/>
                  </w:tcBorders>
                  <w:noWrap w:val="0"/>
                  <w:vAlign w:val="center"/>
                </w:tcPr>
                <w:p w14:paraId="76086BF7">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rPr>
                  </w:pPr>
                </w:p>
              </w:tc>
            </w:tr>
            <w:tr w14:paraId="2E1E62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952" w:type="pct"/>
                  <w:tcBorders>
                    <w:tl2br w:val="nil"/>
                    <w:tr2bl w:val="nil"/>
                  </w:tcBorders>
                  <w:noWrap w:val="0"/>
                  <w:vAlign w:val="center"/>
                </w:tcPr>
                <w:p w14:paraId="370F8755">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lang w:val="en-US" w:eastAsia="zh-CN"/>
                    </w:rPr>
                  </w:pPr>
                  <w:r>
                    <w:rPr>
                      <w:rFonts w:hint="eastAsia" w:cs="Times New Roman"/>
                      <w:bCs/>
                      <w:color w:val="auto"/>
                      <w:kern w:val="0"/>
                      <w:sz w:val="21"/>
                      <w:szCs w:val="21"/>
                      <w:highlight w:val="none"/>
                      <w:lang w:val="en-US" w:eastAsia="zh-CN"/>
                    </w:rPr>
                    <w:t>汞</w:t>
                  </w:r>
                </w:p>
              </w:tc>
              <w:tc>
                <w:tcPr>
                  <w:tcW w:w="1388" w:type="pct"/>
                  <w:tcBorders>
                    <w:tl2br w:val="nil"/>
                    <w:tr2bl w:val="nil"/>
                  </w:tcBorders>
                  <w:noWrap w:val="0"/>
                  <w:vAlign w:val="center"/>
                </w:tcPr>
                <w:p w14:paraId="326BEFD6">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lang w:val="en-US" w:eastAsia="zh-CN"/>
                    </w:rPr>
                  </w:pPr>
                  <w:r>
                    <w:rPr>
                      <w:rFonts w:hint="eastAsia" w:cs="Times New Roman"/>
                      <w:bCs/>
                      <w:color w:val="auto"/>
                      <w:kern w:val="0"/>
                      <w:sz w:val="21"/>
                      <w:szCs w:val="21"/>
                      <w:highlight w:val="none"/>
                      <w:lang w:val="en-US" w:eastAsia="zh-CN"/>
                    </w:rPr>
                    <w:t>0.01</w:t>
                  </w:r>
                </w:p>
              </w:tc>
              <w:tc>
                <w:tcPr>
                  <w:tcW w:w="1659" w:type="pct"/>
                  <w:vMerge w:val="continue"/>
                  <w:tcBorders>
                    <w:tl2br w:val="nil"/>
                    <w:tr2bl w:val="nil"/>
                  </w:tcBorders>
                  <w:noWrap w:val="0"/>
                  <w:vAlign w:val="center"/>
                </w:tcPr>
                <w:p w14:paraId="2DF488A4">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rPr>
                  </w:pPr>
                </w:p>
              </w:tc>
            </w:tr>
            <w:tr w14:paraId="08C703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952" w:type="pct"/>
                  <w:tcBorders>
                    <w:tl2br w:val="nil"/>
                    <w:tr2bl w:val="nil"/>
                  </w:tcBorders>
                  <w:noWrap w:val="0"/>
                  <w:vAlign w:val="center"/>
                </w:tcPr>
                <w:p w14:paraId="7A515132">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烟气黑度（</w:t>
                  </w:r>
                  <w:r>
                    <w:rPr>
                      <w:rFonts w:hint="eastAsia" w:ascii="Times New Roman" w:hAnsi="Times New Roman" w:eastAsia="宋体" w:cs="Times New Roman"/>
                      <w:bCs/>
                      <w:color w:val="auto"/>
                      <w:kern w:val="0"/>
                      <w:sz w:val="21"/>
                      <w:szCs w:val="21"/>
                      <w:highlight w:val="none"/>
                      <w:lang w:eastAsia="zh-CN"/>
                    </w:rPr>
                    <w:t>林格曼黑度</w:t>
                  </w:r>
                  <w:r>
                    <w:rPr>
                      <w:rFonts w:hint="default" w:ascii="Times New Roman" w:hAnsi="Times New Roman" w:eastAsia="宋体" w:cs="Times New Roman"/>
                      <w:bCs/>
                      <w:color w:val="auto"/>
                      <w:kern w:val="0"/>
                      <w:sz w:val="21"/>
                      <w:szCs w:val="21"/>
                      <w:highlight w:val="none"/>
                    </w:rPr>
                    <w:t>，级）</w:t>
                  </w:r>
                </w:p>
              </w:tc>
              <w:tc>
                <w:tcPr>
                  <w:tcW w:w="1388" w:type="pct"/>
                  <w:tcBorders>
                    <w:tl2br w:val="nil"/>
                    <w:tr2bl w:val="nil"/>
                  </w:tcBorders>
                  <w:noWrap w:val="0"/>
                  <w:vAlign w:val="center"/>
                </w:tcPr>
                <w:p w14:paraId="10754199">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≤1</w:t>
                  </w:r>
                </w:p>
              </w:tc>
              <w:tc>
                <w:tcPr>
                  <w:tcW w:w="1659" w:type="pct"/>
                  <w:tcBorders>
                    <w:tl2br w:val="nil"/>
                    <w:tr2bl w:val="nil"/>
                  </w:tcBorders>
                  <w:noWrap w:val="0"/>
                  <w:vAlign w:val="center"/>
                </w:tcPr>
                <w:p w14:paraId="134D5073">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eastAsia" w:cs="Times New Roman"/>
                      <w:color w:val="auto"/>
                      <w:sz w:val="21"/>
                      <w:szCs w:val="21"/>
                      <w:highlight w:val="none"/>
                      <w:lang w:eastAsia="zh-CN"/>
                    </w:rPr>
                    <w:t>烟囱</w:t>
                  </w:r>
                  <w:r>
                    <w:rPr>
                      <w:rFonts w:hint="default" w:ascii="Times New Roman" w:hAnsi="Times New Roman" w:eastAsia="宋体" w:cs="Times New Roman"/>
                      <w:bCs/>
                      <w:color w:val="auto"/>
                      <w:kern w:val="0"/>
                      <w:sz w:val="21"/>
                      <w:szCs w:val="21"/>
                      <w:highlight w:val="none"/>
                    </w:rPr>
                    <w:t>排放口</w:t>
                  </w:r>
                </w:p>
              </w:tc>
            </w:tr>
            <w:tr w14:paraId="6B4609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3136" w:type="dxa"/>
                  <w:tcBorders>
                    <w:tl2br w:val="nil"/>
                    <w:tr2bl w:val="nil"/>
                  </w:tcBorders>
                  <w:noWrap w:val="0"/>
                  <w:vAlign w:val="center"/>
                </w:tcPr>
                <w:p w14:paraId="67F22F25">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kern w:val="0"/>
                      <w:sz w:val="21"/>
                      <w:szCs w:val="21"/>
                      <w:highlight w:val="none"/>
                      <w:lang w:val="en-US" w:eastAsia="zh-CN"/>
                    </w:rPr>
                  </w:pPr>
                  <w:r>
                    <w:rPr>
                      <w:rFonts w:hint="eastAsia" w:ascii="Times New Roman" w:hAnsi="Times New Roman"/>
                      <w:color w:val="auto"/>
                      <w:sz w:val="21"/>
                      <w:szCs w:val="21"/>
                      <w:highlight w:val="none"/>
                    </w:rPr>
                    <w:t>烟（粉）尘</w:t>
                  </w:r>
                </w:p>
              </w:tc>
              <w:tc>
                <w:tcPr>
                  <w:tcW w:w="2230" w:type="dxa"/>
                  <w:tcBorders>
                    <w:tl2br w:val="nil"/>
                    <w:tr2bl w:val="nil"/>
                  </w:tcBorders>
                  <w:noWrap w:val="0"/>
                  <w:vAlign w:val="center"/>
                </w:tcPr>
                <w:p w14:paraId="25E2C062">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rPr>
                  </w:pPr>
                  <w:r>
                    <w:rPr>
                      <w:rFonts w:hint="eastAsia" w:ascii="Times New Roman" w:hAnsi="Times New Roman"/>
                      <w:color w:val="auto"/>
                      <w:kern w:val="0"/>
                      <w:sz w:val="21"/>
                      <w:szCs w:val="21"/>
                      <w:highlight w:val="none"/>
                    </w:rPr>
                    <w:t>5</w:t>
                  </w:r>
                </w:p>
              </w:tc>
              <w:tc>
                <w:tcPr>
                  <w:tcW w:w="1659" w:type="pct"/>
                  <w:tcBorders>
                    <w:tl2br w:val="nil"/>
                    <w:tr2bl w:val="nil"/>
                  </w:tcBorders>
                  <w:noWrap w:val="0"/>
                  <w:vAlign w:val="center"/>
                </w:tcPr>
                <w:p w14:paraId="64698208">
                  <w:pPr>
                    <w:keepNext w:val="0"/>
                    <w:keepLines w:val="0"/>
                    <w:widowControl/>
                    <w:suppressLineNumbers w:val="0"/>
                    <w:adjustRightInd w:val="0"/>
                    <w:snapToGrid w:val="0"/>
                    <w:spacing w:before="0" w:beforeAutospacing="0" w:after="0" w:afterAutospacing="0"/>
                    <w:ind w:left="0" w:right="0"/>
                    <w:jc w:val="center"/>
                    <w:textAlignment w:val="baseline"/>
                    <w:rPr>
                      <w:rFonts w:hint="eastAsia" w:cs="Times New Roman"/>
                      <w:color w:val="auto"/>
                      <w:sz w:val="21"/>
                      <w:szCs w:val="21"/>
                      <w:highlight w:val="none"/>
                      <w:lang w:eastAsia="zh-CN"/>
                    </w:rPr>
                  </w:pPr>
                  <w:r>
                    <w:rPr>
                      <w:rFonts w:hint="eastAsia" w:cs="Times New Roman"/>
                      <w:bCs/>
                      <w:color w:val="auto"/>
                      <w:kern w:val="0"/>
                      <w:sz w:val="21"/>
                      <w:szCs w:val="21"/>
                      <w:highlight w:val="none"/>
                      <w:lang w:val="en-US" w:eastAsia="zh-CN"/>
                    </w:rPr>
                    <w:t>热风炉房</w:t>
                  </w:r>
                </w:p>
              </w:tc>
            </w:tr>
          </w:tbl>
          <w:p w14:paraId="237A0EAC">
            <w:pPr>
              <w:keepNext w:val="0"/>
              <w:keepLines w:val="0"/>
              <w:suppressLineNumbers w:val="0"/>
              <w:spacing w:before="0" w:beforeAutospacing="0" w:after="0" w:afterAutospacing="0" w:line="360" w:lineRule="auto"/>
              <w:ind w:left="0" w:right="0" w:firstLine="480" w:firstLineChars="200"/>
              <w:rPr>
                <w:rStyle w:val="156"/>
                <w:rFonts w:hint="default" w:ascii="Times New Roman" w:hAnsi="Times New Roman" w:eastAsia="宋体" w:cs="Times New Roman"/>
                <w:color w:val="auto"/>
                <w:sz w:val="24"/>
                <w:szCs w:val="24"/>
                <w:highlight w:val="none"/>
              </w:rPr>
            </w:pPr>
            <w:r>
              <w:rPr>
                <w:rFonts w:hint="eastAsia" w:cs="Times New Roman"/>
                <w:bCs/>
                <w:color w:val="auto"/>
                <w:kern w:val="0"/>
                <w:sz w:val="24"/>
                <w:szCs w:val="24"/>
                <w:highlight w:val="none"/>
                <w:lang w:val="en-US" w:eastAsia="zh-CN"/>
              </w:rPr>
              <w:t>厂界</w:t>
            </w:r>
            <w:r>
              <w:rPr>
                <w:rFonts w:hint="default" w:ascii="Times New Roman" w:hAnsi="Times New Roman" w:eastAsia="宋体" w:cs="Times New Roman"/>
                <w:bCs/>
                <w:color w:val="auto"/>
                <w:kern w:val="0"/>
                <w:sz w:val="24"/>
                <w:szCs w:val="24"/>
                <w:highlight w:val="none"/>
                <w:lang w:eastAsia="zh-CN"/>
              </w:rPr>
              <w:t>无组织颗粒物</w:t>
            </w:r>
            <w:r>
              <w:rPr>
                <w:rStyle w:val="156"/>
                <w:rFonts w:hint="default" w:ascii="Times New Roman" w:hAnsi="Times New Roman" w:eastAsia="宋体" w:cs="Times New Roman"/>
                <w:color w:val="auto"/>
                <w:sz w:val="24"/>
                <w:szCs w:val="24"/>
                <w:highlight w:val="none"/>
              </w:rPr>
              <w:t>排放执行《大气污染物综合排放标准》（GB16297-1996）表2中</w:t>
            </w:r>
            <w:r>
              <w:rPr>
                <w:rStyle w:val="156"/>
                <w:rFonts w:hint="default" w:ascii="Times New Roman" w:hAnsi="Times New Roman" w:eastAsia="宋体" w:cs="Times New Roman"/>
                <w:color w:val="auto"/>
                <w:sz w:val="24"/>
                <w:szCs w:val="24"/>
                <w:highlight w:val="none"/>
                <w:lang w:eastAsia="zh-CN"/>
              </w:rPr>
              <w:t>无组织</w:t>
            </w:r>
            <w:r>
              <w:rPr>
                <w:rStyle w:val="156"/>
                <w:rFonts w:hint="default" w:ascii="Times New Roman" w:hAnsi="Times New Roman" w:eastAsia="宋体" w:cs="Times New Roman"/>
                <w:color w:val="auto"/>
                <w:sz w:val="24"/>
                <w:szCs w:val="24"/>
                <w:highlight w:val="none"/>
              </w:rPr>
              <w:t>大气污染物排放限值。</w:t>
            </w:r>
          </w:p>
          <w:p w14:paraId="0649259B">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b/>
                <w:bCs/>
                <w:color w:val="auto"/>
                <w:kern w:val="0"/>
                <w:sz w:val="24"/>
                <w:szCs w:val="24"/>
                <w:highlight w:val="none"/>
              </w:rPr>
              <w:t>表</w:t>
            </w:r>
            <w:r>
              <w:rPr>
                <w:rFonts w:hint="default" w:ascii="Times New Roman" w:hAnsi="Times New Roman" w:eastAsia="宋体" w:cs="Times New Roman"/>
                <w:b/>
                <w:bCs/>
                <w:color w:val="auto"/>
                <w:kern w:val="0"/>
                <w:sz w:val="24"/>
                <w:szCs w:val="24"/>
                <w:highlight w:val="none"/>
                <w:lang w:val="en-US" w:eastAsia="zh-CN"/>
              </w:rPr>
              <w:t>3</w:t>
            </w:r>
            <w:r>
              <w:rPr>
                <w:rFonts w:hint="default" w:ascii="Times New Roman" w:hAnsi="Times New Roman" w:eastAsia="宋体" w:cs="Times New Roman"/>
                <w:b/>
                <w:bCs/>
                <w:color w:val="auto"/>
                <w:kern w:val="0"/>
                <w:sz w:val="24"/>
                <w:szCs w:val="24"/>
                <w:highlight w:val="none"/>
              </w:rPr>
              <w:t>-</w:t>
            </w:r>
            <w:r>
              <w:rPr>
                <w:rFonts w:hint="eastAsia" w:cs="Times New Roman"/>
                <w:b/>
                <w:bCs/>
                <w:color w:val="auto"/>
                <w:kern w:val="0"/>
                <w:sz w:val="24"/>
                <w:szCs w:val="24"/>
                <w:highlight w:val="none"/>
                <w:lang w:val="en-US" w:eastAsia="zh-CN"/>
              </w:rPr>
              <w:t>9</w:t>
            </w:r>
            <w:r>
              <w:rPr>
                <w:rFonts w:hint="eastAsia" w:ascii="Times New Roman" w:hAnsi="Times New Roman" w:eastAsia="宋体" w:cs="Times New Roman"/>
                <w:b/>
                <w:bCs/>
                <w:color w:val="auto"/>
                <w:kern w:val="0"/>
                <w:sz w:val="24"/>
                <w:szCs w:val="24"/>
                <w:highlight w:val="none"/>
                <w:lang w:val="en-US" w:eastAsia="zh-CN"/>
              </w:rPr>
              <w:t xml:space="preserve"> </w:t>
            </w:r>
            <w:r>
              <w:rPr>
                <w:rFonts w:hint="default" w:ascii="Times New Roman" w:hAnsi="Times New Roman" w:eastAsia="宋体" w:cs="Times New Roman"/>
                <w:b/>
                <w:bCs/>
                <w:color w:val="auto"/>
                <w:kern w:val="0"/>
                <w:sz w:val="24"/>
                <w:szCs w:val="24"/>
                <w:highlight w:val="none"/>
              </w:rPr>
              <w:t>大气污染物综合排放标准</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14"/>
              <w:gridCol w:w="4018"/>
            </w:tblGrid>
            <w:tr w14:paraId="63CBD5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2500" w:type="pct"/>
                  <w:tcBorders>
                    <w:tl2br w:val="nil"/>
                    <w:tr2bl w:val="nil"/>
                  </w:tcBorders>
                  <w:noWrap w:val="0"/>
                  <w:vAlign w:val="center"/>
                </w:tcPr>
                <w:p w14:paraId="6006A722">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污染物项目</w:t>
                  </w:r>
                </w:p>
              </w:tc>
              <w:tc>
                <w:tcPr>
                  <w:tcW w:w="2500" w:type="pct"/>
                  <w:tcBorders>
                    <w:tl2br w:val="nil"/>
                    <w:tr2bl w:val="nil"/>
                  </w:tcBorders>
                  <w:noWrap w:val="0"/>
                  <w:vAlign w:val="center"/>
                </w:tcPr>
                <w:p w14:paraId="1A74237E">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无组织排放监控浓度限值（mg/m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r>
            <w:tr w14:paraId="447AE6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2500" w:type="pct"/>
                  <w:tcBorders>
                    <w:tl2br w:val="nil"/>
                    <w:tr2bl w:val="nil"/>
                  </w:tcBorders>
                  <w:noWrap w:val="0"/>
                  <w:vAlign w:val="center"/>
                </w:tcPr>
                <w:p w14:paraId="3485008A">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颗粒物</w:t>
                  </w:r>
                </w:p>
              </w:tc>
              <w:tc>
                <w:tcPr>
                  <w:tcW w:w="2500" w:type="pct"/>
                  <w:tcBorders>
                    <w:tl2br w:val="nil"/>
                    <w:tr2bl w:val="nil"/>
                  </w:tcBorders>
                  <w:noWrap w:val="0"/>
                  <w:vAlign w:val="center"/>
                </w:tcPr>
                <w:p w14:paraId="754384BE">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1.0</w:t>
                  </w:r>
                </w:p>
              </w:tc>
            </w:tr>
          </w:tbl>
          <w:p w14:paraId="0F446CB1">
            <w:pPr>
              <w:keepNext w:val="0"/>
              <w:keepLines w:val="0"/>
              <w:numPr>
                <w:ilvl w:val="0"/>
                <w:numId w:val="9"/>
              </w:numPr>
              <w:suppressLineNumbers w:val="0"/>
              <w:spacing w:before="0" w:beforeAutospacing="0" w:after="0" w:afterAutospacing="0" w:line="360" w:lineRule="auto"/>
              <w:ind w:left="0" w:leftChars="0" w:right="0" w:rightChars="0" w:firstLine="482" w:firstLineChars="200"/>
              <w:rPr>
                <w:rFonts w:hint="eastAsia" w:cs="Times New Roman"/>
                <w:b/>
                <w:color w:val="auto"/>
                <w:sz w:val="24"/>
                <w:szCs w:val="24"/>
                <w:highlight w:val="none"/>
                <w:lang w:val="en-US" w:eastAsia="zh-CN"/>
              </w:rPr>
            </w:pPr>
            <w:r>
              <w:rPr>
                <w:rFonts w:hint="eastAsia" w:cs="Times New Roman"/>
                <w:b/>
                <w:color w:val="auto"/>
                <w:sz w:val="24"/>
                <w:szCs w:val="24"/>
                <w:highlight w:val="none"/>
                <w:lang w:val="en-US" w:eastAsia="zh-CN"/>
              </w:rPr>
              <w:t>废水</w:t>
            </w:r>
          </w:p>
          <w:p w14:paraId="1089DF0F">
            <w:pPr>
              <w:keepNext w:val="0"/>
              <w:keepLines w:val="0"/>
              <w:numPr>
                <w:ilvl w:val="0"/>
                <w:numId w:val="0"/>
              </w:numPr>
              <w:suppressLineNumbers w:val="0"/>
              <w:spacing w:before="0" w:beforeAutospacing="0" w:after="0" w:afterAutospacing="0" w:line="360" w:lineRule="auto"/>
              <w:ind w:left="420" w:leftChars="200" w:right="0" w:rightChars="0"/>
              <w:rPr>
                <w:rFonts w:hint="default" w:cs="Times New Roman"/>
                <w:b/>
                <w:color w:val="auto"/>
                <w:sz w:val="24"/>
                <w:szCs w:val="24"/>
                <w:highlight w:val="none"/>
                <w:lang w:val="en-US" w:eastAsia="zh-CN"/>
              </w:rPr>
            </w:pPr>
            <w:r>
              <w:rPr>
                <w:rFonts w:hint="eastAsia" w:cs="Times New Roman"/>
                <w:b w:val="0"/>
                <w:bCs/>
                <w:color w:val="auto"/>
                <w:sz w:val="24"/>
                <w:szCs w:val="24"/>
                <w:highlight w:val="none"/>
                <w:lang w:val="en-US" w:eastAsia="zh-CN"/>
              </w:rPr>
              <w:t>本项目生活污水排入防渗旱厕，定期清掏，外运堆肥，无生产废水。</w:t>
            </w:r>
          </w:p>
          <w:p w14:paraId="7959DE14">
            <w:pPr>
              <w:keepNext w:val="0"/>
              <w:keepLines w:val="0"/>
              <w:numPr>
                <w:ilvl w:val="0"/>
                <w:numId w:val="0"/>
              </w:numPr>
              <w:suppressLineNumbers w:val="0"/>
              <w:spacing w:before="0" w:beforeAutospacing="0" w:after="0" w:afterAutospacing="0" w:line="360" w:lineRule="auto"/>
              <w:ind w:left="420" w:leftChars="200" w:right="0" w:rightChars="0"/>
              <w:rPr>
                <w:rFonts w:hint="default"/>
                <w:color w:val="auto"/>
                <w:sz w:val="24"/>
                <w:szCs w:val="24"/>
                <w:highlight w:val="none"/>
              </w:rPr>
            </w:pPr>
            <w:r>
              <w:rPr>
                <w:rFonts w:hint="eastAsia" w:cs="Times New Roman"/>
                <w:b/>
                <w:color w:val="auto"/>
                <w:sz w:val="24"/>
                <w:szCs w:val="24"/>
                <w:highlight w:val="none"/>
                <w:lang w:val="en-US" w:eastAsia="zh-CN"/>
              </w:rPr>
              <w:t>3、</w:t>
            </w:r>
            <w:r>
              <w:rPr>
                <w:rFonts w:hint="default" w:ascii="Times New Roman" w:hAnsi="Times New Roman" w:cs="Times New Roman"/>
                <w:b/>
                <w:color w:val="auto"/>
                <w:sz w:val="24"/>
                <w:szCs w:val="24"/>
                <w:highlight w:val="none"/>
              </w:rPr>
              <w:t>噪声</w:t>
            </w:r>
          </w:p>
          <w:p w14:paraId="382547E1">
            <w:pPr>
              <w:pStyle w:val="109"/>
              <w:keepNext w:val="0"/>
              <w:keepLines w:val="0"/>
              <w:suppressLineNumbers w:val="0"/>
              <w:spacing w:before="0" w:beforeAutospacing="0" w:after="0" w:afterAutospacing="0"/>
              <w:ind w:left="0" w:leftChars="0" w:right="0"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eastAsia="宋体" w:cs="Times New Roman"/>
                <w:bCs/>
                <w:snapToGrid w:val="0"/>
                <w:color w:val="auto"/>
                <w:kern w:val="2"/>
                <w:sz w:val="24"/>
                <w:szCs w:val="24"/>
                <w:highlight w:val="none"/>
                <w:u w:val="none"/>
                <w:lang w:val="en-US" w:eastAsia="zh-CN" w:bidi="ar-SA"/>
              </w:rPr>
              <w:t>施工期</w:t>
            </w:r>
            <w:r>
              <w:rPr>
                <w:rFonts w:hint="eastAsia" w:ascii="Times New Roman" w:hAnsi="Times New Roman" w:eastAsia="宋体" w:cs="Times New Roman"/>
                <w:bCs/>
                <w:snapToGrid w:val="0"/>
                <w:color w:val="auto"/>
                <w:kern w:val="2"/>
                <w:sz w:val="24"/>
                <w:szCs w:val="24"/>
                <w:highlight w:val="none"/>
                <w:u w:val="none"/>
                <w:lang w:val="en-US" w:eastAsia="zh-CN" w:bidi="ar-SA"/>
              </w:rPr>
              <w:t>：</w:t>
            </w:r>
            <w:r>
              <w:rPr>
                <w:rFonts w:hint="default" w:ascii="Times New Roman" w:hAnsi="Times New Roman" w:eastAsia="宋体" w:cs="Times New Roman"/>
                <w:bCs/>
                <w:snapToGrid w:val="0"/>
                <w:color w:val="auto"/>
                <w:kern w:val="2"/>
                <w:sz w:val="24"/>
                <w:szCs w:val="24"/>
                <w:highlight w:val="none"/>
                <w:u w:val="none"/>
                <w:lang w:val="en-US" w:eastAsia="zh-CN" w:bidi="ar-SA"/>
              </w:rPr>
              <w:t>噪声执行《建筑施工场界环境噪声排放标准》（GB12523-2011）</w:t>
            </w:r>
            <w:r>
              <w:rPr>
                <w:rFonts w:hint="eastAsia" w:ascii="Times New Roman" w:hAnsi="Times New Roman" w:eastAsia="宋体" w:cs="宋体"/>
                <w:bCs/>
                <w:color w:val="auto"/>
                <w:kern w:val="2"/>
                <w:sz w:val="24"/>
                <w:szCs w:val="24"/>
                <w:u w:val="none" w:color="000000"/>
                <w:lang w:val="en-US" w:eastAsia="zh-CN" w:bidi="ar-SA"/>
              </w:rPr>
              <w:t>；</w:t>
            </w:r>
            <w:r>
              <w:rPr>
                <w:rFonts w:hint="eastAsia" w:cs="Times New Roman"/>
                <w:color w:val="auto"/>
                <w:sz w:val="24"/>
                <w:szCs w:val="24"/>
                <w:highlight w:val="none"/>
                <w:lang w:val="en-US" w:eastAsia="zh-CN"/>
              </w:rPr>
              <w:t>运营期：</w:t>
            </w:r>
            <w:r>
              <w:rPr>
                <w:rFonts w:hint="eastAsia"/>
                <w:color w:val="auto"/>
                <w:sz w:val="24"/>
                <w:szCs w:val="24"/>
                <w:highlight w:val="none"/>
                <w:lang w:val="en-US" w:eastAsia="zh-CN"/>
              </w:rPr>
              <w:t>运营期西、南、北侧厂界噪声执行《工业企业厂界环境噪声排放标准》（GB12348-2008）2类标准限值要求，东侧厂界执行《工业企业厂界环境噪声排放标准》（GB12348-2008）表1中4类标准要求。</w:t>
            </w:r>
          </w:p>
          <w:p w14:paraId="565855C8">
            <w:pPr>
              <w:pStyle w:val="72"/>
              <w:keepNext w:val="0"/>
              <w:keepLines w:val="0"/>
              <w:suppressLineNumbers w:val="0"/>
              <w:snapToGrid w:val="0"/>
              <w:spacing w:before="0" w:beforeLines="0" w:beforeAutospacing="0" w:after="0" w:afterLines="0" w:afterAutospacing="0" w:line="240" w:lineRule="auto"/>
              <w:ind w:left="0" w:right="0"/>
              <w:rPr>
                <w:rFonts w:hint="default" w:ascii="Times New Roman" w:hAnsi="Times New Roman" w:cs="Times New Roman"/>
                <w:snapToGrid w:val="0"/>
                <w:color w:val="auto"/>
                <w:spacing w:val="0"/>
                <w:sz w:val="24"/>
                <w:szCs w:val="24"/>
                <w:highlight w:val="none"/>
              </w:rPr>
            </w:pPr>
            <w:r>
              <w:rPr>
                <w:rFonts w:hint="default" w:ascii="Times New Roman" w:hAnsi="Times New Roman" w:eastAsia="宋体" w:cs="Times New Roman"/>
                <w:b/>
                <w:bCs/>
                <w:snapToGrid w:val="0"/>
                <w:color w:val="auto"/>
                <w:spacing w:val="0"/>
                <w:sz w:val="24"/>
                <w:szCs w:val="24"/>
                <w:highlight w:val="none"/>
              </w:rPr>
              <w:t>表3-</w:t>
            </w:r>
            <w:r>
              <w:rPr>
                <w:rFonts w:hint="eastAsia" w:ascii="Times New Roman" w:hAnsi="Times New Roman" w:eastAsia="宋体" w:cs="Times New Roman"/>
                <w:b/>
                <w:bCs/>
                <w:snapToGrid w:val="0"/>
                <w:color w:val="auto"/>
                <w:spacing w:val="0"/>
                <w:sz w:val="24"/>
                <w:szCs w:val="24"/>
                <w:highlight w:val="none"/>
                <w:lang w:val="en-US" w:eastAsia="zh-CN"/>
              </w:rPr>
              <w:t xml:space="preserve">10 </w:t>
            </w:r>
            <w:r>
              <w:rPr>
                <w:rFonts w:hint="default" w:ascii="Times New Roman" w:hAnsi="Times New Roman" w:eastAsia="宋体" w:cs="Times New Roman"/>
                <w:b/>
                <w:bCs/>
                <w:snapToGrid w:val="0"/>
                <w:color w:val="auto"/>
                <w:spacing w:val="0"/>
                <w:sz w:val="24"/>
                <w:szCs w:val="24"/>
                <w:highlight w:val="none"/>
              </w:rPr>
              <w:t>工业企业厂界环境噪声排放标准</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0"/>
              <w:gridCol w:w="940"/>
              <w:gridCol w:w="2823"/>
              <w:gridCol w:w="840"/>
              <w:gridCol w:w="1155"/>
              <w:gridCol w:w="1334"/>
            </w:tblGrid>
            <w:tr w14:paraId="0A1840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0" w:hRule="atLeast"/>
                <w:tblHeader/>
                <w:jc w:val="center"/>
              </w:trPr>
              <w:tc>
                <w:tcPr>
                  <w:tcW w:w="585" w:type="pct"/>
                  <w:tcBorders>
                    <w:tl2br w:val="nil"/>
                    <w:tr2bl w:val="nil"/>
                  </w:tcBorders>
                  <w:noWrap w:val="0"/>
                  <w:vAlign w:val="center"/>
                </w:tcPr>
                <w:p w14:paraId="715D4F59">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要素</w:t>
                  </w:r>
                </w:p>
                <w:p w14:paraId="5EBACE0A">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分类</w:t>
                  </w:r>
                </w:p>
              </w:tc>
              <w:tc>
                <w:tcPr>
                  <w:tcW w:w="2342" w:type="pct"/>
                  <w:gridSpan w:val="2"/>
                  <w:tcBorders>
                    <w:tl2br w:val="nil"/>
                    <w:tr2bl w:val="nil"/>
                  </w:tcBorders>
                  <w:noWrap w:val="0"/>
                  <w:vAlign w:val="center"/>
                </w:tcPr>
                <w:p w14:paraId="00836C34">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标准名称</w:t>
                  </w:r>
                </w:p>
              </w:tc>
              <w:tc>
                <w:tcPr>
                  <w:tcW w:w="522" w:type="pct"/>
                  <w:tcBorders>
                    <w:tl2br w:val="nil"/>
                    <w:tr2bl w:val="nil"/>
                  </w:tcBorders>
                  <w:noWrap w:val="0"/>
                  <w:vAlign w:val="center"/>
                </w:tcPr>
                <w:p w14:paraId="138E730D">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适用类别</w:t>
                  </w:r>
                </w:p>
              </w:tc>
              <w:tc>
                <w:tcPr>
                  <w:tcW w:w="718" w:type="pct"/>
                  <w:tcBorders>
                    <w:tl2br w:val="nil"/>
                    <w:tr2bl w:val="nil"/>
                  </w:tcBorders>
                  <w:noWrap w:val="0"/>
                  <w:vAlign w:val="center"/>
                </w:tcPr>
                <w:p w14:paraId="309E0C6C">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污染因子</w:t>
                  </w:r>
                </w:p>
              </w:tc>
              <w:tc>
                <w:tcPr>
                  <w:tcW w:w="830" w:type="pct"/>
                  <w:tcBorders>
                    <w:tl2br w:val="nil"/>
                    <w:tr2bl w:val="nil"/>
                  </w:tcBorders>
                  <w:noWrap w:val="0"/>
                  <w:vAlign w:val="center"/>
                </w:tcPr>
                <w:p w14:paraId="7CAB42EA">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排放限值</w:t>
                  </w:r>
                </w:p>
              </w:tc>
            </w:tr>
            <w:tr w14:paraId="170B12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585" w:type="pct"/>
                  <w:vMerge w:val="restart"/>
                  <w:tcBorders>
                    <w:tl2br w:val="nil"/>
                    <w:tr2bl w:val="nil"/>
                  </w:tcBorders>
                  <w:noWrap w:val="0"/>
                  <w:vAlign w:val="center"/>
                </w:tcPr>
                <w:p w14:paraId="239A974B">
                  <w:pPr>
                    <w:keepNext w:val="0"/>
                    <w:keepLines w:val="0"/>
                    <w:suppressLineNumbers w:val="0"/>
                    <w:autoSpaceDE w:val="0"/>
                    <w:autoSpaceDN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噪声</w:t>
                  </w:r>
                </w:p>
              </w:tc>
              <w:tc>
                <w:tcPr>
                  <w:tcW w:w="585" w:type="pct"/>
                  <w:tcBorders>
                    <w:tl2br w:val="nil"/>
                    <w:tr2bl w:val="nil"/>
                  </w:tcBorders>
                  <w:noWrap w:val="0"/>
                  <w:vAlign w:val="center"/>
                </w:tcPr>
                <w:p w14:paraId="07E55831">
                  <w:pPr>
                    <w:keepNext w:val="0"/>
                    <w:keepLines w:val="0"/>
                    <w:suppressLineNumbers w:val="0"/>
                    <w:autoSpaceDE w:val="0"/>
                    <w:autoSpaceDN w:val="0"/>
                    <w:spacing w:before="0" w:beforeAutospacing="0" w:after="0" w:afterAutospacing="0"/>
                    <w:ind w:left="0" w:right="0"/>
                    <w:jc w:val="center"/>
                    <w:textAlignment w:val="baseline"/>
                    <w:rPr>
                      <w:rFonts w:hint="default" w:ascii="Times New Roman" w:hAnsi="Times New Roman" w:eastAsia="宋体" w:cs="Times New Roman"/>
                      <w:bCs/>
                      <w:snapToGrid w:val="0"/>
                      <w:color w:val="auto"/>
                      <w:kern w:val="2"/>
                      <w:sz w:val="21"/>
                      <w:szCs w:val="21"/>
                      <w:highlight w:val="none"/>
                      <w:u w:val="none" w:color="000000"/>
                      <w:lang w:val="en-US" w:eastAsia="zh-CN" w:bidi="ar-SA"/>
                    </w:rPr>
                  </w:pPr>
                  <w:r>
                    <w:rPr>
                      <w:rFonts w:hint="default" w:ascii="Times New Roman" w:hAnsi="Times New Roman" w:eastAsia="宋体" w:cs="Times New Roman"/>
                      <w:bCs/>
                      <w:snapToGrid w:val="0"/>
                      <w:color w:val="auto"/>
                      <w:kern w:val="2"/>
                      <w:sz w:val="21"/>
                      <w:szCs w:val="21"/>
                      <w:highlight w:val="none"/>
                      <w:u w:val="none" w:color="000000"/>
                      <w:lang w:val="en-US" w:eastAsia="zh-CN" w:bidi="ar-SA"/>
                    </w:rPr>
                    <w:t>施工期</w:t>
                  </w:r>
                </w:p>
              </w:tc>
              <w:tc>
                <w:tcPr>
                  <w:tcW w:w="1757" w:type="pct"/>
                  <w:tcBorders>
                    <w:tl2br w:val="nil"/>
                    <w:tr2bl w:val="nil"/>
                  </w:tcBorders>
                  <w:noWrap w:val="0"/>
                  <w:vAlign w:val="center"/>
                </w:tcPr>
                <w:p w14:paraId="337F730D">
                  <w:pPr>
                    <w:keepNext w:val="0"/>
                    <w:keepLines w:val="0"/>
                    <w:suppressLineNumbers w:val="0"/>
                    <w:autoSpaceDE w:val="0"/>
                    <w:autoSpaceDN w:val="0"/>
                    <w:spacing w:before="0" w:beforeAutospacing="0" w:after="0" w:afterAutospacing="0"/>
                    <w:ind w:left="0" w:right="0"/>
                    <w:jc w:val="center"/>
                    <w:textAlignment w:val="baseline"/>
                    <w:rPr>
                      <w:rFonts w:hint="default" w:ascii="Times New Roman" w:hAnsi="Times New Roman" w:eastAsia="宋体" w:cs="Times New Roman"/>
                      <w:bCs/>
                      <w:snapToGrid w:val="0"/>
                      <w:color w:val="auto"/>
                      <w:kern w:val="2"/>
                      <w:sz w:val="21"/>
                      <w:szCs w:val="21"/>
                      <w:highlight w:val="none"/>
                      <w:u w:val="none" w:color="000000"/>
                      <w:lang w:val="en-US" w:eastAsia="zh-CN" w:bidi="ar-SA"/>
                    </w:rPr>
                  </w:pPr>
                  <w:r>
                    <w:rPr>
                      <w:rFonts w:hint="default" w:ascii="Times New Roman" w:hAnsi="Times New Roman" w:eastAsia="宋体" w:cs="Times New Roman"/>
                      <w:bCs/>
                      <w:snapToGrid w:val="0"/>
                      <w:color w:val="auto"/>
                      <w:kern w:val="2"/>
                      <w:sz w:val="21"/>
                      <w:szCs w:val="21"/>
                      <w:highlight w:val="none"/>
                      <w:u w:val="none" w:color="000000"/>
                      <w:lang w:val="zh-CN" w:eastAsia="zh-CN" w:bidi="ar-SA"/>
                    </w:rPr>
                    <w:t>《建筑施工场界环境噪声排放标准》（GB12523-2011）</w:t>
                  </w:r>
                </w:p>
              </w:tc>
              <w:tc>
                <w:tcPr>
                  <w:tcW w:w="522" w:type="pct"/>
                  <w:tcBorders>
                    <w:tl2br w:val="nil"/>
                    <w:tr2bl w:val="nil"/>
                  </w:tcBorders>
                  <w:noWrap w:val="0"/>
                  <w:vAlign w:val="center"/>
                </w:tcPr>
                <w:p w14:paraId="78722564">
                  <w:pPr>
                    <w:keepNext w:val="0"/>
                    <w:keepLines w:val="0"/>
                    <w:suppressLineNumbers w:val="0"/>
                    <w:autoSpaceDE w:val="0"/>
                    <w:autoSpaceDN w:val="0"/>
                    <w:spacing w:before="0" w:beforeAutospacing="0" w:after="0" w:afterAutospacing="0"/>
                    <w:ind w:left="0" w:right="0"/>
                    <w:jc w:val="center"/>
                    <w:textAlignment w:val="baseline"/>
                    <w:rPr>
                      <w:rFonts w:hint="default" w:ascii="Times New Roman" w:hAnsi="Times New Roman" w:eastAsia="宋体" w:cs="Times New Roman"/>
                      <w:bCs/>
                      <w:snapToGrid w:val="0"/>
                      <w:color w:val="auto"/>
                      <w:kern w:val="2"/>
                      <w:sz w:val="21"/>
                      <w:szCs w:val="21"/>
                      <w:highlight w:val="none"/>
                      <w:u w:val="none" w:color="000000"/>
                      <w:lang w:val="en-US" w:eastAsia="zh-CN" w:bidi="ar-SA"/>
                    </w:rPr>
                  </w:pPr>
                  <w:r>
                    <w:rPr>
                      <w:rFonts w:hint="default" w:ascii="Times New Roman" w:hAnsi="Times New Roman" w:eastAsia="宋体" w:cs="Times New Roman"/>
                      <w:bCs/>
                      <w:snapToGrid w:val="0"/>
                      <w:color w:val="auto"/>
                      <w:kern w:val="2"/>
                      <w:sz w:val="21"/>
                      <w:szCs w:val="21"/>
                      <w:highlight w:val="none"/>
                      <w:u w:val="none" w:color="000000"/>
                      <w:lang w:val="en-US" w:eastAsia="zh-CN" w:bidi="ar-SA"/>
                    </w:rPr>
                    <w:t>/</w:t>
                  </w:r>
                </w:p>
              </w:tc>
              <w:tc>
                <w:tcPr>
                  <w:tcW w:w="718" w:type="pct"/>
                  <w:tcBorders>
                    <w:tl2br w:val="nil"/>
                    <w:tr2bl w:val="nil"/>
                  </w:tcBorders>
                  <w:noWrap w:val="0"/>
                  <w:vAlign w:val="center"/>
                </w:tcPr>
                <w:p w14:paraId="77D73C26">
                  <w:pPr>
                    <w:keepNext w:val="0"/>
                    <w:keepLines w:val="0"/>
                    <w:suppressLineNumbers w:val="0"/>
                    <w:autoSpaceDE w:val="0"/>
                    <w:autoSpaceDN w:val="0"/>
                    <w:spacing w:before="0" w:beforeAutospacing="0" w:after="0" w:afterAutospacing="0"/>
                    <w:ind w:left="0" w:right="0"/>
                    <w:jc w:val="center"/>
                    <w:textAlignment w:val="baseline"/>
                    <w:rPr>
                      <w:rFonts w:hint="default" w:ascii="Times New Roman" w:hAnsi="Times New Roman" w:eastAsia="宋体" w:cs="Times New Roman"/>
                      <w:bCs/>
                      <w:snapToGrid w:val="0"/>
                      <w:color w:val="auto"/>
                      <w:kern w:val="2"/>
                      <w:sz w:val="21"/>
                      <w:szCs w:val="21"/>
                      <w:highlight w:val="none"/>
                      <w:u w:val="none" w:color="000000"/>
                      <w:lang w:val="en-US" w:eastAsia="zh-CN" w:bidi="ar-SA"/>
                    </w:rPr>
                  </w:pPr>
                  <w:r>
                    <w:rPr>
                      <w:rFonts w:hint="default" w:ascii="Times New Roman" w:hAnsi="Times New Roman" w:eastAsia="宋体" w:cs="Times New Roman"/>
                      <w:bCs/>
                      <w:snapToGrid w:val="0"/>
                      <w:color w:val="auto"/>
                      <w:kern w:val="2"/>
                      <w:sz w:val="21"/>
                      <w:szCs w:val="21"/>
                      <w:highlight w:val="none"/>
                      <w:u w:val="none" w:color="000000"/>
                      <w:lang w:val="en-US" w:eastAsia="zh-CN" w:bidi="ar-SA"/>
                    </w:rPr>
                    <w:t>等效连续A声级Leq</w:t>
                  </w:r>
                </w:p>
              </w:tc>
              <w:tc>
                <w:tcPr>
                  <w:tcW w:w="830" w:type="pct"/>
                  <w:tcBorders>
                    <w:tl2br w:val="nil"/>
                    <w:tr2bl w:val="nil"/>
                  </w:tcBorders>
                  <w:noWrap w:val="0"/>
                  <w:vAlign w:val="center"/>
                </w:tcPr>
                <w:p w14:paraId="08609D03">
                  <w:pPr>
                    <w:keepNext w:val="0"/>
                    <w:keepLines w:val="0"/>
                    <w:suppressLineNumbers w:val="0"/>
                    <w:autoSpaceDE w:val="0"/>
                    <w:autoSpaceDN w:val="0"/>
                    <w:spacing w:before="0" w:beforeAutospacing="0" w:after="0" w:afterAutospacing="0"/>
                    <w:ind w:left="0" w:right="0"/>
                    <w:jc w:val="center"/>
                    <w:textAlignment w:val="baseline"/>
                    <w:rPr>
                      <w:rFonts w:hint="default" w:ascii="Times New Roman" w:hAnsi="Times New Roman" w:eastAsia="宋体" w:cs="Times New Roman"/>
                      <w:bCs/>
                      <w:snapToGrid w:val="0"/>
                      <w:color w:val="auto"/>
                      <w:kern w:val="2"/>
                      <w:sz w:val="21"/>
                      <w:szCs w:val="21"/>
                      <w:highlight w:val="none"/>
                      <w:u w:val="none" w:color="000000"/>
                      <w:lang w:val="en-US" w:eastAsia="zh-CN" w:bidi="ar-SA"/>
                    </w:rPr>
                  </w:pPr>
                  <w:r>
                    <w:rPr>
                      <w:rFonts w:hint="default" w:ascii="Times New Roman" w:hAnsi="Times New Roman" w:eastAsia="宋体" w:cs="Times New Roman"/>
                      <w:bCs/>
                      <w:snapToGrid w:val="0"/>
                      <w:color w:val="auto"/>
                      <w:kern w:val="2"/>
                      <w:sz w:val="21"/>
                      <w:szCs w:val="21"/>
                      <w:highlight w:val="none"/>
                      <w:u w:val="none" w:color="000000"/>
                      <w:lang w:val="en-US" w:eastAsia="zh-CN" w:bidi="ar-SA"/>
                    </w:rPr>
                    <w:t>昼间70dB(A)</w:t>
                  </w:r>
                </w:p>
                <w:p w14:paraId="330008A9">
                  <w:pPr>
                    <w:keepNext w:val="0"/>
                    <w:keepLines w:val="0"/>
                    <w:suppressLineNumbers w:val="0"/>
                    <w:autoSpaceDE w:val="0"/>
                    <w:autoSpaceDN w:val="0"/>
                    <w:spacing w:before="0" w:beforeAutospacing="0" w:after="0" w:afterAutospacing="0"/>
                    <w:ind w:left="0" w:right="0"/>
                    <w:jc w:val="center"/>
                    <w:textAlignment w:val="baseline"/>
                    <w:rPr>
                      <w:rFonts w:hint="default" w:ascii="Times New Roman" w:hAnsi="Times New Roman" w:eastAsia="宋体" w:cs="Times New Roman"/>
                      <w:bCs/>
                      <w:snapToGrid w:val="0"/>
                      <w:color w:val="auto"/>
                      <w:kern w:val="2"/>
                      <w:sz w:val="21"/>
                      <w:szCs w:val="21"/>
                      <w:highlight w:val="none"/>
                      <w:u w:val="none" w:color="000000"/>
                      <w:lang w:val="en-US" w:eastAsia="zh-CN" w:bidi="ar-SA"/>
                    </w:rPr>
                  </w:pPr>
                  <w:r>
                    <w:rPr>
                      <w:rFonts w:hint="default" w:ascii="Times New Roman" w:hAnsi="Times New Roman" w:eastAsia="宋体" w:cs="Times New Roman"/>
                      <w:bCs/>
                      <w:snapToGrid w:val="0"/>
                      <w:color w:val="auto"/>
                      <w:kern w:val="2"/>
                      <w:sz w:val="21"/>
                      <w:szCs w:val="21"/>
                      <w:highlight w:val="none"/>
                      <w:u w:val="none" w:color="000000"/>
                      <w:lang w:val="en-US" w:eastAsia="zh-CN" w:bidi="ar-SA"/>
                    </w:rPr>
                    <w:t>夜间55dB(A)</w:t>
                  </w:r>
                </w:p>
              </w:tc>
            </w:tr>
            <w:tr w14:paraId="2055A4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585" w:type="pct"/>
                  <w:vMerge w:val="continue"/>
                  <w:tcBorders>
                    <w:tl2br w:val="nil"/>
                    <w:tr2bl w:val="nil"/>
                  </w:tcBorders>
                  <w:noWrap w:val="0"/>
                  <w:vAlign w:val="center"/>
                </w:tcPr>
                <w:p w14:paraId="575ED9B5">
                  <w:pPr>
                    <w:keepNext w:val="0"/>
                    <w:keepLines w:val="0"/>
                    <w:suppressLineNumbers w:val="0"/>
                    <w:autoSpaceDE w:val="0"/>
                    <w:autoSpaceDN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p>
              </w:tc>
              <w:tc>
                <w:tcPr>
                  <w:tcW w:w="585" w:type="pct"/>
                  <w:vMerge w:val="restart"/>
                  <w:tcBorders>
                    <w:tl2br w:val="nil"/>
                    <w:tr2bl w:val="nil"/>
                  </w:tcBorders>
                  <w:noWrap w:val="0"/>
                  <w:vAlign w:val="center"/>
                </w:tcPr>
                <w:p w14:paraId="51BB1B71">
                  <w:pPr>
                    <w:keepNext w:val="0"/>
                    <w:keepLines w:val="0"/>
                    <w:suppressLineNumbers w:val="0"/>
                    <w:autoSpaceDE w:val="0"/>
                    <w:autoSpaceDN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运营期</w:t>
                  </w:r>
                </w:p>
              </w:tc>
              <w:tc>
                <w:tcPr>
                  <w:tcW w:w="1757" w:type="pct"/>
                  <w:vMerge w:val="restart"/>
                  <w:tcBorders>
                    <w:tl2br w:val="nil"/>
                    <w:tr2bl w:val="nil"/>
                  </w:tcBorders>
                  <w:noWrap w:val="0"/>
                  <w:vAlign w:val="center"/>
                </w:tcPr>
                <w:p w14:paraId="768234FB">
                  <w:pPr>
                    <w:keepNext w:val="0"/>
                    <w:keepLines w:val="0"/>
                    <w:suppressLineNumbers w:val="0"/>
                    <w:wordWrap w:val="0"/>
                    <w:autoSpaceDE w:val="0"/>
                    <w:autoSpaceDN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《工业企业厂界环境噪声排放标准》（GB12348-2008）</w:t>
                  </w:r>
                </w:p>
              </w:tc>
              <w:tc>
                <w:tcPr>
                  <w:tcW w:w="522" w:type="pct"/>
                  <w:tcBorders>
                    <w:tl2br w:val="nil"/>
                    <w:tr2bl w:val="nil"/>
                  </w:tcBorders>
                  <w:noWrap w:val="0"/>
                  <w:vAlign w:val="center"/>
                </w:tcPr>
                <w:p w14:paraId="00EC9F78">
                  <w:pPr>
                    <w:keepNext w:val="0"/>
                    <w:keepLines w:val="0"/>
                    <w:suppressLineNumbers w:val="0"/>
                    <w:autoSpaceDE w:val="0"/>
                    <w:autoSpaceDN w:val="0"/>
                    <w:spacing w:before="0" w:beforeAutospacing="0" w:after="0" w:afterAutospacing="0"/>
                    <w:ind w:left="0" w:right="0"/>
                    <w:jc w:val="center"/>
                    <w:textAlignment w:val="baseline"/>
                    <w:rPr>
                      <w:rFonts w:hint="eastAsia"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w:t>
                  </w:r>
                  <w:r>
                    <w:rPr>
                      <w:rFonts w:hint="default" w:ascii="Times New Roman" w:hAnsi="Times New Roman" w:eastAsia="宋体" w:cs="Times New Roman"/>
                      <w:bCs/>
                      <w:color w:val="auto"/>
                      <w:kern w:val="0"/>
                      <w:sz w:val="21"/>
                      <w:szCs w:val="21"/>
                      <w:highlight w:val="none"/>
                    </w:rPr>
                    <w:t>类</w:t>
                  </w:r>
                </w:p>
              </w:tc>
              <w:tc>
                <w:tcPr>
                  <w:tcW w:w="718" w:type="pct"/>
                  <w:vMerge w:val="restart"/>
                  <w:tcBorders>
                    <w:tl2br w:val="nil"/>
                    <w:tr2bl w:val="nil"/>
                  </w:tcBorders>
                  <w:noWrap w:val="0"/>
                  <w:vAlign w:val="center"/>
                </w:tcPr>
                <w:p w14:paraId="05282DEA">
                  <w:pPr>
                    <w:keepNext w:val="0"/>
                    <w:keepLines w:val="0"/>
                    <w:suppressLineNumbers w:val="0"/>
                    <w:autoSpaceDE w:val="0"/>
                    <w:autoSpaceDN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等效连续A声级Leq</w:t>
                  </w:r>
                </w:p>
              </w:tc>
              <w:tc>
                <w:tcPr>
                  <w:tcW w:w="830" w:type="pct"/>
                  <w:tcBorders>
                    <w:tl2br w:val="nil"/>
                    <w:tr2bl w:val="nil"/>
                  </w:tcBorders>
                  <w:noWrap w:val="0"/>
                  <w:vAlign w:val="center"/>
                </w:tcPr>
                <w:p w14:paraId="429FE117">
                  <w:pPr>
                    <w:keepNext w:val="0"/>
                    <w:keepLines w:val="0"/>
                    <w:suppressLineNumbers w:val="0"/>
                    <w:autoSpaceDE w:val="0"/>
                    <w:autoSpaceDN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昼间</w:t>
                  </w:r>
                  <w:r>
                    <w:rPr>
                      <w:rFonts w:hint="eastAsia" w:ascii="Times New Roman" w:hAnsi="Times New Roman" w:eastAsia="宋体" w:cs="Times New Roman"/>
                      <w:bCs/>
                      <w:color w:val="auto"/>
                      <w:kern w:val="0"/>
                      <w:sz w:val="21"/>
                      <w:szCs w:val="21"/>
                      <w:highlight w:val="none"/>
                      <w:lang w:val="en-US" w:eastAsia="zh-CN"/>
                    </w:rPr>
                    <w:t>60</w:t>
                  </w:r>
                  <w:r>
                    <w:rPr>
                      <w:rFonts w:hint="default" w:ascii="Times New Roman" w:hAnsi="Times New Roman" w:eastAsia="宋体" w:cs="Times New Roman"/>
                      <w:bCs/>
                      <w:color w:val="auto"/>
                      <w:kern w:val="0"/>
                      <w:sz w:val="21"/>
                      <w:szCs w:val="21"/>
                      <w:highlight w:val="none"/>
                    </w:rPr>
                    <w:t>dB(A)</w:t>
                  </w:r>
                </w:p>
                <w:p w14:paraId="24EF8E53">
                  <w:pPr>
                    <w:keepNext w:val="0"/>
                    <w:keepLines w:val="0"/>
                    <w:suppressLineNumbers w:val="0"/>
                    <w:autoSpaceDE w:val="0"/>
                    <w:autoSpaceDN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夜间5</w:t>
                  </w:r>
                  <w:r>
                    <w:rPr>
                      <w:rFonts w:hint="eastAsia" w:ascii="Times New Roman" w:hAnsi="Times New Roman" w:eastAsia="宋体" w:cs="Times New Roman"/>
                      <w:bCs/>
                      <w:color w:val="auto"/>
                      <w:kern w:val="0"/>
                      <w:sz w:val="21"/>
                      <w:szCs w:val="21"/>
                      <w:highlight w:val="none"/>
                      <w:lang w:val="en-US" w:eastAsia="zh-CN"/>
                    </w:rPr>
                    <w:t>0</w:t>
                  </w:r>
                  <w:r>
                    <w:rPr>
                      <w:rFonts w:hint="default" w:ascii="Times New Roman" w:hAnsi="Times New Roman" w:eastAsia="宋体" w:cs="Times New Roman"/>
                      <w:bCs/>
                      <w:color w:val="auto"/>
                      <w:kern w:val="0"/>
                      <w:sz w:val="21"/>
                      <w:szCs w:val="21"/>
                      <w:highlight w:val="none"/>
                    </w:rPr>
                    <w:t>dB(A)</w:t>
                  </w:r>
                </w:p>
              </w:tc>
            </w:tr>
            <w:tr w14:paraId="797E88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585" w:type="pct"/>
                  <w:vMerge w:val="continue"/>
                  <w:tcBorders>
                    <w:tl2br w:val="nil"/>
                    <w:tr2bl w:val="nil"/>
                  </w:tcBorders>
                  <w:noWrap w:val="0"/>
                  <w:vAlign w:val="center"/>
                </w:tcPr>
                <w:p w14:paraId="20C4B020">
                  <w:pPr>
                    <w:keepNext w:val="0"/>
                    <w:keepLines w:val="0"/>
                    <w:suppressLineNumbers w:val="0"/>
                    <w:autoSpaceDE w:val="0"/>
                    <w:autoSpaceDN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p>
              </w:tc>
              <w:tc>
                <w:tcPr>
                  <w:tcW w:w="585" w:type="pct"/>
                  <w:vMerge w:val="continue"/>
                  <w:tcBorders>
                    <w:tl2br w:val="nil"/>
                    <w:tr2bl w:val="nil"/>
                  </w:tcBorders>
                  <w:noWrap w:val="0"/>
                  <w:vAlign w:val="center"/>
                </w:tcPr>
                <w:p w14:paraId="6ADB4107">
                  <w:pPr>
                    <w:keepNext w:val="0"/>
                    <w:keepLines w:val="0"/>
                    <w:suppressLineNumbers w:val="0"/>
                    <w:autoSpaceDE w:val="0"/>
                    <w:autoSpaceDN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p>
              </w:tc>
              <w:tc>
                <w:tcPr>
                  <w:tcW w:w="1757" w:type="pct"/>
                  <w:vMerge w:val="continue"/>
                  <w:tcBorders>
                    <w:tl2br w:val="nil"/>
                    <w:tr2bl w:val="nil"/>
                  </w:tcBorders>
                  <w:noWrap w:val="0"/>
                  <w:vAlign w:val="center"/>
                </w:tcPr>
                <w:p w14:paraId="72683883">
                  <w:pPr>
                    <w:keepNext w:val="0"/>
                    <w:keepLines w:val="0"/>
                    <w:suppressLineNumbers w:val="0"/>
                    <w:wordWrap w:val="0"/>
                    <w:autoSpaceDE w:val="0"/>
                    <w:autoSpaceDN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p>
              </w:tc>
              <w:tc>
                <w:tcPr>
                  <w:tcW w:w="522" w:type="pct"/>
                  <w:tcBorders>
                    <w:tl2br w:val="nil"/>
                    <w:tr2bl w:val="nil"/>
                  </w:tcBorders>
                  <w:noWrap w:val="0"/>
                  <w:vAlign w:val="center"/>
                </w:tcPr>
                <w:p w14:paraId="6A169771">
                  <w:pPr>
                    <w:keepNext w:val="0"/>
                    <w:keepLines w:val="0"/>
                    <w:suppressLineNumbers w:val="0"/>
                    <w:autoSpaceDE w:val="0"/>
                    <w:autoSpaceDN w:val="0"/>
                    <w:spacing w:before="0" w:beforeAutospacing="0" w:after="0" w:afterAutospacing="0"/>
                    <w:ind w:left="0" w:right="0"/>
                    <w:jc w:val="center"/>
                    <w:textAlignment w:val="baseline"/>
                    <w:rPr>
                      <w:rFonts w:hint="eastAsia" w:ascii="Times New Roman" w:hAnsi="Times New Roman" w:eastAsia="宋体" w:cs="Times New Roman"/>
                      <w:bCs/>
                      <w:color w:val="auto"/>
                      <w:kern w:val="0"/>
                      <w:sz w:val="21"/>
                      <w:szCs w:val="21"/>
                      <w:highlight w:val="none"/>
                      <w:lang w:val="en-US" w:eastAsia="zh-CN"/>
                    </w:rPr>
                  </w:pPr>
                  <w:r>
                    <w:rPr>
                      <w:rFonts w:hint="eastAsia"/>
                      <w:color w:val="auto"/>
                      <w:sz w:val="21"/>
                      <w:szCs w:val="21"/>
                      <w:highlight w:val="none"/>
                      <w:lang w:val="en-US" w:eastAsia="zh-CN"/>
                    </w:rPr>
                    <w:t>4类</w:t>
                  </w:r>
                </w:p>
              </w:tc>
              <w:tc>
                <w:tcPr>
                  <w:tcW w:w="718" w:type="pct"/>
                  <w:vMerge w:val="continue"/>
                  <w:tcBorders>
                    <w:tl2br w:val="nil"/>
                    <w:tr2bl w:val="nil"/>
                  </w:tcBorders>
                  <w:noWrap w:val="0"/>
                  <w:vAlign w:val="center"/>
                </w:tcPr>
                <w:p w14:paraId="30BC6C0D">
                  <w:pPr>
                    <w:keepNext w:val="0"/>
                    <w:keepLines w:val="0"/>
                    <w:suppressLineNumbers w:val="0"/>
                    <w:autoSpaceDE w:val="0"/>
                    <w:autoSpaceDN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p>
              </w:tc>
              <w:tc>
                <w:tcPr>
                  <w:tcW w:w="830" w:type="pct"/>
                  <w:tcBorders>
                    <w:tl2br w:val="nil"/>
                    <w:tr2bl w:val="nil"/>
                  </w:tcBorders>
                  <w:noWrap w:val="0"/>
                  <w:vAlign w:val="center"/>
                </w:tcPr>
                <w:p w14:paraId="69A10716">
                  <w:pPr>
                    <w:keepNext w:val="0"/>
                    <w:keepLines w:val="0"/>
                    <w:suppressLineNumbers w:val="0"/>
                    <w:autoSpaceDE w:val="0"/>
                    <w:autoSpaceDN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昼间</w:t>
                  </w:r>
                  <w:r>
                    <w:rPr>
                      <w:rFonts w:hint="eastAsia" w:ascii="Times New Roman" w:hAnsi="Times New Roman" w:cs="Times New Roman"/>
                      <w:bCs/>
                      <w:color w:val="auto"/>
                      <w:kern w:val="0"/>
                      <w:sz w:val="21"/>
                      <w:szCs w:val="21"/>
                      <w:highlight w:val="none"/>
                      <w:lang w:val="en-US" w:eastAsia="zh-CN"/>
                    </w:rPr>
                    <w:t>7</w:t>
                  </w:r>
                  <w:r>
                    <w:rPr>
                      <w:rFonts w:hint="eastAsia" w:ascii="Times New Roman" w:hAnsi="Times New Roman" w:eastAsia="宋体" w:cs="Times New Roman"/>
                      <w:bCs/>
                      <w:color w:val="auto"/>
                      <w:kern w:val="0"/>
                      <w:sz w:val="21"/>
                      <w:szCs w:val="21"/>
                      <w:highlight w:val="none"/>
                      <w:lang w:val="en-US" w:eastAsia="zh-CN"/>
                    </w:rPr>
                    <w:t>0</w:t>
                  </w:r>
                  <w:r>
                    <w:rPr>
                      <w:rFonts w:hint="default" w:ascii="Times New Roman" w:hAnsi="Times New Roman" w:eastAsia="宋体" w:cs="Times New Roman"/>
                      <w:bCs/>
                      <w:color w:val="auto"/>
                      <w:kern w:val="0"/>
                      <w:sz w:val="21"/>
                      <w:szCs w:val="21"/>
                      <w:highlight w:val="none"/>
                    </w:rPr>
                    <w:t>dB(A)</w:t>
                  </w:r>
                </w:p>
                <w:p w14:paraId="2C279E00">
                  <w:pPr>
                    <w:keepNext w:val="0"/>
                    <w:keepLines w:val="0"/>
                    <w:suppressLineNumbers w:val="0"/>
                    <w:autoSpaceDE w:val="0"/>
                    <w:autoSpaceDN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夜间</w:t>
                  </w:r>
                  <w:r>
                    <w:rPr>
                      <w:rFonts w:hint="eastAsia" w:cs="Times New Roman"/>
                      <w:bCs/>
                      <w:color w:val="auto"/>
                      <w:kern w:val="0"/>
                      <w:sz w:val="21"/>
                      <w:szCs w:val="21"/>
                      <w:highlight w:val="none"/>
                      <w:lang w:val="en-US" w:eastAsia="zh-CN"/>
                    </w:rPr>
                    <w:t>55</w:t>
                  </w:r>
                  <w:r>
                    <w:rPr>
                      <w:rFonts w:hint="default" w:ascii="Times New Roman" w:hAnsi="Times New Roman" w:eastAsia="宋体" w:cs="Times New Roman"/>
                      <w:bCs/>
                      <w:color w:val="auto"/>
                      <w:kern w:val="0"/>
                      <w:sz w:val="21"/>
                      <w:szCs w:val="21"/>
                      <w:highlight w:val="none"/>
                    </w:rPr>
                    <w:t>dB(A)</w:t>
                  </w:r>
                </w:p>
              </w:tc>
            </w:tr>
          </w:tbl>
          <w:p w14:paraId="161167F8">
            <w:pPr>
              <w:keepNext w:val="0"/>
              <w:keepLines w:val="0"/>
              <w:suppressLineNumbers w:val="0"/>
              <w:spacing w:before="0" w:beforeAutospacing="0" w:after="0" w:afterAutospacing="0" w:line="360" w:lineRule="auto"/>
              <w:ind w:left="0" w:right="0" w:firstLine="482" w:firstLineChars="200"/>
              <w:rPr>
                <w:rFonts w:hint="default" w:ascii="Times New Roman" w:hAnsi="Times New Roman" w:cs="Times New Roman"/>
                <w:color w:val="auto"/>
                <w:kern w:val="21"/>
                <w:sz w:val="24"/>
                <w:szCs w:val="24"/>
                <w:highlight w:val="none"/>
              </w:rPr>
            </w:pPr>
            <w:r>
              <w:rPr>
                <w:rFonts w:hint="eastAsia" w:cs="Times New Roman"/>
                <w:b/>
                <w:bCs/>
                <w:color w:val="auto"/>
                <w:kern w:val="21"/>
                <w:sz w:val="24"/>
                <w:szCs w:val="24"/>
                <w:highlight w:val="none"/>
                <w:lang w:val="en-US" w:eastAsia="zh-CN"/>
              </w:rPr>
              <w:t>4</w:t>
            </w:r>
            <w:r>
              <w:rPr>
                <w:rFonts w:hint="default" w:ascii="Times New Roman" w:hAnsi="Times New Roman" w:cs="Times New Roman"/>
                <w:b/>
                <w:bCs/>
                <w:color w:val="auto"/>
                <w:kern w:val="21"/>
                <w:sz w:val="24"/>
                <w:szCs w:val="24"/>
                <w:highlight w:val="none"/>
              </w:rPr>
              <w:t>、固体废物</w:t>
            </w:r>
          </w:p>
          <w:p w14:paraId="36BFAB67">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21"/>
                <w:sz w:val="24"/>
                <w:szCs w:val="24"/>
                <w:highlight w:val="none"/>
              </w:rPr>
              <w:t>一般固体废物处置执行《一般工业固体废物贮存和填埋污染控制标准》（GB18599-2020）</w:t>
            </w:r>
            <w:r>
              <w:rPr>
                <w:rFonts w:hint="eastAsia" w:cs="Times New Roman"/>
                <w:color w:val="auto"/>
                <w:kern w:val="21"/>
                <w:sz w:val="24"/>
                <w:szCs w:val="24"/>
                <w:highlight w:val="none"/>
                <w:lang w:eastAsia="zh-CN"/>
              </w:rPr>
              <w:t>、</w:t>
            </w:r>
            <w:r>
              <w:rPr>
                <w:rFonts w:hint="eastAsia"/>
                <w:color w:val="auto"/>
                <w:sz w:val="24"/>
                <w:szCs w:val="24"/>
                <w:highlight w:val="none"/>
                <w:lang w:val="en-US" w:eastAsia="zh-CN"/>
              </w:rPr>
              <w:t>《固体废物分类与代码目录》（2024）</w:t>
            </w:r>
            <w:r>
              <w:rPr>
                <w:rFonts w:hint="default" w:ascii="Times New Roman" w:hAnsi="Times New Roman" w:cs="Times New Roman"/>
                <w:color w:val="auto"/>
                <w:kern w:val="21"/>
                <w:sz w:val="24"/>
                <w:szCs w:val="24"/>
                <w:highlight w:val="none"/>
              </w:rPr>
              <w:t>。</w:t>
            </w:r>
          </w:p>
        </w:tc>
      </w:tr>
      <w:tr w14:paraId="241D40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52" w:type="pct"/>
            <w:tcBorders>
              <w:bottom w:val="single" w:color="auto" w:sz="4" w:space="0"/>
            </w:tcBorders>
            <w:vAlign w:val="center"/>
          </w:tcPr>
          <w:p w14:paraId="2D757C5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总量控制指标</w:t>
            </w:r>
          </w:p>
        </w:tc>
        <w:tc>
          <w:tcPr>
            <w:tcW w:w="4547" w:type="pct"/>
            <w:tcBorders>
              <w:bottom w:val="single" w:color="auto" w:sz="4" w:space="0"/>
            </w:tcBorders>
            <w:vAlign w:val="center"/>
          </w:tcPr>
          <w:p w14:paraId="671D9C3F">
            <w:pPr>
              <w:keepNext w:val="0"/>
              <w:keepLines w:val="0"/>
              <w:suppressLineNumbers w:val="0"/>
              <w:tabs>
                <w:tab w:val="left" w:pos="5046"/>
              </w:tabs>
              <w:spacing w:before="0" w:beforeAutospacing="0" w:after="0" w:afterAutospacing="0"/>
              <w:ind w:left="0" w:right="0"/>
              <w:jc w:val="center"/>
              <w:rPr>
                <w:rFonts w:hint="eastAsia" w:ascii="Times New Roman" w:hAnsi="Times New Roman" w:eastAsia="宋体" w:cs="Times New Roman"/>
                <w:b/>
                <w:color w:val="auto"/>
                <w:sz w:val="24"/>
                <w:szCs w:val="24"/>
                <w:highlight w:val="none"/>
                <w:lang w:eastAsia="zh-CN"/>
              </w:rPr>
            </w:pPr>
            <w:r>
              <w:rPr>
                <w:rFonts w:hint="default" w:ascii="Times New Roman" w:hAnsi="Times New Roman" w:eastAsia="宋体" w:cs="Times New Roman"/>
                <w:b/>
                <w:color w:val="auto"/>
                <w:sz w:val="24"/>
                <w:szCs w:val="24"/>
                <w:highlight w:val="none"/>
              </w:rPr>
              <w:t>表3</w:t>
            </w:r>
            <w:r>
              <w:rPr>
                <w:rFonts w:hint="default" w:ascii="Times New Roman" w:hAnsi="Times New Roman" w:eastAsia="宋体" w:cs="Times New Roman"/>
                <w:b/>
                <w:color w:val="auto"/>
                <w:sz w:val="24"/>
                <w:szCs w:val="24"/>
                <w:highlight w:val="none"/>
                <w:lang w:val="en-US" w:eastAsia="zh-CN"/>
              </w:rPr>
              <w:t>-1</w:t>
            </w:r>
            <w:r>
              <w:rPr>
                <w:rFonts w:hint="eastAsia" w:cs="Times New Roman"/>
                <w:b/>
                <w:color w:val="auto"/>
                <w:sz w:val="24"/>
                <w:szCs w:val="24"/>
                <w:highlight w:val="none"/>
                <w:lang w:val="en-US" w:eastAsia="zh-CN"/>
              </w:rPr>
              <w:t>1</w:t>
            </w:r>
            <w:r>
              <w:rPr>
                <w:rFonts w:hint="default" w:ascii="Times New Roman" w:hAnsi="Times New Roman" w:eastAsia="宋体" w:cs="Times New Roman"/>
                <w:b/>
                <w:color w:val="auto"/>
                <w:sz w:val="24"/>
                <w:szCs w:val="24"/>
                <w:highlight w:val="none"/>
                <w:lang w:val="en-US" w:eastAsia="zh-CN"/>
              </w:rPr>
              <w:t xml:space="preserve"> </w:t>
            </w:r>
            <w:r>
              <w:rPr>
                <w:rFonts w:hint="default" w:ascii="Times New Roman" w:hAnsi="Times New Roman" w:eastAsia="宋体" w:cs="Times New Roman"/>
                <w:b/>
                <w:color w:val="auto"/>
                <w:sz w:val="24"/>
                <w:szCs w:val="24"/>
                <w:highlight w:val="none"/>
              </w:rPr>
              <w:t>总量控制表  单位：t/a</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76"/>
              <w:gridCol w:w="2676"/>
              <w:gridCol w:w="2680"/>
            </w:tblGrid>
            <w:tr w14:paraId="0B1025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76" w:type="dxa"/>
                  <w:tcBorders>
                    <w:tl2br w:val="nil"/>
                    <w:tr2bl w:val="nil"/>
                  </w:tcBorders>
                  <w:noWrap w:val="0"/>
                  <w:vAlign w:val="center"/>
                </w:tcPr>
                <w:p w14:paraId="358EE18F">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名称</w:t>
                  </w:r>
                </w:p>
              </w:tc>
              <w:tc>
                <w:tcPr>
                  <w:tcW w:w="2676" w:type="dxa"/>
                  <w:tcBorders>
                    <w:tl2br w:val="nil"/>
                    <w:tr2bl w:val="nil"/>
                  </w:tcBorders>
                  <w:noWrap w:val="0"/>
                  <w:vAlign w:val="center"/>
                </w:tcPr>
                <w:p w14:paraId="57774FA2">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预测排放量</w:t>
                  </w:r>
                </w:p>
              </w:tc>
              <w:tc>
                <w:tcPr>
                  <w:tcW w:w="2680" w:type="dxa"/>
                  <w:tcBorders>
                    <w:tl2br w:val="nil"/>
                    <w:tr2bl w:val="nil"/>
                  </w:tcBorders>
                  <w:noWrap w:val="0"/>
                  <w:vAlign w:val="center"/>
                </w:tcPr>
                <w:p w14:paraId="0B43D455">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核定排放量</w:t>
                  </w:r>
                </w:p>
              </w:tc>
            </w:tr>
            <w:tr w14:paraId="64226C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76" w:type="dxa"/>
                  <w:tcBorders>
                    <w:tl2br w:val="nil"/>
                    <w:tr2bl w:val="nil"/>
                  </w:tcBorders>
                  <w:noWrap w:val="0"/>
                  <w:vAlign w:val="center"/>
                </w:tcPr>
                <w:p w14:paraId="6D8661DE">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颗粒物</w:t>
                  </w:r>
                </w:p>
              </w:tc>
              <w:tc>
                <w:tcPr>
                  <w:tcW w:w="2676" w:type="dxa"/>
                  <w:tcBorders>
                    <w:tl2br w:val="nil"/>
                    <w:tr2bl w:val="nil"/>
                  </w:tcBorders>
                  <w:noWrap w:val="0"/>
                  <w:vAlign w:val="center"/>
                </w:tcPr>
                <w:p w14:paraId="7313428E">
                  <w:pPr>
                    <w:pStyle w:val="151"/>
                    <w:keepNext/>
                    <w:keepLines w:val="0"/>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zh-CN"/>
                    </w:rPr>
                  </w:pPr>
                  <w:r>
                    <w:rPr>
                      <w:rFonts w:hint="eastAsia"/>
                      <w:color w:val="auto"/>
                      <w:sz w:val="21"/>
                      <w:szCs w:val="21"/>
                      <w:highlight w:val="none"/>
                      <w:lang w:val="en-US" w:eastAsia="zh-CN"/>
                    </w:rPr>
                    <w:t>0.197</w:t>
                  </w:r>
                </w:p>
              </w:tc>
              <w:tc>
                <w:tcPr>
                  <w:tcW w:w="2680" w:type="dxa"/>
                  <w:tcBorders>
                    <w:tl2br w:val="nil"/>
                    <w:tr2bl w:val="nil"/>
                  </w:tcBorders>
                  <w:noWrap w:val="0"/>
                  <w:vAlign w:val="center"/>
                </w:tcPr>
                <w:p w14:paraId="52ADABA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1"/>
                      <w:szCs w:val="21"/>
                      <w:highlight w:val="none"/>
                      <w:lang w:val="en-US" w:eastAsia="zh-CN"/>
                    </w:rPr>
                    <w:t>0.32</w:t>
                  </w:r>
                </w:p>
              </w:tc>
            </w:tr>
            <w:tr w14:paraId="4E3FB6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76" w:type="dxa"/>
                  <w:tcBorders>
                    <w:tl2br w:val="nil"/>
                    <w:tr2bl w:val="nil"/>
                  </w:tcBorders>
                  <w:noWrap w:val="0"/>
                  <w:vAlign w:val="center"/>
                </w:tcPr>
                <w:p w14:paraId="4C495A36">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SO</w:t>
                  </w:r>
                  <w:r>
                    <w:rPr>
                      <w:rFonts w:hint="default" w:ascii="Times New Roman" w:hAnsi="Times New Roman" w:eastAsia="宋体" w:cs="Times New Roman"/>
                      <w:color w:val="auto"/>
                      <w:kern w:val="0"/>
                      <w:sz w:val="21"/>
                      <w:szCs w:val="21"/>
                      <w:highlight w:val="none"/>
                      <w:vertAlign w:val="subscript"/>
                      <w:lang w:val="en-US" w:eastAsia="zh-CN"/>
                    </w:rPr>
                    <w:t>2</w:t>
                  </w:r>
                </w:p>
              </w:tc>
              <w:tc>
                <w:tcPr>
                  <w:tcW w:w="2676" w:type="dxa"/>
                  <w:tcBorders>
                    <w:tl2br w:val="nil"/>
                    <w:tr2bl w:val="nil"/>
                  </w:tcBorders>
                  <w:noWrap w:val="0"/>
                  <w:vAlign w:val="center"/>
                </w:tcPr>
                <w:p w14:paraId="531090DF">
                  <w:pPr>
                    <w:pStyle w:val="151"/>
                    <w:keepNext/>
                    <w:keepLines w:val="0"/>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zh-CN"/>
                    </w:rPr>
                  </w:pPr>
                  <w:r>
                    <w:rPr>
                      <w:rFonts w:hint="eastAsia"/>
                      <w:color w:val="auto"/>
                      <w:sz w:val="21"/>
                      <w:szCs w:val="21"/>
                      <w:highlight w:val="none"/>
                      <w:lang w:val="en-US" w:eastAsia="zh-CN"/>
                    </w:rPr>
                    <w:t>0.659</w:t>
                  </w:r>
                </w:p>
              </w:tc>
              <w:tc>
                <w:tcPr>
                  <w:tcW w:w="2680" w:type="dxa"/>
                  <w:tcBorders>
                    <w:tl2br w:val="nil"/>
                    <w:tr2bl w:val="nil"/>
                  </w:tcBorders>
                  <w:noWrap w:val="0"/>
                  <w:vAlign w:val="center"/>
                </w:tcPr>
                <w:p w14:paraId="26273C2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1"/>
                      <w:szCs w:val="21"/>
                      <w:highlight w:val="none"/>
                      <w:lang w:val="en-US" w:eastAsia="zh-CN"/>
                    </w:rPr>
                    <w:t>1.064</w:t>
                  </w:r>
                </w:p>
              </w:tc>
            </w:tr>
            <w:tr w14:paraId="205E83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76" w:type="dxa"/>
                  <w:tcBorders>
                    <w:tl2br w:val="nil"/>
                    <w:tr2bl w:val="nil"/>
                  </w:tcBorders>
                  <w:noWrap w:val="0"/>
                  <w:vAlign w:val="center"/>
                </w:tcPr>
                <w:p w14:paraId="47F67599">
                  <w:pPr>
                    <w:pStyle w:val="79"/>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lang w:val="en-US"/>
                    </w:rPr>
                    <w:t>NO</w:t>
                  </w:r>
                  <w:r>
                    <w:rPr>
                      <w:rFonts w:hint="default" w:ascii="Times New Roman" w:hAnsi="Times New Roman" w:eastAsia="宋体" w:cs="Times New Roman"/>
                      <w:color w:val="auto"/>
                      <w:sz w:val="21"/>
                      <w:szCs w:val="21"/>
                      <w:highlight w:val="none"/>
                      <w:vertAlign w:val="subscript"/>
                      <w:lang w:val="en-US"/>
                    </w:rPr>
                    <w:t>X</w:t>
                  </w:r>
                </w:p>
              </w:tc>
              <w:tc>
                <w:tcPr>
                  <w:tcW w:w="2676" w:type="dxa"/>
                  <w:tcBorders>
                    <w:tl2br w:val="nil"/>
                    <w:tr2bl w:val="nil"/>
                  </w:tcBorders>
                  <w:noWrap w:val="0"/>
                  <w:vAlign w:val="center"/>
                </w:tcPr>
                <w:p w14:paraId="2F7566F6">
                  <w:pPr>
                    <w:pStyle w:val="151"/>
                    <w:keepNext/>
                    <w:keepLines w:val="0"/>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1.411</w:t>
                  </w:r>
                </w:p>
              </w:tc>
              <w:tc>
                <w:tcPr>
                  <w:tcW w:w="2680" w:type="dxa"/>
                  <w:tcBorders>
                    <w:tl2br w:val="nil"/>
                    <w:tr2bl w:val="nil"/>
                  </w:tcBorders>
                  <w:noWrap w:val="0"/>
                  <w:vAlign w:val="center"/>
                </w:tcPr>
                <w:p w14:paraId="7A563B8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sz w:val="21"/>
                      <w:szCs w:val="21"/>
                      <w:highlight w:val="none"/>
                      <w:lang w:val="en-US" w:eastAsia="zh-CN"/>
                    </w:rPr>
                    <w:t>3.131</w:t>
                  </w:r>
                </w:p>
              </w:tc>
            </w:tr>
          </w:tbl>
          <w:p w14:paraId="668DF069">
            <w:pPr>
              <w:keepNext w:val="0"/>
              <w:keepLines w:val="0"/>
              <w:suppressLineNumbers w:val="0"/>
              <w:spacing w:before="0" w:beforeAutospacing="0" w:after="0" w:afterAutospacing="0" w:line="440" w:lineRule="exact"/>
              <w:ind w:left="0" w:right="0"/>
              <w:contextualSpacing/>
              <w:jc w:val="center"/>
              <w:rPr>
                <w:rFonts w:hint="eastAsia" w:ascii="Times New Roman" w:hAnsi="Times New Roman" w:eastAsia="宋体" w:cs="Times New Roman"/>
                <w:b/>
                <w:color w:val="auto"/>
                <w:sz w:val="24"/>
                <w:highlight w:val="none"/>
                <w:lang w:val="en-US" w:eastAsia="zh-CN"/>
              </w:rPr>
            </w:pPr>
            <w:r>
              <w:rPr>
                <w:rFonts w:hint="eastAsia" w:ascii="Times New Roman" w:hAnsi="Times New Roman" w:eastAsia="宋体" w:cs="Times New Roman"/>
                <w:b/>
                <w:color w:val="auto"/>
                <w:sz w:val="24"/>
                <w:highlight w:val="none"/>
                <w:lang w:val="en-US" w:eastAsia="zh-CN"/>
              </w:rPr>
              <w:t>表3-</w:t>
            </w:r>
            <w:r>
              <w:rPr>
                <w:rFonts w:hint="eastAsia" w:cs="Times New Roman"/>
                <w:b/>
                <w:color w:val="auto"/>
                <w:sz w:val="24"/>
                <w:highlight w:val="none"/>
                <w:lang w:val="en-US" w:eastAsia="zh-CN"/>
              </w:rPr>
              <w:t>12</w:t>
            </w:r>
            <w:r>
              <w:rPr>
                <w:rFonts w:hint="eastAsia" w:ascii="Times New Roman" w:hAnsi="Times New Roman" w:eastAsia="宋体" w:cs="Times New Roman"/>
                <w:b/>
                <w:color w:val="auto"/>
                <w:sz w:val="24"/>
                <w:highlight w:val="none"/>
                <w:lang w:val="en-US" w:eastAsia="zh-CN"/>
              </w:rPr>
              <w:t xml:space="preserve"> 项目</w:t>
            </w:r>
            <w:r>
              <w:rPr>
                <w:rFonts w:hint="eastAsia" w:cs="Times New Roman"/>
                <w:b/>
                <w:color w:val="auto"/>
                <w:sz w:val="24"/>
                <w:highlight w:val="none"/>
                <w:lang w:val="en-US" w:eastAsia="zh-CN"/>
              </w:rPr>
              <w:t>改</w:t>
            </w:r>
            <w:r>
              <w:rPr>
                <w:rFonts w:hint="eastAsia" w:ascii="Times New Roman" w:hAnsi="Times New Roman" w:eastAsia="宋体" w:cs="Times New Roman"/>
                <w:b/>
                <w:color w:val="auto"/>
                <w:sz w:val="24"/>
                <w:highlight w:val="none"/>
                <w:lang w:val="en-US" w:eastAsia="zh-CN"/>
              </w:rPr>
              <w:t>建前后污染物对比情况表  单位：t/a</w:t>
            </w:r>
          </w:p>
          <w:tbl>
            <w:tblPr>
              <w:tblStyle w:val="38"/>
              <w:tblW w:w="8059" w:type="dxa"/>
              <w:jc w:val="center"/>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Layout w:type="fixed"/>
              <w:tblCellMar>
                <w:top w:w="0" w:type="dxa"/>
                <w:left w:w="108" w:type="dxa"/>
                <w:bottom w:w="0" w:type="dxa"/>
                <w:right w:w="108" w:type="dxa"/>
              </w:tblCellMar>
            </w:tblPr>
            <w:tblGrid>
              <w:gridCol w:w="927"/>
              <w:gridCol w:w="870"/>
              <w:gridCol w:w="705"/>
              <w:gridCol w:w="780"/>
              <w:gridCol w:w="840"/>
              <w:gridCol w:w="780"/>
              <w:gridCol w:w="900"/>
              <w:gridCol w:w="1035"/>
              <w:gridCol w:w="1222"/>
            </w:tblGrid>
            <w:tr w14:paraId="6229431C">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18" w:hRule="atLeast"/>
                <w:jc w:val="center"/>
              </w:trPr>
              <w:tc>
                <w:tcPr>
                  <w:tcW w:w="575" w:type="pct"/>
                  <w:tcBorders>
                    <w:tl2br w:val="nil"/>
                    <w:tr2bl w:val="nil"/>
                  </w:tcBorders>
                  <w:noWrap w:val="0"/>
                  <w:vAlign w:val="center"/>
                </w:tcPr>
                <w:p w14:paraId="7BCE8034">
                  <w:pPr>
                    <w:keepNext w:val="0"/>
                    <w:keepLines w:val="0"/>
                    <w:suppressLineNumbers w:val="0"/>
                    <w:snapToGrid w:val="0"/>
                    <w:spacing w:before="0" w:beforeAutospacing="0" w:after="0" w:afterAutospacing="0"/>
                    <w:ind w:left="0" w:right="0"/>
                    <w:jc w:val="center"/>
                    <w:rPr>
                      <w:rFonts w:hint="default"/>
                      <w:color w:val="auto"/>
                      <w:highlight w:val="none"/>
                    </w:rPr>
                  </w:pPr>
                  <w:r>
                    <w:rPr>
                      <w:rFonts w:hint="default"/>
                      <w:color w:val="auto"/>
                      <w:highlight w:val="none"/>
                    </w:rPr>
                    <w:t>污染物名称</w:t>
                  </w:r>
                </w:p>
              </w:tc>
              <w:tc>
                <w:tcPr>
                  <w:tcW w:w="539" w:type="pct"/>
                  <w:tcBorders>
                    <w:tl2br w:val="nil"/>
                    <w:tr2bl w:val="nil"/>
                  </w:tcBorders>
                  <w:noWrap w:val="0"/>
                  <w:vAlign w:val="center"/>
                </w:tcPr>
                <w:p w14:paraId="35E627CE">
                  <w:pPr>
                    <w:keepNext w:val="0"/>
                    <w:keepLines w:val="0"/>
                    <w:suppressLineNumbers w:val="0"/>
                    <w:snapToGrid w:val="0"/>
                    <w:spacing w:before="0" w:beforeAutospacing="0" w:after="0" w:afterAutospacing="0"/>
                    <w:ind w:left="0" w:right="0"/>
                    <w:jc w:val="center"/>
                    <w:rPr>
                      <w:rFonts w:hint="default"/>
                      <w:color w:val="auto"/>
                      <w:highlight w:val="none"/>
                    </w:rPr>
                  </w:pPr>
                  <w:r>
                    <w:rPr>
                      <w:rFonts w:hint="eastAsia"/>
                      <w:color w:val="auto"/>
                      <w:highlight w:val="none"/>
                    </w:rPr>
                    <w:t>现有工程</w:t>
                  </w:r>
                  <w:r>
                    <w:rPr>
                      <w:rFonts w:hint="default"/>
                      <w:color w:val="auto"/>
                      <w:highlight w:val="none"/>
                    </w:rPr>
                    <w:t>排放量</w:t>
                  </w:r>
                </w:p>
              </w:tc>
              <w:tc>
                <w:tcPr>
                  <w:tcW w:w="437" w:type="pct"/>
                  <w:tcBorders>
                    <w:tl2br w:val="nil"/>
                    <w:tr2bl w:val="nil"/>
                  </w:tcBorders>
                  <w:noWrap w:val="0"/>
                  <w:vAlign w:val="center"/>
                </w:tcPr>
                <w:p w14:paraId="2E8D5C7C">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auto"/>
                      <w:kern w:val="2"/>
                      <w:sz w:val="21"/>
                      <w:szCs w:val="24"/>
                      <w:highlight w:val="none"/>
                      <w:lang w:val="en-US" w:eastAsia="zh-CN" w:bidi="ar-SA"/>
                    </w:rPr>
                  </w:pPr>
                  <w:r>
                    <w:rPr>
                      <w:rFonts w:hint="eastAsia"/>
                      <w:color w:val="auto"/>
                      <w:highlight w:val="none"/>
                    </w:rPr>
                    <w:t>现有工程核定总量</w:t>
                  </w:r>
                </w:p>
              </w:tc>
              <w:tc>
                <w:tcPr>
                  <w:tcW w:w="483" w:type="pct"/>
                  <w:tcBorders>
                    <w:tl2br w:val="nil"/>
                    <w:tr2bl w:val="nil"/>
                  </w:tcBorders>
                  <w:noWrap w:val="0"/>
                  <w:vAlign w:val="center"/>
                </w:tcPr>
                <w:p w14:paraId="5353335C">
                  <w:pPr>
                    <w:keepNext w:val="0"/>
                    <w:keepLines w:val="0"/>
                    <w:suppressLineNumbers w:val="0"/>
                    <w:snapToGrid w:val="0"/>
                    <w:spacing w:before="0" w:beforeAutospacing="0" w:after="0" w:afterAutospacing="0"/>
                    <w:ind w:left="0" w:right="0"/>
                    <w:jc w:val="center"/>
                    <w:rPr>
                      <w:rFonts w:hint="eastAsia"/>
                      <w:color w:val="auto"/>
                      <w:highlight w:val="none"/>
                    </w:rPr>
                  </w:pPr>
                  <w:r>
                    <w:rPr>
                      <w:rFonts w:hint="eastAsia"/>
                      <w:color w:val="auto"/>
                      <w:highlight w:val="none"/>
                    </w:rPr>
                    <w:t>本项目排放量</w:t>
                  </w:r>
                </w:p>
              </w:tc>
              <w:tc>
                <w:tcPr>
                  <w:tcW w:w="521" w:type="pct"/>
                  <w:tcBorders>
                    <w:tl2br w:val="nil"/>
                    <w:tr2bl w:val="nil"/>
                  </w:tcBorders>
                  <w:noWrap w:val="0"/>
                  <w:vAlign w:val="center"/>
                </w:tcPr>
                <w:p w14:paraId="516021FC">
                  <w:pPr>
                    <w:keepNext w:val="0"/>
                    <w:keepLines w:val="0"/>
                    <w:suppressLineNumbers w:val="0"/>
                    <w:snapToGrid w:val="0"/>
                    <w:spacing w:before="0" w:beforeAutospacing="0" w:after="0" w:afterAutospacing="0"/>
                    <w:ind w:left="0" w:right="0"/>
                    <w:jc w:val="center"/>
                    <w:rPr>
                      <w:rFonts w:hint="default"/>
                      <w:color w:val="auto"/>
                      <w:highlight w:val="none"/>
                    </w:rPr>
                  </w:pPr>
                  <w:r>
                    <w:rPr>
                      <w:rFonts w:hint="eastAsia"/>
                      <w:color w:val="auto"/>
                      <w:highlight w:val="none"/>
                    </w:rPr>
                    <w:t>本项目核定总量</w:t>
                  </w:r>
                </w:p>
              </w:tc>
              <w:tc>
                <w:tcPr>
                  <w:tcW w:w="483" w:type="pct"/>
                  <w:tcBorders>
                    <w:tl2br w:val="nil"/>
                    <w:tr2bl w:val="nil"/>
                  </w:tcBorders>
                  <w:noWrap w:val="0"/>
                  <w:vAlign w:val="center"/>
                </w:tcPr>
                <w:p w14:paraId="301D604A">
                  <w:pPr>
                    <w:keepNext w:val="0"/>
                    <w:keepLines w:val="0"/>
                    <w:suppressLineNumbers w:val="0"/>
                    <w:snapToGrid w:val="0"/>
                    <w:spacing w:before="0" w:beforeAutospacing="0" w:after="0" w:afterAutospacing="0"/>
                    <w:ind w:left="0" w:right="0"/>
                    <w:jc w:val="center"/>
                    <w:rPr>
                      <w:rFonts w:hint="eastAsia"/>
                      <w:color w:val="auto"/>
                      <w:highlight w:val="none"/>
                    </w:rPr>
                  </w:pPr>
                  <w:r>
                    <w:rPr>
                      <w:rFonts w:hint="eastAsia"/>
                      <w:color w:val="auto"/>
                      <w:highlight w:val="none"/>
                    </w:rPr>
                    <w:t>以老带新削减量</w:t>
                  </w:r>
                </w:p>
              </w:tc>
              <w:tc>
                <w:tcPr>
                  <w:tcW w:w="558" w:type="pct"/>
                  <w:tcBorders>
                    <w:tl2br w:val="nil"/>
                    <w:tr2bl w:val="nil"/>
                  </w:tcBorders>
                  <w:noWrap w:val="0"/>
                  <w:vAlign w:val="center"/>
                </w:tcPr>
                <w:p w14:paraId="3E5A54A6">
                  <w:pPr>
                    <w:keepNext w:val="0"/>
                    <w:keepLines w:val="0"/>
                    <w:suppressLineNumbers w:val="0"/>
                    <w:snapToGrid w:val="0"/>
                    <w:spacing w:before="0" w:beforeAutospacing="0" w:after="0" w:afterAutospacing="0"/>
                    <w:ind w:left="0" w:right="0"/>
                    <w:jc w:val="center"/>
                    <w:rPr>
                      <w:rFonts w:hint="default"/>
                      <w:color w:val="auto"/>
                      <w:highlight w:val="none"/>
                    </w:rPr>
                  </w:pPr>
                  <w:r>
                    <w:rPr>
                      <w:rFonts w:hint="eastAsia"/>
                      <w:color w:val="auto"/>
                      <w:highlight w:val="none"/>
                    </w:rPr>
                    <w:t>本项目建成后全厂排放量</w:t>
                  </w:r>
                </w:p>
              </w:tc>
              <w:tc>
                <w:tcPr>
                  <w:tcW w:w="642" w:type="pct"/>
                  <w:tcBorders>
                    <w:tl2br w:val="nil"/>
                    <w:tr2bl w:val="nil"/>
                  </w:tcBorders>
                  <w:noWrap w:val="0"/>
                  <w:vAlign w:val="center"/>
                </w:tcPr>
                <w:p w14:paraId="7566FBA6">
                  <w:pPr>
                    <w:keepNext w:val="0"/>
                    <w:keepLines w:val="0"/>
                    <w:suppressLineNumbers w:val="0"/>
                    <w:snapToGrid w:val="0"/>
                    <w:spacing w:before="0" w:beforeAutospacing="0" w:after="0" w:afterAutospacing="0"/>
                    <w:ind w:left="0" w:right="0"/>
                    <w:jc w:val="center"/>
                    <w:rPr>
                      <w:rFonts w:hint="eastAsia"/>
                      <w:color w:val="auto"/>
                      <w:highlight w:val="none"/>
                    </w:rPr>
                  </w:pPr>
                  <w:r>
                    <w:rPr>
                      <w:rFonts w:hint="eastAsia"/>
                      <w:color w:val="auto"/>
                      <w:highlight w:val="none"/>
                    </w:rPr>
                    <w:t>本项目建成后全厂核定总量</w:t>
                  </w:r>
                </w:p>
              </w:tc>
              <w:tc>
                <w:tcPr>
                  <w:tcW w:w="758" w:type="pct"/>
                  <w:tcBorders>
                    <w:tl2br w:val="nil"/>
                    <w:tr2bl w:val="nil"/>
                  </w:tcBorders>
                  <w:noWrap w:val="0"/>
                  <w:vAlign w:val="center"/>
                </w:tcPr>
                <w:p w14:paraId="4540472F">
                  <w:pPr>
                    <w:keepNext w:val="0"/>
                    <w:keepLines w:val="0"/>
                    <w:suppressLineNumbers w:val="0"/>
                    <w:snapToGrid w:val="0"/>
                    <w:spacing w:before="0" w:beforeAutospacing="0" w:after="0" w:afterAutospacing="0"/>
                    <w:ind w:left="0" w:right="0"/>
                    <w:jc w:val="center"/>
                    <w:rPr>
                      <w:rFonts w:hint="default"/>
                      <w:color w:val="auto"/>
                      <w:highlight w:val="none"/>
                    </w:rPr>
                  </w:pPr>
                  <w:r>
                    <w:rPr>
                      <w:rFonts w:hint="eastAsia"/>
                      <w:color w:val="auto"/>
                      <w:highlight w:val="none"/>
                    </w:rPr>
                    <w:t>变化量</w:t>
                  </w:r>
                </w:p>
              </w:tc>
            </w:tr>
            <w:tr w14:paraId="24175C2A">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58" w:hRule="atLeast"/>
                <w:jc w:val="center"/>
              </w:trPr>
              <w:tc>
                <w:tcPr>
                  <w:tcW w:w="575" w:type="pct"/>
                  <w:tcBorders>
                    <w:tl2br w:val="nil"/>
                    <w:tr2bl w:val="nil"/>
                  </w:tcBorders>
                  <w:noWrap w:val="0"/>
                  <w:vAlign w:val="center"/>
                </w:tcPr>
                <w:p w14:paraId="3EF8541B">
                  <w:pPr>
                    <w:keepNext w:val="0"/>
                    <w:keepLines w:val="0"/>
                    <w:suppressLineNumbers w:val="0"/>
                    <w:snapToGrid w:val="0"/>
                    <w:spacing w:before="0" w:beforeAutospacing="0" w:after="0" w:afterAutospacing="0"/>
                    <w:ind w:left="0" w:right="0"/>
                    <w:jc w:val="center"/>
                    <w:rPr>
                      <w:rFonts w:hint="eastAsia"/>
                      <w:color w:val="auto"/>
                      <w:highlight w:val="none"/>
                      <w:lang w:val="en-US" w:eastAsia="zh-CN"/>
                    </w:rPr>
                  </w:pPr>
                  <w:r>
                    <w:rPr>
                      <w:rFonts w:hint="eastAsia"/>
                      <w:color w:val="auto"/>
                      <w:highlight w:val="none"/>
                      <w:lang w:val="en-US" w:eastAsia="zh-CN"/>
                    </w:rPr>
                    <w:t>颗粒物</w:t>
                  </w:r>
                </w:p>
              </w:tc>
              <w:tc>
                <w:tcPr>
                  <w:tcW w:w="539" w:type="pct"/>
                  <w:tcBorders>
                    <w:tl2br w:val="nil"/>
                    <w:tr2bl w:val="nil"/>
                  </w:tcBorders>
                  <w:noWrap w:val="0"/>
                  <w:vAlign w:val="center"/>
                </w:tcPr>
                <w:p w14:paraId="75C9CEE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color w:val="auto"/>
                      <w:kern w:val="2"/>
                      <w:sz w:val="21"/>
                      <w:szCs w:val="24"/>
                      <w:highlight w:val="none"/>
                      <w:lang w:val="en-US" w:eastAsia="zh-CN" w:bidi="ar-SA"/>
                    </w:rPr>
                  </w:pPr>
                  <w:r>
                    <w:rPr>
                      <w:rFonts w:hint="eastAsia"/>
                      <w:color w:val="auto"/>
                      <w:kern w:val="2"/>
                      <w:sz w:val="21"/>
                      <w:szCs w:val="24"/>
                      <w:highlight w:val="none"/>
                      <w:lang w:val="en-US" w:eastAsia="zh-CN" w:bidi="ar-SA"/>
                    </w:rPr>
                    <w:t>2.1</w:t>
                  </w:r>
                </w:p>
              </w:tc>
              <w:tc>
                <w:tcPr>
                  <w:tcW w:w="437" w:type="pct"/>
                  <w:tcBorders>
                    <w:tl2br w:val="nil"/>
                    <w:tr2bl w:val="nil"/>
                  </w:tcBorders>
                  <w:noWrap w:val="0"/>
                  <w:vAlign w:val="center"/>
                </w:tcPr>
                <w:p w14:paraId="14393CB3">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w:t>
                  </w:r>
                </w:p>
              </w:tc>
              <w:tc>
                <w:tcPr>
                  <w:tcW w:w="780" w:type="dxa"/>
                  <w:tcBorders>
                    <w:tl2br w:val="nil"/>
                    <w:tr2bl w:val="nil"/>
                  </w:tcBorders>
                  <w:noWrap w:val="0"/>
                  <w:vAlign w:val="center"/>
                </w:tcPr>
                <w:p w14:paraId="6866BFA5">
                  <w:pPr>
                    <w:pStyle w:val="151"/>
                    <w:keepNext/>
                    <w:keepLines w:val="0"/>
                    <w:suppressLineNumbers w:val="0"/>
                    <w:adjustRightInd w:val="0"/>
                    <w:snapToGrid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0.197</w:t>
                  </w:r>
                </w:p>
              </w:tc>
              <w:tc>
                <w:tcPr>
                  <w:tcW w:w="840" w:type="dxa"/>
                  <w:tcBorders>
                    <w:tl2br w:val="nil"/>
                    <w:tr2bl w:val="nil"/>
                  </w:tcBorders>
                  <w:noWrap w:val="0"/>
                  <w:vAlign w:val="center"/>
                </w:tcPr>
                <w:p w14:paraId="0AACC14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color w:val="auto"/>
                      <w:highlight w:val="none"/>
                      <w:lang w:val="en-US" w:eastAsia="zh-CN"/>
                    </w:rPr>
                  </w:pPr>
                  <w:r>
                    <w:rPr>
                      <w:rFonts w:hint="eastAsia" w:cs="Times New Roman"/>
                      <w:color w:val="auto"/>
                      <w:sz w:val="21"/>
                      <w:szCs w:val="21"/>
                      <w:highlight w:val="none"/>
                      <w:lang w:val="en-US" w:eastAsia="zh-CN"/>
                    </w:rPr>
                    <w:t>0.32</w:t>
                  </w:r>
                </w:p>
              </w:tc>
              <w:tc>
                <w:tcPr>
                  <w:tcW w:w="780" w:type="dxa"/>
                  <w:tcBorders>
                    <w:tl2br w:val="nil"/>
                    <w:tr2bl w:val="nil"/>
                  </w:tcBorders>
                  <w:noWrap w:val="0"/>
                  <w:vAlign w:val="center"/>
                </w:tcPr>
                <w:p w14:paraId="3BCF4C7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color w:val="auto"/>
                      <w:kern w:val="2"/>
                      <w:sz w:val="21"/>
                      <w:szCs w:val="24"/>
                      <w:highlight w:val="none"/>
                      <w:lang w:val="en-US" w:eastAsia="zh-CN" w:bidi="ar-SA"/>
                    </w:rPr>
                  </w:pPr>
                  <w:r>
                    <w:rPr>
                      <w:rFonts w:hint="eastAsia"/>
                      <w:color w:val="auto"/>
                      <w:kern w:val="2"/>
                      <w:sz w:val="21"/>
                      <w:szCs w:val="24"/>
                      <w:highlight w:val="none"/>
                      <w:lang w:val="en-US" w:eastAsia="zh-CN" w:bidi="ar-SA"/>
                    </w:rPr>
                    <w:t>2.1</w:t>
                  </w:r>
                </w:p>
              </w:tc>
              <w:tc>
                <w:tcPr>
                  <w:tcW w:w="900" w:type="dxa"/>
                  <w:tcBorders>
                    <w:tl2br w:val="nil"/>
                    <w:tr2bl w:val="nil"/>
                  </w:tcBorders>
                  <w:noWrap w:val="0"/>
                  <w:vAlign w:val="center"/>
                </w:tcPr>
                <w:p w14:paraId="68D044D6">
                  <w:pPr>
                    <w:pStyle w:val="151"/>
                    <w:keepNext/>
                    <w:keepLines w:val="0"/>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0.197</w:t>
                  </w:r>
                </w:p>
              </w:tc>
              <w:tc>
                <w:tcPr>
                  <w:tcW w:w="1035" w:type="dxa"/>
                  <w:tcBorders>
                    <w:tl2br w:val="nil"/>
                    <w:tr2bl w:val="nil"/>
                  </w:tcBorders>
                  <w:noWrap w:val="0"/>
                  <w:vAlign w:val="center"/>
                </w:tcPr>
                <w:p w14:paraId="2F2EEC2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color w:val="auto"/>
                      <w:kern w:val="2"/>
                      <w:sz w:val="21"/>
                      <w:szCs w:val="24"/>
                      <w:highlight w:val="none"/>
                      <w:lang w:val="en-US" w:eastAsia="zh-CN" w:bidi="ar-SA"/>
                    </w:rPr>
                  </w:pPr>
                  <w:r>
                    <w:rPr>
                      <w:rFonts w:hint="eastAsia" w:cs="Times New Roman"/>
                      <w:color w:val="auto"/>
                      <w:sz w:val="21"/>
                      <w:szCs w:val="21"/>
                      <w:highlight w:val="none"/>
                      <w:lang w:val="en-US" w:eastAsia="zh-CN"/>
                    </w:rPr>
                    <w:t>0.32</w:t>
                  </w:r>
                </w:p>
              </w:tc>
              <w:tc>
                <w:tcPr>
                  <w:tcW w:w="758" w:type="pct"/>
                  <w:tcBorders>
                    <w:tl2br w:val="nil"/>
                    <w:tr2bl w:val="nil"/>
                  </w:tcBorders>
                  <w:noWrap w:val="0"/>
                  <w:vAlign w:val="center"/>
                </w:tcPr>
                <w:p w14:paraId="16C9C52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color w:val="auto"/>
                      <w:kern w:val="2"/>
                      <w:sz w:val="21"/>
                      <w:szCs w:val="24"/>
                      <w:highlight w:val="none"/>
                      <w:lang w:val="en-US" w:eastAsia="zh-CN" w:bidi="ar-SA"/>
                    </w:rPr>
                  </w:pPr>
                  <w:r>
                    <w:rPr>
                      <w:rFonts w:hint="eastAsia"/>
                      <w:color w:val="auto"/>
                      <w:kern w:val="2"/>
                      <w:sz w:val="21"/>
                      <w:szCs w:val="24"/>
                      <w:highlight w:val="none"/>
                      <w:lang w:val="en-US" w:eastAsia="zh-CN" w:bidi="ar-SA"/>
                    </w:rPr>
                    <w:t>-1.903</w:t>
                  </w:r>
                </w:p>
              </w:tc>
            </w:tr>
            <w:tr w14:paraId="705FAD3A">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58" w:hRule="atLeast"/>
                <w:jc w:val="center"/>
              </w:trPr>
              <w:tc>
                <w:tcPr>
                  <w:tcW w:w="575" w:type="pct"/>
                  <w:tcBorders>
                    <w:tl2br w:val="nil"/>
                    <w:tr2bl w:val="nil"/>
                  </w:tcBorders>
                  <w:noWrap w:val="0"/>
                  <w:vAlign w:val="center"/>
                </w:tcPr>
                <w:p w14:paraId="770B4BCF">
                  <w:pPr>
                    <w:keepNext w:val="0"/>
                    <w:keepLines w:val="0"/>
                    <w:suppressLineNumbers w:val="0"/>
                    <w:snapToGrid w:val="0"/>
                    <w:spacing w:before="0" w:beforeAutospacing="0" w:after="0" w:afterAutospacing="0"/>
                    <w:ind w:left="0" w:right="0"/>
                    <w:jc w:val="center"/>
                    <w:rPr>
                      <w:rFonts w:hint="default"/>
                      <w:color w:val="auto"/>
                      <w:highlight w:val="none"/>
                      <w:lang w:val="en-US" w:eastAsia="zh-CN"/>
                    </w:rPr>
                  </w:pPr>
                  <w:r>
                    <w:rPr>
                      <w:rFonts w:hint="eastAsia"/>
                      <w:color w:val="auto"/>
                      <w:highlight w:val="none"/>
                      <w:lang w:val="en-US" w:eastAsia="zh-CN"/>
                    </w:rPr>
                    <w:t>SO</w:t>
                  </w:r>
                  <w:r>
                    <w:rPr>
                      <w:rFonts w:hint="eastAsia"/>
                      <w:color w:val="auto"/>
                      <w:highlight w:val="none"/>
                      <w:vertAlign w:val="subscript"/>
                      <w:lang w:val="en-US" w:eastAsia="zh-CN"/>
                    </w:rPr>
                    <w:t>2</w:t>
                  </w:r>
                </w:p>
              </w:tc>
              <w:tc>
                <w:tcPr>
                  <w:tcW w:w="539" w:type="pct"/>
                  <w:tcBorders>
                    <w:tl2br w:val="nil"/>
                    <w:tr2bl w:val="nil"/>
                  </w:tcBorders>
                  <w:noWrap w:val="0"/>
                  <w:vAlign w:val="center"/>
                </w:tcPr>
                <w:p w14:paraId="038C65D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color w:val="auto"/>
                      <w:kern w:val="2"/>
                      <w:sz w:val="21"/>
                      <w:szCs w:val="24"/>
                      <w:highlight w:val="none"/>
                      <w:lang w:val="en-US" w:eastAsia="zh-CN" w:bidi="ar-SA"/>
                    </w:rPr>
                  </w:pPr>
                  <w:r>
                    <w:rPr>
                      <w:rFonts w:hint="eastAsia"/>
                      <w:color w:val="auto"/>
                      <w:kern w:val="2"/>
                      <w:sz w:val="21"/>
                      <w:szCs w:val="24"/>
                      <w:highlight w:val="none"/>
                      <w:lang w:val="en-US" w:eastAsia="zh-CN" w:bidi="ar-SA"/>
                    </w:rPr>
                    <w:t>3.8</w:t>
                  </w:r>
                </w:p>
              </w:tc>
              <w:tc>
                <w:tcPr>
                  <w:tcW w:w="437" w:type="pct"/>
                  <w:tcBorders>
                    <w:tl2br w:val="nil"/>
                    <w:tr2bl w:val="nil"/>
                  </w:tcBorders>
                  <w:noWrap w:val="0"/>
                  <w:vAlign w:val="center"/>
                </w:tcPr>
                <w:p w14:paraId="31B05F8D">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w:t>
                  </w:r>
                </w:p>
              </w:tc>
              <w:tc>
                <w:tcPr>
                  <w:tcW w:w="780" w:type="dxa"/>
                  <w:tcBorders>
                    <w:tl2br w:val="nil"/>
                    <w:tr2bl w:val="nil"/>
                  </w:tcBorders>
                  <w:noWrap w:val="0"/>
                  <w:vAlign w:val="center"/>
                </w:tcPr>
                <w:p w14:paraId="0FEE54CC">
                  <w:pPr>
                    <w:pStyle w:val="151"/>
                    <w:keepNext/>
                    <w:keepLines w:val="0"/>
                    <w:suppressLineNumbers w:val="0"/>
                    <w:adjustRightInd w:val="0"/>
                    <w:snapToGrid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0.659</w:t>
                  </w:r>
                </w:p>
              </w:tc>
              <w:tc>
                <w:tcPr>
                  <w:tcW w:w="840" w:type="dxa"/>
                  <w:tcBorders>
                    <w:tl2br w:val="nil"/>
                    <w:tr2bl w:val="nil"/>
                  </w:tcBorders>
                  <w:noWrap w:val="0"/>
                  <w:vAlign w:val="center"/>
                </w:tcPr>
                <w:p w14:paraId="7C4BE1B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color w:val="auto"/>
                      <w:highlight w:val="none"/>
                      <w:lang w:val="en-US" w:eastAsia="zh-CN"/>
                    </w:rPr>
                  </w:pPr>
                  <w:r>
                    <w:rPr>
                      <w:rFonts w:hint="eastAsia" w:cs="Times New Roman"/>
                      <w:color w:val="auto"/>
                      <w:sz w:val="21"/>
                      <w:szCs w:val="21"/>
                      <w:highlight w:val="none"/>
                      <w:lang w:val="en-US" w:eastAsia="zh-CN"/>
                    </w:rPr>
                    <w:t>1.064</w:t>
                  </w:r>
                </w:p>
              </w:tc>
              <w:tc>
                <w:tcPr>
                  <w:tcW w:w="780" w:type="dxa"/>
                  <w:tcBorders>
                    <w:tl2br w:val="nil"/>
                    <w:tr2bl w:val="nil"/>
                  </w:tcBorders>
                  <w:noWrap w:val="0"/>
                  <w:vAlign w:val="center"/>
                </w:tcPr>
                <w:p w14:paraId="56C5927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color w:val="auto"/>
                      <w:kern w:val="2"/>
                      <w:sz w:val="21"/>
                      <w:szCs w:val="24"/>
                      <w:highlight w:val="none"/>
                      <w:lang w:val="en-US" w:eastAsia="zh-CN" w:bidi="ar-SA"/>
                    </w:rPr>
                  </w:pPr>
                  <w:r>
                    <w:rPr>
                      <w:rFonts w:hint="eastAsia"/>
                      <w:color w:val="auto"/>
                      <w:kern w:val="2"/>
                      <w:sz w:val="21"/>
                      <w:szCs w:val="24"/>
                      <w:highlight w:val="none"/>
                      <w:lang w:val="en-US" w:eastAsia="zh-CN" w:bidi="ar-SA"/>
                    </w:rPr>
                    <w:t>3.8</w:t>
                  </w:r>
                </w:p>
              </w:tc>
              <w:tc>
                <w:tcPr>
                  <w:tcW w:w="900" w:type="dxa"/>
                  <w:tcBorders>
                    <w:tl2br w:val="nil"/>
                    <w:tr2bl w:val="nil"/>
                  </w:tcBorders>
                  <w:noWrap w:val="0"/>
                  <w:vAlign w:val="center"/>
                </w:tcPr>
                <w:p w14:paraId="014EF1F1">
                  <w:pPr>
                    <w:pStyle w:val="151"/>
                    <w:keepNext/>
                    <w:keepLines w:val="0"/>
                    <w:suppressLineNumbers w:val="0"/>
                    <w:adjustRightInd w:val="0"/>
                    <w:snapToGrid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0.659</w:t>
                  </w:r>
                </w:p>
              </w:tc>
              <w:tc>
                <w:tcPr>
                  <w:tcW w:w="1035" w:type="dxa"/>
                  <w:tcBorders>
                    <w:tl2br w:val="nil"/>
                    <w:tr2bl w:val="nil"/>
                  </w:tcBorders>
                  <w:noWrap w:val="0"/>
                  <w:vAlign w:val="center"/>
                </w:tcPr>
                <w:p w14:paraId="4AA06F3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color w:val="auto"/>
                      <w:kern w:val="2"/>
                      <w:sz w:val="21"/>
                      <w:szCs w:val="24"/>
                      <w:highlight w:val="none"/>
                      <w:lang w:val="en-US" w:eastAsia="zh-CN" w:bidi="ar-SA"/>
                    </w:rPr>
                  </w:pPr>
                  <w:r>
                    <w:rPr>
                      <w:rFonts w:hint="eastAsia" w:cs="Times New Roman"/>
                      <w:color w:val="auto"/>
                      <w:sz w:val="21"/>
                      <w:szCs w:val="21"/>
                      <w:highlight w:val="none"/>
                      <w:lang w:val="en-US" w:eastAsia="zh-CN"/>
                    </w:rPr>
                    <w:t>1.064</w:t>
                  </w:r>
                </w:p>
              </w:tc>
              <w:tc>
                <w:tcPr>
                  <w:tcW w:w="758" w:type="pct"/>
                  <w:tcBorders>
                    <w:tl2br w:val="nil"/>
                    <w:tr2bl w:val="nil"/>
                  </w:tcBorders>
                  <w:noWrap w:val="0"/>
                  <w:vAlign w:val="center"/>
                </w:tcPr>
                <w:p w14:paraId="0FFFDD1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color w:val="auto"/>
                      <w:kern w:val="2"/>
                      <w:sz w:val="21"/>
                      <w:szCs w:val="24"/>
                      <w:highlight w:val="none"/>
                      <w:lang w:val="en-US" w:eastAsia="zh-CN" w:bidi="ar-SA"/>
                    </w:rPr>
                  </w:pPr>
                  <w:r>
                    <w:rPr>
                      <w:rFonts w:hint="eastAsia"/>
                      <w:color w:val="auto"/>
                      <w:kern w:val="2"/>
                      <w:sz w:val="21"/>
                      <w:szCs w:val="24"/>
                      <w:highlight w:val="none"/>
                      <w:lang w:val="en-US" w:eastAsia="zh-CN" w:bidi="ar-SA"/>
                    </w:rPr>
                    <w:t>-3.141</w:t>
                  </w:r>
                </w:p>
              </w:tc>
            </w:tr>
            <w:tr w14:paraId="46A19FAF">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58" w:hRule="atLeast"/>
                <w:jc w:val="center"/>
              </w:trPr>
              <w:tc>
                <w:tcPr>
                  <w:tcW w:w="575" w:type="pct"/>
                  <w:tcBorders>
                    <w:tl2br w:val="nil"/>
                    <w:tr2bl w:val="nil"/>
                  </w:tcBorders>
                  <w:noWrap w:val="0"/>
                  <w:vAlign w:val="center"/>
                </w:tcPr>
                <w:p w14:paraId="3A248452">
                  <w:pPr>
                    <w:keepNext w:val="0"/>
                    <w:keepLines w:val="0"/>
                    <w:suppressLineNumbers w:val="0"/>
                    <w:snapToGrid w:val="0"/>
                    <w:spacing w:before="0" w:beforeAutospacing="0" w:after="0" w:afterAutospacing="0"/>
                    <w:ind w:left="0" w:right="0"/>
                    <w:jc w:val="center"/>
                    <w:rPr>
                      <w:rFonts w:hint="default"/>
                      <w:color w:val="auto"/>
                      <w:highlight w:val="none"/>
                      <w:lang w:val="en-US" w:eastAsia="zh-CN"/>
                    </w:rPr>
                  </w:pPr>
                  <w:r>
                    <w:rPr>
                      <w:rFonts w:hint="eastAsia"/>
                      <w:color w:val="auto"/>
                      <w:highlight w:val="none"/>
                      <w:lang w:val="en-US" w:eastAsia="zh-CN"/>
                    </w:rPr>
                    <w:t>NO</w:t>
                  </w:r>
                  <w:r>
                    <w:rPr>
                      <w:rFonts w:hint="eastAsia"/>
                      <w:color w:val="auto"/>
                      <w:highlight w:val="none"/>
                      <w:vertAlign w:val="subscript"/>
                      <w:lang w:val="en-US" w:eastAsia="zh-CN"/>
                    </w:rPr>
                    <w:t>X</w:t>
                  </w:r>
                </w:p>
              </w:tc>
              <w:tc>
                <w:tcPr>
                  <w:tcW w:w="539" w:type="pct"/>
                  <w:tcBorders>
                    <w:tl2br w:val="nil"/>
                    <w:tr2bl w:val="nil"/>
                  </w:tcBorders>
                  <w:noWrap w:val="0"/>
                  <w:vAlign w:val="center"/>
                </w:tcPr>
                <w:p w14:paraId="5F150A2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color w:val="auto"/>
                      <w:kern w:val="2"/>
                      <w:sz w:val="21"/>
                      <w:szCs w:val="24"/>
                      <w:highlight w:val="none"/>
                      <w:lang w:val="en-US" w:eastAsia="zh-CN" w:bidi="ar-SA"/>
                    </w:rPr>
                  </w:pPr>
                  <w:r>
                    <w:rPr>
                      <w:rFonts w:hint="eastAsia"/>
                      <w:color w:val="auto"/>
                      <w:kern w:val="2"/>
                      <w:sz w:val="21"/>
                      <w:szCs w:val="24"/>
                      <w:highlight w:val="none"/>
                      <w:lang w:val="en-US" w:eastAsia="zh-CN" w:bidi="ar-SA"/>
                    </w:rPr>
                    <w:t>1.75</w:t>
                  </w:r>
                </w:p>
              </w:tc>
              <w:tc>
                <w:tcPr>
                  <w:tcW w:w="437" w:type="pct"/>
                  <w:tcBorders>
                    <w:tl2br w:val="nil"/>
                    <w:tr2bl w:val="nil"/>
                  </w:tcBorders>
                  <w:noWrap w:val="0"/>
                  <w:vAlign w:val="center"/>
                </w:tcPr>
                <w:p w14:paraId="1A43EC9F">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w:t>
                  </w:r>
                </w:p>
              </w:tc>
              <w:tc>
                <w:tcPr>
                  <w:tcW w:w="780" w:type="dxa"/>
                  <w:tcBorders>
                    <w:tl2br w:val="nil"/>
                    <w:tr2bl w:val="nil"/>
                  </w:tcBorders>
                  <w:noWrap w:val="0"/>
                  <w:vAlign w:val="center"/>
                </w:tcPr>
                <w:p w14:paraId="5D5B528F">
                  <w:pPr>
                    <w:pStyle w:val="151"/>
                    <w:keepNext/>
                    <w:keepLines w:val="0"/>
                    <w:suppressLineNumbers w:val="0"/>
                    <w:adjustRightInd w:val="0"/>
                    <w:snapToGrid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1.411</w:t>
                  </w:r>
                </w:p>
              </w:tc>
              <w:tc>
                <w:tcPr>
                  <w:tcW w:w="840" w:type="dxa"/>
                  <w:tcBorders>
                    <w:tl2br w:val="nil"/>
                    <w:tr2bl w:val="nil"/>
                  </w:tcBorders>
                  <w:noWrap w:val="0"/>
                  <w:vAlign w:val="center"/>
                </w:tcPr>
                <w:p w14:paraId="462A7CD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color w:val="auto"/>
                      <w:highlight w:val="none"/>
                      <w:lang w:val="en-US" w:eastAsia="zh-CN"/>
                    </w:rPr>
                  </w:pPr>
                  <w:r>
                    <w:rPr>
                      <w:rFonts w:hint="eastAsia" w:cs="Times New Roman"/>
                      <w:color w:val="auto"/>
                      <w:sz w:val="21"/>
                      <w:szCs w:val="21"/>
                      <w:highlight w:val="none"/>
                      <w:lang w:val="en-US" w:eastAsia="zh-CN"/>
                    </w:rPr>
                    <w:t>3.131</w:t>
                  </w:r>
                </w:p>
              </w:tc>
              <w:tc>
                <w:tcPr>
                  <w:tcW w:w="780" w:type="dxa"/>
                  <w:tcBorders>
                    <w:tl2br w:val="nil"/>
                    <w:tr2bl w:val="nil"/>
                  </w:tcBorders>
                  <w:noWrap w:val="0"/>
                  <w:vAlign w:val="center"/>
                </w:tcPr>
                <w:p w14:paraId="0ABCD9A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color w:val="auto"/>
                      <w:kern w:val="2"/>
                      <w:sz w:val="21"/>
                      <w:szCs w:val="24"/>
                      <w:highlight w:val="none"/>
                      <w:lang w:val="en-US" w:eastAsia="zh-CN" w:bidi="ar-SA"/>
                    </w:rPr>
                  </w:pPr>
                  <w:r>
                    <w:rPr>
                      <w:rFonts w:hint="eastAsia"/>
                      <w:color w:val="auto"/>
                      <w:kern w:val="2"/>
                      <w:sz w:val="21"/>
                      <w:szCs w:val="24"/>
                      <w:highlight w:val="none"/>
                      <w:lang w:val="en-US" w:eastAsia="zh-CN" w:bidi="ar-SA"/>
                    </w:rPr>
                    <w:t>1.75</w:t>
                  </w:r>
                </w:p>
              </w:tc>
              <w:tc>
                <w:tcPr>
                  <w:tcW w:w="900" w:type="dxa"/>
                  <w:tcBorders>
                    <w:tl2br w:val="nil"/>
                    <w:tr2bl w:val="nil"/>
                  </w:tcBorders>
                  <w:noWrap w:val="0"/>
                  <w:vAlign w:val="center"/>
                </w:tcPr>
                <w:p w14:paraId="37466275">
                  <w:pPr>
                    <w:pStyle w:val="151"/>
                    <w:keepNext/>
                    <w:keepLines w:val="0"/>
                    <w:suppressLineNumbers w:val="0"/>
                    <w:adjustRightInd w:val="0"/>
                    <w:snapToGrid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1.411</w:t>
                  </w:r>
                </w:p>
              </w:tc>
              <w:tc>
                <w:tcPr>
                  <w:tcW w:w="1035" w:type="dxa"/>
                  <w:tcBorders>
                    <w:tl2br w:val="nil"/>
                    <w:tr2bl w:val="nil"/>
                  </w:tcBorders>
                  <w:noWrap w:val="0"/>
                  <w:vAlign w:val="center"/>
                </w:tcPr>
                <w:p w14:paraId="6F4C89D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color w:val="auto"/>
                      <w:kern w:val="2"/>
                      <w:sz w:val="21"/>
                      <w:szCs w:val="24"/>
                      <w:highlight w:val="none"/>
                      <w:lang w:val="en-US" w:eastAsia="zh-CN" w:bidi="ar-SA"/>
                    </w:rPr>
                  </w:pPr>
                  <w:r>
                    <w:rPr>
                      <w:rFonts w:hint="eastAsia" w:cs="Times New Roman"/>
                      <w:color w:val="auto"/>
                      <w:sz w:val="21"/>
                      <w:szCs w:val="21"/>
                      <w:highlight w:val="none"/>
                      <w:lang w:val="en-US" w:eastAsia="zh-CN"/>
                    </w:rPr>
                    <w:t>3.131</w:t>
                  </w:r>
                </w:p>
              </w:tc>
              <w:tc>
                <w:tcPr>
                  <w:tcW w:w="758" w:type="pct"/>
                  <w:tcBorders>
                    <w:tl2br w:val="nil"/>
                    <w:tr2bl w:val="nil"/>
                  </w:tcBorders>
                  <w:noWrap w:val="0"/>
                  <w:vAlign w:val="center"/>
                </w:tcPr>
                <w:p w14:paraId="40FFA7F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color w:val="auto"/>
                      <w:kern w:val="2"/>
                      <w:sz w:val="21"/>
                      <w:szCs w:val="24"/>
                      <w:highlight w:val="none"/>
                      <w:lang w:val="en-US" w:eastAsia="zh-CN" w:bidi="ar-SA"/>
                    </w:rPr>
                  </w:pPr>
                  <w:r>
                    <w:rPr>
                      <w:rFonts w:hint="eastAsia"/>
                      <w:color w:val="auto"/>
                      <w:kern w:val="2"/>
                      <w:sz w:val="21"/>
                      <w:szCs w:val="24"/>
                      <w:highlight w:val="none"/>
                      <w:lang w:val="en-US" w:eastAsia="zh-CN" w:bidi="ar-SA"/>
                    </w:rPr>
                    <w:t>-0.339</w:t>
                  </w:r>
                </w:p>
              </w:tc>
            </w:tr>
          </w:tbl>
          <w:p w14:paraId="14CE86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auto"/>
                <w:kern w:val="0"/>
                <w:sz w:val="24"/>
                <w:szCs w:val="24"/>
                <w:highlight w:val="none"/>
                <w:lang w:val="en-US" w:eastAsia="zh-CN"/>
              </w:rPr>
            </w:pPr>
            <w:r>
              <w:rPr>
                <w:rFonts w:hint="eastAsia" w:ascii="Times New Roman" w:hAnsi="Times New Roman" w:eastAsia="宋体" w:cs="Times New Roman"/>
                <w:bCs w:val="0"/>
                <w:color w:val="auto"/>
                <w:kern w:val="2"/>
                <w:sz w:val="24"/>
                <w:szCs w:val="24"/>
                <w:highlight w:val="none"/>
                <w:lang w:val="en-US" w:eastAsia="zh-CN" w:bidi="ar-SA"/>
              </w:rPr>
              <w:t>根据《</w:t>
            </w:r>
            <w:r>
              <w:rPr>
                <w:rFonts w:hint="eastAsia" w:cs="Times New Roman"/>
                <w:bCs w:val="0"/>
                <w:color w:val="auto"/>
                <w:kern w:val="2"/>
                <w:sz w:val="24"/>
                <w:szCs w:val="24"/>
                <w:highlight w:val="none"/>
                <w:lang w:val="en-US" w:eastAsia="zh-CN" w:bidi="ar-SA"/>
              </w:rPr>
              <w:t>虎林市恒盛泰粮食经贸有限公司分厂建设项目污染现状评估报告</w:t>
            </w:r>
            <w:r>
              <w:rPr>
                <w:rFonts w:hint="eastAsia" w:ascii="Times New Roman" w:hAnsi="Times New Roman" w:eastAsia="宋体" w:cs="Times New Roman"/>
                <w:bCs w:val="0"/>
                <w:color w:val="auto"/>
                <w:kern w:val="2"/>
                <w:sz w:val="24"/>
                <w:szCs w:val="24"/>
                <w:highlight w:val="none"/>
                <w:lang w:val="en-US" w:eastAsia="zh-CN" w:bidi="ar-SA"/>
              </w:rPr>
              <w:t>》（</w:t>
            </w:r>
            <w:r>
              <w:rPr>
                <w:rFonts w:hint="eastAsia" w:cs="Times New Roman"/>
                <w:bCs w:val="0"/>
                <w:color w:val="auto"/>
                <w:kern w:val="2"/>
                <w:sz w:val="24"/>
                <w:szCs w:val="24"/>
                <w:highlight w:val="none"/>
                <w:lang w:val="en-US" w:eastAsia="zh-CN" w:bidi="ar-SA"/>
              </w:rPr>
              <w:t>虎</w:t>
            </w:r>
            <w:r>
              <w:rPr>
                <w:rFonts w:hint="eastAsia" w:ascii="Times New Roman" w:hAnsi="Times New Roman" w:eastAsia="宋体" w:cs="Times New Roman"/>
                <w:bCs w:val="0"/>
                <w:color w:val="auto"/>
                <w:kern w:val="2"/>
                <w:sz w:val="24"/>
                <w:szCs w:val="24"/>
                <w:highlight w:val="none"/>
                <w:lang w:val="en-US" w:eastAsia="zh-CN" w:bidi="ar-SA"/>
              </w:rPr>
              <w:t>环</w:t>
            </w:r>
            <w:r>
              <w:rPr>
                <w:rFonts w:hint="eastAsia" w:cs="Times New Roman"/>
                <w:bCs w:val="0"/>
                <w:color w:val="auto"/>
                <w:kern w:val="2"/>
                <w:sz w:val="24"/>
                <w:szCs w:val="24"/>
                <w:highlight w:val="none"/>
                <w:lang w:val="en-US" w:eastAsia="zh-CN" w:bidi="ar-SA"/>
              </w:rPr>
              <w:t>现备</w:t>
            </w:r>
            <w:r>
              <w:rPr>
                <w:rFonts w:hint="default" w:ascii="Times New Roman" w:hAnsi="Times New Roman" w:eastAsia="宋体" w:cs="Times New Roman"/>
                <w:bCs w:val="0"/>
                <w:color w:val="auto"/>
                <w:kern w:val="2"/>
                <w:sz w:val="24"/>
                <w:szCs w:val="24"/>
                <w:highlight w:val="none"/>
                <w:lang w:val="en-US" w:eastAsia="zh-CN" w:bidi="ar-SA"/>
              </w:rPr>
              <w:t>[201</w:t>
            </w:r>
            <w:r>
              <w:rPr>
                <w:rFonts w:hint="eastAsia" w:cs="Times New Roman"/>
                <w:bCs w:val="0"/>
                <w:color w:val="auto"/>
                <w:kern w:val="2"/>
                <w:sz w:val="24"/>
                <w:szCs w:val="24"/>
                <w:highlight w:val="none"/>
                <w:lang w:val="en-US" w:eastAsia="zh-CN" w:bidi="ar-SA"/>
              </w:rPr>
              <w:t>6</w:t>
            </w:r>
            <w:r>
              <w:rPr>
                <w:rFonts w:hint="default" w:ascii="Times New Roman" w:hAnsi="Times New Roman" w:eastAsia="宋体" w:cs="Times New Roman"/>
                <w:bCs w:val="0"/>
                <w:color w:val="auto"/>
                <w:kern w:val="2"/>
                <w:sz w:val="24"/>
                <w:szCs w:val="24"/>
                <w:highlight w:val="none"/>
                <w:lang w:val="en-US" w:eastAsia="zh-CN" w:bidi="ar-SA"/>
              </w:rPr>
              <w:t>]</w:t>
            </w:r>
            <w:r>
              <w:rPr>
                <w:rFonts w:hint="eastAsia" w:cs="Times New Roman"/>
                <w:bCs w:val="0"/>
                <w:color w:val="auto"/>
                <w:kern w:val="2"/>
                <w:sz w:val="24"/>
                <w:szCs w:val="24"/>
                <w:highlight w:val="none"/>
                <w:lang w:val="en-US" w:eastAsia="zh-CN" w:bidi="ar-SA"/>
              </w:rPr>
              <w:t>107</w:t>
            </w:r>
            <w:r>
              <w:rPr>
                <w:rFonts w:hint="eastAsia" w:ascii="Times New Roman" w:hAnsi="Times New Roman" w:eastAsia="宋体" w:cs="Times New Roman"/>
                <w:bCs w:val="0"/>
                <w:color w:val="auto"/>
                <w:kern w:val="2"/>
                <w:sz w:val="24"/>
                <w:szCs w:val="24"/>
                <w:highlight w:val="none"/>
                <w:lang w:val="en-US" w:eastAsia="zh-CN" w:bidi="ar-SA"/>
              </w:rPr>
              <w:t>号），</w:t>
            </w:r>
            <w:r>
              <w:rPr>
                <w:rFonts w:hint="eastAsia" w:cs="Times New Roman"/>
                <w:color w:val="auto"/>
                <w:kern w:val="0"/>
                <w:sz w:val="24"/>
                <w:szCs w:val="24"/>
                <w:highlight w:val="none"/>
                <w:lang w:val="en-US" w:eastAsia="zh-CN"/>
              </w:rPr>
              <w:t>审批一台180万kcal燃煤热风炉，评估报告中二氧化硫核定总量为3.8t/a，氮氧化物核定总量为1.75t/a。本项目二氧化硫核定量为</w:t>
            </w:r>
            <w:r>
              <w:rPr>
                <w:rFonts w:hint="eastAsia"/>
                <w:color w:val="auto"/>
                <w:sz w:val="24"/>
                <w:szCs w:val="24"/>
                <w:highlight w:val="none"/>
                <w:lang w:val="en-US" w:eastAsia="zh-CN"/>
              </w:rPr>
              <w:t>0.659</w:t>
            </w:r>
            <w:r>
              <w:rPr>
                <w:rFonts w:hint="eastAsia" w:cs="Times New Roman"/>
                <w:color w:val="auto"/>
                <w:kern w:val="0"/>
                <w:sz w:val="24"/>
                <w:szCs w:val="24"/>
                <w:highlight w:val="none"/>
                <w:lang w:val="en-US" w:eastAsia="zh-CN"/>
              </w:rPr>
              <w:t>t/a，氨氧化物核定总量为</w:t>
            </w:r>
            <w:r>
              <w:rPr>
                <w:rFonts w:hint="eastAsia"/>
                <w:color w:val="auto"/>
                <w:sz w:val="24"/>
                <w:szCs w:val="24"/>
                <w:highlight w:val="none"/>
                <w:lang w:val="en-US" w:eastAsia="zh-CN"/>
              </w:rPr>
              <w:t>1.411</w:t>
            </w:r>
            <w:r>
              <w:rPr>
                <w:rFonts w:hint="eastAsia" w:cs="Times New Roman"/>
                <w:color w:val="auto"/>
                <w:kern w:val="0"/>
                <w:sz w:val="24"/>
                <w:szCs w:val="24"/>
                <w:highlight w:val="none"/>
                <w:lang w:val="en-US" w:eastAsia="zh-CN"/>
              </w:rPr>
              <w:t>t/a；应去除已审批的总量，故本次申请二氧化硫、氮氧化物总量指标在原有总量范围内，不新增总量。</w:t>
            </w:r>
          </w:p>
          <w:p w14:paraId="04A2D6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auto"/>
                <w:kern w:val="0"/>
                <w:sz w:val="24"/>
                <w:szCs w:val="24"/>
                <w:highlight w:val="none"/>
                <w:lang w:val="en-US" w:eastAsia="zh-CN"/>
              </w:rPr>
            </w:pPr>
          </w:p>
          <w:p w14:paraId="6CEAD9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cs="Times New Roman"/>
                <w:color w:val="auto"/>
                <w:kern w:val="0"/>
                <w:sz w:val="24"/>
                <w:szCs w:val="24"/>
                <w:highlight w:val="none"/>
                <w:lang w:val="en-US" w:eastAsia="zh-CN"/>
              </w:rPr>
            </w:pPr>
          </w:p>
          <w:p w14:paraId="11E996AA">
            <w:pPr>
              <w:pStyle w:val="2"/>
              <w:keepNext w:val="0"/>
              <w:keepLines w:val="0"/>
              <w:suppressLineNumbers w:val="0"/>
              <w:spacing w:before="0" w:beforeAutospacing="0" w:after="0" w:afterAutospacing="0"/>
              <w:ind w:left="0" w:right="0"/>
              <w:rPr>
                <w:rFonts w:hint="default" w:cs="Times New Roman"/>
                <w:color w:val="auto"/>
                <w:kern w:val="0"/>
                <w:sz w:val="24"/>
                <w:szCs w:val="24"/>
                <w:highlight w:val="none"/>
                <w:lang w:val="en-US" w:eastAsia="zh-CN"/>
              </w:rPr>
            </w:pPr>
          </w:p>
          <w:p w14:paraId="3D3D56B8">
            <w:pPr>
              <w:pStyle w:val="2"/>
              <w:keepNext w:val="0"/>
              <w:keepLines w:val="0"/>
              <w:suppressLineNumbers w:val="0"/>
              <w:spacing w:before="0" w:beforeAutospacing="0" w:after="0" w:afterAutospacing="0"/>
              <w:ind w:left="0" w:right="0"/>
              <w:rPr>
                <w:rFonts w:hint="default" w:cs="Times New Roman"/>
                <w:color w:val="auto"/>
                <w:kern w:val="0"/>
                <w:sz w:val="24"/>
                <w:szCs w:val="24"/>
                <w:highlight w:val="none"/>
                <w:lang w:val="en-US" w:eastAsia="zh-CN"/>
              </w:rPr>
            </w:pPr>
          </w:p>
          <w:p w14:paraId="175A2C29">
            <w:pPr>
              <w:pStyle w:val="2"/>
              <w:keepNext w:val="0"/>
              <w:keepLines w:val="0"/>
              <w:suppressLineNumbers w:val="0"/>
              <w:spacing w:before="0" w:beforeAutospacing="0" w:after="0" w:afterAutospacing="0"/>
              <w:ind w:left="0" w:right="0"/>
              <w:rPr>
                <w:rFonts w:hint="default" w:cs="Times New Roman"/>
                <w:color w:val="auto"/>
                <w:kern w:val="0"/>
                <w:sz w:val="24"/>
                <w:szCs w:val="24"/>
                <w:highlight w:val="none"/>
                <w:lang w:val="en-US" w:eastAsia="zh-CN"/>
              </w:rPr>
            </w:pPr>
          </w:p>
          <w:p w14:paraId="650CECD4">
            <w:pPr>
              <w:pStyle w:val="2"/>
              <w:keepNext w:val="0"/>
              <w:keepLines w:val="0"/>
              <w:suppressLineNumbers w:val="0"/>
              <w:spacing w:before="0" w:beforeAutospacing="0" w:after="0" w:afterAutospacing="0"/>
              <w:ind w:left="0" w:right="0"/>
              <w:rPr>
                <w:rFonts w:hint="default" w:cs="Times New Roman"/>
                <w:color w:val="auto"/>
                <w:kern w:val="0"/>
                <w:sz w:val="24"/>
                <w:szCs w:val="24"/>
                <w:highlight w:val="none"/>
                <w:lang w:val="en-US" w:eastAsia="zh-CN"/>
              </w:rPr>
            </w:pPr>
          </w:p>
          <w:p w14:paraId="52B236C9">
            <w:pPr>
              <w:pStyle w:val="2"/>
              <w:keepNext w:val="0"/>
              <w:keepLines w:val="0"/>
              <w:suppressLineNumbers w:val="0"/>
              <w:spacing w:before="0" w:beforeAutospacing="0" w:after="0" w:afterAutospacing="0"/>
              <w:ind w:left="0" w:right="0"/>
              <w:rPr>
                <w:rFonts w:hint="default" w:cs="Times New Roman"/>
                <w:color w:val="auto"/>
                <w:kern w:val="0"/>
                <w:sz w:val="24"/>
                <w:szCs w:val="24"/>
                <w:highlight w:val="none"/>
                <w:lang w:val="en-US" w:eastAsia="zh-CN"/>
              </w:rPr>
            </w:pPr>
          </w:p>
          <w:p w14:paraId="51FF4D97">
            <w:pPr>
              <w:pStyle w:val="2"/>
              <w:keepNext w:val="0"/>
              <w:keepLines w:val="0"/>
              <w:suppressLineNumbers w:val="0"/>
              <w:spacing w:before="0" w:beforeAutospacing="0" w:after="0" w:afterAutospacing="0"/>
              <w:ind w:left="0" w:right="0"/>
              <w:rPr>
                <w:rFonts w:hint="default" w:cs="Times New Roman"/>
                <w:color w:val="auto"/>
                <w:kern w:val="0"/>
                <w:sz w:val="24"/>
                <w:szCs w:val="24"/>
                <w:highlight w:val="none"/>
                <w:lang w:val="en-US" w:eastAsia="zh-CN"/>
              </w:rPr>
            </w:pPr>
          </w:p>
          <w:p w14:paraId="0D239389">
            <w:pPr>
              <w:pStyle w:val="2"/>
              <w:keepNext w:val="0"/>
              <w:keepLines w:val="0"/>
              <w:suppressLineNumbers w:val="0"/>
              <w:spacing w:before="0" w:beforeAutospacing="0" w:after="0" w:afterAutospacing="0"/>
              <w:ind w:left="0" w:right="0"/>
              <w:rPr>
                <w:rFonts w:hint="default" w:cs="Times New Roman"/>
                <w:color w:val="auto"/>
                <w:kern w:val="0"/>
                <w:sz w:val="24"/>
                <w:szCs w:val="24"/>
                <w:highlight w:val="none"/>
                <w:lang w:val="en-US" w:eastAsia="zh-CN"/>
              </w:rPr>
            </w:pPr>
          </w:p>
          <w:p w14:paraId="78C41210">
            <w:pPr>
              <w:pStyle w:val="2"/>
              <w:keepNext w:val="0"/>
              <w:keepLines w:val="0"/>
              <w:suppressLineNumbers w:val="0"/>
              <w:spacing w:before="0" w:beforeAutospacing="0" w:after="0" w:afterAutospacing="0"/>
              <w:ind w:left="0" w:right="0"/>
              <w:rPr>
                <w:rFonts w:hint="default" w:cs="Times New Roman"/>
                <w:color w:val="auto"/>
                <w:kern w:val="0"/>
                <w:sz w:val="24"/>
                <w:szCs w:val="24"/>
                <w:highlight w:val="none"/>
                <w:lang w:val="en-US" w:eastAsia="zh-CN"/>
              </w:rPr>
            </w:pPr>
          </w:p>
          <w:p w14:paraId="2967C7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0"/>
                <w:sz w:val="24"/>
                <w:szCs w:val="24"/>
                <w:highlight w:val="none"/>
                <w:lang w:val="en-US" w:eastAsia="zh-CN"/>
              </w:rPr>
            </w:pPr>
          </w:p>
          <w:p w14:paraId="26786E45">
            <w:pPr>
              <w:pStyle w:val="2"/>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highlight w:val="none"/>
                <w:lang w:val="en-US" w:eastAsia="zh-CN"/>
              </w:rPr>
            </w:pPr>
          </w:p>
          <w:p w14:paraId="167E5402">
            <w:pPr>
              <w:pStyle w:val="2"/>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highlight w:val="none"/>
                <w:lang w:val="en-US" w:eastAsia="zh-CN"/>
              </w:rPr>
            </w:pPr>
          </w:p>
          <w:p w14:paraId="7FDED45D">
            <w:pPr>
              <w:pStyle w:val="2"/>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highlight w:val="none"/>
                <w:lang w:val="en-US" w:eastAsia="zh-CN"/>
              </w:rPr>
            </w:pPr>
          </w:p>
          <w:p w14:paraId="68ED2FE0">
            <w:pPr>
              <w:pStyle w:val="2"/>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highlight w:val="none"/>
                <w:lang w:val="en-US" w:eastAsia="zh-CN"/>
              </w:rPr>
            </w:pPr>
          </w:p>
          <w:p w14:paraId="5323B314">
            <w:pPr>
              <w:pStyle w:val="2"/>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highlight w:val="none"/>
                <w:lang w:val="en-US" w:eastAsia="zh-CN"/>
              </w:rPr>
            </w:pPr>
          </w:p>
          <w:p w14:paraId="1610FBFF">
            <w:pPr>
              <w:pStyle w:val="2"/>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highlight w:val="none"/>
                <w:lang w:val="en-US" w:eastAsia="zh-CN"/>
              </w:rPr>
            </w:pPr>
          </w:p>
          <w:p w14:paraId="267BB182">
            <w:pPr>
              <w:pStyle w:val="2"/>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highlight w:val="none"/>
                <w:lang w:val="en-US" w:eastAsia="zh-CN"/>
              </w:rPr>
            </w:pPr>
          </w:p>
          <w:p w14:paraId="31FF5E80">
            <w:pPr>
              <w:pStyle w:val="2"/>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highlight w:val="none"/>
                <w:lang w:val="en-US" w:eastAsia="zh-CN"/>
              </w:rPr>
            </w:pPr>
          </w:p>
          <w:p w14:paraId="332BB456">
            <w:pPr>
              <w:pStyle w:val="2"/>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highlight w:val="none"/>
                <w:lang w:val="en-US" w:eastAsia="zh-CN"/>
              </w:rPr>
            </w:pPr>
          </w:p>
          <w:p w14:paraId="1B245450">
            <w:pPr>
              <w:pStyle w:val="2"/>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highlight w:val="none"/>
                <w:lang w:val="en-US" w:eastAsia="zh-CN"/>
              </w:rPr>
            </w:pPr>
          </w:p>
          <w:p w14:paraId="78D0932B">
            <w:pPr>
              <w:pStyle w:val="2"/>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highlight w:val="none"/>
                <w:lang w:val="en-US" w:eastAsia="zh-CN"/>
              </w:rPr>
            </w:pPr>
          </w:p>
          <w:p w14:paraId="0D62ECDF">
            <w:pPr>
              <w:pStyle w:val="14"/>
              <w:keepNext w:val="0"/>
              <w:keepLines w:val="0"/>
              <w:suppressLineNumbers w:val="0"/>
              <w:spacing w:beforeAutospacing="0" w:afterAutospacing="0"/>
              <w:ind w:left="0"/>
              <w:rPr>
                <w:rFonts w:hint="default" w:ascii="Times New Roman" w:hAnsi="Times New Roman" w:eastAsia="宋体" w:cs="Times New Roman"/>
                <w:color w:val="auto"/>
                <w:kern w:val="0"/>
                <w:sz w:val="24"/>
                <w:szCs w:val="24"/>
                <w:highlight w:val="none"/>
                <w:lang w:val="en-US" w:eastAsia="zh-CN"/>
              </w:rPr>
            </w:pPr>
          </w:p>
          <w:p w14:paraId="05092292">
            <w:pPr>
              <w:keepNext w:val="0"/>
              <w:keepLines w:val="0"/>
              <w:suppressLineNumbers w:val="0"/>
              <w:spacing w:before="0" w:beforeAutospacing="0" w:after="0" w:afterAutospacing="0"/>
              <w:ind w:left="0" w:right="0"/>
              <w:rPr>
                <w:rFonts w:hint="default"/>
                <w:color w:val="auto"/>
                <w:highlight w:val="none"/>
                <w:lang w:val="en-US" w:eastAsia="zh-CN"/>
              </w:rPr>
            </w:pPr>
          </w:p>
        </w:tc>
      </w:tr>
    </w:tbl>
    <w:p w14:paraId="3EB778A4">
      <w:pPr>
        <w:pStyle w:val="34"/>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FF0000"/>
          <w:kern w:val="2"/>
          <w:sz w:val="36"/>
          <w:szCs w:val="36"/>
          <w:highlight w:val="none"/>
        </w:rPr>
        <w:br w:type="page"/>
      </w:r>
      <w:bookmarkStart w:id="56" w:name="_Toc17537"/>
      <w:bookmarkStart w:id="57" w:name="_Toc25302"/>
      <w:bookmarkStart w:id="58" w:name="_Toc11130"/>
      <w:bookmarkStart w:id="59" w:name="_Toc7697"/>
      <w:bookmarkStart w:id="60" w:name="_Toc8351"/>
      <w:bookmarkStart w:id="61" w:name="_Toc1023"/>
      <w:r>
        <w:rPr>
          <w:rFonts w:hint="default" w:ascii="Times New Roman" w:hAnsi="Times New Roman" w:eastAsia="黑体" w:cs="Times New Roman"/>
          <w:snapToGrid w:val="0"/>
          <w:color w:val="auto"/>
          <w:kern w:val="21"/>
          <w:sz w:val="30"/>
          <w:szCs w:val="30"/>
          <w:highlight w:val="none"/>
        </w:rPr>
        <w:t>四、主要环境影响和保护措施</w:t>
      </w:r>
      <w:bookmarkEnd w:id="56"/>
      <w:bookmarkEnd w:id="57"/>
      <w:bookmarkEnd w:id="58"/>
      <w:bookmarkEnd w:id="59"/>
      <w:bookmarkEnd w:id="60"/>
      <w:bookmarkEnd w:id="61"/>
    </w:p>
    <w:tbl>
      <w:tblPr>
        <w:tblStyle w:val="38"/>
        <w:tblW w:w="509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11"/>
        <w:gridCol w:w="8173"/>
      </w:tblGrid>
      <w:tr w14:paraId="36CD95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1" w:type="pct"/>
            <w:noWrap w:val="0"/>
            <w:tcMar>
              <w:left w:w="28" w:type="dxa"/>
              <w:right w:w="28" w:type="dxa"/>
            </w:tcMar>
            <w:vAlign w:val="center"/>
          </w:tcPr>
          <w:p w14:paraId="7F1A7598">
            <w:pPr>
              <w:pStyle w:val="34"/>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4"/>
                <w:szCs w:val="24"/>
                <w:highlight w:val="none"/>
              </w:rPr>
            </w:pPr>
            <w:r>
              <w:rPr>
                <w:rFonts w:hint="default" w:ascii="Times New Roman" w:hAnsi="Times New Roman"/>
                <w:color w:val="auto"/>
                <w:kern w:val="2"/>
                <w:sz w:val="24"/>
                <w:szCs w:val="24"/>
                <w:highlight w:val="none"/>
              </w:rPr>
              <w:t>施工</w:t>
            </w:r>
          </w:p>
          <w:p w14:paraId="08B50DBE">
            <w:pPr>
              <w:pStyle w:val="34"/>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4"/>
                <w:szCs w:val="24"/>
                <w:highlight w:val="none"/>
              </w:rPr>
            </w:pPr>
            <w:r>
              <w:rPr>
                <w:rFonts w:hint="default" w:ascii="Times New Roman" w:hAnsi="Times New Roman"/>
                <w:color w:val="auto"/>
                <w:kern w:val="2"/>
                <w:sz w:val="24"/>
                <w:szCs w:val="24"/>
                <w:highlight w:val="none"/>
              </w:rPr>
              <w:t>期环</w:t>
            </w:r>
          </w:p>
          <w:p w14:paraId="20372551">
            <w:pPr>
              <w:pStyle w:val="34"/>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4"/>
                <w:szCs w:val="24"/>
                <w:highlight w:val="none"/>
              </w:rPr>
            </w:pPr>
            <w:r>
              <w:rPr>
                <w:rFonts w:hint="default" w:ascii="Times New Roman" w:hAnsi="Times New Roman"/>
                <w:color w:val="auto"/>
                <w:kern w:val="2"/>
                <w:sz w:val="24"/>
                <w:szCs w:val="24"/>
                <w:highlight w:val="none"/>
              </w:rPr>
              <w:t>境保</w:t>
            </w:r>
          </w:p>
          <w:p w14:paraId="3E4602F8">
            <w:pPr>
              <w:pStyle w:val="34"/>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4"/>
                <w:szCs w:val="24"/>
                <w:highlight w:val="none"/>
              </w:rPr>
            </w:pPr>
            <w:r>
              <w:rPr>
                <w:rFonts w:hint="default" w:ascii="Times New Roman" w:hAnsi="Times New Roman"/>
                <w:color w:val="auto"/>
                <w:kern w:val="2"/>
                <w:sz w:val="24"/>
                <w:szCs w:val="24"/>
                <w:highlight w:val="none"/>
              </w:rPr>
              <w:t>护措</w:t>
            </w:r>
          </w:p>
          <w:p w14:paraId="03023BBF">
            <w:pPr>
              <w:pStyle w:val="34"/>
              <w:keepNext w:val="0"/>
              <w:keepLines w:val="0"/>
              <w:suppressLineNumbers w:val="0"/>
              <w:adjustRightInd w:val="0"/>
              <w:snapToGrid w:val="0"/>
              <w:spacing w:before="0" w:beforeAutospacing="0" w:after="0" w:afterAutospacing="0"/>
              <w:ind w:left="0" w:right="0"/>
              <w:jc w:val="center"/>
              <w:rPr>
                <w:rFonts w:hint="default" w:ascii="Times New Roman" w:hAnsi="Times New Roman"/>
                <w:bCs/>
                <w:color w:val="auto"/>
                <w:kern w:val="2"/>
                <w:sz w:val="24"/>
                <w:szCs w:val="24"/>
                <w:highlight w:val="none"/>
              </w:rPr>
            </w:pPr>
            <w:r>
              <w:rPr>
                <w:rFonts w:hint="default" w:ascii="Times New Roman" w:hAnsi="Times New Roman"/>
                <w:color w:val="auto"/>
                <w:kern w:val="2"/>
                <w:sz w:val="24"/>
                <w:szCs w:val="24"/>
                <w:highlight w:val="none"/>
              </w:rPr>
              <w:t>施</w:t>
            </w:r>
          </w:p>
        </w:tc>
        <w:tc>
          <w:tcPr>
            <w:tcW w:w="4498" w:type="pct"/>
            <w:noWrap w:val="0"/>
            <w:vAlign w:val="center"/>
          </w:tcPr>
          <w:p w14:paraId="6FC0C373">
            <w:pPr>
              <w:keepNext w:val="0"/>
              <w:keepLines w:val="0"/>
              <w:pageBreakBefore w:val="0"/>
              <w:suppressLineNumbers w:val="0"/>
              <w:topLinePunct w:val="0"/>
              <w:bidi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在施工期间各项施工活动将会对周围环境产生一定的影响。主要包括施工扬尘、噪声、固体废物等对周围环境的影响，而且以施工扬尘和噪声尤为明显。因此该项目施工单位应严格遵守有关的法律、法规和规定，且施工期须做好以下污染防治措施尽量把对周围环境的负面影响减少到最低、最轻程度。本项目施工期较短，随着项目的施工结束，施工期所产生的负面影响也随之消失。</w:t>
            </w:r>
          </w:p>
          <w:p w14:paraId="26926196">
            <w:pPr>
              <w:keepNext w:val="0"/>
              <w:keepLines w:val="0"/>
              <w:pageBreakBefore w:val="0"/>
              <w:numPr>
                <w:ilvl w:val="0"/>
                <w:numId w:val="0"/>
              </w:numPr>
              <w:suppressLineNumbers w:val="0"/>
              <w:topLinePunct w:val="0"/>
              <w:bidi w:val="0"/>
              <w:spacing w:before="0" w:beforeAutospacing="0" w:after="0" w:afterAutospacing="0" w:line="360" w:lineRule="auto"/>
              <w:ind w:left="0" w:right="0" w:rightChars="0" w:firstLine="482" w:firstLineChars="200"/>
              <w:rPr>
                <w:rFonts w:hint="default" w:ascii="Times New Roman" w:hAnsi="Times New Roman" w:eastAsia="宋体" w:cs="Times New Roman"/>
                <w:b/>
                <w:bCs/>
                <w:color w:val="auto"/>
                <w:sz w:val="24"/>
                <w:szCs w:val="24"/>
              </w:rPr>
            </w:pPr>
            <w:r>
              <w:rPr>
                <w:rFonts w:hint="eastAsia"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施工期大气环境影响</w:t>
            </w:r>
            <w:r>
              <w:rPr>
                <w:rFonts w:hint="default" w:ascii="Times New Roman" w:hAnsi="Times New Roman" w:eastAsia="宋体" w:cs="Times New Roman"/>
                <w:b/>
                <w:bCs/>
                <w:color w:val="auto"/>
                <w:sz w:val="24"/>
                <w:szCs w:val="24"/>
                <w:lang w:eastAsia="zh-CN"/>
              </w:rPr>
              <w:t>分析以及</w:t>
            </w:r>
            <w:r>
              <w:rPr>
                <w:rFonts w:hint="default" w:ascii="Times New Roman" w:hAnsi="Times New Roman" w:eastAsia="宋体" w:cs="Times New Roman"/>
                <w:b/>
                <w:bCs/>
                <w:color w:val="auto"/>
                <w:sz w:val="24"/>
                <w:szCs w:val="24"/>
              </w:rPr>
              <w:t>防治措施</w:t>
            </w:r>
          </w:p>
          <w:p w14:paraId="3138BE10">
            <w:pPr>
              <w:keepNext w:val="0"/>
              <w:keepLines w:val="0"/>
              <w:pageBreakBefore w:val="0"/>
              <w:numPr>
                <w:ilvl w:val="0"/>
                <w:numId w:val="0"/>
              </w:numPr>
              <w:suppressLineNumbers w:val="0"/>
              <w:topLinePunct w:val="0"/>
              <w:bidi w:val="0"/>
              <w:spacing w:before="0" w:beforeAutospacing="0" w:after="0" w:afterAutospacing="0" w:line="360" w:lineRule="auto"/>
              <w:ind w:left="420" w:leftChars="200" w:right="0" w:rightChars="0"/>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扬尘</w:t>
            </w:r>
          </w:p>
          <w:p w14:paraId="4ABAD49C">
            <w:pPr>
              <w:keepNext w:val="0"/>
              <w:keepLines w:val="0"/>
              <w:pageBreakBefore w:val="0"/>
              <w:numPr>
                <w:ilvl w:val="0"/>
                <w:numId w:val="0"/>
              </w:numPr>
              <w:suppressLineNumbers w:val="0"/>
              <w:topLinePunct w:val="0"/>
              <w:bidi w:val="0"/>
              <w:spacing w:before="0" w:beforeAutospacing="0" w:after="0" w:afterAutospacing="0" w:line="360" w:lineRule="auto"/>
              <w:ind w:left="0" w:right="0" w:rightChars="0" w:firstLine="480" w:firstLineChars="200"/>
              <w:rPr>
                <w:rFonts w:hint="default" w:ascii="Times New Roman" w:hAnsi="Times New Roman" w:eastAsia="宋体" w:cs="Times New Roman"/>
                <w:color w:val="auto"/>
                <w:spacing w:val="0"/>
                <w:position w:val="0"/>
                <w:sz w:val="24"/>
              </w:rPr>
            </w:pPr>
            <w:r>
              <w:rPr>
                <w:rFonts w:hint="default" w:ascii="Times New Roman" w:hAnsi="Times New Roman" w:eastAsia="宋体" w:cs="Times New Roman"/>
                <w:bCs/>
                <w:color w:val="auto"/>
                <w:spacing w:val="0"/>
                <w:position w:val="0"/>
                <w:sz w:val="24"/>
              </w:rPr>
              <w:t>施工现场的粉尘主要来自</w:t>
            </w:r>
            <w:r>
              <w:rPr>
                <w:rFonts w:hint="eastAsia" w:eastAsia="宋体" w:cs="Times New Roman"/>
                <w:bCs/>
                <w:color w:val="auto"/>
                <w:spacing w:val="0"/>
                <w:position w:val="0"/>
                <w:sz w:val="24"/>
                <w:lang w:val="en-US" w:eastAsia="zh-CN"/>
              </w:rPr>
              <w:t>热风炉、</w:t>
            </w:r>
            <w:r>
              <w:rPr>
                <w:rFonts w:hint="default" w:ascii="Times New Roman" w:hAnsi="Times New Roman" w:eastAsia="宋体" w:cs="Times New Roman"/>
                <w:bCs/>
                <w:color w:val="auto"/>
                <w:spacing w:val="0"/>
                <w:position w:val="0"/>
                <w:sz w:val="24"/>
                <w:lang w:eastAsia="zh-CN"/>
              </w:rPr>
              <w:t>环保</w:t>
            </w:r>
            <w:r>
              <w:rPr>
                <w:rFonts w:hint="default" w:ascii="Times New Roman" w:hAnsi="Times New Roman" w:eastAsia="宋体" w:cs="Times New Roman"/>
                <w:bCs/>
                <w:color w:val="auto"/>
                <w:spacing w:val="0"/>
                <w:position w:val="0"/>
                <w:sz w:val="24"/>
              </w:rPr>
              <w:t>设备安装</w:t>
            </w:r>
            <w:r>
              <w:rPr>
                <w:rFonts w:hint="default" w:ascii="Times New Roman" w:hAnsi="Times New Roman" w:eastAsia="宋体" w:cs="Times New Roman"/>
                <w:color w:val="auto"/>
                <w:sz w:val="24"/>
              </w:rPr>
              <w:t>的维护和调试</w:t>
            </w:r>
            <w:r>
              <w:rPr>
                <w:rFonts w:hint="default" w:ascii="Times New Roman" w:hAnsi="Times New Roman" w:eastAsia="宋体" w:cs="Times New Roman"/>
                <w:bCs/>
                <w:color w:val="auto"/>
                <w:spacing w:val="0"/>
                <w:position w:val="0"/>
                <w:sz w:val="24"/>
              </w:rPr>
              <w:t>，因此产生的粉尘通过减缓措施能够控制在可接受范围内。施工粉尘对周围环境产生影响较小，施工扬尘均能够满足《大气污染综合排放标准》（GB16297-1996）中新污染源大气污染物无组织排放监控浓度限值，</w:t>
            </w:r>
            <w:r>
              <w:rPr>
                <w:rFonts w:hint="default" w:ascii="Times New Roman" w:hAnsi="Times New Roman" w:eastAsia="宋体" w:cs="Times New Roman"/>
                <w:color w:val="auto"/>
                <w:spacing w:val="0"/>
                <w:position w:val="0"/>
                <w:sz w:val="24"/>
              </w:rPr>
              <w:t>即1.0mg/m</w:t>
            </w:r>
            <w:r>
              <w:rPr>
                <w:rFonts w:hint="default" w:ascii="Times New Roman" w:hAnsi="Times New Roman" w:eastAsia="宋体" w:cs="Times New Roman"/>
                <w:color w:val="auto"/>
                <w:spacing w:val="0"/>
                <w:position w:val="0"/>
                <w:sz w:val="24"/>
                <w:vertAlign w:val="superscript"/>
              </w:rPr>
              <w:t>3</w:t>
            </w:r>
            <w:r>
              <w:rPr>
                <w:rFonts w:hint="default" w:ascii="Times New Roman" w:hAnsi="Times New Roman" w:eastAsia="宋体" w:cs="Times New Roman"/>
                <w:color w:val="auto"/>
                <w:spacing w:val="0"/>
                <w:position w:val="0"/>
                <w:sz w:val="24"/>
              </w:rPr>
              <w:t>。</w:t>
            </w:r>
          </w:p>
          <w:p w14:paraId="45676D33">
            <w:pPr>
              <w:keepNext w:val="0"/>
              <w:keepLines w:val="0"/>
              <w:pageBreakBefore w:val="0"/>
              <w:numPr>
                <w:ilvl w:val="0"/>
                <w:numId w:val="0"/>
              </w:numPr>
              <w:suppressLineNumbers w:val="0"/>
              <w:topLinePunct w:val="0"/>
              <w:bidi w:val="0"/>
              <w:spacing w:before="0" w:beforeAutospacing="0" w:after="0" w:afterAutospacing="0" w:line="360" w:lineRule="auto"/>
              <w:ind w:left="0" w:right="0" w:rightChars="0"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防治措施</w:t>
            </w:r>
          </w:p>
          <w:p w14:paraId="7C3C1BF6">
            <w:pPr>
              <w:keepNext w:val="0"/>
              <w:keepLines w:val="0"/>
              <w:pageBreakBefore w:val="0"/>
              <w:suppressLineNumbers w:val="0"/>
              <w:topLinePunct w:val="0"/>
              <w:bidi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为使建设项目在施工期间对周围环境的影响降到最低程度，针对本项目施工特点，主要采取如下减缓措施</w:t>
            </w:r>
            <w:r>
              <w:rPr>
                <w:rFonts w:hint="default" w:ascii="Times New Roman" w:hAnsi="Times New Roman" w:cs="Times New Roman"/>
                <w:color w:val="auto"/>
                <w:sz w:val="24"/>
                <w:szCs w:val="24"/>
                <w:lang w:eastAsia="zh-CN"/>
              </w:rPr>
              <w:t>：</w:t>
            </w:r>
          </w:p>
          <w:p w14:paraId="60D35E52">
            <w:pPr>
              <w:keepNext w:val="0"/>
              <w:keepLines w:val="0"/>
              <w:pageBreakBefore w:val="0"/>
              <w:suppressLineNumbers w:val="0"/>
              <w:topLinePunct w:val="0"/>
              <w:bidi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施工单位合理安排工期，在风速达四级及以上的天气情况下，停止易产生扬尘污染的施工作业，并对堆存的砂粉等建筑材料采取遮盖等措施。基础开挖时，对作业面和土堆适当喷水，减少扬尘量。</w:t>
            </w:r>
          </w:p>
          <w:p w14:paraId="1DB1FE88">
            <w:pPr>
              <w:keepNext w:val="0"/>
              <w:keepLines w:val="0"/>
              <w:pageBreakBefore w:val="0"/>
              <w:suppressLineNumbers w:val="0"/>
              <w:topLinePunct w:val="0"/>
              <w:bidi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加强外部管理，选用管理技术水平较高、技术装备较好的施工队伍，依照环保部门要求文明施工</w:t>
            </w:r>
            <w:r>
              <w:rPr>
                <w:rFonts w:hint="default" w:ascii="Times New Roman" w:hAnsi="Times New Roman" w:cs="Times New Roman"/>
                <w:color w:val="auto"/>
                <w:sz w:val="24"/>
                <w:szCs w:val="24"/>
                <w:lang w:eastAsia="zh-CN"/>
              </w:rPr>
              <w:t>；</w:t>
            </w:r>
          </w:p>
          <w:p w14:paraId="1D9459DB">
            <w:pPr>
              <w:keepNext w:val="0"/>
              <w:keepLines w:val="0"/>
              <w:pageBreakBefore w:val="0"/>
              <w:suppressLineNumbers w:val="0"/>
              <w:topLinePunct w:val="0"/>
              <w:bidi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对易起尘的建筑材料加盖篷布或放至临时棚内，实行库内堆放管理</w:t>
            </w:r>
            <w:r>
              <w:rPr>
                <w:rFonts w:hint="default" w:ascii="Times New Roman" w:hAnsi="Times New Roman" w:cs="Times New Roman"/>
                <w:color w:val="auto"/>
                <w:sz w:val="24"/>
                <w:szCs w:val="24"/>
                <w:lang w:eastAsia="zh-CN"/>
              </w:rPr>
              <w:t>；</w:t>
            </w:r>
          </w:p>
          <w:p w14:paraId="4C9464C8">
            <w:pPr>
              <w:keepNext w:val="0"/>
              <w:keepLines w:val="0"/>
              <w:pageBreakBefore w:val="0"/>
              <w:suppressLineNumbers w:val="0"/>
              <w:topLinePunct w:val="0"/>
              <w:bidi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对产生扬尘的施工作业点设洒水装置，安排施工人员定期对施工场地洒水降尘，洒水次数根据天气状况确定。</w:t>
            </w:r>
          </w:p>
          <w:p w14:paraId="5EEB77D2">
            <w:pPr>
              <w:keepNext w:val="0"/>
              <w:keepLines w:val="0"/>
              <w:pageBreakBefore w:val="0"/>
              <w:suppressLineNumbers w:val="0"/>
              <w:topLinePunct w:val="0"/>
              <w:bidi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因此，在建设过程中只要采取切实可行的措施及科学的管理办法，可使施工扬尘影响降低至较低水平，施工期对大气环境的影响只是局部的、有限期的，属可接受程度。综上所述，本工程施工期大气污染物对周围环境的影响较小。</w:t>
            </w:r>
          </w:p>
          <w:p w14:paraId="3E3F9B73">
            <w:pPr>
              <w:keepNext w:val="0"/>
              <w:keepLines w:val="0"/>
              <w:pageBreakBefore w:val="0"/>
              <w:numPr>
                <w:ilvl w:val="0"/>
                <w:numId w:val="0"/>
              </w:numPr>
              <w:suppressLineNumbers w:val="0"/>
              <w:topLinePunct w:val="0"/>
              <w:bidi w:val="0"/>
              <w:spacing w:before="0" w:beforeAutospacing="0" w:after="0" w:afterAutospacing="0" w:line="360" w:lineRule="auto"/>
              <w:ind w:left="0" w:right="0" w:rightChars="0" w:firstLine="482" w:firstLineChars="200"/>
              <w:rPr>
                <w:rFonts w:hint="default" w:ascii="Times New Roman" w:hAnsi="Times New Roman" w:eastAsia="宋体" w:cs="Times New Roman"/>
                <w:b/>
                <w:bCs/>
                <w:color w:val="auto"/>
                <w:sz w:val="24"/>
                <w:szCs w:val="24"/>
              </w:rPr>
            </w:pPr>
            <w:r>
              <w:rPr>
                <w:rFonts w:hint="eastAsia"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施工期</w:t>
            </w:r>
            <w:r>
              <w:rPr>
                <w:rFonts w:hint="default" w:ascii="Times New Roman" w:hAnsi="Times New Roman" w:eastAsia="宋体" w:cs="Times New Roman"/>
                <w:b/>
                <w:bCs/>
                <w:color w:val="auto"/>
                <w:sz w:val="24"/>
                <w:szCs w:val="24"/>
                <w:lang w:eastAsia="zh-CN"/>
              </w:rPr>
              <w:t>废水对</w:t>
            </w:r>
            <w:r>
              <w:rPr>
                <w:rFonts w:hint="default" w:ascii="Times New Roman" w:hAnsi="Times New Roman" w:eastAsia="宋体" w:cs="Times New Roman"/>
                <w:b/>
                <w:bCs/>
                <w:color w:val="auto"/>
                <w:sz w:val="24"/>
                <w:szCs w:val="24"/>
              </w:rPr>
              <w:t>环境影响</w:t>
            </w:r>
            <w:r>
              <w:rPr>
                <w:rFonts w:hint="default" w:ascii="Times New Roman" w:hAnsi="Times New Roman" w:eastAsia="宋体" w:cs="Times New Roman"/>
                <w:b/>
                <w:bCs/>
                <w:color w:val="auto"/>
                <w:sz w:val="24"/>
                <w:szCs w:val="24"/>
                <w:lang w:eastAsia="zh-CN"/>
              </w:rPr>
              <w:t>分析以及</w:t>
            </w:r>
            <w:r>
              <w:rPr>
                <w:rFonts w:hint="default" w:ascii="Times New Roman" w:hAnsi="Times New Roman" w:eastAsia="宋体" w:cs="Times New Roman"/>
                <w:b/>
                <w:bCs/>
                <w:color w:val="auto"/>
                <w:sz w:val="24"/>
                <w:szCs w:val="24"/>
              </w:rPr>
              <w:t>防治措施</w:t>
            </w:r>
          </w:p>
          <w:p w14:paraId="6F850E96">
            <w:pPr>
              <w:keepNext w:val="0"/>
              <w:keepLines w:val="0"/>
              <w:pageBreakBefore w:val="0"/>
              <w:numPr>
                <w:ilvl w:val="0"/>
                <w:numId w:val="0"/>
              </w:numPr>
              <w:suppressLineNumbers w:val="0"/>
              <w:topLinePunct w:val="0"/>
              <w:bidi w:val="0"/>
              <w:spacing w:before="0" w:beforeAutospacing="0" w:after="0" w:afterAutospacing="0" w:line="360" w:lineRule="auto"/>
              <w:ind w:left="0" w:right="0" w:rightChars="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本项目施工期废水主要为施工人员产生的生活污水。</w:t>
            </w:r>
          </w:p>
          <w:p w14:paraId="0C67CCFB">
            <w:pPr>
              <w:keepNext w:val="0"/>
              <w:keepLines w:val="0"/>
              <w:pageBreakBefore w:val="0"/>
              <w:suppressLineNumbers w:val="0"/>
              <w:topLinePunct w:val="0"/>
              <w:bidi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项目施工期施工人员按10人计，施工按30天计，生活用水量按50L/人·d计，则本项目施工期生活用水总量为</w:t>
            </w:r>
            <w:r>
              <w:rPr>
                <w:rFonts w:hint="default" w:ascii="Times New Roman" w:hAnsi="Times New Roman" w:eastAsia="宋体" w:cs="Times New Roman"/>
                <w:color w:val="auto"/>
                <w:sz w:val="24"/>
                <w:szCs w:val="24"/>
                <w:lang w:val="en-US" w:eastAsia="zh-CN"/>
              </w:rPr>
              <w:t>0.5</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/d</w:t>
            </w:r>
            <w:r>
              <w:rPr>
                <w:rFonts w:hint="eastAsia" w:cs="Times New Roman"/>
                <w:color w:val="auto"/>
                <w:sz w:val="24"/>
                <w:szCs w:val="24"/>
                <w:lang w:eastAsia="zh-CN"/>
              </w:rPr>
              <w:t>（</w:t>
            </w:r>
            <w:r>
              <w:rPr>
                <w:rFonts w:hint="default" w:ascii="Times New Roman" w:hAnsi="Times New Roman" w:eastAsia="宋体" w:cs="Times New Roman"/>
                <w:color w:val="auto"/>
                <w:sz w:val="24"/>
                <w:szCs w:val="24"/>
                <w:lang w:val="en-US" w:eastAsia="zh-CN"/>
              </w:rPr>
              <w:t>15</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a</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。排水量按用水量的80%计，则施工期生活污水排放总量为</w:t>
            </w:r>
            <w:r>
              <w:rPr>
                <w:rFonts w:hint="default" w:ascii="Times New Roman" w:hAnsi="Times New Roman" w:eastAsia="宋体" w:cs="Times New Roman"/>
                <w:color w:val="auto"/>
                <w:sz w:val="24"/>
                <w:szCs w:val="24"/>
                <w:lang w:val="en-US" w:eastAsia="zh-CN"/>
              </w:rPr>
              <w:t>0.4</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lang w:val="en-US" w:eastAsia="zh-CN"/>
              </w:rPr>
              <w:t>3</w:t>
            </w:r>
            <w:r>
              <w:rPr>
                <w:rFonts w:hint="eastAsia" w:cs="Times New Roman"/>
                <w:color w:val="auto"/>
                <w:sz w:val="24"/>
                <w:szCs w:val="24"/>
                <w:lang w:eastAsia="zh-CN"/>
              </w:rPr>
              <w:t>（</w:t>
            </w:r>
            <w:r>
              <w:rPr>
                <w:rFonts w:hint="default" w:ascii="Times New Roman" w:hAnsi="Times New Roman" w:eastAsia="宋体" w:cs="Times New Roman"/>
                <w:color w:val="auto"/>
                <w:sz w:val="24"/>
                <w:szCs w:val="24"/>
                <w:lang w:val="en-US" w:eastAsia="zh-CN"/>
              </w:rPr>
              <w:t>12</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a</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，生活污水中主要污染物为COD、BOD</w:t>
            </w:r>
            <w:r>
              <w:rPr>
                <w:rFonts w:hint="default" w:ascii="Times New Roman" w:hAnsi="Times New Roman" w:eastAsia="宋体" w:cs="Times New Roman"/>
                <w:color w:val="auto"/>
                <w:sz w:val="24"/>
                <w:szCs w:val="24"/>
                <w:vertAlign w:val="subscript"/>
              </w:rPr>
              <w:t>5</w:t>
            </w:r>
            <w:r>
              <w:rPr>
                <w:rFonts w:hint="default" w:ascii="Times New Roman" w:hAnsi="Times New Roman" w:eastAsia="宋体" w:cs="Times New Roman"/>
                <w:color w:val="auto"/>
                <w:sz w:val="24"/>
                <w:szCs w:val="24"/>
              </w:rPr>
              <w:t>、SS、氨氮等。项目施工期生活污水</w:t>
            </w:r>
            <w:r>
              <w:rPr>
                <w:rFonts w:hint="eastAsia" w:cs="Times New Roman"/>
                <w:color w:val="auto"/>
                <w:sz w:val="24"/>
                <w:szCs w:val="24"/>
                <w:lang w:val="en-US" w:eastAsia="zh-CN"/>
              </w:rPr>
              <w:t>排入防渗旱厕，定期清掏，外运堆肥处置</w:t>
            </w:r>
            <w:r>
              <w:rPr>
                <w:rFonts w:hint="default" w:ascii="Times New Roman" w:hAnsi="Times New Roman" w:eastAsia="宋体" w:cs="Times New Roman"/>
                <w:color w:val="auto"/>
                <w:sz w:val="24"/>
                <w:szCs w:val="24"/>
              </w:rPr>
              <w:t>。</w:t>
            </w:r>
          </w:p>
          <w:p w14:paraId="74ACF503">
            <w:pPr>
              <w:keepNext w:val="0"/>
              <w:keepLines w:val="0"/>
              <w:pageBreakBefore w:val="0"/>
              <w:suppressLineNumbers w:val="0"/>
              <w:topLinePunct w:val="0"/>
              <w:bidi w:val="0"/>
              <w:spacing w:before="0" w:beforeAutospacing="0" w:after="0" w:afterAutospacing="0" w:line="360" w:lineRule="auto"/>
              <w:ind w:left="0" w:leftChars="0" w:right="0" w:rightChars="0" w:firstLine="482" w:firstLineChars="200"/>
              <w:rPr>
                <w:rFonts w:hint="default" w:ascii="Times New Roman" w:hAnsi="Times New Roman" w:eastAsia="宋体" w:cs="Times New Roman"/>
                <w:b/>
                <w:bCs/>
                <w:color w:val="auto"/>
                <w:sz w:val="24"/>
                <w:szCs w:val="24"/>
              </w:rPr>
            </w:pPr>
            <w:r>
              <w:rPr>
                <w:rFonts w:hint="eastAsia"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施工期</w:t>
            </w:r>
            <w:r>
              <w:rPr>
                <w:rFonts w:hint="default" w:ascii="Times New Roman" w:hAnsi="Times New Roman" w:eastAsia="宋体" w:cs="Times New Roman"/>
                <w:b/>
                <w:bCs/>
                <w:color w:val="auto"/>
                <w:sz w:val="24"/>
                <w:szCs w:val="24"/>
                <w:lang w:eastAsia="zh-CN"/>
              </w:rPr>
              <w:t>声环境对</w:t>
            </w:r>
            <w:r>
              <w:rPr>
                <w:rFonts w:hint="default" w:ascii="Times New Roman" w:hAnsi="Times New Roman" w:eastAsia="宋体" w:cs="Times New Roman"/>
                <w:b/>
                <w:bCs/>
                <w:color w:val="auto"/>
                <w:sz w:val="24"/>
                <w:szCs w:val="24"/>
              </w:rPr>
              <w:t>环境影响</w:t>
            </w:r>
            <w:r>
              <w:rPr>
                <w:rFonts w:hint="default" w:ascii="Times New Roman" w:hAnsi="Times New Roman" w:eastAsia="宋体" w:cs="Times New Roman"/>
                <w:b/>
                <w:bCs/>
                <w:color w:val="auto"/>
                <w:sz w:val="24"/>
                <w:szCs w:val="24"/>
                <w:lang w:eastAsia="zh-CN"/>
              </w:rPr>
              <w:t>分析以及</w:t>
            </w:r>
            <w:r>
              <w:rPr>
                <w:rFonts w:hint="default" w:ascii="Times New Roman" w:hAnsi="Times New Roman" w:eastAsia="宋体" w:cs="Times New Roman"/>
                <w:b/>
                <w:bCs/>
                <w:color w:val="auto"/>
                <w:sz w:val="24"/>
                <w:szCs w:val="24"/>
              </w:rPr>
              <w:t>防治措施</w:t>
            </w:r>
          </w:p>
          <w:p w14:paraId="0CEDB7C8">
            <w:pPr>
              <w:keepNext w:val="0"/>
              <w:keepLines w:val="0"/>
              <w:pageBreakBefore w:val="0"/>
              <w:suppressLineNumbers w:val="0"/>
              <w:topLinePunct w:val="0"/>
              <w:bidi w:val="0"/>
              <w:spacing w:before="0" w:beforeAutospacing="0" w:after="0" w:afterAutospacing="0" w:line="360" w:lineRule="auto"/>
              <w:ind w:left="0" w:leftChars="0" w:right="0" w:rightChars="0" w:firstLine="480" w:firstLineChars="200"/>
              <w:jc w:val="left"/>
              <w:rPr>
                <w:rFonts w:hint="default" w:ascii="Times New Roman" w:hAnsi="Times New Roman" w:eastAsia="宋体" w:cs="Times New Roman"/>
                <w:color w:val="auto"/>
                <w:sz w:val="24"/>
                <w:szCs w:val="24"/>
                <w:lang w:eastAsia="zh-CN"/>
              </w:rPr>
            </w:pPr>
            <w:r>
              <w:rPr>
                <w:rFonts w:hint="default"/>
                <w:color w:val="auto"/>
                <w:spacing w:val="0"/>
                <w:position w:val="0"/>
                <w:sz w:val="24"/>
              </w:rPr>
              <w:t>本项目设备安装主要在室内进行，为降低施工过程中噪声对周边敏感目标的影响，</w:t>
            </w:r>
            <w:r>
              <w:rPr>
                <w:rFonts w:hint="default" w:ascii="Times New Roman" w:hAnsi="Times New Roman" w:eastAsia="宋体" w:cs="Times New Roman"/>
                <w:color w:val="auto"/>
                <w:sz w:val="24"/>
                <w:szCs w:val="24"/>
              </w:rPr>
              <w:t>可采取以下控制措施</w:t>
            </w:r>
            <w:r>
              <w:rPr>
                <w:rFonts w:hint="default" w:ascii="Times New Roman" w:hAnsi="Times New Roman" w:eastAsia="宋体" w:cs="Times New Roman"/>
                <w:color w:val="auto"/>
                <w:sz w:val="24"/>
                <w:szCs w:val="24"/>
                <w:lang w:eastAsia="zh-CN"/>
              </w:rPr>
              <w:t>：</w:t>
            </w:r>
          </w:p>
          <w:p w14:paraId="1A36E302">
            <w:pPr>
              <w:keepNext w:val="0"/>
              <w:keepLines w:val="0"/>
              <w:pageBreakBefore w:val="0"/>
              <w:suppressLineNumbers w:val="0"/>
              <w:topLinePunct w:val="0"/>
              <w:bidi w:val="0"/>
              <w:spacing w:before="0" w:beforeAutospacing="0" w:after="0" w:afterAutospacing="0" w:line="360" w:lineRule="auto"/>
              <w:ind w:left="0" w:leftChars="0" w:right="0" w:rightChars="0" w:firstLine="480" w:firstLineChars="200"/>
              <w:jc w:val="left"/>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加强施工管理，合理安排施工作业时间，禁止夜间进行高噪声施工作业，严禁夜间22</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00-6</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00时段施工</w:t>
            </w:r>
            <w:r>
              <w:rPr>
                <w:rFonts w:hint="default" w:ascii="Times New Roman" w:hAnsi="Times New Roman" w:eastAsia="宋体" w:cs="Times New Roman"/>
                <w:color w:val="auto"/>
                <w:sz w:val="24"/>
                <w:szCs w:val="24"/>
                <w:lang w:val="en-US" w:eastAsia="zh-CN"/>
              </w:rPr>
              <w:t>，</w:t>
            </w:r>
            <w:r>
              <w:rPr>
                <w:rFonts w:hint="default" w:ascii="Times New Roman" w:hAnsi="Times New Roman" w:cs="Times New Roman"/>
                <w:color w:val="auto"/>
                <w:spacing w:val="0"/>
                <w:position w:val="0"/>
                <w:sz w:val="24"/>
              </w:rPr>
              <w:t>施工期噪声能够满足《建筑施工场界环境噪声排放标准》（GB12523-2011），即昼间70dB（A），夜间55dB（A）。</w:t>
            </w:r>
          </w:p>
          <w:p w14:paraId="0245D897">
            <w:pPr>
              <w:keepNext w:val="0"/>
              <w:keepLines w:val="0"/>
              <w:pageBreakBefore w:val="0"/>
              <w:suppressLineNumbers w:val="0"/>
              <w:topLinePunct w:val="0"/>
              <w:bidi w:val="0"/>
              <w:spacing w:before="0" w:beforeAutospacing="0" w:after="0" w:afterAutospacing="0" w:line="360" w:lineRule="auto"/>
              <w:ind w:left="0" w:leftChars="0" w:right="0" w:rightChars="0" w:firstLine="480" w:firstLineChars="200"/>
              <w:jc w:val="left"/>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降低施工设备噪声</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尽量采用低噪声设备</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对动力机械、设备加强定期检修、养护</w:t>
            </w:r>
            <w:r>
              <w:rPr>
                <w:rFonts w:hint="default" w:ascii="Times New Roman" w:hAnsi="Times New Roman" w:eastAsia="宋体" w:cs="Times New Roman"/>
                <w:color w:val="auto"/>
                <w:sz w:val="24"/>
                <w:szCs w:val="24"/>
                <w:lang w:eastAsia="zh-CN"/>
              </w:rPr>
              <w:t>。</w:t>
            </w:r>
          </w:p>
          <w:p w14:paraId="19DE114B">
            <w:pPr>
              <w:keepNext w:val="0"/>
              <w:keepLines w:val="0"/>
              <w:pageBreakBefore w:val="0"/>
              <w:suppressLineNumbers w:val="0"/>
              <w:topLinePunct w:val="0"/>
              <w:bidi w:val="0"/>
              <w:spacing w:before="0" w:beforeAutospacing="0" w:after="0" w:afterAutospacing="0" w:line="360" w:lineRule="auto"/>
              <w:ind w:left="0" w:leftChars="0" w:right="0" w:rightChars="0" w:firstLine="480" w:firstLineChars="200"/>
              <w:jc w:val="left"/>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对位置相对固定的机械设备，能于室内操作的尽量进入操作间。</w:t>
            </w:r>
          </w:p>
          <w:p w14:paraId="34D34A91">
            <w:pPr>
              <w:keepNext w:val="0"/>
              <w:keepLines w:val="0"/>
              <w:pageBreakBefore w:val="0"/>
              <w:suppressLineNumbers w:val="0"/>
              <w:topLinePunct w:val="0"/>
              <w:bidi w:val="0"/>
              <w:spacing w:before="0" w:beforeAutospacing="0" w:after="0" w:afterAutospacing="0" w:line="360" w:lineRule="auto"/>
              <w:ind w:left="0" w:leftChars="0" w:right="0" w:rightChars="0" w:firstLine="480" w:firstLineChars="200"/>
              <w:jc w:val="left"/>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禁止汽车鸣笛。</w:t>
            </w:r>
          </w:p>
          <w:p w14:paraId="4CE43E8D">
            <w:pPr>
              <w:keepNext w:val="0"/>
              <w:keepLines w:val="0"/>
              <w:pageBreakBefore w:val="0"/>
              <w:suppressLineNumbers w:val="0"/>
              <w:topLinePunct w:val="0"/>
              <w:bidi w:val="0"/>
              <w:spacing w:before="0" w:beforeAutospacing="0" w:after="0" w:afterAutospacing="0" w:line="360" w:lineRule="auto"/>
              <w:ind w:left="0" w:leftChars="0" w:right="0" w:rightChars="0" w:firstLine="480" w:firstLineChars="200"/>
              <w:jc w:val="left"/>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如果确须夜间施工，须到环保部门办理夜间施工审批手续</w:t>
            </w:r>
            <w:r>
              <w:rPr>
                <w:rFonts w:hint="eastAsia" w:ascii="Times New Roman" w:hAnsi="Times New Roman" w:eastAsia="宋体" w:cs="Times New Roman"/>
                <w:color w:val="auto"/>
                <w:sz w:val="24"/>
                <w:szCs w:val="24"/>
                <w:lang w:eastAsia="zh-CN"/>
              </w:rPr>
              <w:t>。</w:t>
            </w:r>
          </w:p>
          <w:p w14:paraId="2E555335">
            <w:pPr>
              <w:keepNext w:val="0"/>
              <w:keepLines w:val="0"/>
              <w:pageBreakBefore w:val="0"/>
              <w:suppressLineNumbers w:val="0"/>
              <w:topLinePunct w:val="0"/>
              <w:bidi w:val="0"/>
              <w:spacing w:before="0" w:beforeAutospacing="0" w:after="0" w:afterAutospacing="0" w:line="360" w:lineRule="auto"/>
              <w:ind w:left="0" w:leftChars="0" w:right="0" w:rightChars="0" w:firstLine="480" w:firstLineChars="200"/>
              <w:jc w:val="left"/>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采取以上措施后，施工期产生的噪声对周围环境影响不大。</w:t>
            </w:r>
          </w:p>
          <w:p w14:paraId="254578FB">
            <w:pPr>
              <w:keepNext w:val="0"/>
              <w:keepLines w:val="0"/>
              <w:pageBreakBefore w:val="0"/>
              <w:suppressLineNumbers w:val="0"/>
              <w:topLinePunct w:val="0"/>
              <w:bidi w:val="0"/>
              <w:spacing w:before="0" w:beforeAutospacing="0" w:after="0" w:afterAutospacing="0" w:line="360" w:lineRule="auto"/>
              <w:ind w:left="0" w:leftChars="0" w:right="0" w:rightChars="0"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、施工期</w:t>
            </w:r>
            <w:r>
              <w:rPr>
                <w:rFonts w:hint="default" w:ascii="Times New Roman" w:hAnsi="Times New Roman" w:eastAsia="宋体" w:cs="Times New Roman"/>
                <w:b/>
                <w:bCs/>
                <w:color w:val="auto"/>
                <w:sz w:val="24"/>
                <w:szCs w:val="24"/>
                <w:lang w:eastAsia="zh-CN"/>
              </w:rPr>
              <w:t>固体废物对</w:t>
            </w:r>
            <w:r>
              <w:rPr>
                <w:rFonts w:hint="default" w:ascii="Times New Roman" w:hAnsi="Times New Roman" w:eastAsia="宋体" w:cs="Times New Roman"/>
                <w:b/>
                <w:bCs/>
                <w:color w:val="auto"/>
                <w:sz w:val="24"/>
                <w:szCs w:val="24"/>
              </w:rPr>
              <w:t>环境影响</w:t>
            </w:r>
            <w:r>
              <w:rPr>
                <w:rFonts w:hint="default" w:ascii="Times New Roman" w:hAnsi="Times New Roman" w:eastAsia="宋体" w:cs="Times New Roman"/>
                <w:b/>
                <w:bCs/>
                <w:color w:val="auto"/>
                <w:sz w:val="24"/>
                <w:szCs w:val="24"/>
                <w:lang w:eastAsia="zh-CN"/>
              </w:rPr>
              <w:t>分析以及</w:t>
            </w:r>
            <w:r>
              <w:rPr>
                <w:rFonts w:hint="default" w:ascii="Times New Roman" w:hAnsi="Times New Roman" w:eastAsia="宋体" w:cs="Times New Roman"/>
                <w:b/>
                <w:bCs/>
                <w:color w:val="auto"/>
                <w:sz w:val="24"/>
                <w:szCs w:val="24"/>
              </w:rPr>
              <w:t>防治措施</w:t>
            </w:r>
          </w:p>
          <w:p w14:paraId="387210CA">
            <w:pPr>
              <w:keepNext w:val="0"/>
              <w:keepLines w:val="0"/>
              <w:pageBreakBefore w:val="0"/>
              <w:suppressLineNumbers w:val="0"/>
              <w:topLinePunct w:val="0"/>
              <w:bidi w:val="0"/>
              <w:spacing w:before="0" w:beforeAutospacing="0" w:after="0" w:afterAutospacing="0" w:line="360" w:lineRule="auto"/>
              <w:ind w:left="0" w:leftChars="0" w:right="0" w:rightChars="0" w:firstLine="480" w:firstLineChars="200"/>
              <w:jc w:val="left"/>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建设项目施工期的固体废物主要包括建筑垃圾和生活垃圾等。</w:t>
            </w:r>
            <w:r>
              <w:rPr>
                <w:rFonts w:hint="default" w:hAnsi="宋体"/>
                <w:color w:val="000000"/>
                <w:spacing w:val="4"/>
                <w:sz w:val="24"/>
              </w:rPr>
              <w:t>环评建议采取如下措施：</w:t>
            </w:r>
          </w:p>
          <w:p w14:paraId="2C5F377D">
            <w:pPr>
              <w:keepNext w:val="0"/>
              <w:keepLines w:val="0"/>
              <w:pageBreakBefore w:val="0"/>
              <w:suppressLineNumbers w:val="0"/>
              <w:topLinePunct w:val="0"/>
              <w:bidi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将建筑垃圾进行充分回收利用，剩余部分运往建筑垃圾处置场集中处置。项目施工人员生活垃圾，以0.25kg/d·人计，施工人员按10人计，年施工按30天计，施工期生活垃圾产生总量约为0.075t，集中收集后交由环卫部门统一处置，减少对环境的影响。</w:t>
            </w:r>
          </w:p>
          <w:p w14:paraId="1C550E88">
            <w:pPr>
              <w:keepNext w:val="0"/>
              <w:keepLines w:val="0"/>
              <w:pageBreakBefore w:val="0"/>
              <w:suppressLineNumbers w:val="0"/>
              <w:topLinePunct w:val="0"/>
              <w:bidi w:val="0"/>
              <w:spacing w:before="0" w:beforeAutospacing="0" w:after="0" w:afterAutospacing="0" w:line="360" w:lineRule="auto"/>
              <w:ind w:left="0" w:leftChars="0" w:right="0" w:rightChars="0" w:firstLine="480" w:firstLineChars="200"/>
              <w:jc w:val="left"/>
              <w:rPr>
                <w:rFonts w:hint="eastAsia" w:eastAsia="宋体"/>
                <w:bCs/>
                <w:color w:val="auto"/>
                <w:spacing w:val="-10"/>
                <w:sz w:val="24"/>
                <w:szCs w:val="24"/>
                <w:highlight w:val="none"/>
                <w:lang w:val="en-US" w:eastAsia="zh-CN"/>
              </w:rPr>
            </w:pPr>
            <w:r>
              <w:rPr>
                <w:rFonts w:hint="default" w:ascii="Times New Roman" w:hAnsi="Times New Roman" w:eastAsia="宋体" w:cs="Times New Roman"/>
                <w:color w:val="auto"/>
                <w:sz w:val="24"/>
                <w:szCs w:val="24"/>
                <w:lang w:eastAsia="zh-CN"/>
              </w:rPr>
              <w:t>综上所述，本项目施工期的环境影响主要是</w:t>
            </w:r>
            <w:r>
              <w:rPr>
                <w:rFonts w:hint="eastAsia" w:ascii="Times New Roman" w:hAnsi="Times New Roman" w:eastAsia="宋体" w:cs="Times New Roman"/>
                <w:color w:val="auto"/>
                <w:sz w:val="24"/>
                <w:szCs w:val="24"/>
                <w:lang w:val="en-US" w:eastAsia="zh-CN"/>
              </w:rPr>
              <w:t>废气、</w:t>
            </w:r>
            <w:r>
              <w:rPr>
                <w:rFonts w:hint="default" w:ascii="Times New Roman" w:hAnsi="Times New Roman" w:eastAsia="宋体" w:cs="Times New Roman"/>
                <w:color w:val="auto"/>
                <w:sz w:val="24"/>
                <w:szCs w:val="24"/>
                <w:lang w:eastAsia="zh-CN"/>
              </w:rPr>
              <w:t>噪声、生活污水及生活垃圾等，施工单位应积极采取环境保护措施，使施工期对环境的影响降低到最低。通过采取措施后不会改变该区域环境功能，对周围环境影响可以接受，同时施工期是暂时的、局部的，随着施工期结束而消失。</w:t>
            </w:r>
          </w:p>
        </w:tc>
      </w:tr>
      <w:tr w14:paraId="6E10DF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1" w:type="pct"/>
            <w:noWrap w:val="0"/>
            <w:tcMar>
              <w:left w:w="28" w:type="dxa"/>
              <w:right w:w="28" w:type="dxa"/>
            </w:tcMar>
            <w:vAlign w:val="center"/>
          </w:tcPr>
          <w:p w14:paraId="290B674F">
            <w:pPr>
              <w:keepNext w:val="0"/>
              <w:keepLines w:val="0"/>
              <w:suppressLineNumbers w:val="0"/>
              <w:adjustRightInd w:val="0"/>
              <w:snapToGrid w:val="0"/>
              <w:spacing w:before="0" w:beforeAutospacing="0" w:after="0" w:afterAutospacing="0"/>
              <w:ind w:left="0" w:right="0"/>
              <w:jc w:val="center"/>
              <w:rPr>
                <w:rFonts w:hint="default"/>
                <w:bCs/>
                <w:color w:val="auto"/>
                <w:sz w:val="24"/>
                <w:szCs w:val="24"/>
                <w:highlight w:val="none"/>
              </w:rPr>
            </w:pPr>
            <w:r>
              <w:rPr>
                <w:rFonts w:hint="default"/>
                <w:bCs/>
                <w:color w:val="auto"/>
                <w:sz w:val="24"/>
                <w:szCs w:val="24"/>
                <w:highlight w:val="none"/>
              </w:rPr>
              <w:t>运营</w:t>
            </w:r>
          </w:p>
          <w:p w14:paraId="02941304">
            <w:pPr>
              <w:keepNext w:val="0"/>
              <w:keepLines w:val="0"/>
              <w:suppressLineNumbers w:val="0"/>
              <w:adjustRightInd w:val="0"/>
              <w:snapToGrid w:val="0"/>
              <w:spacing w:before="0" w:beforeAutospacing="0" w:after="0" w:afterAutospacing="0"/>
              <w:ind w:left="0" w:right="0"/>
              <w:jc w:val="center"/>
              <w:rPr>
                <w:rFonts w:hint="default"/>
                <w:bCs/>
                <w:color w:val="auto"/>
                <w:sz w:val="24"/>
                <w:szCs w:val="24"/>
                <w:highlight w:val="none"/>
              </w:rPr>
            </w:pPr>
            <w:r>
              <w:rPr>
                <w:rFonts w:hint="default"/>
                <w:bCs/>
                <w:color w:val="auto"/>
                <w:sz w:val="24"/>
                <w:szCs w:val="24"/>
                <w:highlight w:val="none"/>
              </w:rPr>
              <w:t>期环</w:t>
            </w:r>
          </w:p>
          <w:p w14:paraId="4AE61200">
            <w:pPr>
              <w:keepNext w:val="0"/>
              <w:keepLines w:val="0"/>
              <w:suppressLineNumbers w:val="0"/>
              <w:adjustRightInd w:val="0"/>
              <w:snapToGrid w:val="0"/>
              <w:spacing w:before="0" w:beforeAutospacing="0" w:after="0" w:afterAutospacing="0"/>
              <w:ind w:left="0" w:right="0"/>
              <w:jc w:val="center"/>
              <w:rPr>
                <w:rFonts w:hint="default"/>
                <w:bCs/>
                <w:color w:val="auto"/>
                <w:sz w:val="24"/>
                <w:szCs w:val="24"/>
                <w:highlight w:val="none"/>
              </w:rPr>
            </w:pPr>
            <w:r>
              <w:rPr>
                <w:rFonts w:hint="default"/>
                <w:bCs/>
                <w:color w:val="auto"/>
                <w:sz w:val="24"/>
                <w:szCs w:val="24"/>
                <w:highlight w:val="none"/>
              </w:rPr>
              <w:t>境影</w:t>
            </w:r>
          </w:p>
          <w:p w14:paraId="79B161B7">
            <w:pPr>
              <w:keepNext w:val="0"/>
              <w:keepLines w:val="0"/>
              <w:suppressLineNumbers w:val="0"/>
              <w:adjustRightInd w:val="0"/>
              <w:snapToGrid w:val="0"/>
              <w:spacing w:before="0" w:beforeAutospacing="0" w:after="0" w:afterAutospacing="0"/>
              <w:ind w:left="0" w:right="0"/>
              <w:jc w:val="center"/>
              <w:rPr>
                <w:rFonts w:hint="default"/>
                <w:bCs/>
                <w:color w:val="auto"/>
                <w:sz w:val="24"/>
                <w:szCs w:val="24"/>
                <w:highlight w:val="none"/>
              </w:rPr>
            </w:pPr>
            <w:r>
              <w:rPr>
                <w:rFonts w:hint="default"/>
                <w:bCs/>
                <w:color w:val="auto"/>
                <w:sz w:val="24"/>
                <w:szCs w:val="24"/>
                <w:highlight w:val="none"/>
              </w:rPr>
              <w:t>响和</w:t>
            </w:r>
          </w:p>
          <w:p w14:paraId="481AC0C7">
            <w:pPr>
              <w:keepNext w:val="0"/>
              <w:keepLines w:val="0"/>
              <w:suppressLineNumbers w:val="0"/>
              <w:adjustRightInd w:val="0"/>
              <w:snapToGrid w:val="0"/>
              <w:spacing w:before="0" w:beforeAutospacing="0" w:after="0" w:afterAutospacing="0"/>
              <w:ind w:left="0" w:right="0"/>
              <w:jc w:val="center"/>
              <w:rPr>
                <w:rFonts w:hint="default"/>
                <w:bCs/>
                <w:color w:val="auto"/>
                <w:sz w:val="24"/>
                <w:szCs w:val="24"/>
                <w:highlight w:val="none"/>
              </w:rPr>
            </w:pPr>
            <w:r>
              <w:rPr>
                <w:rFonts w:hint="default"/>
                <w:bCs/>
                <w:color w:val="auto"/>
                <w:sz w:val="24"/>
                <w:szCs w:val="24"/>
                <w:highlight w:val="none"/>
              </w:rPr>
              <w:t>保护</w:t>
            </w:r>
          </w:p>
          <w:p w14:paraId="6A28F7B5">
            <w:pPr>
              <w:keepNext w:val="0"/>
              <w:keepLines w:val="0"/>
              <w:suppressLineNumbers w:val="0"/>
              <w:adjustRightInd w:val="0"/>
              <w:snapToGrid w:val="0"/>
              <w:spacing w:before="0" w:beforeAutospacing="0" w:after="0" w:afterAutospacing="0"/>
              <w:ind w:left="0" w:right="0"/>
              <w:jc w:val="center"/>
              <w:rPr>
                <w:rFonts w:hint="default"/>
                <w:bCs/>
                <w:color w:val="FF0000"/>
                <w:sz w:val="24"/>
                <w:szCs w:val="24"/>
                <w:highlight w:val="none"/>
              </w:rPr>
            </w:pPr>
            <w:r>
              <w:rPr>
                <w:rFonts w:hint="default"/>
                <w:bCs/>
                <w:color w:val="auto"/>
                <w:sz w:val="24"/>
                <w:szCs w:val="24"/>
                <w:highlight w:val="none"/>
              </w:rPr>
              <w:t>措施</w:t>
            </w:r>
          </w:p>
        </w:tc>
        <w:tc>
          <w:tcPr>
            <w:tcW w:w="4498" w:type="pct"/>
            <w:noWrap w:val="0"/>
            <w:vAlign w:val="top"/>
          </w:tcPr>
          <w:p w14:paraId="6CA47EFC">
            <w:pPr>
              <w:keepNext w:val="0"/>
              <w:keepLines w:val="0"/>
              <w:suppressLineNumbers w:val="0"/>
              <w:spacing w:before="0" w:beforeAutospacing="0" w:after="0" w:afterAutospacing="0" w:line="360" w:lineRule="auto"/>
              <w:ind w:left="0" w:right="0" w:firstLine="482" w:firstLineChars="200"/>
              <w:rPr>
                <w:rFonts w:hint="default" w:ascii="Times New Roman" w:hAnsi="Times New Roman" w:cs="Times New Roman"/>
                <w:b/>
                <w:bCs/>
                <w:color w:val="auto"/>
                <w:kern w:val="21"/>
                <w:sz w:val="24"/>
                <w:szCs w:val="24"/>
                <w:highlight w:val="none"/>
              </w:rPr>
            </w:pPr>
            <w:r>
              <w:rPr>
                <w:rFonts w:hint="default" w:ascii="Times New Roman" w:hAnsi="Times New Roman" w:cs="Times New Roman"/>
                <w:b/>
                <w:bCs/>
                <w:color w:val="auto"/>
                <w:kern w:val="21"/>
                <w:sz w:val="24"/>
                <w:szCs w:val="24"/>
                <w:highlight w:val="none"/>
              </w:rPr>
              <w:t>1、废气</w:t>
            </w:r>
          </w:p>
          <w:p w14:paraId="32965D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kern w:val="0"/>
                <w:sz w:val="24"/>
                <w:szCs w:val="24"/>
                <w:highlight w:val="none"/>
                <w:lang w:eastAsia="zh-CN"/>
              </w:rPr>
            </w:pPr>
            <w:r>
              <w:rPr>
                <w:rFonts w:hint="eastAsia" w:cs="Times New Roman"/>
                <w:bCs/>
                <w:color w:val="auto"/>
                <w:kern w:val="0"/>
                <w:sz w:val="24"/>
                <w:szCs w:val="24"/>
                <w:highlight w:val="none"/>
                <w:lang w:eastAsia="zh-CN"/>
              </w:rPr>
              <w:t>（</w:t>
            </w:r>
            <w:r>
              <w:rPr>
                <w:rFonts w:hint="eastAsia" w:cs="Times New Roman"/>
                <w:bCs/>
                <w:color w:val="auto"/>
                <w:kern w:val="0"/>
                <w:sz w:val="24"/>
                <w:szCs w:val="24"/>
                <w:highlight w:val="none"/>
                <w:lang w:val="en-US" w:eastAsia="zh-CN"/>
              </w:rPr>
              <w:t>1）</w:t>
            </w:r>
            <w:r>
              <w:rPr>
                <w:rFonts w:hint="eastAsia" w:ascii="Times New Roman" w:hAnsi="Times New Roman" w:eastAsia="宋体" w:cs="Times New Roman"/>
                <w:bCs/>
                <w:color w:val="auto"/>
                <w:kern w:val="0"/>
                <w:sz w:val="24"/>
                <w:szCs w:val="24"/>
                <w:highlight w:val="none"/>
                <w:lang w:eastAsia="zh-CN"/>
              </w:rPr>
              <w:t>热风炉</w:t>
            </w:r>
            <w:r>
              <w:rPr>
                <w:rFonts w:hint="default" w:ascii="Times New Roman" w:hAnsi="Times New Roman" w:eastAsia="宋体" w:cs="Times New Roman"/>
                <w:bCs/>
                <w:color w:val="auto"/>
                <w:kern w:val="0"/>
                <w:sz w:val="24"/>
                <w:szCs w:val="24"/>
                <w:highlight w:val="none"/>
                <w:lang w:eastAsia="zh-CN"/>
              </w:rPr>
              <w:t>废气</w:t>
            </w:r>
          </w:p>
          <w:p w14:paraId="74EA78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本项目设置1台</w:t>
            </w:r>
            <w:r>
              <w:rPr>
                <w:rFonts w:hint="eastAsia" w:cs="Times New Roman"/>
                <w:color w:val="auto"/>
                <w:sz w:val="24"/>
                <w:szCs w:val="24"/>
                <w:highlight w:val="none"/>
                <w:lang w:val="en-US" w:eastAsia="zh-CN"/>
              </w:rPr>
              <w:t>600</w:t>
            </w:r>
            <w:r>
              <w:rPr>
                <w:rFonts w:hint="default" w:ascii="Times New Roman" w:hAnsi="Times New Roman" w:cs="Times New Roman"/>
                <w:color w:val="auto"/>
                <w:sz w:val="24"/>
                <w:szCs w:val="24"/>
                <w:highlight w:val="none"/>
                <w:lang w:val="en-US" w:eastAsia="zh-CN"/>
              </w:rPr>
              <w:t>万大卡的</w:t>
            </w:r>
            <w:r>
              <w:rPr>
                <w:rFonts w:hint="eastAsia" w:cs="Times New Roman"/>
                <w:color w:val="auto"/>
                <w:sz w:val="24"/>
                <w:szCs w:val="24"/>
                <w:highlight w:val="none"/>
                <w:lang w:val="en-US" w:eastAsia="zh-CN"/>
              </w:rPr>
              <w:t>生物质链条热风炉</w:t>
            </w:r>
            <w:r>
              <w:rPr>
                <w:rFonts w:hint="default" w:ascii="Times New Roman" w:hAnsi="Times New Roman" w:cs="Times New Roman"/>
                <w:color w:val="auto"/>
                <w:sz w:val="24"/>
                <w:szCs w:val="24"/>
                <w:highlight w:val="none"/>
                <w:lang w:val="en-US" w:eastAsia="zh-CN"/>
              </w:rPr>
              <w:t>，年烘干水稻</w:t>
            </w:r>
            <w:r>
              <w:rPr>
                <w:rFonts w:hint="eastAsia" w:ascii="Times New Roman" w:hAnsi="Times New Roman" w:eastAsia="宋体" w:cs="Times New Roman"/>
                <w:i w:val="0"/>
                <w:iCs w:val="0"/>
                <w:snapToGrid w:val="0"/>
                <w:color w:val="auto"/>
                <w:kern w:val="0"/>
                <w:sz w:val="24"/>
                <w:szCs w:val="24"/>
                <w:highlight w:val="none"/>
                <w:u w:val="none"/>
                <w:lang w:val="en-US" w:eastAsia="zh-CN" w:bidi="ar"/>
              </w:rPr>
              <w:t>1</w:t>
            </w:r>
            <w:r>
              <w:rPr>
                <w:rFonts w:hint="eastAsia" w:cs="Times New Roman"/>
                <w:i w:val="0"/>
                <w:iCs w:val="0"/>
                <w:snapToGrid w:val="0"/>
                <w:color w:val="auto"/>
                <w:kern w:val="0"/>
                <w:sz w:val="24"/>
                <w:szCs w:val="24"/>
                <w:highlight w:val="none"/>
                <w:u w:val="none"/>
                <w:lang w:val="en-US" w:eastAsia="zh-CN" w:bidi="ar"/>
              </w:rPr>
              <w:t>25</w:t>
            </w:r>
            <w:r>
              <w:rPr>
                <w:rFonts w:hint="eastAsia" w:ascii="Times New Roman" w:hAnsi="Times New Roman" w:eastAsia="宋体" w:cs="Times New Roman"/>
                <w:i w:val="0"/>
                <w:iCs w:val="0"/>
                <w:snapToGrid w:val="0"/>
                <w:color w:val="auto"/>
                <w:kern w:val="0"/>
                <w:sz w:val="24"/>
                <w:szCs w:val="24"/>
                <w:highlight w:val="none"/>
                <w:u w:val="none"/>
                <w:lang w:val="en-US" w:eastAsia="zh-CN" w:bidi="ar"/>
              </w:rPr>
              <w:t>00</w:t>
            </w:r>
            <w:r>
              <w:rPr>
                <w:rFonts w:hint="default" w:ascii="Times New Roman" w:hAnsi="Times New Roman" w:cs="Times New Roman"/>
                <w:color w:val="auto"/>
                <w:sz w:val="24"/>
                <w:szCs w:val="24"/>
                <w:highlight w:val="none"/>
                <w:lang w:val="en-US" w:eastAsia="zh-CN"/>
              </w:rPr>
              <w:t>吨</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年烘干时间</w:t>
            </w:r>
            <w:r>
              <w:rPr>
                <w:rFonts w:hint="eastAsia" w:cs="Times New Roman"/>
                <w:color w:val="auto"/>
                <w:sz w:val="24"/>
                <w:szCs w:val="24"/>
                <w:highlight w:val="none"/>
                <w:lang w:val="en-US" w:eastAsia="zh-CN"/>
              </w:rPr>
              <w:t>22天</w:t>
            </w:r>
            <w:r>
              <w:rPr>
                <w:rFonts w:hint="default" w:ascii="Times New Roman" w:hAnsi="Times New Roman" w:cs="Times New Roman"/>
                <w:color w:val="auto"/>
                <w:sz w:val="24"/>
                <w:szCs w:val="24"/>
                <w:highlight w:val="none"/>
                <w:lang w:val="en-US" w:eastAsia="zh-CN"/>
              </w:rPr>
              <w:t>计</w:t>
            </w:r>
            <w:r>
              <w:rPr>
                <w:rFonts w:hint="eastAsia"/>
                <w:color w:val="auto"/>
                <w:sz w:val="24"/>
                <w:szCs w:val="24"/>
                <w:highlight w:val="none"/>
              </w:rPr>
              <w:t>（每天</w:t>
            </w:r>
            <w:r>
              <w:rPr>
                <w:rFonts w:hint="eastAsia"/>
                <w:color w:val="auto"/>
                <w:sz w:val="24"/>
                <w:szCs w:val="24"/>
                <w:highlight w:val="none"/>
                <w:lang w:val="en-US" w:eastAsia="zh-CN"/>
              </w:rPr>
              <w:t>24</w:t>
            </w:r>
            <w:r>
              <w:rPr>
                <w:rFonts w:hint="eastAsia"/>
                <w:color w:val="auto"/>
                <w:sz w:val="24"/>
                <w:szCs w:val="24"/>
                <w:highlight w:val="none"/>
              </w:rPr>
              <w:t>h</w:t>
            </w:r>
            <w:r>
              <w:rPr>
                <w:rFonts w:hint="eastAsia"/>
                <w:color w:val="auto"/>
                <w:sz w:val="24"/>
                <w:szCs w:val="24"/>
                <w:highlight w:val="none"/>
                <w:lang w:eastAsia="zh-CN"/>
              </w:rPr>
              <w:t>，</w:t>
            </w:r>
            <w:r>
              <w:rPr>
                <w:rFonts w:hint="eastAsia"/>
                <w:color w:val="auto"/>
                <w:sz w:val="24"/>
                <w:szCs w:val="24"/>
                <w:highlight w:val="none"/>
                <w:lang w:val="en-US" w:eastAsia="zh-CN"/>
              </w:rPr>
              <w:t>每年的9月下旬、10月烘干水稻</w:t>
            </w:r>
            <w:r>
              <w:rPr>
                <w:rFonts w:hint="eastAsia"/>
                <w:color w:val="auto"/>
                <w:sz w:val="24"/>
                <w:szCs w:val="24"/>
                <w:highlight w:val="none"/>
              </w:rPr>
              <w:t>）</w:t>
            </w:r>
            <w:r>
              <w:rPr>
                <w:rFonts w:hint="default" w:ascii="Times New Roman" w:hAnsi="Times New Roman" w:cs="Times New Roman"/>
                <w:color w:val="auto"/>
                <w:sz w:val="24"/>
                <w:szCs w:val="24"/>
                <w:highlight w:val="none"/>
                <w:lang w:val="en-US" w:eastAsia="zh-CN"/>
              </w:rPr>
              <w:t>，年烘干玉米</w:t>
            </w:r>
            <w:r>
              <w:rPr>
                <w:rFonts w:hint="eastAsia" w:ascii="Times New Roman" w:hAnsi="Times New Roman" w:eastAsia="宋体" w:cs="Times New Roman"/>
                <w:i w:val="0"/>
                <w:iCs w:val="0"/>
                <w:snapToGrid w:val="0"/>
                <w:color w:val="auto"/>
                <w:kern w:val="0"/>
                <w:sz w:val="24"/>
                <w:szCs w:val="24"/>
                <w:highlight w:val="none"/>
                <w:u w:val="none"/>
                <w:lang w:val="en-US" w:eastAsia="zh-CN" w:bidi="ar"/>
              </w:rPr>
              <w:t>1</w:t>
            </w:r>
            <w:r>
              <w:rPr>
                <w:rFonts w:hint="eastAsia" w:cs="Times New Roman"/>
                <w:i w:val="0"/>
                <w:iCs w:val="0"/>
                <w:snapToGrid w:val="0"/>
                <w:color w:val="auto"/>
                <w:kern w:val="0"/>
                <w:sz w:val="24"/>
                <w:szCs w:val="24"/>
                <w:highlight w:val="none"/>
                <w:u w:val="none"/>
                <w:lang w:val="en-US" w:eastAsia="zh-CN" w:bidi="ar"/>
              </w:rPr>
              <w:t>2500</w:t>
            </w:r>
            <w:r>
              <w:rPr>
                <w:rFonts w:hint="default" w:ascii="Times New Roman" w:hAnsi="Times New Roman" w:cs="Times New Roman"/>
                <w:color w:val="auto"/>
                <w:sz w:val="24"/>
                <w:szCs w:val="24"/>
                <w:highlight w:val="none"/>
                <w:lang w:val="en-US" w:eastAsia="zh-CN"/>
              </w:rPr>
              <w:t>吨，年烘干时间</w:t>
            </w:r>
            <w:r>
              <w:rPr>
                <w:rFonts w:hint="eastAsia" w:cs="Times New Roman"/>
                <w:color w:val="auto"/>
                <w:sz w:val="24"/>
                <w:szCs w:val="24"/>
                <w:highlight w:val="none"/>
                <w:lang w:val="en-US" w:eastAsia="zh-CN"/>
              </w:rPr>
              <w:t>28天</w:t>
            </w:r>
            <w:r>
              <w:rPr>
                <w:rFonts w:hint="default" w:ascii="Times New Roman" w:hAnsi="Times New Roman" w:cs="Times New Roman"/>
                <w:color w:val="auto"/>
                <w:sz w:val="24"/>
                <w:szCs w:val="24"/>
                <w:highlight w:val="none"/>
                <w:lang w:val="en-US" w:eastAsia="zh-CN"/>
              </w:rPr>
              <w:t>计</w:t>
            </w:r>
            <w:r>
              <w:rPr>
                <w:rFonts w:hint="eastAsia"/>
                <w:color w:val="auto"/>
                <w:sz w:val="24"/>
                <w:szCs w:val="24"/>
                <w:highlight w:val="none"/>
              </w:rPr>
              <w:t>（每天</w:t>
            </w:r>
            <w:r>
              <w:rPr>
                <w:rFonts w:hint="eastAsia"/>
                <w:color w:val="auto"/>
                <w:sz w:val="24"/>
                <w:szCs w:val="24"/>
                <w:highlight w:val="none"/>
                <w:lang w:val="en-US" w:eastAsia="zh-CN"/>
              </w:rPr>
              <w:t>24</w:t>
            </w:r>
            <w:r>
              <w:rPr>
                <w:rFonts w:hint="eastAsia"/>
                <w:color w:val="auto"/>
                <w:sz w:val="24"/>
                <w:szCs w:val="24"/>
                <w:highlight w:val="none"/>
              </w:rPr>
              <w:t>h</w:t>
            </w:r>
            <w:r>
              <w:rPr>
                <w:rFonts w:hint="eastAsia"/>
                <w:color w:val="auto"/>
                <w:sz w:val="24"/>
                <w:szCs w:val="24"/>
                <w:highlight w:val="none"/>
                <w:lang w:eastAsia="zh-CN"/>
              </w:rPr>
              <w:t>，</w:t>
            </w:r>
            <w:r>
              <w:rPr>
                <w:rFonts w:hint="eastAsia"/>
                <w:color w:val="auto"/>
                <w:sz w:val="24"/>
                <w:szCs w:val="24"/>
                <w:highlight w:val="none"/>
                <w:lang w:val="en-US" w:eastAsia="zh-CN"/>
              </w:rPr>
              <w:t>每年的12月下旬至1月末烘干玉米</w:t>
            </w:r>
            <w:r>
              <w:rPr>
                <w:rFonts w:hint="eastAsia"/>
                <w:color w:val="auto"/>
                <w:sz w:val="24"/>
                <w:szCs w:val="24"/>
                <w:highlight w:val="none"/>
              </w:rPr>
              <w:t>）</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热风炉烟气</w:t>
            </w:r>
            <w:r>
              <w:rPr>
                <w:rFonts w:hint="eastAsia" w:cs="Times New Roman"/>
                <w:color w:val="auto"/>
                <w:sz w:val="24"/>
                <w:szCs w:val="24"/>
                <w:highlight w:val="none"/>
                <w:lang w:val="en-US" w:eastAsia="zh-CN"/>
              </w:rPr>
              <w:t>经</w:t>
            </w:r>
            <w:r>
              <w:rPr>
                <w:rFonts w:hint="default" w:ascii="Times New Roman" w:hAnsi="Times New Roman" w:cs="Times New Roman"/>
                <w:color w:val="auto"/>
                <w:sz w:val="24"/>
                <w:szCs w:val="24"/>
                <w:highlight w:val="none"/>
                <w:lang w:val="en-US" w:eastAsia="zh-CN"/>
              </w:rPr>
              <w:t>布袋除尘器（除尘效率99</w:t>
            </w:r>
            <w:r>
              <w:rPr>
                <w:rFonts w:hint="eastAsia" w:cs="Times New Roman"/>
                <w:color w:val="auto"/>
                <w:sz w:val="24"/>
                <w:szCs w:val="24"/>
                <w:highlight w:val="none"/>
                <w:lang w:val="en-US" w:eastAsia="zh-CN"/>
              </w:rPr>
              <w:t>.7</w:t>
            </w:r>
            <w:r>
              <w:rPr>
                <w:rFonts w:hint="default" w:ascii="Times New Roman" w:hAnsi="Times New Roman" w:cs="Times New Roman"/>
                <w:color w:val="auto"/>
                <w:sz w:val="24"/>
                <w:szCs w:val="24"/>
                <w:highlight w:val="none"/>
                <w:lang w:val="en-US" w:eastAsia="zh-CN"/>
              </w:rPr>
              <w:t>%）处理后经过</w:t>
            </w:r>
            <w:r>
              <w:rPr>
                <w:rFonts w:hint="eastAsia" w:cs="Times New Roman"/>
                <w:color w:val="auto"/>
                <w:sz w:val="24"/>
                <w:szCs w:val="24"/>
                <w:highlight w:val="none"/>
                <w:lang w:val="en-US" w:eastAsia="zh-CN"/>
              </w:rPr>
              <w:t>18m高</w:t>
            </w:r>
            <w:r>
              <w:rPr>
                <w:rFonts w:hint="eastAsia" w:cs="Times New Roman"/>
                <w:color w:val="auto"/>
                <w:sz w:val="24"/>
                <w:szCs w:val="24"/>
                <w:highlight w:val="none"/>
                <w:lang w:eastAsia="zh-CN"/>
              </w:rPr>
              <w:t>烟囱</w:t>
            </w:r>
            <w:r>
              <w:rPr>
                <w:rFonts w:hint="default" w:ascii="Times New Roman" w:hAnsi="Times New Roman" w:cs="Times New Roman"/>
                <w:color w:val="auto"/>
                <w:sz w:val="24"/>
                <w:szCs w:val="24"/>
                <w:highlight w:val="none"/>
                <w:lang w:val="en-US" w:eastAsia="zh-CN"/>
              </w:rPr>
              <w:t>排放，热风炉的燃料为</w:t>
            </w:r>
            <w:r>
              <w:rPr>
                <w:rFonts w:hint="eastAsia" w:ascii="Times New Roman" w:hAnsi="Times New Roman" w:cs="Times New Roman"/>
                <w:color w:val="auto"/>
                <w:sz w:val="24"/>
                <w:szCs w:val="24"/>
                <w:highlight w:val="none"/>
                <w:lang w:val="en-US" w:eastAsia="zh-CN"/>
              </w:rPr>
              <w:t>生物质</w:t>
            </w:r>
            <w:r>
              <w:rPr>
                <w:rFonts w:hint="eastAsia" w:cs="Times New Roman"/>
                <w:color w:val="auto"/>
                <w:sz w:val="24"/>
                <w:szCs w:val="24"/>
                <w:highlight w:val="none"/>
                <w:lang w:val="en-US" w:eastAsia="zh-CN"/>
              </w:rPr>
              <w:t>颗粒</w:t>
            </w:r>
            <w:r>
              <w:rPr>
                <w:rFonts w:hint="default" w:ascii="Times New Roman" w:hAnsi="Times New Roman" w:cs="Times New Roman"/>
                <w:color w:val="auto"/>
                <w:sz w:val="24"/>
                <w:szCs w:val="24"/>
                <w:highlight w:val="none"/>
                <w:lang w:val="en-US" w:eastAsia="zh-CN"/>
              </w:rPr>
              <w:t>。</w:t>
            </w:r>
          </w:p>
          <w:p w14:paraId="2D614321">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480"/>
              <w:rPr>
                <w:rFonts w:hint="default"/>
                <w:b w:val="0"/>
                <w:bCs/>
                <w:color w:val="auto"/>
                <w:sz w:val="24"/>
                <w:szCs w:val="24"/>
                <w:highlight w:val="none"/>
              </w:rPr>
            </w:pPr>
            <w:r>
              <w:rPr>
                <w:rFonts w:hint="eastAsia"/>
                <w:b w:val="0"/>
                <w:bCs/>
                <w:color w:val="auto"/>
                <w:sz w:val="24"/>
                <w:szCs w:val="24"/>
                <w:highlight w:val="none"/>
              </w:rPr>
              <w:t>①烟气量</w:t>
            </w:r>
          </w:p>
          <w:p w14:paraId="2BE00B09">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480"/>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rPr>
              <w:t>本项目烟气量的计算采用《污染源源强核算技术指南 锅炉》（HJ991- 2018）中附录C.2、C.4中的相应参数，利用物料衡算法进行计算。本项目</w:t>
            </w:r>
            <w:r>
              <w:rPr>
                <w:rFonts w:hint="default" w:ascii="Times New Roman" w:hAnsi="Times New Roman" w:cs="Times New Roman"/>
                <w:b w:val="0"/>
                <w:bCs/>
                <w:color w:val="auto"/>
                <w:sz w:val="24"/>
                <w:szCs w:val="24"/>
                <w:highlight w:val="none"/>
                <w:lang w:eastAsia="zh-CN"/>
              </w:rPr>
              <w:t>热风炉烟气</w:t>
            </w:r>
            <w:r>
              <w:rPr>
                <w:rFonts w:hint="default" w:ascii="Times New Roman" w:hAnsi="Times New Roman" w:cs="Times New Roman"/>
                <w:b w:val="0"/>
                <w:bCs/>
                <w:color w:val="auto"/>
                <w:sz w:val="24"/>
                <w:szCs w:val="24"/>
                <w:highlight w:val="none"/>
              </w:rPr>
              <w:t>采用元素成分分析时理论空气量进行计算，公式如下，燃料分析报告见附件：</w:t>
            </w:r>
          </w:p>
          <w:p w14:paraId="3060A048">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360" w:lineRule="auto"/>
              <w:ind w:left="0" w:right="0" w:firstLine="200"/>
              <w:jc w:val="center"/>
              <w:outlineLvl w:val="3"/>
              <w:rPr>
                <w:rFonts w:hint="default" w:ascii="Times New Roman" w:hAnsi="Times New Roman" w:cs="Times New Roman"/>
                <w:b w:val="0"/>
                <w:bCs/>
                <w:sz w:val="24"/>
                <w:szCs w:val="24"/>
                <w:highlight w:val="none"/>
              </w:rPr>
            </w:pPr>
            <w:r>
              <w:rPr>
                <w:rFonts w:hint="default" w:ascii="Times New Roman" w:hAnsi="Times New Roman" w:cs="Times New Roman"/>
                <w:b w:val="0"/>
                <w:bCs/>
                <w:color w:val="auto"/>
                <w:sz w:val="24"/>
                <w:szCs w:val="24"/>
                <w:highlight w:val="none"/>
              </w:rPr>
              <w:drawing>
                <wp:inline distT="0" distB="0" distL="114300" distR="114300">
                  <wp:extent cx="3441700" cy="304800"/>
                  <wp:effectExtent l="0" t="0" r="6350" b="0"/>
                  <wp:docPr id="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
                          <pic:cNvPicPr>
                            <a:picLocks noChangeAspect="1"/>
                          </pic:cNvPicPr>
                        </pic:nvPicPr>
                        <pic:blipFill>
                          <a:blip r:embed="rId15"/>
                          <a:stretch>
                            <a:fillRect/>
                          </a:stretch>
                        </pic:blipFill>
                        <pic:spPr>
                          <a:xfrm>
                            <a:off x="0" y="0"/>
                            <a:ext cx="3441700" cy="304800"/>
                          </a:xfrm>
                          <a:prstGeom prst="rect">
                            <a:avLst/>
                          </a:prstGeom>
                          <a:noFill/>
                          <a:ln>
                            <a:noFill/>
                          </a:ln>
                        </pic:spPr>
                      </pic:pic>
                    </a:graphicData>
                  </a:graphic>
                </wp:inline>
              </w:drawing>
            </w:r>
          </w:p>
          <w:p w14:paraId="680341DF">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480"/>
              <w:rPr>
                <w:rFonts w:hint="default" w:ascii="Times New Roman" w:hAnsi="Times New Roman" w:cs="Times New Roman"/>
                <w:b w:val="0"/>
                <w:bCs/>
                <w:sz w:val="24"/>
                <w:szCs w:val="24"/>
                <w:highlight w:val="none"/>
              </w:rPr>
            </w:pPr>
            <w:r>
              <w:rPr>
                <w:rFonts w:hint="default" w:ascii="Times New Roman" w:hAnsi="Times New Roman" w:cs="Times New Roman"/>
                <w:b w:val="0"/>
                <w:bCs/>
                <w:sz w:val="24"/>
                <w:szCs w:val="24"/>
                <w:highlight w:val="none"/>
              </w:rPr>
              <w:t>式中：V</w:t>
            </w:r>
            <w:r>
              <w:rPr>
                <w:rFonts w:hint="default" w:ascii="Times New Roman" w:hAnsi="Times New Roman" w:cs="Times New Roman"/>
                <w:b w:val="0"/>
                <w:bCs/>
                <w:sz w:val="24"/>
                <w:szCs w:val="24"/>
                <w:highlight w:val="none"/>
                <w:vertAlign w:val="subscript"/>
              </w:rPr>
              <w:t>0</w:t>
            </w:r>
            <w:r>
              <w:rPr>
                <w:rFonts w:hint="default" w:ascii="Times New Roman" w:hAnsi="Times New Roman" w:cs="Times New Roman"/>
                <w:b w:val="0"/>
                <w:bCs/>
                <w:sz w:val="24"/>
                <w:szCs w:val="24"/>
                <w:highlight w:val="none"/>
              </w:rPr>
              <w:t>——理论空气量，</w:t>
            </w:r>
            <w:r>
              <w:rPr>
                <w:rFonts w:hint="default" w:ascii="Times New Roman" w:hAnsi="Times New Roman" w:cs="Times New Roman"/>
                <w:b w:val="0"/>
                <w:bCs/>
                <w:sz w:val="24"/>
                <w:szCs w:val="24"/>
                <w:highlight w:val="none"/>
                <w:lang w:eastAsia="zh-CN"/>
              </w:rPr>
              <w:t>m</w:t>
            </w:r>
            <w:r>
              <w:rPr>
                <w:rFonts w:hint="default" w:ascii="Times New Roman" w:hAnsi="Times New Roman" w:cs="Times New Roman"/>
                <w:b w:val="0"/>
                <w:bCs/>
                <w:sz w:val="24"/>
                <w:szCs w:val="24"/>
                <w:highlight w:val="none"/>
                <w:vertAlign w:val="superscript"/>
                <w:lang w:eastAsia="zh-CN"/>
              </w:rPr>
              <w:t>3</w:t>
            </w:r>
            <w:r>
              <w:rPr>
                <w:rFonts w:hint="default" w:ascii="Times New Roman" w:hAnsi="Times New Roman" w:cs="Times New Roman"/>
                <w:b w:val="0"/>
                <w:bCs/>
                <w:sz w:val="24"/>
                <w:szCs w:val="24"/>
                <w:highlight w:val="none"/>
              </w:rPr>
              <w:t>/kg；</w:t>
            </w:r>
          </w:p>
          <w:p w14:paraId="0B170FE2">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1200" w:firstLineChars="500"/>
              <w:rPr>
                <w:rFonts w:hint="default" w:ascii="Times New Roman" w:hAnsi="Times New Roman" w:cs="Times New Roman"/>
                <w:b w:val="0"/>
                <w:bCs/>
                <w:sz w:val="24"/>
                <w:szCs w:val="24"/>
                <w:highlight w:val="none"/>
              </w:rPr>
            </w:pPr>
            <w:r>
              <w:rPr>
                <w:rFonts w:hint="default" w:ascii="Times New Roman" w:hAnsi="Times New Roman" w:cs="Times New Roman"/>
                <w:b w:val="0"/>
                <w:bCs/>
                <w:sz w:val="24"/>
                <w:szCs w:val="24"/>
                <w:highlight w:val="none"/>
              </w:rPr>
              <w:t>Car——收到基碳的质量分数，%，根据燃料成分分析为</w:t>
            </w:r>
            <w:r>
              <w:rPr>
                <w:rFonts w:hint="default" w:ascii="Times New Roman" w:hAnsi="Times New Roman" w:cs="Times New Roman"/>
                <w:b w:val="0"/>
                <w:bCs/>
                <w:sz w:val="24"/>
                <w:szCs w:val="24"/>
                <w:highlight w:val="none"/>
                <w:lang w:val="en-US" w:eastAsia="zh-CN"/>
              </w:rPr>
              <w:t>42.28</w:t>
            </w:r>
            <w:r>
              <w:rPr>
                <w:rFonts w:hint="default" w:ascii="Times New Roman" w:hAnsi="Times New Roman" w:cs="Times New Roman"/>
                <w:b w:val="0"/>
                <w:bCs/>
                <w:sz w:val="24"/>
                <w:szCs w:val="24"/>
                <w:highlight w:val="none"/>
              </w:rPr>
              <w:t>；</w:t>
            </w:r>
          </w:p>
          <w:p w14:paraId="28C5688F">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1200" w:firstLineChars="500"/>
              <w:rPr>
                <w:rFonts w:hint="default" w:ascii="Times New Roman" w:hAnsi="Times New Roman" w:cs="Times New Roman"/>
                <w:b w:val="0"/>
                <w:bCs/>
                <w:sz w:val="24"/>
                <w:szCs w:val="24"/>
                <w:highlight w:val="none"/>
              </w:rPr>
            </w:pPr>
            <w:r>
              <w:rPr>
                <w:rFonts w:hint="default" w:ascii="Times New Roman" w:hAnsi="Times New Roman" w:cs="Times New Roman"/>
                <w:b w:val="0"/>
                <w:bCs/>
                <w:sz w:val="24"/>
                <w:szCs w:val="24"/>
                <w:highlight w:val="none"/>
              </w:rPr>
              <w:t>Sar——收到基硫的质量分数，%，根据燃料成分分析为0.0</w:t>
            </w:r>
            <w:r>
              <w:rPr>
                <w:rFonts w:hint="default" w:ascii="Times New Roman" w:hAnsi="Times New Roman" w:cs="Times New Roman"/>
                <w:b w:val="0"/>
                <w:bCs/>
                <w:sz w:val="24"/>
                <w:szCs w:val="24"/>
                <w:highlight w:val="none"/>
                <w:lang w:val="en-US" w:eastAsia="zh-CN"/>
              </w:rPr>
              <w:t>7</w:t>
            </w:r>
            <w:r>
              <w:rPr>
                <w:rFonts w:hint="default" w:ascii="Times New Roman" w:hAnsi="Times New Roman" w:cs="Times New Roman"/>
                <w:b w:val="0"/>
                <w:bCs/>
                <w:sz w:val="24"/>
                <w:szCs w:val="24"/>
                <w:highlight w:val="none"/>
              </w:rPr>
              <w:t>；</w:t>
            </w:r>
          </w:p>
          <w:p w14:paraId="3DEE380A">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1200" w:firstLineChars="500"/>
              <w:rPr>
                <w:rFonts w:hint="default" w:ascii="Times New Roman" w:hAnsi="Times New Roman" w:cs="Times New Roman"/>
                <w:b w:val="0"/>
                <w:bCs/>
                <w:sz w:val="24"/>
                <w:szCs w:val="24"/>
                <w:highlight w:val="none"/>
              </w:rPr>
            </w:pPr>
            <w:r>
              <w:rPr>
                <w:rFonts w:hint="default" w:ascii="Times New Roman" w:hAnsi="Times New Roman" w:cs="Times New Roman"/>
                <w:b w:val="0"/>
                <w:bCs/>
                <w:sz w:val="24"/>
                <w:szCs w:val="24"/>
                <w:highlight w:val="none"/>
              </w:rPr>
              <w:t>Har——收到基氢的质量分数，%，根据燃料成分分析为</w:t>
            </w:r>
            <w:r>
              <w:rPr>
                <w:rFonts w:hint="default" w:ascii="Times New Roman" w:hAnsi="Times New Roman" w:cs="Times New Roman"/>
                <w:b w:val="0"/>
                <w:bCs/>
                <w:sz w:val="24"/>
                <w:szCs w:val="24"/>
                <w:highlight w:val="none"/>
                <w:lang w:val="en-US" w:eastAsia="zh-CN"/>
              </w:rPr>
              <w:t>4.49</w:t>
            </w:r>
            <w:r>
              <w:rPr>
                <w:rFonts w:hint="default" w:ascii="Times New Roman" w:hAnsi="Times New Roman" w:cs="Times New Roman"/>
                <w:b w:val="0"/>
                <w:bCs/>
                <w:sz w:val="24"/>
                <w:szCs w:val="24"/>
                <w:highlight w:val="none"/>
              </w:rPr>
              <w:t>；</w:t>
            </w:r>
          </w:p>
          <w:p w14:paraId="4CE8BA0D">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1200" w:firstLineChars="500"/>
              <w:rPr>
                <w:rFonts w:hint="default" w:ascii="Times New Roman" w:hAnsi="Times New Roman" w:cs="Times New Roman"/>
                <w:b w:val="0"/>
                <w:bCs/>
                <w:sz w:val="24"/>
                <w:szCs w:val="24"/>
                <w:highlight w:val="none"/>
              </w:rPr>
            </w:pPr>
            <w:r>
              <w:rPr>
                <w:rFonts w:hint="default" w:ascii="Times New Roman" w:hAnsi="Times New Roman" w:cs="Times New Roman"/>
                <w:b w:val="0"/>
                <w:bCs/>
                <w:sz w:val="24"/>
                <w:szCs w:val="24"/>
                <w:highlight w:val="none"/>
              </w:rPr>
              <w:t>Oar——收到基氧的质量分数，%，根据燃料成分分析为</w:t>
            </w:r>
            <w:r>
              <w:rPr>
                <w:rFonts w:hint="default" w:ascii="Times New Roman" w:hAnsi="Times New Roman" w:cs="Times New Roman"/>
                <w:b w:val="0"/>
                <w:bCs/>
                <w:sz w:val="24"/>
                <w:szCs w:val="24"/>
                <w:highlight w:val="none"/>
                <w:lang w:val="en-US" w:eastAsia="zh-CN"/>
              </w:rPr>
              <w:t>34.93</w:t>
            </w:r>
            <w:r>
              <w:rPr>
                <w:rFonts w:hint="default" w:ascii="Times New Roman" w:hAnsi="Times New Roman" w:cs="Times New Roman"/>
                <w:b w:val="0"/>
                <w:bCs/>
                <w:sz w:val="24"/>
                <w:szCs w:val="24"/>
                <w:highlight w:val="none"/>
              </w:rPr>
              <w:t>。</w:t>
            </w:r>
          </w:p>
          <w:p w14:paraId="2DC33D44">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480"/>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sz w:val="24"/>
                <w:szCs w:val="24"/>
                <w:highlight w:val="none"/>
              </w:rPr>
              <w:t>经计算，本项目理论空</w:t>
            </w:r>
            <w:r>
              <w:rPr>
                <w:rFonts w:hint="default" w:ascii="Times New Roman" w:hAnsi="Times New Roman" w:cs="Times New Roman"/>
                <w:b w:val="0"/>
                <w:bCs/>
                <w:color w:val="auto"/>
                <w:sz w:val="24"/>
                <w:szCs w:val="24"/>
                <w:highlight w:val="none"/>
              </w:rPr>
              <w:t>气量为：V</w:t>
            </w:r>
            <w:r>
              <w:rPr>
                <w:rFonts w:hint="default" w:ascii="Times New Roman" w:hAnsi="Times New Roman" w:cs="Times New Roman"/>
                <w:b w:val="0"/>
                <w:bCs/>
                <w:color w:val="auto"/>
                <w:sz w:val="24"/>
                <w:szCs w:val="24"/>
                <w:highlight w:val="none"/>
                <w:vertAlign w:val="subscript"/>
              </w:rPr>
              <w:t>0</w:t>
            </w:r>
            <w:r>
              <w:rPr>
                <w:rFonts w:hint="default" w:ascii="Times New Roman" w:hAnsi="Times New Roman" w:cs="Times New Roman"/>
                <w:b w:val="0"/>
                <w:bCs/>
                <w:color w:val="auto"/>
                <w:sz w:val="24"/>
                <w:szCs w:val="24"/>
                <w:highlight w:val="none"/>
              </w:rPr>
              <w:t>=</w:t>
            </w:r>
            <w:r>
              <w:rPr>
                <w:rFonts w:hint="default" w:ascii="Times New Roman" w:hAnsi="Times New Roman" w:cs="Times New Roman"/>
                <w:b w:val="0"/>
                <w:bCs/>
                <w:color w:val="auto"/>
                <w:sz w:val="24"/>
                <w:szCs w:val="24"/>
                <w:highlight w:val="none"/>
                <w:lang w:val="en-US" w:eastAsia="zh-CN"/>
              </w:rPr>
              <w:t>3.788</w:t>
            </w:r>
            <w:r>
              <w:rPr>
                <w:rFonts w:hint="default" w:ascii="Times New Roman" w:hAnsi="Times New Roman" w:cs="Times New Roman"/>
                <w:b w:val="0"/>
                <w:bCs/>
                <w:color w:val="auto"/>
                <w:sz w:val="24"/>
                <w:szCs w:val="24"/>
                <w:highlight w:val="none"/>
                <w:lang w:eastAsia="zh-CN"/>
              </w:rPr>
              <w:t>m</w:t>
            </w:r>
            <w:r>
              <w:rPr>
                <w:rFonts w:hint="default" w:ascii="Times New Roman" w:hAnsi="Times New Roman" w:cs="Times New Roman"/>
                <w:b w:val="0"/>
                <w:bCs/>
                <w:color w:val="auto"/>
                <w:sz w:val="24"/>
                <w:szCs w:val="24"/>
                <w:highlight w:val="none"/>
                <w:vertAlign w:val="superscript"/>
                <w:lang w:eastAsia="zh-CN"/>
              </w:rPr>
              <w:t>3</w:t>
            </w:r>
            <w:r>
              <w:rPr>
                <w:rFonts w:hint="default" w:ascii="Times New Roman" w:hAnsi="Times New Roman" w:cs="Times New Roman"/>
                <w:b w:val="0"/>
                <w:bCs/>
                <w:color w:val="auto"/>
                <w:sz w:val="24"/>
                <w:szCs w:val="24"/>
                <w:highlight w:val="none"/>
              </w:rPr>
              <w:t>/kg</w:t>
            </w:r>
          </w:p>
          <w:p w14:paraId="7102DB29">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480"/>
              <w:rPr>
                <w:rFonts w:hint="default" w:ascii="Times New Roman" w:hAnsi="Times New Roman" w:cs="Times New Roman"/>
                <w:b w:val="0"/>
                <w:bCs/>
                <w:sz w:val="24"/>
                <w:szCs w:val="24"/>
                <w:highlight w:val="none"/>
              </w:rPr>
            </w:pPr>
            <w:r>
              <w:rPr>
                <w:rFonts w:hint="default" w:ascii="Times New Roman" w:hAnsi="Times New Roman" w:cs="Times New Roman"/>
                <w:b w:val="0"/>
                <w:bCs/>
                <w:sz w:val="24"/>
                <w:szCs w:val="24"/>
                <w:highlight w:val="none"/>
              </w:rPr>
              <w:t>锅炉中实际燃烧过程是在过量空气系数α＞1的条件下进行的，1kg固体或液体燃料产生的烟气排放量可用下式计算：</w:t>
            </w:r>
          </w:p>
          <w:p w14:paraId="5E8F6246">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360" w:lineRule="auto"/>
              <w:ind w:left="0" w:right="0"/>
              <w:jc w:val="center"/>
              <w:outlineLvl w:val="3"/>
              <w:rPr>
                <w:rFonts w:hint="default"/>
                <w:b w:val="0"/>
                <w:bCs/>
                <w:kern w:val="0"/>
                <w:sz w:val="24"/>
                <w:szCs w:val="24"/>
                <w:highlight w:val="none"/>
              </w:rPr>
            </w:pPr>
            <w:r>
              <w:rPr>
                <w:rFonts w:hint="default"/>
                <w:b w:val="0"/>
                <w:bCs/>
                <w:kern w:val="0"/>
                <w:sz w:val="24"/>
                <w:szCs w:val="24"/>
                <w:highlight w:val="none"/>
              </w:rPr>
              <w:drawing>
                <wp:inline distT="0" distB="0" distL="114300" distR="114300">
                  <wp:extent cx="3199130" cy="428625"/>
                  <wp:effectExtent l="0" t="0" r="1270" b="9525"/>
                  <wp:docPr id="95" name="图片 11" descr="1693996219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1" descr="1693996219520"/>
                          <pic:cNvPicPr>
                            <a:picLocks noChangeAspect="1"/>
                          </pic:cNvPicPr>
                        </pic:nvPicPr>
                        <pic:blipFill>
                          <a:blip r:embed="rId16"/>
                          <a:srcRect b="10001"/>
                          <a:stretch>
                            <a:fillRect/>
                          </a:stretch>
                        </pic:blipFill>
                        <pic:spPr>
                          <a:xfrm>
                            <a:off x="0" y="0"/>
                            <a:ext cx="3199130" cy="428625"/>
                          </a:xfrm>
                          <a:prstGeom prst="rect">
                            <a:avLst/>
                          </a:prstGeom>
                          <a:noFill/>
                          <a:ln>
                            <a:noFill/>
                          </a:ln>
                        </pic:spPr>
                      </pic:pic>
                    </a:graphicData>
                  </a:graphic>
                </wp:inline>
              </w:drawing>
            </w:r>
          </w:p>
          <w:p w14:paraId="3B221AC2">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360" w:lineRule="auto"/>
              <w:ind w:left="0" w:right="0"/>
              <w:jc w:val="center"/>
              <w:outlineLvl w:val="3"/>
              <w:rPr>
                <w:rFonts w:hint="default" w:cs="Times New Roman"/>
                <w:b w:val="0"/>
                <w:bCs/>
                <w:position w:val="-24"/>
                <w:sz w:val="24"/>
                <w:szCs w:val="24"/>
                <w:highlight w:val="none"/>
                <w:lang w:bidi="ar"/>
              </w:rPr>
            </w:pPr>
            <w:r>
              <w:rPr>
                <w:rFonts w:hint="default" w:cs="Times New Roman"/>
                <w:b w:val="0"/>
                <w:bCs/>
                <w:position w:val="-24"/>
                <w:sz w:val="24"/>
                <w:szCs w:val="24"/>
                <w:highlight w:val="none"/>
                <w:lang w:bidi="ar"/>
              </w:rPr>
              <w:object>
                <v:shape id="_x0000_i1026" o:spt="75" type="#_x0000_t75" style="height:30.75pt;width:119.25pt;" o:ole="t" filled="f" o:preferrelative="f" stroked="f" coordsize="21600,21600">
                  <v:path/>
                  <v:fill on="f" focussize="0,0"/>
                  <v:stroke on="f" joinstyle="miter"/>
                  <v:imagedata r:id="rId18" embosscolor="#FFFFFF" o:title=""/>
                  <o:lock v:ext="edit" aspectratio="t"/>
                  <w10:wrap type="none"/>
                  <w10:anchorlock/>
                </v:shape>
                <o:OLEObject Type="Embed" ProgID="Equation.3" ShapeID="_x0000_i1026" DrawAspect="Content" ObjectID="_1468075726" r:id="rId17">
                  <o:LockedField>false</o:LockedField>
                </o:OLEObject>
              </w:object>
            </w:r>
          </w:p>
          <w:p w14:paraId="5B17C0BB">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360" w:lineRule="auto"/>
              <w:ind w:left="0" w:right="0"/>
              <w:jc w:val="center"/>
              <w:outlineLvl w:val="3"/>
              <w:rPr>
                <w:rFonts w:hint="default" w:cs="Times New Roman"/>
                <w:b w:val="0"/>
                <w:bCs/>
                <w:color w:val="auto"/>
                <w:position w:val="-24"/>
                <w:sz w:val="24"/>
                <w:szCs w:val="24"/>
                <w:highlight w:val="none"/>
                <w:lang w:bidi="ar"/>
              </w:rPr>
            </w:pPr>
            <w:r>
              <w:rPr>
                <w:rFonts w:hint="default" w:cs="Times New Roman"/>
                <w:b w:val="0"/>
                <w:bCs/>
                <w:color w:val="auto"/>
                <w:position w:val="-14"/>
                <w:sz w:val="24"/>
                <w:szCs w:val="24"/>
                <w:highlight w:val="none"/>
                <w:lang w:bidi="ar"/>
              </w:rPr>
              <w:object>
                <v:shape id="_x0000_i1027" o:spt="75" type="#_x0000_t75" style="height:18.75pt;width:126.75pt;" o:ole="t" filled="f" o:preferrelative="f" stroked="f" coordsize="21600,21600">
                  <v:path/>
                  <v:fill on="f" focussize="0,0"/>
                  <v:stroke on="f" joinstyle="miter"/>
                  <v:imagedata r:id="rId20" o:title=""/>
                  <o:lock v:ext="edit" aspectratio="t"/>
                  <w10:wrap type="none"/>
                  <w10:anchorlock/>
                </v:shape>
                <o:OLEObject Type="Embed" ProgID="Equation.3" ShapeID="_x0000_i1027" DrawAspect="Content" ObjectID="_1468075727" r:id="rId19">
                  <o:LockedField>false</o:LockedField>
                </o:OLEObject>
              </w:object>
            </w:r>
          </w:p>
          <w:p w14:paraId="329BF345">
            <w:pPr>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firstLine="480" w:firstLineChars="200"/>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lang w:bidi="ar"/>
              </w:rPr>
              <w:t>式中：</w:t>
            </w:r>
            <w:r>
              <w:rPr>
                <w:rFonts w:hint="default" w:ascii="Times New Roman" w:hAnsi="Times New Roman" w:cs="Times New Roman"/>
                <w:b w:val="0"/>
                <w:bCs/>
                <w:iCs/>
                <w:color w:val="auto"/>
                <w:sz w:val="24"/>
                <w:szCs w:val="24"/>
                <w:highlight w:val="none"/>
                <w:lang w:bidi="ar"/>
              </w:rPr>
              <w:t>V</w:t>
            </w:r>
            <w:r>
              <w:rPr>
                <w:rFonts w:hint="default" w:ascii="Times New Roman" w:hAnsi="Times New Roman" w:cs="Times New Roman"/>
                <w:b w:val="0"/>
                <w:bCs/>
                <w:iCs/>
                <w:color w:val="auto"/>
                <w:sz w:val="24"/>
                <w:szCs w:val="24"/>
                <w:highlight w:val="none"/>
                <w:vertAlign w:val="subscript"/>
                <w:lang w:bidi="ar"/>
              </w:rPr>
              <w:t>g</w:t>
            </w:r>
            <w:r>
              <w:rPr>
                <w:rFonts w:hint="default" w:ascii="Times New Roman" w:hAnsi="Times New Roman" w:cs="Times New Roman"/>
                <w:b w:val="0"/>
                <w:bCs/>
                <w:iCs/>
                <w:color w:val="auto"/>
                <w:sz w:val="24"/>
                <w:szCs w:val="24"/>
                <w:highlight w:val="none"/>
                <w:lang w:bidi="ar"/>
              </w:rPr>
              <w:t>——干烟气排</w:t>
            </w:r>
            <w:r>
              <w:rPr>
                <w:rFonts w:hint="default" w:ascii="Times New Roman" w:hAnsi="Times New Roman" w:cs="Times New Roman"/>
                <w:b w:val="0"/>
                <w:bCs/>
                <w:color w:val="auto"/>
                <w:sz w:val="24"/>
                <w:szCs w:val="24"/>
                <w:highlight w:val="none"/>
              </w:rPr>
              <w:t>放量，</w:t>
            </w:r>
            <w:r>
              <w:rPr>
                <w:rFonts w:hint="default" w:ascii="Times New Roman" w:hAnsi="Times New Roman" w:cs="Times New Roman"/>
                <w:b w:val="0"/>
                <w:bCs/>
                <w:color w:val="auto"/>
                <w:sz w:val="24"/>
                <w:szCs w:val="24"/>
                <w:highlight w:val="none"/>
                <w:lang w:eastAsia="zh-CN"/>
              </w:rPr>
              <w:t>m</w:t>
            </w:r>
            <w:r>
              <w:rPr>
                <w:rFonts w:hint="default" w:ascii="Times New Roman" w:hAnsi="Times New Roman" w:cs="Times New Roman"/>
                <w:b w:val="0"/>
                <w:bCs/>
                <w:color w:val="auto"/>
                <w:sz w:val="24"/>
                <w:szCs w:val="24"/>
                <w:highlight w:val="none"/>
                <w:vertAlign w:val="superscript"/>
                <w:lang w:eastAsia="zh-CN"/>
              </w:rPr>
              <w:t>3</w:t>
            </w:r>
            <w:r>
              <w:rPr>
                <w:rFonts w:hint="default" w:ascii="Times New Roman" w:hAnsi="Times New Roman" w:cs="Times New Roman"/>
                <w:b w:val="0"/>
                <w:bCs/>
                <w:color w:val="auto"/>
                <w:sz w:val="24"/>
                <w:szCs w:val="24"/>
                <w:highlight w:val="none"/>
              </w:rPr>
              <w:t>/kg；</w:t>
            </w:r>
          </w:p>
          <w:p w14:paraId="64ACD8C5">
            <w:pPr>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firstLine="1200" w:firstLineChars="500"/>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rPr>
              <w:t>V</w:t>
            </w:r>
            <w:r>
              <w:rPr>
                <w:rFonts w:hint="default" w:ascii="Times New Roman" w:hAnsi="Times New Roman" w:cs="Times New Roman"/>
                <w:b w:val="0"/>
                <w:bCs/>
                <w:color w:val="auto"/>
                <w:sz w:val="24"/>
                <w:szCs w:val="24"/>
                <w:highlight w:val="none"/>
                <w:vertAlign w:val="subscript"/>
              </w:rPr>
              <w:t>RO2</w:t>
            </w:r>
            <w:r>
              <w:rPr>
                <w:rFonts w:hint="default" w:ascii="Times New Roman" w:hAnsi="Times New Roman" w:cs="Times New Roman"/>
                <w:b w:val="0"/>
                <w:bCs/>
                <w:color w:val="auto"/>
                <w:sz w:val="24"/>
                <w:szCs w:val="24"/>
                <w:highlight w:val="none"/>
              </w:rPr>
              <w:t>——烟气中二氧化碳和二氧化硫容积之和，经计算得0.</w:t>
            </w:r>
            <w:r>
              <w:rPr>
                <w:rFonts w:hint="default" w:ascii="Times New Roman" w:hAnsi="Times New Roman" w:cs="Times New Roman"/>
                <w:b w:val="0"/>
                <w:bCs/>
                <w:color w:val="auto"/>
                <w:sz w:val="24"/>
                <w:szCs w:val="24"/>
                <w:highlight w:val="none"/>
                <w:lang w:val="en-US" w:eastAsia="zh-CN"/>
              </w:rPr>
              <w:t>789</w:t>
            </w:r>
            <w:r>
              <w:rPr>
                <w:rFonts w:hint="default" w:ascii="Times New Roman" w:hAnsi="Times New Roman" w:cs="Times New Roman"/>
                <w:b w:val="0"/>
                <w:bCs/>
                <w:color w:val="auto"/>
                <w:sz w:val="24"/>
                <w:szCs w:val="24"/>
                <w:highlight w:val="none"/>
                <w:lang w:eastAsia="zh-CN"/>
              </w:rPr>
              <w:t>m</w:t>
            </w:r>
            <w:r>
              <w:rPr>
                <w:rFonts w:hint="default" w:ascii="Times New Roman" w:hAnsi="Times New Roman" w:cs="Times New Roman"/>
                <w:b w:val="0"/>
                <w:bCs/>
                <w:color w:val="auto"/>
                <w:sz w:val="24"/>
                <w:szCs w:val="24"/>
                <w:highlight w:val="none"/>
                <w:vertAlign w:val="superscript"/>
                <w:lang w:eastAsia="zh-CN"/>
              </w:rPr>
              <w:t>3</w:t>
            </w:r>
            <w:r>
              <w:rPr>
                <w:rFonts w:hint="default" w:ascii="Times New Roman" w:hAnsi="Times New Roman" w:cs="Times New Roman"/>
                <w:b w:val="0"/>
                <w:bCs/>
                <w:color w:val="auto"/>
                <w:sz w:val="24"/>
                <w:szCs w:val="24"/>
                <w:highlight w:val="none"/>
              </w:rPr>
              <w:t>/kg；</w:t>
            </w:r>
          </w:p>
          <w:p w14:paraId="4C4F60D0">
            <w:pPr>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firstLine="1200" w:firstLineChars="500"/>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rPr>
              <w:t>Car——收到基碳的质量分数，%，根据燃料成分分析为</w:t>
            </w:r>
            <w:r>
              <w:rPr>
                <w:rFonts w:hint="default" w:ascii="Times New Roman" w:hAnsi="Times New Roman" w:cs="Times New Roman"/>
                <w:b w:val="0"/>
                <w:bCs/>
                <w:color w:val="auto"/>
                <w:sz w:val="24"/>
                <w:szCs w:val="24"/>
                <w:highlight w:val="none"/>
                <w:lang w:val="en-US" w:eastAsia="zh-CN"/>
              </w:rPr>
              <w:t>42.28</w:t>
            </w:r>
            <w:r>
              <w:rPr>
                <w:rFonts w:hint="default" w:ascii="Times New Roman" w:hAnsi="Times New Roman" w:cs="Times New Roman"/>
                <w:b w:val="0"/>
                <w:bCs/>
                <w:color w:val="auto"/>
                <w:sz w:val="24"/>
                <w:szCs w:val="24"/>
                <w:highlight w:val="none"/>
              </w:rPr>
              <w:t>；</w:t>
            </w:r>
          </w:p>
          <w:p w14:paraId="527E08CC">
            <w:pPr>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firstLine="1200" w:firstLineChars="500"/>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rPr>
              <w:t>Sar——收到基硫的质量分数，%，根据燃料成分分析为</w:t>
            </w:r>
            <w:r>
              <w:rPr>
                <w:rFonts w:hint="default" w:ascii="Times New Roman" w:hAnsi="Times New Roman" w:cs="Times New Roman"/>
                <w:b w:val="0"/>
                <w:bCs/>
                <w:color w:val="auto"/>
                <w:sz w:val="24"/>
                <w:szCs w:val="24"/>
                <w:highlight w:val="none"/>
                <w:lang w:val="en-US" w:eastAsia="zh-CN"/>
              </w:rPr>
              <w:t>0.07</w:t>
            </w:r>
            <w:r>
              <w:rPr>
                <w:rFonts w:hint="default" w:ascii="Times New Roman" w:hAnsi="Times New Roman" w:cs="Times New Roman"/>
                <w:b w:val="0"/>
                <w:bCs/>
                <w:color w:val="auto"/>
                <w:sz w:val="24"/>
                <w:szCs w:val="24"/>
                <w:highlight w:val="none"/>
              </w:rPr>
              <w:t>；</w:t>
            </w:r>
          </w:p>
          <w:p w14:paraId="7D787E61">
            <w:pPr>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firstLine="1200" w:firstLineChars="500"/>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rPr>
              <w:t>V</w:t>
            </w:r>
            <w:r>
              <w:rPr>
                <w:rFonts w:hint="default" w:ascii="Times New Roman" w:hAnsi="Times New Roman" w:cs="Times New Roman"/>
                <w:b w:val="0"/>
                <w:bCs/>
                <w:color w:val="auto"/>
                <w:sz w:val="24"/>
                <w:szCs w:val="24"/>
                <w:highlight w:val="none"/>
                <w:vertAlign w:val="subscript"/>
              </w:rPr>
              <w:t>N2</w:t>
            </w:r>
            <w:r>
              <w:rPr>
                <w:rFonts w:hint="default" w:ascii="Times New Roman" w:hAnsi="Times New Roman" w:cs="Times New Roman"/>
                <w:b w:val="0"/>
                <w:bCs/>
                <w:color w:val="auto"/>
                <w:sz w:val="24"/>
                <w:szCs w:val="24"/>
                <w:highlight w:val="none"/>
              </w:rPr>
              <w:t>——烟气中氮气，经计算得</w:t>
            </w:r>
            <w:r>
              <w:rPr>
                <w:rFonts w:hint="default" w:ascii="Times New Roman" w:hAnsi="Times New Roman" w:cs="Times New Roman"/>
                <w:b w:val="0"/>
                <w:bCs/>
                <w:color w:val="auto"/>
                <w:sz w:val="24"/>
                <w:szCs w:val="24"/>
                <w:highlight w:val="none"/>
                <w:lang w:val="en-US" w:eastAsia="zh-CN"/>
              </w:rPr>
              <w:t>2.995</w:t>
            </w:r>
            <w:r>
              <w:rPr>
                <w:rFonts w:hint="default" w:ascii="Times New Roman" w:hAnsi="Times New Roman" w:cs="Times New Roman"/>
                <w:b w:val="0"/>
                <w:bCs/>
                <w:color w:val="auto"/>
                <w:sz w:val="24"/>
                <w:szCs w:val="24"/>
                <w:highlight w:val="none"/>
                <w:lang w:eastAsia="zh-CN"/>
              </w:rPr>
              <w:t>m</w:t>
            </w:r>
            <w:r>
              <w:rPr>
                <w:rFonts w:hint="default" w:ascii="Times New Roman" w:hAnsi="Times New Roman" w:cs="Times New Roman"/>
                <w:b w:val="0"/>
                <w:bCs/>
                <w:color w:val="auto"/>
                <w:sz w:val="24"/>
                <w:szCs w:val="24"/>
                <w:highlight w:val="none"/>
                <w:vertAlign w:val="superscript"/>
                <w:lang w:eastAsia="zh-CN"/>
              </w:rPr>
              <w:t>3</w:t>
            </w:r>
            <w:r>
              <w:rPr>
                <w:rFonts w:hint="default" w:ascii="Times New Roman" w:hAnsi="Times New Roman" w:cs="Times New Roman"/>
                <w:b w:val="0"/>
                <w:bCs/>
                <w:color w:val="auto"/>
                <w:sz w:val="24"/>
                <w:szCs w:val="24"/>
                <w:highlight w:val="none"/>
              </w:rPr>
              <w:t>/kg；</w:t>
            </w:r>
          </w:p>
          <w:p w14:paraId="095F6484">
            <w:pPr>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firstLine="1200" w:firstLineChars="500"/>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rPr>
              <w:t>Nar——收到基氮的质量分数，%，根据燃料成分分析为0.</w:t>
            </w:r>
            <w:r>
              <w:rPr>
                <w:rFonts w:hint="default" w:ascii="Times New Roman" w:hAnsi="Times New Roman" w:cs="Times New Roman"/>
                <w:b w:val="0"/>
                <w:bCs/>
                <w:color w:val="auto"/>
                <w:sz w:val="24"/>
                <w:szCs w:val="24"/>
                <w:highlight w:val="none"/>
                <w:lang w:val="en-US" w:eastAsia="zh-CN"/>
              </w:rPr>
              <w:t>28</w:t>
            </w:r>
            <w:r>
              <w:rPr>
                <w:rFonts w:hint="default" w:ascii="Times New Roman" w:hAnsi="Times New Roman" w:cs="Times New Roman"/>
                <w:b w:val="0"/>
                <w:bCs/>
                <w:color w:val="auto"/>
                <w:sz w:val="24"/>
                <w:szCs w:val="24"/>
                <w:highlight w:val="none"/>
              </w:rPr>
              <w:t>；</w:t>
            </w:r>
          </w:p>
          <w:p w14:paraId="174859A3">
            <w:pPr>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firstLine="1200" w:firstLineChars="500"/>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rPr>
              <w:t>V</w:t>
            </w:r>
            <w:r>
              <w:rPr>
                <w:rFonts w:hint="default" w:ascii="Times New Roman" w:hAnsi="Times New Roman" w:cs="Times New Roman"/>
                <w:b w:val="0"/>
                <w:bCs/>
                <w:color w:val="auto"/>
                <w:sz w:val="24"/>
                <w:szCs w:val="24"/>
                <w:highlight w:val="none"/>
                <w:vertAlign w:val="subscript"/>
              </w:rPr>
              <w:t>0</w:t>
            </w:r>
            <w:r>
              <w:rPr>
                <w:rFonts w:hint="default" w:ascii="Times New Roman" w:hAnsi="Times New Roman" w:cs="Times New Roman"/>
                <w:b w:val="0"/>
                <w:bCs/>
                <w:iCs/>
                <w:color w:val="auto"/>
                <w:sz w:val="24"/>
                <w:szCs w:val="24"/>
                <w:highlight w:val="none"/>
                <w:lang w:bidi="ar"/>
              </w:rPr>
              <w:t>——</w:t>
            </w:r>
            <w:r>
              <w:rPr>
                <w:rFonts w:hint="default" w:ascii="Times New Roman" w:hAnsi="Times New Roman" w:cs="Times New Roman"/>
                <w:b w:val="0"/>
                <w:bCs/>
                <w:color w:val="auto"/>
                <w:sz w:val="24"/>
                <w:szCs w:val="24"/>
                <w:highlight w:val="none"/>
              </w:rPr>
              <w:t>理论空气量，经计算得</w:t>
            </w:r>
            <w:r>
              <w:rPr>
                <w:rFonts w:hint="default" w:ascii="Times New Roman" w:hAnsi="Times New Roman" w:cs="Times New Roman"/>
                <w:b w:val="0"/>
                <w:bCs/>
                <w:color w:val="auto"/>
                <w:sz w:val="24"/>
                <w:szCs w:val="24"/>
                <w:highlight w:val="none"/>
                <w:lang w:val="en-US" w:eastAsia="zh-CN"/>
              </w:rPr>
              <w:t>3.788</w:t>
            </w:r>
            <w:r>
              <w:rPr>
                <w:rFonts w:hint="default" w:ascii="Times New Roman" w:hAnsi="Times New Roman" w:cs="Times New Roman"/>
                <w:b w:val="0"/>
                <w:bCs/>
                <w:color w:val="auto"/>
                <w:sz w:val="24"/>
                <w:szCs w:val="24"/>
                <w:highlight w:val="none"/>
                <w:lang w:eastAsia="zh-CN"/>
              </w:rPr>
              <w:t>m</w:t>
            </w:r>
            <w:r>
              <w:rPr>
                <w:rFonts w:hint="default" w:ascii="Times New Roman" w:hAnsi="Times New Roman" w:cs="Times New Roman"/>
                <w:b w:val="0"/>
                <w:bCs/>
                <w:color w:val="auto"/>
                <w:sz w:val="24"/>
                <w:szCs w:val="24"/>
                <w:highlight w:val="none"/>
                <w:vertAlign w:val="superscript"/>
                <w:lang w:eastAsia="zh-CN"/>
              </w:rPr>
              <w:t>3</w:t>
            </w:r>
            <w:r>
              <w:rPr>
                <w:rFonts w:hint="default" w:ascii="Times New Roman" w:hAnsi="Times New Roman" w:cs="Times New Roman"/>
                <w:b w:val="0"/>
                <w:bCs/>
                <w:color w:val="auto"/>
                <w:sz w:val="24"/>
                <w:szCs w:val="24"/>
                <w:highlight w:val="none"/>
              </w:rPr>
              <w:t>/kg；</w:t>
            </w:r>
          </w:p>
          <w:p w14:paraId="6A8D358C">
            <w:pPr>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firstLine="1200" w:firstLineChars="500"/>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rPr>
              <w:t>α</w:t>
            </w:r>
            <w:r>
              <w:rPr>
                <w:rFonts w:hint="default" w:ascii="Times New Roman" w:hAnsi="Times New Roman" w:cs="Times New Roman"/>
                <w:b w:val="0"/>
                <w:bCs/>
                <w:iCs/>
                <w:color w:val="auto"/>
                <w:sz w:val="24"/>
                <w:szCs w:val="24"/>
                <w:highlight w:val="none"/>
                <w:lang w:bidi="ar"/>
              </w:rPr>
              <w:t>——</w:t>
            </w:r>
            <w:r>
              <w:rPr>
                <w:rFonts w:hint="default" w:ascii="Times New Roman" w:hAnsi="Times New Roman" w:cs="Times New Roman"/>
                <w:b w:val="0"/>
                <w:bCs/>
                <w:color w:val="auto"/>
                <w:sz w:val="24"/>
                <w:szCs w:val="24"/>
                <w:highlight w:val="none"/>
              </w:rPr>
              <w:t>过量空气系数，燃料燃烧时实际空气供给量与理论空气需要量之比值，燃煤、燃油锅炉取值为1.75，燃气锅炉取值为1.2，本项目生物质锅炉，取1.75；</w:t>
            </w:r>
          </w:p>
          <w:p w14:paraId="320E8DF5">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480"/>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rPr>
              <w:t>经计算，本项目标准干烟气排放量Vg为</w:t>
            </w:r>
            <w:r>
              <w:rPr>
                <w:rFonts w:hint="default" w:ascii="Times New Roman" w:hAnsi="Times New Roman" w:cs="Times New Roman"/>
                <w:b w:val="0"/>
                <w:bCs/>
                <w:color w:val="auto"/>
                <w:sz w:val="24"/>
                <w:szCs w:val="24"/>
                <w:highlight w:val="none"/>
                <w:lang w:val="en-US" w:eastAsia="zh-CN"/>
              </w:rPr>
              <w:t>6.625</w:t>
            </w:r>
            <w:r>
              <w:rPr>
                <w:rFonts w:hint="default" w:ascii="Times New Roman" w:hAnsi="Times New Roman" w:cs="Times New Roman"/>
                <w:b w:val="0"/>
                <w:bCs/>
                <w:color w:val="auto"/>
                <w:sz w:val="24"/>
                <w:szCs w:val="24"/>
                <w:highlight w:val="none"/>
                <w:lang w:eastAsia="zh-CN"/>
              </w:rPr>
              <w:t>m</w:t>
            </w:r>
            <w:r>
              <w:rPr>
                <w:rFonts w:hint="default" w:ascii="Times New Roman" w:hAnsi="Times New Roman" w:cs="Times New Roman"/>
                <w:b w:val="0"/>
                <w:bCs/>
                <w:color w:val="auto"/>
                <w:sz w:val="24"/>
                <w:szCs w:val="24"/>
                <w:highlight w:val="none"/>
                <w:vertAlign w:val="superscript"/>
                <w:lang w:eastAsia="zh-CN"/>
              </w:rPr>
              <w:t>3</w:t>
            </w:r>
            <w:r>
              <w:rPr>
                <w:rFonts w:hint="default" w:ascii="Times New Roman" w:hAnsi="Times New Roman" w:cs="Times New Roman"/>
                <w:b w:val="0"/>
                <w:bCs/>
                <w:color w:val="auto"/>
                <w:sz w:val="24"/>
                <w:szCs w:val="24"/>
                <w:highlight w:val="none"/>
              </w:rPr>
              <w:t>/kg，</w:t>
            </w:r>
          </w:p>
          <w:p w14:paraId="67A35024">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480"/>
              <w:rPr>
                <w:rFonts w:hint="default"/>
                <w:b w:val="0"/>
                <w:bCs/>
                <w:color w:val="auto"/>
                <w:sz w:val="24"/>
                <w:szCs w:val="24"/>
                <w:highlight w:val="none"/>
              </w:rPr>
            </w:pPr>
            <w:r>
              <w:rPr>
                <w:rFonts w:hint="default" w:ascii="Times New Roman" w:hAnsi="Times New Roman" w:cs="Times New Roman"/>
                <w:b w:val="0"/>
                <w:bCs/>
                <w:color w:val="auto"/>
                <w:sz w:val="24"/>
                <w:szCs w:val="24"/>
                <w:highlight w:val="none"/>
              </w:rPr>
              <w:t>本项目生物质燃料耗量为</w:t>
            </w:r>
            <w:r>
              <w:rPr>
                <w:rFonts w:hint="default" w:ascii="Times New Roman" w:hAnsi="Times New Roman" w:cs="Times New Roman"/>
                <w:b w:val="0"/>
                <w:bCs/>
                <w:color w:val="auto"/>
                <w:sz w:val="24"/>
                <w:szCs w:val="24"/>
                <w:highlight w:val="none"/>
                <w:lang w:val="en-US" w:eastAsia="zh-CN"/>
              </w:rPr>
              <w:t>1383.49</w:t>
            </w:r>
            <w:r>
              <w:rPr>
                <w:rFonts w:hint="default" w:ascii="Times New Roman" w:hAnsi="Times New Roman" w:cs="Times New Roman"/>
                <w:b w:val="0"/>
                <w:bCs/>
                <w:color w:val="auto"/>
                <w:sz w:val="24"/>
                <w:szCs w:val="24"/>
                <w:highlight w:val="none"/>
              </w:rPr>
              <w:t>t/a，</w:t>
            </w:r>
            <w:r>
              <w:rPr>
                <w:rFonts w:hint="default" w:ascii="Times New Roman" w:hAnsi="Times New Roman" w:cs="Times New Roman"/>
                <w:b w:val="0"/>
                <w:bCs/>
                <w:color w:val="auto"/>
                <w:sz w:val="24"/>
                <w:szCs w:val="24"/>
                <w:highlight w:val="none"/>
                <w:lang w:eastAsia="zh-CN"/>
              </w:rPr>
              <w:t>600万Kcal/h燃生物质热风炉</w:t>
            </w:r>
            <w:r>
              <w:rPr>
                <w:rFonts w:hint="default" w:ascii="Times New Roman" w:hAnsi="Times New Roman" w:cs="Times New Roman"/>
                <w:b w:val="0"/>
                <w:bCs/>
                <w:color w:val="auto"/>
                <w:sz w:val="24"/>
                <w:szCs w:val="24"/>
                <w:highlight w:val="none"/>
              </w:rPr>
              <w:t>年工作</w:t>
            </w:r>
            <w:r>
              <w:rPr>
                <w:rFonts w:hint="default" w:ascii="Times New Roman" w:hAnsi="Times New Roman" w:cs="Times New Roman"/>
                <w:b w:val="0"/>
                <w:bCs/>
                <w:color w:val="auto"/>
                <w:sz w:val="24"/>
                <w:szCs w:val="24"/>
                <w:highlight w:val="none"/>
                <w:lang w:val="en-US" w:eastAsia="zh-CN"/>
              </w:rPr>
              <w:t>1200</w:t>
            </w:r>
            <w:r>
              <w:rPr>
                <w:rFonts w:hint="default" w:ascii="Times New Roman" w:hAnsi="Times New Roman" w:cs="Times New Roman"/>
                <w:b w:val="0"/>
                <w:bCs/>
                <w:color w:val="auto"/>
                <w:sz w:val="24"/>
                <w:szCs w:val="24"/>
                <w:highlight w:val="none"/>
              </w:rPr>
              <w:t>h，综上所述，本项目干烟气量为</w:t>
            </w:r>
            <w:r>
              <w:rPr>
                <w:rFonts w:hint="default" w:ascii="Times New Roman" w:hAnsi="Times New Roman" w:cs="Times New Roman"/>
                <w:b w:val="0"/>
                <w:bCs/>
                <w:color w:val="auto"/>
                <w:sz w:val="24"/>
                <w:szCs w:val="24"/>
                <w:highlight w:val="none"/>
                <w:lang w:val="en-US" w:eastAsia="zh-CN"/>
              </w:rPr>
              <w:t>6.625</w:t>
            </w:r>
            <w:r>
              <w:rPr>
                <w:rFonts w:hint="default" w:ascii="Times New Roman" w:hAnsi="Times New Roman" w:eastAsia="宋体" w:cs="Times New Roman"/>
                <w:b w:val="0"/>
                <w:bCs/>
                <w:color w:val="auto"/>
                <w:sz w:val="24"/>
                <w:szCs w:val="24"/>
                <w:highlight w:val="none"/>
              </w:rPr>
              <w:t>×</w:t>
            </w:r>
            <w:r>
              <w:rPr>
                <w:rFonts w:hint="default" w:ascii="Times New Roman" w:hAnsi="Times New Roman" w:cs="Times New Roman"/>
                <w:b w:val="0"/>
                <w:bCs/>
                <w:color w:val="auto"/>
                <w:sz w:val="24"/>
                <w:szCs w:val="24"/>
                <w:highlight w:val="none"/>
                <w:lang w:val="en-US" w:eastAsia="zh-CN"/>
              </w:rPr>
              <w:t>1383.49</w:t>
            </w:r>
            <w:r>
              <w:rPr>
                <w:rFonts w:hint="default" w:ascii="Times New Roman" w:hAnsi="Times New Roman" w:eastAsia="宋体" w:cs="Times New Roman"/>
                <w:b w:val="0"/>
                <w:bCs/>
                <w:color w:val="auto"/>
                <w:sz w:val="24"/>
                <w:szCs w:val="24"/>
                <w:highlight w:val="none"/>
              </w:rPr>
              <w:t>×</w:t>
            </w:r>
            <w:r>
              <w:rPr>
                <w:rFonts w:hint="default" w:ascii="Times New Roman" w:hAnsi="Times New Roman" w:eastAsia="宋体" w:cs="Times New Roman"/>
                <w:b w:val="0"/>
                <w:bCs/>
                <w:color w:val="auto"/>
                <w:sz w:val="24"/>
                <w:szCs w:val="24"/>
                <w:highlight w:val="none"/>
                <w:lang w:val="en-US" w:eastAsia="zh-CN"/>
              </w:rPr>
              <w:t>10</w:t>
            </w:r>
            <w:r>
              <w:rPr>
                <w:rFonts w:hint="default" w:ascii="Times New Roman" w:hAnsi="Times New Roman" w:eastAsia="宋体" w:cs="Times New Roman"/>
                <w:b w:val="0"/>
                <w:bCs/>
                <w:color w:val="auto"/>
                <w:sz w:val="24"/>
                <w:szCs w:val="24"/>
                <w:highlight w:val="none"/>
                <w:vertAlign w:val="superscript"/>
                <w:lang w:val="en-US" w:eastAsia="zh-CN"/>
              </w:rPr>
              <w:t>3</w:t>
            </w:r>
            <w:r>
              <w:rPr>
                <w:rFonts w:hint="default" w:ascii="Times New Roman" w:hAnsi="Times New Roman" w:eastAsia="宋体" w:cs="Times New Roman"/>
                <w:b w:val="0"/>
                <w:bCs/>
                <w:color w:val="auto"/>
                <w:sz w:val="24"/>
                <w:szCs w:val="24"/>
                <w:highlight w:val="none"/>
              </w:rPr>
              <w:t>=</w:t>
            </w:r>
            <w:r>
              <w:rPr>
                <w:rFonts w:hint="default" w:ascii="Times New Roman" w:hAnsi="Times New Roman" w:cs="Times New Roman"/>
                <w:b w:val="0"/>
                <w:bCs/>
                <w:color w:val="auto"/>
                <w:sz w:val="24"/>
                <w:szCs w:val="24"/>
                <w:highlight w:val="none"/>
                <w:lang w:val="en-US" w:eastAsia="zh-CN"/>
              </w:rPr>
              <w:t>9165621.25</w:t>
            </w:r>
            <w:r>
              <w:rPr>
                <w:rFonts w:hint="default" w:ascii="Times New Roman" w:hAnsi="Times New Roman" w:eastAsia="宋体" w:cs="Times New Roman"/>
                <w:b w:val="0"/>
                <w:bCs/>
                <w:color w:val="auto"/>
                <w:sz w:val="24"/>
                <w:szCs w:val="24"/>
                <w:highlight w:val="none"/>
              </w:rPr>
              <w:t>Nm</w:t>
            </w:r>
            <w:r>
              <w:rPr>
                <w:rFonts w:hint="default" w:ascii="Times New Roman" w:hAnsi="Times New Roman" w:eastAsia="宋体" w:cs="Times New Roman"/>
                <w:b w:val="0"/>
                <w:bCs/>
                <w:color w:val="auto"/>
                <w:sz w:val="24"/>
                <w:szCs w:val="24"/>
                <w:highlight w:val="none"/>
                <w:vertAlign w:val="superscript"/>
              </w:rPr>
              <w:t>3</w:t>
            </w:r>
            <w:r>
              <w:rPr>
                <w:rFonts w:hint="default" w:ascii="Times New Roman" w:hAnsi="Times New Roman" w:eastAsia="宋体" w:cs="Times New Roman"/>
                <w:b w:val="0"/>
                <w:bCs/>
                <w:color w:val="auto"/>
                <w:sz w:val="24"/>
                <w:szCs w:val="24"/>
                <w:highlight w:val="none"/>
              </w:rPr>
              <w:t>/a</w:t>
            </w:r>
            <w:r>
              <w:rPr>
                <w:rFonts w:hint="default" w:ascii="Times New Roman" w:hAnsi="Times New Roman" w:cs="Times New Roman"/>
                <w:b w:val="0"/>
                <w:bCs/>
                <w:color w:val="auto"/>
                <w:sz w:val="24"/>
                <w:szCs w:val="24"/>
                <w:highlight w:val="none"/>
                <w:lang w:eastAsia="zh-CN"/>
              </w:rPr>
              <w:t>，</w:t>
            </w:r>
            <w:r>
              <w:rPr>
                <w:rFonts w:hint="default" w:ascii="Times New Roman" w:hAnsi="Times New Roman" w:cs="Times New Roman"/>
                <w:b w:val="0"/>
                <w:bCs/>
                <w:color w:val="auto"/>
                <w:sz w:val="24"/>
                <w:szCs w:val="24"/>
                <w:highlight w:val="none"/>
                <w:lang w:val="en-US" w:eastAsia="zh-CN"/>
              </w:rPr>
              <w:t>76</w:t>
            </w:r>
            <w:r>
              <w:rPr>
                <w:rFonts w:hint="eastAsia"/>
                <w:b w:val="0"/>
                <w:bCs/>
                <w:color w:val="auto"/>
                <w:sz w:val="24"/>
                <w:szCs w:val="24"/>
                <w:highlight w:val="none"/>
                <w:lang w:val="en-US" w:eastAsia="zh-CN"/>
              </w:rPr>
              <w:t>38.02</w:t>
            </w:r>
            <w:r>
              <w:rPr>
                <w:rFonts w:hint="eastAsia"/>
                <w:b w:val="0"/>
                <w:bCs/>
                <w:color w:val="auto"/>
                <w:sz w:val="24"/>
                <w:szCs w:val="24"/>
                <w:highlight w:val="none"/>
                <w:lang w:eastAsia="zh-CN"/>
              </w:rPr>
              <w:t>m</w:t>
            </w:r>
            <w:r>
              <w:rPr>
                <w:rFonts w:hint="eastAsia"/>
                <w:b w:val="0"/>
                <w:bCs/>
                <w:color w:val="auto"/>
                <w:sz w:val="24"/>
                <w:szCs w:val="24"/>
                <w:highlight w:val="none"/>
                <w:vertAlign w:val="superscript"/>
                <w:lang w:eastAsia="zh-CN"/>
              </w:rPr>
              <w:t>3</w:t>
            </w:r>
            <w:r>
              <w:rPr>
                <w:rFonts w:hint="default"/>
                <w:b w:val="0"/>
                <w:bCs/>
                <w:color w:val="auto"/>
                <w:sz w:val="24"/>
                <w:szCs w:val="24"/>
                <w:highlight w:val="none"/>
              </w:rPr>
              <w:t>/h</w:t>
            </w:r>
            <w:r>
              <w:rPr>
                <w:rFonts w:hint="eastAsia"/>
                <w:b w:val="0"/>
                <w:bCs/>
                <w:color w:val="auto"/>
                <w:sz w:val="24"/>
                <w:szCs w:val="24"/>
                <w:highlight w:val="none"/>
              </w:rPr>
              <w:t>。</w:t>
            </w:r>
          </w:p>
          <w:p w14:paraId="4A937440">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480"/>
              <w:rPr>
                <w:rFonts w:hint="default"/>
                <w:b w:val="0"/>
                <w:bCs/>
                <w:color w:val="auto"/>
                <w:kern w:val="0"/>
                <w:sz w:val="24"/>
                <w:szCs w:val="24"/>
                <w:highlight w:val="none"/>
              </w:rPr>
            </w:pPr>
            <w:r>
              <w:rPr>
                <w:rFonts w:hint="eastAsia"/>
                <w:b w:val="0"/>
                <w:bCs/>
                <w:color w:val="auto"/>
                <w:sz w:val="24"/>
                <w:szCs w:val="24"/>
                <w:highlight w:val="none"/>
              </w:rPr>
              <w:t>②</w:t>
            </w:r>
            <w:r>
              <w:rPr>
                <w:rFonts w:hint="default"/>
                <w:b w:val="0"/>
                <w:bCs/>
                <w:color w:val="auto"/>
                <w:sz w:val="24"/>
                <w:szCs w:val="24"/>
                <w:highlight w:val="none"/>
              </w:rPr>
              <w:t>颗粒物</w:t>
            </w:r>
          </w:p>
          <w:p w14:paraId="03108E3E">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480"/>
              <w:jc w:val="center"/>
              <w:rPr>
                <w:rFonts w:hint="default"/>
                <w:b w:val="0"/>
                <w:bCs/>
                <w:color w:val="auto"/>
                <w:sz w:val="24"/>
                <w:szCs w:val="24"/>
                <w:highlight w:val="none"/>
              </w:rPr>
            </w:pPr>
            <w:r>
              <w:rPr>
                <w:rFonts w:hint="default"/>
                <w:b w:val="0"/>
                <w:bCs/>
                <w:color w:val="auto"/>
                <w:sz w:val="24"/>
                <w:szCs w:val="24"/>
                <w:highlight w:val="none"/>
              </w:rPr>
              <w:drawing>
                <wp:inline distT="0" distB="0" distL="114300" distR="114300">
                  <wp:extent cx="2065655" cy="847090"/>
                  <wp:effectExtent l="0" t="0" r="10795" b="10160"/>
                  <wp:docPr id="10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4"/>
                          <pic:cNvPicPr>
                            <a:picLocks noChangeAspect="1"/>
                          </pic:cNvPicPr>
                        </pic:nvPicPr>
                        <pic:blipFill>
                          <a:blip r:embed="rId21"/>
                          <a:stretch>
                            <a:fillRect/>
                          </a:stretch>
                        </pic:blipFill>
                        <pic:spPr>
                          <a:xfrm>
                            <a:off x="0" y="0"/>
                            <a:ext cx="2065655" cy="847090"/>
                          </a:xfrm>
                          <a:prstGeom prst="rect">
                            <a:avLst/>
                          </a:prstGeom>
                          <a:noFill/>
                          <a:ln>
                            <a:noFill/>
                          </a:ln>
                        </pic:spPr>
                      </pic:pic>
                    </a:graphicData>
                  </a:graphic>
                </wp:inline>
              </w:drawing>
            </w:r>
          </w:p>
          <w:p w14:paraId="756ACE10">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480"/>
              <w:rPr>
                <w:rFonts w:hint="default"/>
                <w:b w:val="0"/>
                <w:bCs/>
                <w:color w:val="auto"/>
                <w:sz w:val="24"/>
                <w:szCs w:val="24"/>
                <w:highlight w:val="none"/>
              </w:rPr>
            </w:pPr>
            <w:r>
              <w:rPr>
                <w:rFonts w:hint="default"/>
                <w:b w:val="0"/>
                <w:bCs/>
                <w:color w:val="auto"/>
                <w:sz w:val="24"/>
                <w:szCs w:val="24"/>
                <w:highlight w:val="none"/>
              </w:rPr>
              <w:t>式中：E</w:t>
            </w:r>
            <w:r>
              <w:rPr>
                <w:rFonts w:hint="default"/>
                <w:b w:val="0"/>
                <w:bCs/>
                <w:color w:val="auto"/>
                <w:sz w:val="24"/>
                <w:szCs w:val="24"/>
                <w:highlight w:val="none"/>
                <w:vertAlign w:val="subscript"/>
              </w:rPr>
              <w:t>A</w:t>
            </w:r>
            <w:r>
              <w:rPr>
                <w:rFonts w:hint="default"/>
                <w:b w:val="0"/>
                <w:bCs/>
                <w:color w:val="auto"/>
                <w:sz w:val="24"/>
                <w:szCs w:val="24"/>
                <w:highlight w:val="none"/>
              </w:rPr>
              <w:t>——核算时段内颗粒物（烟囱）排放量，t；</w:t>
            </w:r>
          </w:p>
          <w:p w14:paraId="0E8AD2B4">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1200" w:firstLineChars="500"/>
              <w:rPr>
                <w:rFonts w:hint="default"/>
                <w:b w:val="0"/>
                <w:bCs/>
                <w:color w:val="auto"/>
                <w:sz w:val="24"/>
                <w:szCs w:val="24"/>
                <w:highlight w:val="none"/>
              </w:rPr>
            </w:pPr>
            <w:r>
              <w:rPr>
                <w:rFonts w:hint="default"/>
                <w:b w:val="0"/>
                <w:bCs/>
                <w:color w:val="auto"/>
                <w:sz w:val="24"/>
                <w:szCs w:val="24"/>
                <w:highlight w:val="none"/>
              </w:rPr>
              <w:t>R——核算时段内锅炉燃料耗量，t；</w:t>
            </w:r>
          </w:p>
          <w:p w14:paraId="360049A0">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1200" w:firstLineChars="500"/>
              <w:rPr>
                <w:rFonts w:hint="default"/>
                <w:b w:val="0"/>
                <w:bCs/>
                <w:color w:val="auto"/>
                <w:sz w:val="24"/>
                <w:szCs w:val="24"/>
                <w:highlight w:val="none"/>
              </w:rPr>
            </w:pPr>
            <w:r>
              <w:rPr>
                <w:rFonts w:hint="default"/>
                <w:b w:val="0"/>
                <w:bCs/>
                <w:color w:val="auto"/>
                <w:sz w:val="24"/>
                <w:szCs w:val="24"/>
                <w:highlight w:val="none"/>
              </w:rPr>
              <w:t>Aar——收到基灰分质量分数，%，取值</w:t>
            </w:r>
            <w:r>
              <w:rPr>
                <w:rFonts w:hint="eastAsia"/>
                <w:b w:val="0"/>
                <w:bCs/>
                <w:color w:val="auto"/>
                <w:sz w:val="24"/>
                <w:szCs w:val="24"/>
                <w:highlight w:val="none"/>
                <w:lang w:val="en-US" w:eastAsia="zh-CN"/>
              </w:rPr>
              <w:t>8.05</w:t>
            </w:r>
            <w:r>
              <w:rPr>
                <w:rFonts w:hint="default"/>
                <w:b w:val="0"/>
                <w:bCs/>
                <w:color w:val="auto"/>
                <w:sz w:val="24"/>
                <w:szCs w:val="24"/>
                <w:highlight w:val="none"/>
              </w:rPr>
              <w:t>%；</w:t>
            </w:r>
          </w:p>
          <w:p w14:paraId="4DFD9BEA">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1200" w:firstLineChars="500"/>
              <w:rPr>
                <w:rFonts w:hint="default"/>
                <w:b w:val="0"/>
                <w:bCs/>
                <w:color w:val="auto"/>
                <w:sz w:val="24"/>
                <w:szCs w:val="24"/>
                <w:highlight w:val="none"/>
              </w:rPr>
            </w:pPr>
            <w:r>
              <w:rPr>
                <w:rFonts w:hint="default"/>
                <w:b w:val="0"/>
                <w:bCs/>
                <w:color w:val="auto"/>
                <w:sz w:val="24"/>
                <w:szCs w:val="24"/>
                <w:highlight w:val="none"/>
              </w:rPr>
              <w:t>dfh——锅炉烟气带出的飞灰份额，%，取值</w:t>
            </w:r>
            <w:r>
              <w:rPr>
                <w:rFonts w:hint="eastAsia"/>
                <w:b w:val="0"/>
                <w:bCs/>
                <w:color w:val="auto"/>
                <w:sz w:val="24"/>
                <w:szCs w:val="24"/>
                <w:highlight w:val="none"/>
              </w:rPr>
              <w:t>50</w:t>
            </w:r>
            <w:r>
              <w:rPr>
                <w:rFonts w:hint="default"/>
                <w:b w:val="0"/>
                <w:bCs/>
                <w:color w:val="auto"/>
                <w:sz w:val="24"/>
                <w:szCs w:val="24"/>
                <w:highlight w:val="none"/>
              </w:rPr>
              <w:t>%（根据《污染源源强核算技术指南 锅炉》（HJ991-2018）中链条炉排炉灰分份额为10%-20%，本项目取20%，燃生物质时飞灰份额加30%，则最终灰分份额取50%）；</w:t>
            </w:r>
          </w:p>
          <w:p w14:paraId="20321706">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1200" w:firstLineChars="500"/>
              <w:rPr>
                <w:rFonts w:hint="default"/>
                <w:b w:val="0"/>
                <w:bCs/>
                <w:color w:val="auto"/>
                <w:sz w:val="24"/>
                <w:szCs w:val="24"/>
                <w:highlight w:val="none"/>
              </w:rPr>
            </w:pPr>
            <w:r>
              <w:rPr>
                <w:rFonts w:hint="default"/>
                <w:b w:val="0"/>
                <w:bCs/>
                <w:color w:val="auto"/>
                <w:sz w:val="24"/>
                <w:szCs w:val="24"/>
                <w:highlight w:val="none"/>
              </w:rPr>
              <w:t>ηc——综合除尘效率，%，取值99.</w:t>
            </w:r>
            <w:r>
              <w:rPr>
                <w:rFonts w:hint="eastAsia"/>
                <w:b w:val="0"/>
                <w:bCs/>
                <w:color w:val="auto"/>
                <w:sz w:val="24"/>
                <w:szCs w:val="24"/>
                <w:highlight w:val="none"/>
                <w:lang w:val="en-US" w:eastAsia="zh-CN"/>
              </w:rPr>
              <w:t>7</w:t>
            </w:r>
            <w:r>
              <w:rPr>
                <w:rFonts w:hint="default"/>
                <w:b w:val="0"/>
                <w:bCs/>
                <w:color w:val="auto"/>
                <w:sz w:val="24"/>
                <w:szCs w:val="24"/>
                <w:highlight w:val="none"/>
              </w:rPr>
              <w:t>%；</w:t>
            </w:r>
          </w:p>
          <w:p w14:paraId="62FA1C81">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1200" w:firstLineChars="500"/>
              <w:rPr>
                <w:rFonts w:hint="default"/>
                <w:b w:val="0"/>
                <w:bCs/>
                <w:color w:val="auto"/>
                <w:sz w:val="24"/>
                <w:szCs w:val="24"/>
                <w:highlight w:val="none"/>
              </w:rPr>
            </w:pPr>
            <w:r>
              <w:rPr>
                <w:rFonts w:hint="default"/>
                <w:b w:val="0"/>
                <w:bCs/>
                <w:color w:val="auto"/>
                <w:sz w:val="24"/>
                <w:szCs w:val="24"/>
                <w:highlight w:val="none"/>
              </w:rPr>
              <w:t>Cfh——飞灰中的可燃物含量，%，根据《燃煤工业锅炉节能监测》（GB/T15317-2009），取值15%。</w:t>
            </w:r>
          </w:p>
          <w:p w14:paraId="0617B83A">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480"/>
              <w:rPr>
                <w:rFonts w:hint="default"/>
                <w:b w:val="0"/>
                <w:bCs/>
                <w:color w:val="auto"/>
                <w:sz w:val="24"/>
                <w:szCs w:val="24"/>
                <w:highlight w:val="none"/>
              </w:rPr>
            </w:pPr>
            <w:r>
              <w:rPr>
                <w:rFonts w:hint="default"/>
                <w:b w:val="0"/>
                <w:bCs/>
                <w:color w:val="auto"/>
                <w:sz w:val="24"/>
                <w:szCs w:val="24"/>
                <w:highlight w:val="none"/>
              </w:rPr>
              <w:t>经计算，颗粒物排放量为</w:t>
            </w:r>
            <w:r>
              <w:rPr>
                <w:rFonts w:hint="eastAsia"/>
                <w:b w:val="0"/>
                <w:bCs/>
                <w:color w:val="auto"/>
                <w:sz w:val="24"/>
                <w:szCs w:val="24"/>
                <w:highlight w:val="none"/>
                <w:lang w:val="en-US" w:eastAsia="zh-CN"/>
              </w:rPr>
              <w:t>0.197</w:t>
            </w:r>
            <w:r>
              <w:rPr>
                <w:rFonts w:hint="default"/>
                <w:b w:val="0"/>
                <w:bCs/>
                <w:color w:val="auto"/>
                <w:sz w:val="24"/>
                <w:szCs w:val="24"/>
                <w:highlight w:val="none"/>
              </w:rPr>
              <w:t>t/a，排放速率</w:t>
            </w:r>
            <w:r>
              <w:rPr>
                <w:rFonts w:hint="eastAsia"/>
                <w:b w:val="0"/>
                <w:bCs/>
                <w:color w:val="auto"/>
                <w:sz w:val="24"/>
                <w:szCs w:val="24"/>
                <w:highlight w:val="none"/>
                <w:lang w:val="en-US" w:eastAsia="zh-CN"/>
              </w:rPr>
              <w:t>0.164</w:t>
            </w:r>
            <w:r>
              <w:rPr>
                <w:rFonts w:hint="default"/>
                <w:b w:val="0"/>
                <w:bCs/>
                <w:color w:val="auto"/>
                <w:sz w:val="24"/>
                <w:szCs w:val="24"/>
                <w:highlight w:val="none"/>
              </w:rPr>
              <w:t>kg/h，排放浓度</w:t>
            </w:r>
            <w:r>
              <w:rPr>
                <w:rFonts w:hint="eastAsia"/>
                <w:b w:val="0"/>
                <w:bCs/>
                <w:color w:val="auto"/>
                <w:sz w:val="24"/>
                <w:szCs w:val="24"/>
                <w:highlight w:val="none"/>
                <w:lang w:val="en-US" w:eastAsia="zh-CN"/>
              </w:rPr>
              <w:t>21.49</w:t>
            </w:r>
            <w:r>
              <w:rPr>
                <w:rFonts w:hint="default"/>
                <w:b w:val="0"/>
                <w:bCs/>
                <w:color w:val="auto"/>
                <w:sz w:val="24"/>
                <w:szCs w:val="24"/>
                <w:highlight w:val="none"/>
              </w:rPr>
              <w:t>mg/</w:t>
            </w:r>
            <w:r>
              <w:rPr>
                <w:rFonts w:hint="eastAsia"/>
                <w:b w:val="0"/>
                <w:bCs/>
                <w:color w:val="auto"/>
                <w:sz w:val="24"/>
                <w:szCs w:val="24"/>
                <w:highlight w:val="none"/>
                <w:lang w:eastAsia="zh-CN"/>
              </w:rPr>
              <w:t>m</w:t>
            </w:r>
            <w:r>
              <w:rPr>
                <w:rFonts w:hint="eastAsia"/>
                <w:b w:val="0"/>
                <w:bCs/>
                <w:color w:val="auto"/>
                <w:sz w:val="24"/>
                <w:szCs w:val="24"/>
                <w:highlight w:val="none"/>
                <w:vertAlign w:val="superscript"/>
                <w:lang w:eastAsia="zh-CN"/>
              </w:rPr>
              <w:t>3</w:t>
            </w:r>
            <w:r>
              <w:rPr>
                <w:rFonts w:hint="default"/>
                <w:b w:val="0"/>
                <w:bCs/>
                <w:color w:val="auto"/>
                <w:sz w:val="24"/>
                <w:szCs w:val="24"/>
                <w:highlight w:val="none"/>
              </w:rPr>
              <w:t>；</w:t>
            </w:r>
          </w:p>
          <w:p w14:paraId="1AB5B0D0">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480"/>
              <w:rPr>
                <w:rFonts w:hint="default"/>
                <w:b w:val="0"/>
                <w:bCs/>
                <w:color w:val="auto"/>
                <w:sz w:val="24"/>
                <w:szCs w:val="24"/>
                <w:highlight w:val="none"/>
              </w:rPr>
            </w:pPr>
            <w:r>
              <w:rPr>
                <w:rFonts w:hint="eastAsia" w:ascii="宋体" w:hAnsi="宋体" w:eastAsia="宋体" w:cs="宋体"/>
                <w:b w:val="0"/>
                <w:bCs/>
                <w:color w:val="auto"/>
                <w:sz w:val="24"/>
                <w:szCs w:val="24"/>
                <w:highlight w:val="none"/>
              </w:rPr>
              <w:t>③</w:t>
            </w:r>
            <w:r>
              <w:rPr>
                <w:rFonts w:hint="default"/>
                <w:b w:val="0"/>
                <w:bCs/>
                <w:color w:val="auto"/>
                <w:sz w:val="24"/>
                <w:szCs w:val="24"/>
                <w:highlight w:val="none"/>
              </w:rPr>
              <w:t>二氧化硫</w:t>
            </w:r>
          </w:p>
          <w:p w14:paraId="7D5EEDA0">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480"/>
              <w:jc w:val="center"/>
              <w:rPr>
                <w:rFonts w:hint="default"/>
                <w:b w:val="0"/>
                <w:bCs/>
                <w:color w:val="auto"/>
                <w:sz w:val="24"/>
                <w:szCs w:val="24"/>
                <w:highlight w:val="none"/>
              </w:rPr>
            </w:pPr>
            <w:r>
              <w:rPr>
                <w:rFonts w:hint="default"/>
                <w:b w:val="0"/>
                <w:bCs/>
                <w:color w:val="auto"/>
                <w:sz w:val="24"/>
                <w:szCs w:val="24"/>
                <w:highlight w:val="none"/>
              </w:rPr>
              <w:drawing>
                <wp:inline distT="0" distB="0" distL="114300" distR="114300">
                  <wp:extent cx="2419350" cy="425450"/>
                  <wp:effectExtent l="0" t="0" r="0" b="12700"/>
                  <wp:docPr id="10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5"/>
                          <pic:cNvPicPr>
                            <a:picLocks noChangeAspect="1"/>
                          </pic:cNvPicPr>
                        </pic:nvPicPr>
                        <pic:blipFill>
                          <a:blip r:embed="rId22"/>
                          <a:stretch>
                            <a:fillRect/>
                          </a:stretch>
                        </pic:blipFill>
                        <pic:spPr>
                          <a:xfrm>
                            <a:off x="0" y="0"/>
                            <a:ext cx="2419350" cy="425450"/>
                          </a:xfrm>
                          <a:prstGeom prst="rect">
                            <a:avLst/>
                          </a:prstGeom>
                          <a:noFill/>
                          <a:ln>
                            <a:noFill/>
                          </a:ln>
                        </pic:spPr>
                      </pic:pic>
                    </a:graphicData>
                  </a:graphic>
                </wp:inline>
              </w:drawing>
            </w:r>
          </w:p>
          <w:p w14:paraId="5BE7EEBE">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480"/>
              <w:rPr>
                <w:rFonts w:hint="default"/>
                <w:b w:val="0"/>
                <w:bCs/>
                <w:color w:val="auto"/>
                <w:sz w:val="24"/>
                <w:szCs w:val="24"/>
                <w:highlight w:val="none"/>
              </w:rPr>
            </w:pPr>
            <w:r>
              <w:rPr>
                <w:rFonts w:hint="default"/>
                <w:b w:val="0"/>
                <w:bCs/>
                <w:color w:val="auto"/>
                <w:sz w:val="24"/>
                <w:szCs w:val="24"/>
                <w:highlight w:val="none"/>
              </w:rPr>
              <w:t>式中：E</w:t>
            </w:r>
            <w:r>
              <w:rPr>
                <w:rFonts w:hint="default"/>
                <w:b w:val="0"/>
                <w:bCs/>
                <w:color w:val="auto"/>
                <w:sz w:val="24"/>
                <w:szCs w:val="24"/>
                <w:highlight w:val="none"/>
                <w:vertAlign w:val="subscript"/>
              </w:rPr>
              <w:t>SO2</w:t>
            </w:r>
            <w:r>
              <w:rPr>
                <w:rFonts w:hint="default"/>
                <w:b w:val="0"/>
                <w:bCs/>
                <w:color w:val="auto"/>
                <w:sz w:val="24"/>
                <w:szCs w:val="24"/>
                <w:highlight w:val="none"/>
              </w:rPr>
              <w:t>——核算时段内二氧化硫排放量，t；</w:t>
            </w:r>
          </w:p>
          <w:p w14:paraId="1F68425C">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1200" w:firstLineChars="500"/>
              <w:rPr>
                <w:rFonts w:hint="default"/>
                <w:b w:val="0"/>
                <w:bCs/>
                <w:color w:val="auto"/>
                <w:sz w:val="24"/>
                <w:szCs w:val="24"/>
                <w:highlight w:val="none"/>
              </w:rPr>
            </w:pPr>
            <w:r>
              <w:rPr>
                <w:rFonts w:hint="default"/>
                <w:b w:val="0"/>
                <w:bCs/>
                <w:color w:val="auto"/>
                <w:sz w:val="24"/>
                <w:szCs w:val="24"/>
                <w:highlight w:val="none"/>
              </w:rPr>
              <w:t>R——核算时段内锅炉燃料耗量，t；</w:t>
            </w:r>
          </w:p>
          <w:p w14:paraId="2691692E">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1200" w:firstLineChars="500"/>
              <w:rPr>
                <w:rFonts w:hint="default"/>
                <w:b w:val="0"/>
                <w:bCs/>
                <w:color w:val="auto"/>
                <w:sz w:val="24"/>
                <w:szCs w:val="24"/>
                <w:highlight w:val="none"/>
              </w:rPr>
            </w:pPr>
            <w:r>
              <w:rPr>
                <w:rFonts w:hint="default"/>
                <w:b w:val="0"/>
                <w:bCs/>
                <w:color w:val="auto"/>
                <w:sz w:val="24"/>
                <w:szCs w:val="24"/>
                <w:highlight w:val="none"/>
              </w:rPr>
              <w:t>Sar——收到基硫的质量分数，%，取值0.0</w:t>
            </w:r>
            <w:r>
              <w:rPr>
                <w:rFonts w:hint="eastAsia"/>
                <w:b w:val="0"/>
                <w:bCs/>
                <w:color w:val="auto"/>
                <w:sz w:val="24"/>
                <w:szCs w:val="24"/>
                <w:highlight w:val="none"/>
                <w:lang w:val="en-US" w:eastAsia="zh-CN"/>
              </w:rPr>
              <w:t>7</w:t>
            </w:r>
            <w:r>
              <w:rPr>
                <w:rFonts w:hint="default"/>
                <w:b w:val="0"/>
                <w:bCs/>
                <w:color w:val="auto"/>
                <w:sz w:val="24"/>
                <w:szCs w:val="24"/>
                <w:highlight w:val="none"/>
              </w:rPr>
              <w:t>%；</w:t>
            </w:r>
          </w:p>
          <w:p w14:paraId="02439A8A">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1200" w:firstLineChars="500"/>
              <w:rPr>
                <w:rFonts w:hint="default"/>
                <w:b w:val="0"/>
                <w:bCs/>
                <w:color w:val="auto"/>
                <w:sz w:val="24"/>
                <w:szCs w:val="24"/>
                <w:highlight w:val="none"/>
              </w:rPr>
            </w:pPr>
            <w:r>
              <w:rPr>
                <w:rFonts w:hint="default"/>
                <w:b w:val="0"/>
                <w:bCs/>
                <w:color w:val="auto"/>
                <w:sz w:val="24"/>
                <w:szCs w:val="24"/>
                <w:highlight w:val="none"/>
              </w:rPr>
              <w:t>q4——锅炉机械不完全燃烧热损失，%，取值15%（根据</w:t>
            </w:r>
            <w:r>
              <w:rPr>
                <w:rFonts w:hint="default"/>
                <w:b w:val="0"/>
                <w:bCs/>
                <w:color w:val="auto"/>
                <w:kern w:val="0"/>
                <w:sz w:val="24"/>
                <w:szCs w:val="24"/>
                <w:highlight w:val="none"/>
              </w:rPr>
              <w:t>《污染源源强核算技术指南 锅炉》（HJ991-2018）中</w:t>
            </w:r>
            <w:r>
              <w:rPr>
                <w:rFonts w:hint="default"/>
                <w:b w:val="0"/>
                <w:bCs/>
                <w:color w:val="auto"/>
                <w:sz w:val="24"/>
                <w:szCs w:val="24"/>
                <w:highlight w:val="none"/>
              </w:rPr>
              <w:t>链条炉排炉不完全燃烧热损失5%-15%）；</w:t>
            </w:r>
          </w:p>
          <w:p w14:paraId="3E7AB398">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960" w:firstLineChars="400"/>
              <w:rPr>
                <w:rFonts w:hint="default"/>
                <w:b w:val="0"/>
                <w:bCs/>
                <w:color w:val="auto"/>
                <w:sz w:val="24"/>
                <w:szCs w:val="24"/>
                <w:highlight w:val="none"/>
              </w:rPr>
            </w:pPr>
            <w:r>
              <w:rPr>
                <w:rFonts w:hint="default"/>
                <w:b w:val="0"/>
                <w:bCs/>
                <w:color w:val="auto"/>
                <w:sz w:val="24"/>
                <w:szCs w:val="24"/>
                <w:highlight w:val="none"/>
              </w:rPr>
              <w:t>ηs——脱硫效率，%，取值0%；</w:t>
            </w:r>
          </w:p>
          <w:p w14:paraId="272E2DCA">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960" w:firstLineChars="400"/>
              <w:rPr>
                <w:rFonts w:hint="default"/>
                <w:b w:val="0"/>
                <w:bCs/>
                <w:color w:val="auto"/>
                <w:sz w:val="24"/>
                <w:szCs w:val="24"/>
                <w:highlight w:val="none"/>
              </w:rPr>
            </w:pPr>
            <w:r>
              <w:rPr>
                <w:rFonts w:hint="default"/>
                <w:b w:val="0"/>
                <w:bCs/>
                <w:color w:val="auto"/>
                <w:sz w:val="24"/>
                <w:szCs w:val="24"/>
                <w:highlight w:val="none"/>
              </w:rPr>
              <w:t>K——燃料中的硫燃烧后氧化成</w:t>
            </w:r>
            <w:r>
              <w:rPr>
                <w:rFonts w:hint="eastAsia"/>
                <w:b w:val="0"/>
                <w:bCs/>
                <w:color w:val="auto"/>
                <w:sz w:val="24"/>
                <w:szCs w:val="24"/>
                <w:highlight w:val="none"/>
              </w:rPr>
              <w:t>为</w:t>
            </w:r>
            <w:r>
              <w:rPr>
                <w:rFonts w:hint="default"/>
                <w:b w:val="0"/>
                <w:bCs/>
                <w:color w:val="auto"/>
                <w:sz w:val="24"/>
                <w:szCs w:val="24"/>
                <w:highlight w:val="none"/>
              </w:rPr>
              <w:t>二氧化硫的份额，量纲一的量，取值0.4。</w:t>
            </w:r>
          </w:p>
          <w:p w14:paraId="48BD63A1">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480"/>
              <w:rPr>
                <w:rFonts w:hint="default"/>
                <w:b w:val="0"/>
                <w:bCs/>
                <w:color w:val="auto"/>
                <w:sz w:val="24"/>
                <w:szCs w:val="24"/>
                <w:highlight w:val="none"/>
              </w:rPr>
            </w:pPr>
            <w:r>
              <w:rPr>
                <w:rFonts w:hint="default"/>
                <w:b w:val="0"/>
                <w:bCs/>
                <w:color w:val="auto"/>
                <w:sz w:val="24"/>
                <w:szCs w:val="24"/>
                <w:highlight w:val="none"/>
              </w:rPr>
              <w:t>经计算，二氧化硫排放量为</w:t>
            </w:r>
            <w:r>
              <w:rPr>
                <w:rFonts w:hint="eastAsia"/>
                <w:b w:val="0"/>
                <w:bCs/>
                <w:color w:val="auto"/>
                <w:sz w:val="24"/>
                <w:szCs w:val="24"/>
                <w:highlight w:val="none"/>
                <w:lang w:val="en-US" w:eastAsia="zh-CN"/>
              </w:rPr>
              <w:t>0.659</w:t>
            </w:r>
            <w:r>
              <w:rPr>
                <w:rFonts w:hint="default"/>
                <w:b w:val="0"/>
                <w:bCs/>
                <w:color w:val="auto"/>
                <w:sz w:val="24"/>
                <w:szCs w:val="24"/>
                <w:highlight w:val="none"/>
              </w:rPr>
              <w:t>t/a，排放速率</w:t>
            </w:r>
            <w:r>
              <w:rPr>
                <w:rFonts w:hint="eastAsia"/>
                <w:b w:val="0"/>
                <w:bCs/>
                <w:color w:val="auto"/>
                <w:sz w:val="24"/>
                <w:szCs w:val="24"/>
                <w:highlight w:val="none"/>
                <w:lang w:val="en-US" w:eastAsia="zh-CN"/>
              </w:rPr>
              <w:t>0.549</w:t>
            </w:r>
            <w:r>
              <w:rPr>
                <w:rFonts w:hint="default"/>
                <w:b w:val="0"/>
                <w:bCs/>
                <w:color w:val="auto"/>
                <w:sz w:val="24"/>
                <w:szCs w:val="24"/>
                <w:highlight w:val="none"/>
              </w:rPr>
              <w:t>kg/h，排放浓度</w:t>
            </w:r>
            <w:r>
              <w:rPr>
                <w:rFonts w:hint="eastAsia"/>
                <w:b w:val="0"/>
                <w:bCs/>
                <w:color w:val="auto"/>
                <w:sz w:val="24"/>
                <w:szCs w:val="24"/>
                <w:highlight w:val="none"/>
                <w:lang w:val="en-US" w:eastAsia="zh-CN"/>
              </w:rPr>
              <w:t>71.899</w:t>
            </w:r>
            <w:r>
              <w:rPr>
                <w:rFonts w:hint="default"/>
                <w:b w:val="0"/>
                <w:bCs/>
                <w:color w:val="auto"/>
                <w:sz w:val="24"/>
                <w:szCs w:val="24"/>
                <w:highlight w:val="none"/>
              </w:rPr>
              <w:t>mg/</w:t>
            </w:r>
            <w:r>
              <w:rPr>
                <w:rFonts w:hint="eastAsia"/>
                <w:b w:val="0"/>
                <w:bCs/>
                <w:color w:val="auto"/>
                <w:sz w:val="24"/>
                <w:szCs w:val="24"/>
                <w:highlight w:val="none"/>
                <w:lang w:eastAsia="zh-CN"/>
              </w:rPr>
              <w:t>m</w:t>
            </w:r>
            <w:r>
              <w:rPr>
                <w:rFonts w:hint="eastAsia"/>
                <w:b w:val="0"/>
                <w:bCs/>
                <w:color w:val="auto"/>
                <w:sz w:val="24"/>
                <w:szCs w:val="24"/>
                <w:highlight w:val="none"/>
                <w:vertAlign w:val="superscript"/>
                <w:lang w:eastAsia="zh-CN"/>
              </w:rPr>
              <w:t>3</w:t>
            </w:r>
            <w:r>
              <w:rPr>
                <w:rFonts w:hint="default"/>
                <w:b w:val="0"/>
                <w:bCs/>
                <w:color w:val="auto"/>
                <w:sz w:val="24"/>
                <w:szCs w:val="24"/>
                <w:highlight w:val="none"/>
              </w:rPr>
              <w:t>；</w:t>
            </w:r>
          </w:p>
          <w:p w14:paraId="683F04D4">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480"/>
              <w:rPr>
                <w:rFonts w:hint="default"/>
                <w:b w:val="0"/>
                <w:bCs/>
                <w:color w:val="auto"/>
                <w:sz w:val="24"/>
                <w:szCs w:val="24"/>
                <w:highlight w:val="none"/>
              </w:rPr>
            </w:pPr>
            <w:r>
              <w:rPr>
                <w:rFonts w:hint="eastAsia" w:ascii="宋体" w:hAnsi="宋体" w:eastAsia="宋体" w:cs="宋体"/>
                <w:b w:val="0"/>
                <w:bCs/>
                <w:color w:val="auto"/>
                <w:sz w:val="24"/>
                <w:szCs w:val="24"/>
                <w:highlight w:val="none"/>
              </w:rPr>
              <w:t>④</w:t>
            </w:r>
            <w:r>
              <w:rPr>
                <w:rFonts w:hint="default"/>
                <w:b w:val="0"/>
                <w:bCs/>
                <w:color w:val="auto"/>
                <w:sz w:val="24"/>
                <w:szCs w:val="24"/>
                <w:highlight w:val="none"/>
              </w:rPr>
              <w:t>氮氧化物</w:t>
            </w:r>
          </w:p>
          <w:p w14:paraId="297486D8">
            <w:pPr>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firstLine="480" w:firstLineChars="200"/>
              <w:textAlignment w:val="center"/>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rPr>
              <w:t>在《排污许可证申请与核发技术规范</w:t>
            </w:r>
            <w:r>
              <w:rPr>
                <w:rFonts w:hint="eastAsia" w:ascii="Times New Roman" w:hAnsi="Times New Roman" w:cs="Times New Roman"/>
                <w:b w:val="0"/>
                <w:bCs/>
                <w:color w:val="auto"/>
                <w:sz w:val="24"/>
                <w:szCs w:val="24"/>
                <w:highlight w:val="none"/>
                <w:lang w:val="en-US" w:eastAsia="zh-CN"/>
              </w:rPr>
              <w:t xml:space="preserve"> </w:t>
            </w:r>
            <w:r>
              <w:rPr>
                <w:rFonts w:hint="default" w:ascii="Times New Roman" w:hAnsi="Times New Roman" w:cs="Times New Roman"/>
                <w:b w:val="0"/>
                <w:bCs/>
                <w:color w:val="auto"/>
                <w:sz w:val="24"/>
                <w:szCs w:val="24"/>
                <w:highlight w:val="none"/>
              </w:rPr>
              <w:t>工业炉窑》（HJ1121—2020）中氮氧化物没有物料衡算法，本项目有元素分析表，所以氮氧化物应参照《污染源源强核算技术指南 锅炉》（HJ991-2018）中产排污系数法。但是本项目</w:t>
            </w:r>
            <w:r>
              <w:rPr>
                <w:rFonts w:hint="eastAsia" w:ascii="Times New Roman" w:hAnsi="Times New Roman" w:cs="Times New Roman"/>
                <w:b w:val="0"/>
                <w:bCs/>
                <w:color w:val="auto"/>
                <w:sz w:val="24"/>
                <w:szCs w:val="24"/>
                <w:highlight w:val="none"/>
                <w:lang w:eastAsia="zh-CN"/>
              </w:rPr>
              <w:t>热风炉</w:t>
            </w:r>
            <w:r>
              <w:rPr>
                <w:rFonts w:hint="default" w:ascii="Times New Roman" w:hAnsi="Times New Roman" w:cs="Times New Roman"/>
                <w:b w:val="0"/>
                <w:bCs/>
                <w:color w:val="auto"/>
                <w:sz w:val="24"/>
                <w:szCs w:val="24"/>
                <w:highlight w:val="none"/>
              </w:rPr>
              <w:t>燃烧生物质燃料，因没有具有可比性的检测数据，所以不满足使用《污染源源强核算技术指南 锅炉》（HJ991-2018）中物料衡算法的条件，所以本项目氮氧化物核算方法采用产排污系数法，根据《</w:t>
            </w:r>
            <w:r>
              <w:rPr>
                <w:rFonts w:hint="eastAsia" w:ascii="Times New Roman" w:hAnsi="Times New Roman" w:cs="Times New Roman"/>
                <w:b w:val="0"/>
                <w:bCs/>
                <w:color w:val="auto"/>
                <w:sz w:val="24"/>
                <w:szCs w:val="24"/>
                <w:highlight w:val="none"/>
              </w:rPr>
              <w:t>排放源统计调查产排污核算方法和系数手册</w:t>
            </w:r>
            <w:r>
              <w:rPr>
                <w:rFonts w:hint="default" w:ascii="Times New Roman" w:hAnsi="Times New Roman" w:cs="Times New Roman"/>
                <w:b w:val="0"/>
                <w:bCs/>
                <w:color w:val="auto"/>
                <w:sz w:val="24"/>
                <w:szCs w:val="24"/>
                <w:highlight w:val="none"/>
              </w:rPr>
              <w:t>》</w:t>
            </w:r>
            <w:r>
              <w:rPr>
                <w:rFonts w:hint="eastAsia" w:ascii="Times New Roman" w:hAnsi="Times New Roman" w:cs="Times New Roman"/>
                <w:b w:val="0"/>
                <w:bCs/>
                <w:color w:val="auto"/>
                <w:sz w:val="24"/>
                <w:szCs w:val="24"/>
                <w:highlight w:val="none"/>
              </w:rPr>
              <w:t>（公告2021年 第24号）中“4430工业锅炉（热力生产和供应行业）产排污系数表”的内容，</w:t>
            </w:r>
            <w:r>
              <w:rPr>
                <w:rFonts w:hint="default" w:ascii="Times New Roman" w:hAnsi="Times New Roman" w:cs="Times New Roman"/>
                <w:b w:val="0"/>
                <w:bCs/>
                <w:color w:val="auto"/>
                <w:sz w:val="24"/>
                <w:szCs w:val="24"/>
                <w:highlight w:val="none"/>
              </w:rPr>
              <w:t>参照生物质层燃炉（散烧），NO</w:t>
            </w:r>
            <w:r>
              <w:rPr>
                <w:rFonts w:hint="default" w:ascii="Times New Roman" w:hAnsi="Times New Roman" w:cs="Times New Roman"/>
                <w:b w:val="0"/>
                <w:bCs/>
                <w:color w:val="auto"/>
                <w:sz w:val="24"/>
                <w:szCs w:val="24"/>
                <w:highlight w:val="none"/>
                <w:vertAlign w:val="subscript"/>
              </w:rPr>
              <w:t>x</w:t>
            </w:r>
            <w:r>
              <w:rPr>
                <w:rFonts w:hint="default" w:ascii="Times New Roman" w:hAnsi="Times New Roman" w:cs="Times New Roman"/>
                <w:b w:val="0"/>
                <w:bCs/>
                <w:color w:val="auto"/>
                <w:sz w:val="24"/>
                <w:szCs w:val="24"/>
                <w:highlight w:val="none"/>
              </w:rPr>
              <w:t>产生量为1.02kg/吨-原料。</w:t>
            </w:r>
          </w:p>
          <w:p w14:paraId="3DE53A83">
            <w:pPr>
              <w:pStyle w:val="2"/>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firstLine="480" w:firstLineChars="200"/>
              <w:rPr>
                <w:rFonts w:hint="default" w:ascii="Times New Roman" w:hAnsi="Times New Roman" w:cs="Times New Roman"/>
                <w:b w:val="0"/>
                <w:bCs/>
                <w:color w:val="auto"/>
                <w:sz w:val="24"/>
                <w:szCs w:val="24"/>
                <w:highlight w:val="none"/>
                <w:vertAlign w:val="superscript"/>
              </w:rPr>
            </w:pPr>
            <w:r>
              <w:rPr>
                <w:rFonts w:hint="default" w:ascii="Times New Roman" w:hAnsi="Times New Roman" w:cs="Times New Roman"/>
                <w:b w:val="0"/>
                <w:bCs/>
                <w:color w:val="auto"/>
                <w:sz w:val="24"/>
                <w:szCs w:val="24"/>
                <w:highlight w:val="none"/>
              </w:rPr>
              <w:t>NO</w:t>
            </w:r>
            <w:r>
              <w:rPr>
                <w:rFonts w:hint="default" w:ascii="Times New Roman" w:hAnsi="Times New Roman" w:cs="Times New Roman"/>
                <w:b w:val="0"/>
                <w:bCs/>
                <w:color w:val="auto"/>
                <w:sz w:val="24"/>
                <w:szCs w:val="24"/>
                <w:highlight w:val="none"/>
                <w:vertAlign w:val="subscript"/>
              </w:rPr>
              <w:t>x</w:t>
            </w:r>
            <w:r>
              <w:rPr>
                <w:rFonts w:hint="default" w:ascii="Times New Roman" w:hAnsi="Times New Roman" w:cs="Times New Roman"/>
                <w:b w:val="0"/>
                <w:bCs/>
                <w:color w:val="auto"/>
                <w:sz w:val="24"/>
                <w:szCs w:val="24"/>
                <w:highlight w:val="none"/>
              </w:rPr>
              <w:t>产生量=</w:t>
            </w:r>
            <w:r>
              <w:rPr>
                <w:rFonts w:hint="eastAsia" w:ascii="Times New Roman" w:hAnsi="Times New Roman" w:cs="Times New Roman"/>
                <w:b w:val="0"/>
                <w:bCs/>
                <w:color w:val="auto"/>
                <w:sz w:val="24"/>
                <w:szCs w:val="24"/>
                <w:highlight w:val="none"/>
                <w:lang w:val="en-US" w:eastAsia="zh-CN"/>
              </w:rPr>
              <w:t>原料</w:t>
            </w:r>
            <w:r>
              <w:rPr>
                <w:rFonts w:hint="default" w:ascii="Times New Roman" w:hAnsi="Times New Roman" w:cs="Times New Roman"/>
                <w:b w:val="0"/>
                <w:bCs/>
                <w:color w:val="auto"/>
                <w:sz w:val="24"/>
                <w:szCs w:val="24"/>
                <w:highlight w:val="none"/>
              </w:rPr>
              <w:t>t/a×1.02kg/吨-原料×10</w:t>
            </w:r>
            <w:r>
              <w:rPr>
                <w:rFonts w:hint="default" w:ascii="Times New Roman" w:hAnsi="Times New Roman" w:cs="Times New Roman"/>
                <w:b w:val="0"/>
                <w:bCs/>
                <w:color w:val="auto"/>
                <w:sz w:val="24"/>
                <w:szCs w:val="24"/>
                <w:highlight w:val="none"/>
                <w:vertAlign w:val="superscript"/>
              </w:rPr>
              <w:t>-3</w:t>
            </w:r>
          </w:p>
          <w:p w14:paraId="03503022">
            <w:pPr>
              <w:pStyle w:val="70"/>
              <w:keepLines w:val="0"/>
              <w:pageBreakBefore w:val="0"/>
              <w:widowControl w:val="0"/>
              <w:suppressLineNumbers w:val="0"/>
              <w:kinsoku/>
              <w:wordWrap/>
              <w:overflowPunct/>
              <w:topLinePunct w:val="0"/>
              <w:bidi w:val="0"/>
              <w:snapToGrid/>
              <w:spacing w:before="0" w:beforeAutospacing="0" w:after="0" w:afterAutospacing="0" w:line="360" w:lineRule="auto"/>
              <w:ind w:firstLine="480"/>
              <w:rPr>
                <w:rFonts w:hint="default"/>
                <w:color w:val="auto"/>
                <w:highlight w:val="none"/>
              </w:rPr>
            </w:pPr>
            <w:r>
              <w:rPr>
                <w:rFonts w:hint="default"/>
                <w:b w:val="0"/>
                <w:bCs/>
                <w:color w:val="auto"/>
                <w:sz w:val="24"/>
                <w:szCs w:val="24"/>
                <w:highlight w:val="none"/>
              </w:rPr>
              <w:t>经计算，氮氧化物排放量为</w:t>
            </w:r>
            <w:r>
              <w:rPr>
                <w:rFonts w:hint="eastAsia"/>
                <w:b w:val="0"/>
                <w:bCs/>
                <w:color w:val="auto"/>
                <w:sz w:val="24"/>
                <w:szCs w:val="24"/>
                <w:highlight w:val="none"/>
                <w:lang w:val="en-US" w:eastAsia="zh-CN"/>
              </w:rPr>
              <w:t>1.411</w:t>
            </w:r>
            <w:r>
              <w:rPr>
                <w:rFonts w:hint="default"/>
                <w:b w:val="0"/>
                <w:bCs/>
                <w:color w:val="auto"/>
                <w:sz w:val="24"/>
                <w:szCs w:val="24"/>
                <w:highlight w:val="none"/>
              </w:rPr>
              <w:t>t/a，排放速率</w:t>
            </w:r>
            <w:r>
              <w:rPr>
                <w:rFonts w:hint="eastAsia"/>
                <w:b w:val="0"/>
                <w:bCs/>
                <w:color w:val="auto"/>
                <w:sz w:val="24"/>
                <w:szCs w:val="24"/>
                <w:highlight w:val="none"/>
                <w:lang w:val="en-US" w:eastAsia="zh-CN"/>
              </w:rPr>
              <w:t>1.176</w:t>
            </w:r>
            <w:r>
              <w:rPr>
                <w:rFonts w:hint="default"/>
                <w:b w:val="0"/>
                <w:bCs/>
                <w:color w:val="auto"/>
                <w:sz w:val="24"/>
                <w:szCs w:val="24"/>
                <w:highlight w:val="none"/>
              </w:rPr>
              <w:t>kg/h，排放浓度</w:t>
            </w:r>
            <w:r>
              <w:rPr>
                <w:rFonts w:hint="eastAsia"/>
                <w:b w:val="0"/>
                <w:bCs/>
                <w:color w:val="auto"/>
                <w:sz w:val="24"/>
                <w:szCs w:val="24"/>
                <w:highlight w:val="none"/>
                <w:lang w:val="en-US" w:eastAsia="zh-CN"/>
              </w:rPr>
              <w:t>153.94</w:t>
            </w:r>
            <w:r>
              <w:rPr>
                <w:rFonts w:hint="default"/>
                <w:b w:val="0"/>
                <w:bCs/>
                <w:color w:val="auto"/>
                <w:sz w:val="24"/>
                <w:szCs w:val="24"/>
                <w:highlight w:val="none"/>
              </w:rPr>
              <w:t>mg/</w:t>
            </w:r>
            <w:r>
              <w:rPr>
                <w:rFonts w:hint="eastAsia"/>
                <w:b w:val="0"/>
                <w:bCs/>
                <w:color w:val="auto"/>
                <w:sz w:val="24"/>
                <w:szCs w:val="24"/>
                <w:highlight w:val="none"/>
                <w:lang w:eastAsia="zh-CN"/>
              </w:rPr>
              <w:t>m</w:t>
            </w:r>
            <w:r>
              <w:rPr>
                <w:rFonts w:hint="eastAsia"/>
                <w:b w:val="0"/>
                <w:bCs/>
                <w:color w:val="auto"/>
                <w:sz w:val="24"/>
                <w:szCs w:val="24"/>
                <w:highlight w:val="none"/>
                <w:vertAlign w:val="superscript"/>
                <w:lang w:eastAsia="zh-CN"/>
              </w:rPr>
              <w:t>3</w:t>
            </w:r>
            <w:r>
              <w:rPr>
                <w:rFonts w:hint="default"/>
                <w:b w:val="0"/>
                <w:bCs/>
                <w:color w:val="auto"/>
                <w:sz w:val="24"/>
                <w:szCs w:val="24"/>
                <w:highlight w:val="none"/>
              </w:rPr>
              <w:t>；</w:t>
            </w:r>
          </w:p>
          <w:p w14:paraId="6BBE97CA">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default" w:cs="Times New Roman"/>
                <w:color w:val="auto"/>
                <w:position w:val="0"/>
                <w:sz w:val="24"/>
                <w:szCs w:val="24"/>
                <w:highlight w:val="none"/>
                <w:lang w:val="en-US" w:eastAsia="zh-CN"/>
              </w:rPr>
            </w:pPr>
            <w:r>
              <w:rPr>
                <w:rFonts w:hint="eastAsia" w:cs="Times New Roman"/>
                <w:color w:val="auto"/>
                <w:position w:val="0"/>
                <w:sz w:val="24"/>
                <w:szCs w:val="24"/>
                <w:highlight w:val="none"/>
                <w:lang w:val="en-US" w:eastAsia="zh-CN"/>
              </w:rPr>
              <w:t>⑤汞及其化合物</w:t>
            </w:r>
          </w:p>
          <w:p w14:paraId="33DB3C4A">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auto"/>
                <w:position w:val="0"/>
                <w:sz w:val="24"/>
                <w:szCs w:val="24"/>
                <w:highlight w:val="none"/>
              </w:rPr>
            </w:pPr>
            <w:r>
              <w:rPr>
                <w:rFonts w:hint="default" w:ascii="Times New Roman" w:hAnsi="Times New Roman" w:eastAsia="宋体" w:cs="Times New Roman"/>
                <w:color w:val="auto"/>
                <w:position w:val="0"/>
                <w:sz w:val="24"/>
                <w:szCs w:val="24"/>
                <w:highlight w:val="none"/>
                <w:lang w:val="en-US" w:eastAsia="zh-CN"/>
              </w:rPr>
              <w:t>根据《直接法测定固体生物质燃料中汞的试验研究》（第35卷第6期2020年11月），每1g生物质燃料含15.47ng汞，汞的含量极微少，属于微量水平，燃烧后产生的</w:t>
            </w:r>
            <w:r>
              <w:rPr>
                <w:rFonts w:hint="eastAsia" w:ascii="Times New Roman" w:hAnsi="Times New Roman" w:eastAsia="宋体" w:cs="Times New Roman"/>
                <w:color w:val="auto"/>
                <w:position w:val="0"/>
                <w:sz w:val="24"/>
                <w:szCs w:val="24"/>
                <w:highlight w:val="none"/>
                <w:lang w:val="en-US" w:eastAsia="zh-CN"/>
              </w:rPr>
              <w:t>汞</w:t>
            </w:r>
            <w:r>
              <w:rPr>
                <w:rFonts w:hint="default" w:ascii="Times New Roman" w:hAnsi="Times New Roman" w:eastAsia="宋体" w:cs="Times New Roman"/>
                <w:color w:val="auto"/>
                <w:position w:val="0"/>
                <w:sz w:val="24"/>
                <w:szCs w:val="24"/>
                <w:highlight w:val="none"/>
                <w:lang w:val="en-US" w:eastAsia="zh-CN"/>
              </w:rPr>
              <w:t>极少，不会对周边环境质量产生影响，本次评价不做定量分析。</w:t>
            </w:r>
          </w:p>
          <w:p w14:paraId="4742E829">
            <w:pPr>
              <w:pStyle w:val="15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ascii="Times New Roman" w:hAnsi="Times New Roman" w:eastAsia="宋体" w:cs="Times New Roman"/>
                <w:bCs/>
                <w:color w:val="auto"/>
                <w:kern w:val="0"/>
                <w:sz w:val="24"/>
                <w:szCs w:val="24"/>
                <w:highlight w:val="none"/>
                <w:lang w:eastAsia="zh-CN"/>
              </w:rPr>
            </w:pPr>
            <w:r>
              <w:rPr>
                <w:rFonts w:hint="default" w:ascii="Times New Roman" w:hAnsi="Times New Roman" w:cs="Times New Roman"/>
                <w:color w:val="auto"/>
                <w:sz w:val="24"/>
                <w:szCs w:val="24"/>
                <w:highlight w:val="none"/>
                <w:lang w:val="en-US" w:eastAsia="zh-CN"/>
              </w:rPr>
              <w:t>热风炉烟气</w:t>
            </w:r>
            <w:r>
              <w:rPr>
                <w:rFonts w:hint="eastAsia" w:ascii="Times New Roman" w:hAnsi="Times New Roman" w:cs="Times New Roman"/>
                <w:color w:val="auto"/>
                <w:sz w:val="24"/>
                <w:szCs w:val="24"/>
                <w:highlight w:val="none"/>
                <w:lang w:val="en-US" w:eastAsia="zh-CN"/>
              </w:rPr>
              <w:t>通过</w:t>
            </w:r>
            <w:r>
              <w:rPr>
                <w:rFonts w:hint="default" w:ascii="Times New Roman" w:hAnsi="Times New Roman" w:cs="Times New Roman"/>
                <w:color w:val="auto"/>
                <w:sz w:val="24"/>
                <w:szCs w:val="24"/>
                <w:highlight w:val="none"/>
                <w:lang w:val="en-US" w:eastAsia="zh-CN"/>
              </w:rPr>
              <w:t>布袋除尘器（除尘效率99</w:t>
            </w:r>
            <w:r>
              <w:rPr>
                <w:rFonts w:hint="eastAsia" w:cs="Times New Roman"/>
                <w:color w:val="auto"/>
                <w:sz w:val="24"/>
                <w:szCs w:val="24"/>
                <w:highlight w:val="none"/>
                <w:lang w:val="en-US" w:eastAsia="zh-CN"/>
              </w:rPr>
              <w:t>.7</w:t>
            </w:r>
            <w:r>
              <w:rPr>
                <w:rFonts w:hint="default" w:ascii="Times New Roman" w:hAnsi="Times New Roman" w:cs="Times New Roman"/>
                <w:color w:val="auto"/>
                <w:sz w:val="24"/>
                <w:szCs w:val="24"/>
                <w:highlight w:val="none"/>
                <w:lang w:val="en-US" w:eastAsia="zh-CN"/>
              </w:rPr>
              <w:t>%）处理后经过</w:t>
            </w:r>
            <w:r>
              <w:rPr>
                <w:rFonts w:hint="eastAsia" w:cs="Times New Roman"/>
                <w:color w:val="auto"/>
                <w:sz w:val="24"/>
                <w:szCs w:val="24"/>
                <w:highlight w:val="none"/>
                <w:lang w:val="en-US" w:eastAsia="zh-CN"/>
              </w:rPr>
              <w:t>18m高</w:t>
            </w:r>
            <w:r>
              <w:rPr>
                <w:rFonts w:hint="eastAsia" w:cs="Times New Roman"/>
                <w:color w:val="auto"/>
                <w:sz w:val="24"/>
                <w:szCs w:val="24"/>
                <w:highlight w:val="none"/>
                <w:lang w:eastAsia="zh-CN"/>
              </w:rPr>
              <w:t>烟囱</w:t>
            </w:r>
            <w:r>
              <w:rPr>
                <w:rFonts w:hint="default" w:ascii="Times New Roman" w:hAnsi="Times New Roman" w:cs="Times New Roman"/>
                <w:color w:val="auto"/>
                <w:sz w:val="24"/>
                <w:szCs w:val="24"/>
                <w:highlight w:val="none"/>
                <w:lang w:val="en-US" w:eastAsia="zh-CN"/>
              </w:rPr>
              <w:t>排放，</w:t>
            </w:r>
            <w:r>
              <w:rPr>
                <w:rFonts w:hint="eastAsia" w:ascii="Times New Roman" w:hAnsi="Times New Roman" w:cs="Times New Roman"/>
                <w:color w:val="auto"/>
                <w:sz w:val="24"/>
                <w:szCs w:val="24"/>
                <w:highlight w:val="none"/>
                <w:lang w:val="en-US" w:eastAsia="zh-CN"/>
              </w:rPr>
              <w:t>则</w:t>
            </w:r>
            <w:r>
              <w:rPr>
                <w:rFonts w:hint="eastAsia" w:cs="Times New Roman"/>
                <w:color w:val="auto"/>
                <w:sz w:val="24"/>
                <w:szCs w:val="24"/>
                <w:highlight w:val="none"/>
                <w:lang w:val="en-US" w:eastAsia="zh-CN"/>
              </w:rPr>
              <w:t>600</w:t>
            </w:r>
            <w:r>
              <w:rPr>
                <w:rFonts w:hint="default" w:ascii="Times New Roman" w:hAnsi="Times New Roman" w:eastAsia="宋体" w:cs="Times New Roman"/>
                <w:color w:val="auto"/>
                <w:sz w:val="24"/>
                <w:szCs w:val="24"/>
                <w:highlight w:val="none"/>
                <w:lang w:val="en-US" w:eastAsia="zh-CN"/>
              </w:rPr>
              <w:t>万大卡生物质链条</w:t>
            </w:r>
            <w:r>
              <w:rPr>
                <w:rFonts w:hint="eastAsia" w:ascii="Times New Roman" w:hAnsi="Times New Roman" w:eastAsia="宋体" w:cs="Times New Roman"/>
                <w:bCs/>
                <w:color w:val="auto"/>
                <w:spacing w:val="0"/>
                <w:sz w:val="24"/>
                <w:szCs w:val="24"/>
                <w:highlight w:val="none"/>
                <w:lang w:eastAsia="zh-CN"/>
              </w:rPr>
              <w:t>热风炉</w:t>
            </w:r>
            <w:r>
              <w:rPr>
                <w:rFonts w:hint="eastAsia" w:ascii="Times New Roman" w:hAnsi="Times New Roman" w:eastAsia="宋体" w:cs="Times New Roman"/>
                <w:color w:val="auto"/>
                <w:sz w:val="24"/>
                <w:szCs w:val="24"/>
                <w:highlight w:val="none"/>
                <w:lang w:val="en-US" w:eastAsia="zh-CN"/>
              </w:rPr>
              <w:t>（DA001）</w:t>
            </w:r>
            <w:r>
              <w:rPr>
                <w:rFonts w:hint="default" w:ascii="Times New Roman" w:hAnsi="Times New Roman" w:eastAsia="宋体" w:cs="Times New Roman"/>
                <w:bCs/>
                <w:color w:val="auto"/>
                <w:spacing w:val="0"/>
                <w:sz w:val="24"/>
                <w:szCs w:val="24"/>
                <w:highlight w:val="none"/>
              </w:rPr>
              <w:t>大气污染物</w:t>
            </w:r>
            <w:r>
              <w:rPr>
                <w:rFonts w:hint="eastAsia" w:ascii="Times New Roman" w:hAnsi="Times New Roman" w:eastAsia="宋体" w:cs="Times New Roman"/>
                <w:bCs/>
                <w:color w:val="auto"/>
                <w:spacing w:val="0"/>
                <w:sz w:val="24"/>
                <w:szCs w:val="24"/>
                <w:highlight w:val="none"/>
                <w:lang w:eastAsia="zh-CN"/>
              </w:rPr>
              <w:t>排放</w:t>
            </w:r>
            <w:r>
              <w:rPr>
                <w:rFonts w:hint="default" w:ascii="Times New Roman" w:hAnsi="Times New Roman" w:eastAsia="宋体" w:cs="Times New Roman"/>
                <w:bCs/>
                <w:color w:val="auto"/>
                <w:spacing w:val="0"/>
                <w:sz w:val="24"/>
                <w:szCs w:val="24"/>
                <w:highlight w:val="none"/>
              </w:rPr>
              <w:t>量为：颗粒物</w:t>
            </w:r>
            <w:r>
              <w:rPr>
                <w:rFonts w:hint="default" w:ascii="Times New Roman" w:hAnsi="Times New Roman" w:eastAsia="宋体" w:cs="Times New Roman"/>
                <w:color w:val="auto"/>
                <w:sz w:val="24"/>
                <w:szCs w:val="24"/>
                <w:highlight w:val="none"/>
              </w:rPr>
              <w:t>（烟尘）</w:t>
            </w:r>
            <w:r>
              <w:rPr>
                <w:rFonts w:hint="default" w:ascii="Times New Roman" w:hAnsi="Times New Roman" w:eastAsia="宋体" w:cs="Times New Roman"/>
                <w:bCs/>
                <w:color w:val="auto"/>
                <w:spacing w:val="0"/>
                <w:sz w:val="24"/>
                <w:szCs w:val="24"/>
                <w:highlight w:val="none"/>
              </w:rPr>
              <w:t>：</w:t>
            </w:r>
            <w:r>
              <w:rPr>
                <w:rFonts w:hint="eastAsia" w:cs="Times New Roman"/>
                <w:bCs w:val="0"/>
                <w:color w:val="auto"/>
                <w:spacing w:val="0"/>
                <w:sz w:val="24"/>
                <w:szCs w:val="24"/>
                <w:highlight w:val="none"/>
                <w:vertAlign w:val="baseline"/>
                <w:lang w:val="en-US" w:eastAsia="zh-CN"/>
              </w:rPr>
              <w:t>0.197</w:t>
            </w:r>
            <w:r>
              <w:rPr>
                <w:rFonts w:hint="default" w:ascii="Times New Roman" w:hAnsi="Times New Roman" w:eastAsia="宋体" w:cs="Times New Roman"/>
                <w:bCs/>
                <w:color w:val="auto"/>
                <w:spacing w:val="0"/>
                <w:sz w:val="24"/>
                <w:szCs w:val="24"/>
                <w:highlight w:val="none"/>
              </w:rPr>
              <w:t>t/a</w:t>
            </w:r>
            <w:r>
              <w:rPr>
                <w:rFonts w:hint="eastAsia" w:ascii="Times New Roman" w:hAnsi="Times New Roman" w:eastAsia="宋体" w:cs="Times New Roman"/>
                <w:bCs/>
                <w:color w:val="auto"/>
                <w:spacing w:val="0"/>
                <w:sz w:val="24"/>
                <w:szCs w:val="24"/>
                <w:highlight w:val="none"/>
                <w:lang w:eastAsia="zh-CN"/>
              </w:rPr>
              <w:t>；</w:t>
            </w:r>
            <w:r>
              <w:rPr>
                <w:rFonts w:hint="default" w:ascii="Times New Roman" w:hAnsi="Times New Roman" w:eastAsia="宋体" w:cs="Times New Roman"/>
                <w:bCs/>
                <w:color w:val="auto"/>
                <w:spacing w:val="0"/>
                <w:sz w:val="24"/>
                <w:szCs w:val="24"/>
                <w:highlight w:val="none"/>
              </w:rPr>
              <w:t>SO</w:t>
            </w:r>
            <w:r>
              <w:rPr>
                <w:rFonts w:hint="default" w:ascii="Times New Roman" w:hAnsi="Times New Roman" w:eastAsia="宋体" w:cs="Times New Roman"/>
                <w:bCs/>
                <w:color w:val="auto"/>
                <w:spacing w:val="0"/>
                <w:sz w:val="24"/>
                <w:szCs w:val="24"/>
                <w:highlight w:val="none"/>
                <w:vertAlign w:val="subscript"/>
              </w:rPr>
              <w:t>2</w:t>
            </w:r>
            <w:r>
              <w:rPr>
                <w:rFonts w:hint="default" w:ascii="Times New Roman" w:hAnsi="Times New Roman" w:eastAsia="宋体" w:cs="Times New Roman"/>
                <w:bCs/>
                <w:color w:val="auto"/>
                <w:spacing w:val="0"/>
                <w:sz w:val="24"/>
                <w:szCs w:val="24"/>
                <w:highlight w:val="none"/>
              </w:rPr>
              <w:t>：</w:t>
            </w:r>
            <w:r>
              <w:rPr>
                <w:rFonts w:hint="eastAsia"/>
                <w:color w:val="auto"/>
                <w:sz w:val="24"/>
                <w:szCs w:val="24"/>
                <w:highlight w:val="none"/>
                <w:lang w:val="en-US" w:eastAsia="zh-CN"/>
              </w:rPr>
              <w:t>0.659</w:t>
            </w:r>
            <w:r>
              <w:rPr>
                <w:rFonts w:hint="default" w:ascii="Times New Roman" w:hAnsi="Times New Roman" w:eastAsia="宋体" w:cs="Times New Roman"/>
                <w:bCs/>
                <w:color w:val="auto"/>
                <w:spacing w:val="0"/>
                <w:sz w:val="24"/>
                <w:szCs w:val="24"/>
                <w:highlight w:val="none"/>
              </w:rPr>
              <w:t>t/a；</w:t>
            </w:r>
            <w:r>
              <w:rPr>
                <w:rFonts w:hint="default" w:ascii="Times New Roman" w:hAnsi="Times New Roman" w:eastAsia="宋体" w:cs="Times New Roman"/>
                <w:bCs/>
                <w:color w:val="auto"/>
                <w:spacing w:val="0"/>
                <w:sz w:val="24"/>
                <w:szCs w:val="24"/>
                <w:highlight w:val="none"/>
                <w:lang w:eastAsia="zh-CN"/>
              </w:rPr>
              <w:t>NO</w:t>
            </w:r>
            <w:r>
              <w:rPr>
                <w:rFonts w:hint="default" w:ascii="Times New Roman" w:hAnsi="Times New Roman" w:eastAsia="宋体" w:cs="Times New Roman"/>
                <w:bCs/>
                <w:color w:val="auto"/>
                <w:spacing w:val="0"/>
                <w:sz w:val="24"/>
                <w:szCs w:val="24"/>
                <w:highlight w:val="none"/>
                <w:vertAlign w:val="subscript"/>
                <w:lang w:eastAsia="zh-CN"/>
              </w:rPr>
              <w:t>x</w:t>
            </w:r>
            <w:r>
              <w:rPr>
                <w:rFonts w:hint="eastAsia" w:cs="Times New Roman"/>
                <w:bCs/>
                <w:color w:val="auto"/>
                <w:spacing w:val="0"/>
                <w:sz w:val="24"/>
                <w:szCs w:val="24"/>
                <w:highlight w:val="none"/>
                <w:vertAlign w:val="baseline"/>
                <w:lang w:val="en-US" w:eastAsia="zh-CN"/>
              </w:rPr>
              <w:t>：1.411</w:t>
            </w:r>
            <w:r>
              <w:rPr>
                <w:rFonts w:hint="default" w:ascii="Times New Roman" w:hAnsi="Times New Roman" w:eastAsia="宋体" w:cs="Times New Roman"/>
                <w:bCs/>
                <w:color w:val="auto"/>
                <w:spacing w:val="0"/>
                <w:sz w:val="24"/>
                <w:szCs w:val="24"/>
                <w:highlight w:val="none"/>
              </w:rPr>
              <w:t>t/a</w:t>
            </w:r>
            <w:r>
              <w:rPr>
                <w:rFonts w:hint="eastAsia" w:cs="Times New Roman"/>
                <w:bCs/>
                <w:color w:val="auto"/>
                <w:spacing w:val="0"/>
                <w:sz w:val="24"/>
                <w:szCs w:val="24"/>
                <w:highlight w:val="none"/>
                <w:lang w:eastAsia="zh-CN"/>
              </w:rPr>
              <w:t>；排放浓度烟尘为</w:t>
            </w:r>
            <w:r>
              <w:rPr>
                <w:rFonts w:hint="eastAsia" w:cs="Times New Roman"/>
                <w:bCs/>
                <w:color w:val="auto"/>
                <w:spacing w:val="0"/>
                <w:sz w:val="24"/>
                <w:szCs w:val="24"/>
                <w:highlight w:val="none"/>
                <w:lang w:val="en-US" w:eastAsia="zh-CN"/>
              </w:rPr>
              <w:t>21.49</w:t>
            </w:r>
            <w:r>
              <w:rPr>
                <w:rFonts w:hint="eastAsia" w:cs="Times New Roman"/>
                <w:bCs/>
                <w:color w:val="auto"/>
                <w:spacing w:val="0"/>
                <w:sz w:val="24"/>
                <w:szCs w:val="24"/>
                <w:highlight w:val="none"/>
                <w:lang w:eastAsia="zh-CN"/>
              </w:rPr>
              <w:t>mg/m</w:t>
            </w:r>
            <w:r>
              <w:rPr>
                <w:rFonts w:hint="eastAsia" w:cs="Times New Roman"/>
                <w:bCs/>
                <w:color w:val="auto"/>
                <w:spacing w:val="0"/>
                <w:sz w:val="24"/>
                <w:szCs w:val="24"/>
                <w:highlight w:val="none"/>
                <w:vertAlign w:val="superscript"/>
                <w:lang w:eastAsia="zh-CN"/>
              </w:rPr>
              <w:t>3</w:t>
            </w:r>
            <w:r>
              <w:rPr>
                <w:rFonts w:hint="eastAsia" w:cs="Times New Roman"/>
                <w:bCs/>
                <w:color w:val="auto"/>
                <w:spacing w:val="0"/>
                <w:sz w:val="24"/>
                <w:szCs w:val="24"/>
                <w:highlight w:val="none"/>
                <w:lang w:eastAsia="zh-CN"/>
              </w:rPr>
              <w:t>、SO</w:t>
            </w:r>
            <w:r>
              <w:rPr>
                <w:rFonts w:hint="eastAsia" w:cs="Times New Roman"/>
                <w:bCs/>
                <w:color w:val="auto"/>
                <w:spacing w:val="0"/>
                <w:sz w:val="24"/>
                <w:szCs w:val="24"/>
                <w:highlight w:val="none"/>
                <w:vertAlign w:val="subscript"/>
                <w:lang w:eastAsia="zh-CN"/>
              </w:rPr>
              <w:t>2</w:t>
            </w:r>
            <w:r>
              <w:rPr>
                <w:rFonts w:hint="eastAsia" w:cs="Times New Roman"/>
                <w:bCs/>
                <w:color w:val="auto"/>
                <w:spacing w:val="0"/>
                <w:sz w:val="24"/>
                <w:szCs w:val="24"/>
                <w:highlight w:val="none"/>
                <w:lang w:eastAsia="zh-CN"/>
              </w:rPr>
              <w:t>为</w:t>
            </w:r>
            <w:r>
              <w:rPr>
                <w:rFonts w:hint="eastAsia" w:cs="Times New Roman"/>
                <w:bCs/>
                <w:color w:val="auto"/>
                <w:spacing w:val="0"/>
                <w:sz w:val="24"/>
                <w:szCs w:val="24"/>
                <w:highlight w:val="none"/>
                <w:lang w:val="en-US" w:eastAsia="zh-CN"/>
              </w:rPr>
              <w:t>71.899</w:t>
            </w:r>
            <w:r>
              <w:rPr>
                <w:rFonts w:hint="eastAsia" w:cs="Times New Roman"/>
                <w:bCs/>
                <w:color w:val="auto"/>
                <w:spacing w:val="0"/>
                <w:sz w:val="24"/>
                <w:szCs w:val="24"/>
                <w:highlight w:val="none"/>
                <w:lang w:eastAsia="zh-CN"/>
              </w:rPr>
              <w:t>mg/m</w:t>
            </w:r>
            <w:r>
              <w:rPr>
                <w:rFonts w:hint="eastAsia" w:cs="Times New Roman"/>
                <w:bCs/>
                <w:color w:val="auto"/>
                <w:spacing w:val="0"/>
                <w:sz w:val="24"/>
                <w:szCs w:val="24"/>
                <w:highlight w:val="none"/>
                <w:vertAlign w:val="superscript"/>
                <w:lang w:eastAsia="zh-CN"/>
              </w:rPr>
              <w:t>3</w:t>
            </w:r>
            <w:r>
              <w:rPr>
                <w:rFonts w:hint="eastAsia" w:cs="Times New Roman"/>
                <w:bCs/>
                <w:color w:val="auto"/>
                <w:spacing w:val="0"/>
                <w:sz w:val="24"/>
                <w:szCs w:val="24"/>
                <w:highlight w:val="none"/>
                <w:lang w:eastAsia="zh-CN"/>
              </w:rPr>
              <w:t>、NOx为</w:t>
            </w:r>
            <w:r>
              <w:rPr>
                <w:rFonts w:hint="eastAsia" w:cs="Times New Roman"/>
                <w:bCs/>
                <w:color w:val="auto"/>
                <w:spacing w:val="0"/>
                <w:sz w:val="24"/>
                <w:szCs w:val="24"/>
                <w:highlight w:val="none"/>
                <w:lang w:val="en-US" w:eastAsia="zh-CN"/>
              </w:rPr>
              <w:t>153.94</w:t>
            </w:r>
            <w:r>
              <w:rPr>
                <w:rFonts w:hint="eastAsia" w:cs="Times New Roman"/>
                <w:bCs/>
                <w:color w:val="auto"/>
                <w:spacing w:val="0"/>
                <w:sz w:val="24"/>
                <w:szCs w:val="24"/>
                <w:highlight w:val="none"/>
                <w:lang w:eastAsia="zh-CN"/>
              </w:rPr>
              <w:t>mg/m</w:t>
            </w:r>
            <w:r>
              <w:rPr>
                <w:rFonts w:hint="eastAsia" w:cs="Times New Roman"/>
                <w:bCs/>
                <w:color w:val="auto"/>
                <w:spacing w:val="0"/>
                <w:sz w:val="24"/>
                <w:szCs w:val="24"/>
                <w:highlight w:val="none"/>
                <w:vertAlign w:val="superscript"/>
                <w:lang w:eastAsia="zh-CN"/>
              </w:rPr>
              <w:t>3</w:t>
            </w:r>
            <w:r>
              <w:rPr>
                <w:rFonts w:hint="eastAsia" w:cs="Times New Roman"/>
                <w:bCs/>
                <w:color w:val="auto"/>
                <w:spacing w:val="0"/>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热风炉</w:t>
            </w:r>
            <w:r>
              <w:rPr>
                <w:rFonts w:hint="default" w:ascii="Times New Roman" w:hAnsi="Times New Roman" w:eastAsia="宋体" w:cs="Times New Roman"/>
                <w:color w:val="auto"/>
                <w:sz w:val="24"/>
                <w:szCs w:val="24"/>
                <w:highlight w:val="none"/>
              </w:rPr>
              <w:t>烟尘</w:t>
            </w:r>
            <w:r>
              <w:rPr>
                <w:rFonts w:hint="default"/>
                <w:color w:val="auto"/>
                <w:sz w:val="24"/>
                <w:szCs w:val="24"/>
                <w:highlight w:val="none"/>
              </w:rPr>
              <w:t>及SO</w:t>
            </w:r>
            <w:r>
              <w:rPr>
                <w:rFonts w:hint="default"/>
                <w:color w:val="auto"/>
                <w:sz w:val="24"/>
                <w:szCs w:val="24"/>
                <w:highlight w:val="none"/>
                <w:vertAlign w:val="subscript"/>
              </w:rPr>
              <w:t>2</w:t>
            </w:r>
            <w:r>
              <w:rPr>
                <w:rFonts w:hint="default"/>
                <w:color w:val="auto"/>
                <w:sz w:val="24"/>
                <w:szCs w:val="24"/>
                <w:highlight w:val="none"/>
              </w:rPr>
              <w:t>排放浓度</w:t>
            </w:r>
            <w:r>
              <w:rPr>
                <w:rFonts w:hint="eastAsia"/>
                <w:color w:val="auto"/>
                <w:sz w:val="24"/>
                <w:szCs w:val="24"/>
                <w:highlight w:val="none"/>
                <w:lang w:eastAsia="zh-CN"/>
              </w:rPr>
              <w:t>，烟气黑度</w:t>
            </w:r>
            <w:r>
              <w:rPr>
                <w:rFonts w:hint="default"/>
                <w:color w:val="auto"/>
                <w:sz w:val="24"/>
                <w:szCs w:val="24"/>
                <w:highlight w:val="none"/>
              </w:rPr>
              <w:t>可以满足《工业炉窑大气污染物排放标准》（GB9078-1996）中二级标准（烟尘200mg/m</w:t>
            </w:r>
            <w:r>
              <w:rPr>
                <w:rFonts w:hint="default"/>
                <w:color w:val="auto"/>
                <w:sz w:val="24"/>
                <w:szCs w:val="24"/>
                <w:highlight w:val="none"/>
                <w:vertAlign w:val="superscript"/>
              </w:rPr>
              <w:t>3</w:t>
            </w:r>
            <w:r>
              <w:rPr>
                <w:rFonts w:hint="default"/>
                <w:color w:val="auto"/>
                <w:sz w:val="24"/>
                <w:szCs w:val="24"/>
                <w:highlight w:val="none"/>
              </w:rPr>
              <w:t>、SO</w:t>
            </w:r>
            <w:r>
              <w:rPr>
                <w:rFonts w:hint="default"/>
                <w:color w:val="auto"/>
                <w:sz w:val="24"/>
                <w:szCs w:val="24"/>
                <w:highlight w:val="none"/>
                <w:vertAlign w:val="subscript"/>
              </w:rPr>
              <w:t>2</w:t>
            </w:r>
            <w:r>
              <w:rPr>
                <w:rFonts w:hint="default"/>
                <w:color w:val="auto"/>
                <w:sz w:val="24"/>
                <w:szCs w:val="24"/>
                <w:highlight w:val="none"/>
              </w:rPr>
              <w:t>850mg/m</w:t>
            </w:r>
            <w:r>
              <w:rPr>
                <w:rFonts w:hint="default"/>
                <w:color w:val="auto"/>
                <w:sz w:val="24"/>
                <w:szCs w:val="24"/>
                <w:highlight w:val="none"/>
                <w:vertAlign w:val="superscript"/>
              </w:rPr>
              <w:t>3</w:t>
            </w:r>
            <w:r>
              <w:rPr>
                <w:rFonts w:hint="eastAsia"/>
                <w:color w:val="auto"/>
                <w:sz w:val="24"/>
                <w:szCs w:val="24"/>
                <w:highlight w:val="none"/>
                <w:vertAlign w:val="baseline"/>
                <w:lang w:eastAsia="zh-CN"/>
              </w:rPr>
              <w:t>、</w:t>
            </w:r>
            <w:r>
              <w:rPr>
                <w:rFonts w:hint="eastAsia"/>
                <w:color w:val="auto"/>
                <w:sz w:val="24"/>
                <w:szCs w:val="24"/>
                <w:highlight w:val="none"/>
                <w:lang w:eastAsia="zh-CN"/>
              </w:rPr>
              <w:t>烟气黑度等级</w:t>
            </w:r>
            <w:r>
              <w:rPr>
                <w:rFonts w:hint="eastAsia"/>
                <w:color w:val="auto"/>
                <w:sz w:val="24"/>
                <w:szCs w:val="24"/>
                <w:highlight w:val="none"/>
                <w:lang w:val="en-US" w:eastAsia="zh-CN"/>
              </w:rPr>
              <w:t>1</w:t>
            </w:r>
            <w:r>
              <w:rPr>
                <w:rFonts w:hint="default"/>
                <w:color w:val="auto"/>
                <w:sz w:val="24"/>
                <w:szCs w:val="24"/>
                <w:highlight w:val="none"/>
              </w:rPr>
              <w:t>）。</w:t>
            </w:r>
          </w:p>
          <w:p w14:paraId="075242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kern w:val="0"/>
                <w:sz w:val="24"/>
                <w:szCs w:val="24"/>
                <w:highlight w:val="none"/>
                <w:lang w:eastAsia="zh-CN"/>
              </w:rPr>
            </w:pPr>
            <w:r>
              <w:rPr>
                <w:rFonts w:hint="eastAsia" w:ascii="Times New Roman" w:hAnsi="Times New Roman" w:eastAsia="宋体" w:cs="Times New Roman"/>
                <w:bCs/>
                <w:color w:val="auto"/>
                <w:kern w:val="0"/>
                <w:sz w:val="24"/>
                <w:szCs w:val="24"/>
                <w:highlight w:val="none"/>
                <w:lang w:eastAsia="zh-CN"/>
              </w:rPr>
              <w:t>（</w:t>
            </w:r>
            <w:r>
              <w:rPr>
                <w:rFonts w:hint="eastAsia" w:cs="Times New Roman"/>
                <w:bCs/>
                <w:color w:val="auto"/>
                <w:kern w:val="0"/>
                <w:sz w:val="24"/>
                <w:szCs w:val="24"/>
                <w:highlight w:val="none"/>
                <w:lang w:val="en-US" w:eastAsia="zh-CN"/>
              </w:rPr>
              <w:t>2</w:t>
            </w:r>
            <w:r>
              <w:rPr>
                <w:rFonts w:hint="eastAsia" w:ascii="Times New Roman" w:hAnsi="Times New Roman" w:eastAsia="宋体" w:cs="Times New Roman"/>
                <w:bCs/>
                <w:color w:val="auto"/>
                <w:kern w:val="0"/>
                <w:sz w:val="24"/>
                <w:szCs w:val="24"/>
                <w:highlight w:val="none"/>
                <w:lang w:eastAsia="zh-CN"/>
              </w:rPr>
              <w:t>）</w:t>
            </w:r>
            <w:r>
              <w:rPr>
                <w:rFonts w:hint="eastAsia" w:cs="Times New Roman"/>
                <w:bCs/>
                <w:color w:val="auto"/>
                <w:kern w:val="0"/>
                <w:sz w:val="24"/>
                <w:szCs w:val="24"/>
                <w:highlight w:val="none"/>
                <w:lang w:val="en-US" w:eastAsia="zh-CN"/>
              </w:rPr>
              <w:t>工业</w:t>
            </w:r>
            <w:r>
              <w:rPr>
                <w:rFonts w:hint="default" w:ascii="Times New Roman" w:hAnsi="Times New Roman" w:eastAsia="宋体" w:cs="Times New Roman"/>
                <w:bCs/>
                <w:color w:val="auto"/>
                <w:kern w:val="0"/>
                <w:sz w:val="24"/>
                <w:szCs w:val="24"/>
                <w:highlight w:val="none"/>
                <w:lang w:eastAsia="zh-CN"/>
              </w:rPr>
              <w:t>粉尘</w:t>
            </w:r>
          </w:p>
          <w:p w14:paraId="5E7F81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kern w:val="0"/>
                <w:sz w:val="24"/>
                <w:szCs w:val="24"/>
                <w:highlight w:val="none"/>
                <w:lang w:eastAsia="zh-CN"/>
              </w:rPr>
            </w:pPr>
            <w:r>
              <w:rPr>
                <w:rFonts w:hint="default" w:ascii="Times New Roman" w:hAnsi="Times New Roman" w:eastAsia="宋体" w:cs="Times New Roman"/>
                <w:bCs/>
                <w:color w:val="auto"/>
                <w:kern w:val="0"/>
                <w:sz w:val="24"/>
                <w:szCs w:val="24"/>
                <w:highlight w:val="none"/>
                <w:lang w:eastAsia="zh-CN"/>
              </w:rPr>
              <w:t>本项目无组织</w:t>
            </w:r>
            <w:r>
              <w:rPr>
                <w:rFonts w:hint="eastAsia" w:cs="Times New Roman"/>
                <w:bCs/>
                <w:color w:val="auto"/>
                <w:kern w:val="0"/>
                <w:sz w:val="24"/>
                <w:szCs w:val="24"/>
                <w:highlight w:val="none"/>
                <w:lang w:val="en-US" w:eastAsia="zh-CN"/>
              </w:rPr>
              <w:t>工业</w:t>
            </w:r>
            <w:r>
              <w:rPr>
                <w:rFonts w:hint="default" w:ascii="Times New Roman" w:hAnsi="Times New Roman" w:eastAsia="宋体" w:cs="Times New Roman"/>
                <w:bCs/>
                <w:color w:val="auto"/>
                <w:kern w:val="0"/>
                <w:sz w:val="24"/>
                <w:szCs w:val="24"/>
                <w:highlight w:val="none"/>
                <w:lang w:eastAsia="zh-CN"/>
              </w:rPr>
              <w:t>粉尘主要包括粮食输送装卸粉尘、清粮过程粉尘及烘干过程粉尘。</w:t>
            </w:r>
          </w:p>
          <w:p w14:paraId="6AC8A9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kern w:val="0"/>
                <w:sz w:val="24"/>
                <w:szCs w:val="24"/>
                <w:highlight w:val="none"/>
                <w:lang w:eastAsia="zh-CN"/>
              </w:rPr>
            </w:pPr>
            <w:r>
              <w:rPr>
                <w:rFonts w:hint="default" w:ascii="Times New Roman" w:hAnsi="Times New Roman" w:eastAsia="宋体" w:cs="Times New Roman"/>
                <w:bCs/>
                <w:color w:val="auto"/>
                <w:kern w:val="0"/>
                <w:sz w:val="24"/>
                <w:szCs w:val="24"/>
                <w:highlight w:val="none"/>
                <w:lang w:eastAsia="zh-CN"/>
              </w:rPr>
              <w:t>①</w:t>
            </w:r>
            <w:r>
              <w:rPr>
                <w:rFonts w:hint="eastAsia" w:ascii="Times New Roman" w:hAnsi="Times New Roman" w:eastAsia="宋体" w:cs="Times New Roman"/>
                <w:bCs/>
                <w:color w:val="auto"/>
                <w:kern w:val="0"/>
                <w:sz w:val="24"/>
                <w:szCs w:val="24"/>
                <w:highlight w:val="none"/>
                <w:lang w:eastAsia="zh-CN"/>
              </w:rPr>
              <w:t>原料</w:t>
            </w:r>
            <w:r>
              <w:rPr>
                <w:rFonts w:hint="default" w:ascii="Times New Roman" w:hAnsi="Times New Roman" w:eastAsia="宋体" w:cs="Times New Roman"/>
                <w:bCs/>
                <w:color w:val="auto"/>
                <w:kern w:val="0"/>
                <w:sz w:val="24"/>
                <w:szCs w:val="24"/>
                <w:highlight w:val="none"/>
                <w:lang w:eastAsia="zh-CN"/>
              </w:rPr>
              <w:t>输送装卸粉尘</w:t>
            </w:r>
          </w:p>
          <w:p w14:paraId="7433F4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FF0000"/>
                <w:kern w:val="0"/>
                <w:sz w:val="24"/>
                <w:szCs w:val="24"/>
                <w:highlight w:val="none"/>
                <w:lang w:eastAsia="zh-CN"/>
              </w:rPr>
            </w:pPr>
            <w:r>
              <w:rPr>
                <w:rFonts w:hint="default" w:ascii="Times New Roman" w:hAnsi="Times New Roman" w:eastAsia="宋体" w:cs="Times New Roman"/>
                <w:color w:val="auto"/>
                <w:spacing w:val="0"/>
                <w:sz w:val="24"/>
                <w:szCs w:val="24"/>
                <w:highlight w:val="none"/>
              </w:rPr>
              <w:t>湿粮经汽车运输至厂区内，称量后</w:t>
            </w:r>
            <w:r>
              <w:rPr>
                <w:rFonts w:hint="eastAsia" w:ascii="Times New Roman" w:hAnsi="Times New Roman" w:eastAsia="宋体" w:cs="Times New Roman"/>
                <w:color w:val="auto"/>
                <w:spacing w:val="0"/>
                <w:sz w:val="24"/>
                <w:szCs w:val="24"/>
                <w:highlight w:val="none"/>
                <w:lang w:val="en-US" w:eastAsia="zh-CN"/>
              </w:rPr>
              <w:t>储存在原料仓</w:t>
            </w:r>
            <w:r>
              <w:rPr>
                <w:rFonts w:hint="default" w:ascii="Times New Roman" w:hAnsi="Times New Roman" w:eastAsia="宋体" w:cs="Times New Roman"/>
                <w:color w:val="auto"/>
                <w:spacing w:val="0"/>
                <w:sz w:val="24"/>
                <w:szCs w:val="24"/>
                <w:highlight w:val="none"/>
              </w:rPr>
              <w:t>经输送机送至圆筒振动筛内筛分后，由提升机送至烘干塔内进行烘干</w:t>
            </w:r>
            <w:r>
              <w:rPr>
                <w:rFonts w:hint="eastAsia" w:cs="Times New Roman"/>
                <w:color w:val="auto"/>
                <w:spacing w:val="0"/>
                <w:sz w:val="24"/>
                <w:szCs w:val="24"/>
                <w:highlight w:val="none"/>
                <w:lang w:eastAsia="zh-CN"/>
              </w:rPr>
              <w:t>。</w:t>
            </w:r>
            <w:r>
              <w:rPr>
                <w:rFonts w:hint="default" w:ascii="Times New Roman" w:hAnsi="Times New Roman" w:eastAsia="宋体" w:cs="Times New Roman"/>
                <w:bCs/>
                <w:color w:val="auto"/>
                <w:kern w:val="0"/>
                <w:sz w:val="24"/>
                <w:szCs w:val="24"/>
                <w:highlight w:val="none"/>
                <w:lang w:eastAsia="zh-CN"/>
              </w:rPr>
              <w:t>根据《逸散性工业粉尘控制技术》中谷物贮仓，卡车装卸粉尘系数为0.1kg/t（卸料），本项目装卸</w:t>
            </w:r>
            <w:r>
              <w:rPr>
                <w:rFonts w:hint="eastAsia" w:ascii="Times New Roman" w:hAnsi="Times New Roman" w:eastAsia="宋体" w:cs="Times New Roman"/>
                <w:bCs/>
                <w:color w:val="auto"/>
                <w:kern w:val="0"/>
                <w:sz w:val="24"/>
                <w:szCs w:val="24"/>
                <w:highlight w:val="none"/>
                <w:lang w:eastAsia="zh-CN"/>
              </w:rPr>
              <w:t>原料</w:t>
            </w:r>
            <w:r>
              <w:rPr>
                <w:rFonts w:hint="default" w:ascii="Times New Roman" w:hAnsi="Times New Roman" w:eastAsia="宋体" w:cs="Times New Roman"/>
                <w:bCs/>
                <w:color w:val="auto"/>
                <w:kern w:val="0"/>
                <w:sz w:val="24"/>
                <w:szCs w:val="24"/>
                <w:highlight w:val="none"/>
                <w:lang w:eastAsia="zh-CN"/>
              </w:rPr>
              <w:t>量</w:t>
            </w:r>
            <w:r>
              <w:rPr>
                <w:rFonts w:hint="eastAsia" w:cs="Times New Roman"/>
                <w:bCs/>
                <w:color w:val="auto"/>
                <w:kern w:val="0"/>
                <w:sz w:val="24"/>
                <w:szCs w:val="24"/>
                <w:highlight w:val="none"/>
                <w:lang w:val="en-US" w:eastAsia="zh-CN"/>
              </w:rPr>
              <w:t>25000</w:t>
            </w:r>
            <w:r>
              <w:rPr>
                <w:rFonts w:hint="default" w:ascii="Times New Roman" w:hAnsi="Times New Roman" w:eastAsia="宋体" w:cs="Times New Roman"/>
                <w:bCs/>
                <w:color w:val="auto"/>
                <w:kern w:val="0"/>
                <w:sz w:val="24"/>
                <w:szCs w:val="24"/>
                <w:highlight w:val="none"/>
                <w:lang w:eastAsia="zh-CN"/>
              </w:rPr>
              <w:t>吨，粉尘产生量为</w:t>
            </w:r>
            <w:r>
              <w:rPr>
                <w:rFonts w:hint="eastAsia" w:cs="Times New Roman"/>
                <w:bCs/>
                <w:color w:val="auto"/>
                <w:kern w:val="0"/>
                <w:sz w:val="24"/>
                <w:szCs w:val="24"/>
                <w:highlight w:val="none"/>
                <w:lang w:val="en-US" w:eastAsia="zh-CN"/>
              </w:rPr>
              <w:t>2.5</w:t>
            </w:r>
            <w:r>
              <w:rPr>
                <w:rFonts w:hint="default" w:ascii="Times New Roman" w:hAnsi="Times New Roman" w:eastAsia="宋体" w:cs="Times New Roman"/>
                <w:bCs/>
                <w:color w:val="auto"/>
                <w:kern w:val="0"/>
                <w:sz w:val="24"/>
                <w:szCs w:val="24"/>
                <w:highlight w:val="none"/>
                <w:lang w:eastAsia="zh-CN"/>
              </w:rPr>
              <w:t>t/a，装卸</w:t>
            </w:r>
            <w:r>
              <w:rPr>
                <w:rFonts w:hint="eastAsia" w:ascii="Times New Roman" w:hAnsi="Times New Roman" w:eastAsia="宋体" w:cs="Times New Roman"/>
                <w:bCs/>
                <w:color w:val="auto"/>
                <w:kern w:val="0"/>
                <w:sz w:val="24"/>
                <w:szCs w:val="24"/>
                <w:highlight w:val="none"/>
                <w:lang w:eastAsia="zh-CN"/>
              </w:rPr>
              <w:t>时间约为</w:t>
            </w:r>
            <w:r>
              <w:rPr>
                <w:rFonts w:hint="eastAsia" w:cs="Times New Roman"/>
                <w:bCs/>
                <w:color w:val="auto"/>
                <w:kern w:val="0"/>
                <w:sz w:val="24"/>
                <w:szCs w:val="24"/>
                <w:highlight w:val="none"/>
                <w:lang w:val="en-US" w:eastAsia="zh-CN"/>
              </w:rPr>
              <w:t>1200</w:t>
            </w:r>
            <w:r>
              <w:rPr>
                <w:rFonts w:hint="eastAsia" w:ascii="Times New Roman" w:hAnsi="Times New Roman" w:eastAsia="宋体" w:cs="Times New Roman"/>
                <w:bCs/>
                <w:color w:val="auto"/>
                <w:kern w:val="0"/>
                <w:sz w:val="24"/>
                <w:szCs w:val="24"/>
                <w:highlight w:val="none"/>
                <w:lang w:val="en-US" w:eastAsia="zh-CN"/>
              </w:rPr>
              <w:t>h</w:t>
            </w:r>
            <w:r>
              <w:rPr>
                <w:rFonts w:hint="default" w:ascii="Times New Roman" w:hAnsi="Times New Roman" w:eastAsia="宋体" w:cs="Times New Roman"/>
                <w:bCs/>
                <w:color w:val="auto"/>
                <w:kern w:val="0"/>
                <w:sz w:val="24"/>
                <w:szCs w:val="24"/>
                <w:highlight w:val="none"/>
                <w:lang w:eastAsia="zh-CN"/>
              </w:rPr>
              <w:t>，</w:t>
            </w:r>
            <w:r>
              <w:rPr>
                <w:rFonts w:hint="eastAsia" w:ascii="Times New Roman" w:hAnsi="Times New Roman" w:eastAsia="宋体" w:cs="Times New Roman"/>
                <w:bCs/>
                <w:color w:val="auto"/>
                <w:kern w:val="0"/>
                <w:sz w:val="24"/>
                <w:szCs w:val="24"/>
                <w:highlight w:val="none"/>
                <w:lang w:eastAsia="zh-CN"/>
              </w:rPr>
              <w:t>粉</w:t>
            </w:r>
            <w:r>
              <w:rPr>
                <w:rFonts w:hint="default" w:ascii="Times New Roman" w:hAnsi="Times New Roman" w:eastAsia="宋体" w:cs="Times New Roman"/>
                <w:bCs/>
                <w:color w:val="auto"/>
                <w:kern w:val="0"/>
                <w:sz w:val="24"/>
                <w:szCs w:val="24"/>
                <w:highlight w:val="none"/>
                <w:lang w:eastAsia="zh-CN"/>
              </w:rPr>
              <w:t>尘产生速率为</w:t>
            </w:r>
            <w:r>
              <w:rPr>
                <w:rFonts w:hint="eastAsia" w:cs="Times New Roman"/>
                <w:bCs/>
                <w:color w:val="auto"/>
                <w:kern w:val="0"/>
                <w:sz w:val="24"/>
                <w:szCs w:val="24"/>
                <w:highlight w:val="none"/>
                <w:lang w:val="en-US" w:eastAsia="zh-CN"/>
              </w:rPr>
              <w:t>2.08</w:t>
            </w:r>
            <w:r>
              <w:rPr>
                <w:rFonts w:hint="default" w:ascii="Times New Roman" w:hAnsi="Times New Roman" w:eastAsia="宋体" w:cs="Times New Roman"/>
                <w:bCs/>
                <w:color w:val="auto"/>
                <w:kern w:val="0"/>
                <w:sz w:val="24"/>
                <w:szCs w:val="24"/>
                <w:highlight w:val="none"/>
                <w:lang w:eastAsia="zh-CN"/>
              </w:rPr>
              <w:t>kg/h，</w:t>
            </w:r>
            <w:r>
              <w:rPr>
                <w:rFonts w:hint="default" w:ascii="Times New Roman" w:hAnsi="Times New Roman" w:eastAsia="宋体" w:cs="Times New Roman"/>
                <w:bCs/>
                <w:color w:val="auto"/>
                <w:kern w:val="0"/>
                <w:sz w:val="24"/>
                <w:szCs w:val="24"/>
                <w:highlight w:val="none"/>
                <w:lang w:val="en-US" w:eastAsia="zh-CN"/>
              </w:rPr>
              <w:t>装卸工段采取粮仓密闭四周设置临时围挡</w:t>
            </w:r>
            <w:r>
              <w:rPr>
                <w:rFonts w:hint="default" w:ascii="Times New Roman" w:hAnsi="Times New Roman" w:eastAsia="宋体" w:cs="Times New Roman"/>
                <w:bCs/>
                <w:color w:val="auto"/>
                <w:kern w:val="0"/>
                <w:sz w:val="24"/>
                <w:szCs w:val="24"/>
                <w:highlight w:val="none"/>
                <w:lang w:eastAsia="zh-CN"/>
              </w:rPr>
              <w:t>、减小装卸高度等降尘措施，输送过程中输送带采取加罩密封，在设备连接处加密封垫或密封胶，粉尘可降低</w:t>
            </w:r>
            <w:r>
              <w:rPr>
                <w:rFonts w:hint="eastAsia" w:cs="Times New Roman"/>
                <w:bCs/>
                <w:color w:val="auto"/>
                <w:kern w:val="0"/>
                <w:sz w:val="24"/>
                <w:szCs w:val="24"/>
                <w:highlight w:val="none"/>
                <w:lang w:val="en-US" w:eastAsia="zh-CN"/>
              </w:rPr>
              <w:t>60</w:t>
            </w:r>
            <w:r>
              <w:rPr>
                <w:rFonts w:hint="default" w:ascii="Times New Roman" w:hAnsi="Times New Roman" w:eastAsia="宋体" w:cs="Times New Roman"/>
                <w:bCs/>
                <w:color w:val="auto"/>
                <w:kern w:val="0"/>
                <w:sz w:val="24"/>
                <w:szCs w:val="24"/>
                <w:highlight w:val="none"/>
                <w:lang w:eastAsia="zh-CN"/>
              </w:rPr>
              <w:t>%，则原粮装卸运输过程无组织排放粉尘为</w:t>
            </w:r>
            <w:r>
              <w:rPr>
                <w:rFonts w:hint="eastAsia" w:cs="Times New Roman"/>
                <w:bCs/>
                <w:color w:val="auto"/>
                <w:kern w:val="0"/>
                <w:sz w:val="24"/>
                <w:szCs w:val="24"/>
                <w:highlight w:val="none"/>
                <w:lang w:val="en-US" w:eastAsia="zh-CN"/>
              </w:rPr>
              <w:t>1</w:t>
            </w:r>
            <w:r>
              <w:rPr>
                <w:rFonts w:hint="default" w:ascii="Times New Roman" w:hAnsi="Times New Roman" w:eastAsia="宋体" w:cs="Times New Roman"/>
                <w:bCs/>
                <w:color w:val="auto"/>
                <w:kern w:val="0"/>
                <w:sz w:val="24"/>
                <w:szCs w:val="24"/>
                <w:highlight w:val="none"/>
                <w:lang w:eastAsia="zh-CN"/>
              </w:rPr>
              <w:t>t/a，</w:t>
            </w:r>
            <w:r>
              <w:rPr>
                <w:rFonts w:hint="eastAsia" w:cs="Times New Roman"/>
                <w:bCs/>
                <w:color w:val="auto"/>
                <w:kern w:val="0"/>
                <w:sz w:val="24"/>
                <w:szCs w:val="24"/>
                <w:highlight w:val="none"/>
                <w:lang w:val="en-US" w:eastAsia="zh-CN"/>
              </w:rPr>
              <w:t>0.83</w:t>
            </w:r>
            <w:r>
              <w:rPr>
                <w:rFonts w:hint="default" w:ascii="Times New Roman" w:hAnsi="Times New Roman" w:eastAsia="宋体" w:cs="Times New Roman"/>
                <w:bCs/>
                <w:color w:val="auto"/>
                <w:kern w:val="0"/>
                <w:sz w:val="24"/>
                <w:szCs w:val="24"/>
                <w:highlight w:val="none"/>
                <w:lang w:eastAsia="zh-CN"/>
              </w:rPr>
              <w:t>kg/h。</w:t>
            </w:r>
          </w:p>
          <w:p w14:paraId="1573D4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kern w:val="0"/>
                <w:sz w:val="24"/>
                <w:szCs w:val="24"/>
                <w:highlight w:val="none"/>
                <w:lang w:eastAsia="zh-CN"/>
              </w:rPr>
            </w:pPr>
            <w:r>
              <w:rPr>
                <w:rFonts w:hint="default" w:ascii="Times New Roman" w:hAnsi="Times New Roman" w:eastAsia="宋体" w:cs="Times New Roman"/>
                <w:bCs/>
                <w:color w:val="auto"/>
                <w:kern w:val="0"/>
                <w:sz w:val="24"/>
                <w:szCs w:val="24"/>
                <w:highlight w:val="none"/>
                <w:lang w:eastAsia="zh-CN"/>
              </w:rPr>
              <w:t>②筛分粉尘</w:t>
            </w:r>
          </w:p>
          <w:p w14:paraId="1B866F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kern w:val="0"/>
                <w:sz w:val="24"/>
                <w:szCs w:val="24"/>
                <w:highlight w:val="none"/>
                <w:lang w:eastAsia="zh-CN"/>
              </w:rPr>
            </w:pPr>
            <w:r>
              <w:rPr>
                <w:rFonts w:hint="default" w:ascii="Times New Roman" w:hAnsi="Times New Roman" w:eastAsia="宋体" w:cs="Times New Roman"/>
                <w:bCs/>
                <w:color w:val="auto"/>
                <w:kern w:val="0"/>
                <w:sz w:val="24"/>
                <w:szCs w:val="24"/>
                <w:highlight w:val="none"/>
                <w:lang w:eastAsia="zh-CN"/>
              </w:rPr>
              <w:t>本项目粮食进入</w:t>
            </w:r>
            <w:r>
              <w:rPr>
                <w:rFonts w:hint="eastAsia" w:cs="Times New Roman"/>
                <w:bCs/>
                <w:color w:val="auto"/>
                <w:kern w:val="0"/>
                <w:sz w:val="24"/>
                <w:szCs w:val="24"/>
                <w:highlight w:val="none"/>
                <w:lang w:val="en-US" w:eastAsia="zh-CN"/>
              </w:rPr>
              <w:t>烘干塔</w:t>
            </w:r>
            <w:r>
              <w:rPr>
                <w:rFonts w:hint="default" w:ascii="Times New Roman" w:hAnsi="Times New Roman" w:eastAsia="宋体" w:cs="Times New Roman"/>
                <w:bCs/>
                <w:color w:val="auto"/>
                <w:kern w:val="0"/>
                <w:sz w:val="24"/>
                <w:szCs w:val="24"/>
                <w:highlight w:val="none"/>
                <w:lang w:eastAsia="zh-CN"/>
              </w:rPr>
              <w:t>之前进行筛分，筛分产生的粉尘根据《逸散性工业粉尘控制技术》中谷物贮仓，筛分和清理系数为1.5kg/t（清理料）</w:t>
            </w:r>
            <w:r>
              <w:rPr>
                <w:rFonts w:hint="eastAsia" w:cs="Times New Roman"/>
                <w:bCs/>
                <w:color w:val="auto"/>
                <w:kern w:val="0"/>
                <w:sz w:val="24"/>
                <w:szCs w:val="24"/>
                <w:highlight w:val="none"/>
                <w:lang w:eastAsia="zh-CN"/>
              </w:rPr>
              <w:t>，</w:t>
            </w:r>
            <w:r>
              <w:rPr>
                <w:rFonts w:hint="default" w:ascii="Times New Roman" w:hAnsi="Times New Roman" w:eastAsia="宋体" w:cs="Times New Roman"/>
                <w:bCs/>
                <w:color w:val="auto"/>
                <w:kern w:val="0"/>
                <w:sz w:val="24"/>
                <w:szCs w:val="24"/>
                <w:highlight w:val="none"/>
                <w:lang w:eastAsia="zh-CN"/>
              </w:rPr>
              <w:t>筛分量为</w:t>
            </w:r>
            <w:r>
              <w:rPr>
                <w:rFonts w:hint="eastAsia" w:cs="Times New Roman"/>
                <w:bCs/>
                <w:color w:val="auto"/>
                <w:kern w:val="0"/>
                <w:sz w:val="24"/>
                <w:szCs w:val="24"/>
                <w:highlight w:val="none"/>
                <w:lang w:val="en-US" w:eastAsia="zh-CN"/>
              </w:rPr>
              <w:t>24997.5</w:t>
            </w:r>
            <w:r>
              <w:rPr>
                <w:rFonts w:hint="default" w:ascii="Times New Roman" w:hAnsi="Times New Roman" w:eastAsia="宋体" w:cs="Times New Roman"/>
                <w:bCs/>
                <w:color w:val="auto"/>
                <w:kern w:val="0"/>
                <w:sz w:val="24"/>
                <w:szCs w:val="24"/>
                <w:highlight w:val="none"/>
                <w:lang w:eastAsia="zh-CN"/>
              </w:rPr>
              <w:t>t，产生粉尘总量为</w:t>
            </w:r>
            <w:r>
              <w:rPr>
                <w:rFonts w:hint="eastAsia" w:cs="Times New Roman"/>
                <w:bCs/>
                <w:color w:val="auto"/>
                <w:kern w:val="0"/>
                <w:sz w:val="24"/>
                <w:szCs w:val="24"/>
                <w:highlight w:val="none"/>
                <w:lang w:val="en-US" w:eastAsia="zh-CN"/>
              </w:rPr>
              <w:t>37.5</w:t>
            </w:r>
            <w:r>
              <w:rPr>
                <w:rFonts w:hint="default" w:ascii="Times New Roman" w:hAnsi="Times New Roman" w:eastAsia="宋体" w:cs="Times New Roman"/>
                <w:bCs/>
                <w:color w:val="auto"/>
                <w:kern w:val="0"/>
                <w:sz w:val="24"/>
                <w:szCs w:val="24"/>
                <w:highlight w:val="none"/>
                <w:lang w:eastAsia="zh-CN"/>
              </w:rPr>
              <w:t>t/a，清粮采用全密闭滚筒筛，处理效率为99%，则粉尘排放量为</w:t>
            </w:r>
            <w:r>
              <w:rPr>
                <w:rFonts w:hint="eastAsia" w:cs="Times New Roman"/>
                <w:bCs/>
                <w:color w:val="auto"/>
                <w:kern w:val="0"/>
                <w:sz w:val="24"/>
                <w:szCs w:val="24"/>
                <w:highlight w:val="none"/>
                <w:lang w:val="en-US" w:eastAsia="zh-CN"/>
              </w:rPr>
              <w:t>0.375</w:t>
            </w:r>
            <w:r>
              <w:rPr>
                <w:rFonts w:hint="default" w:ascii="Times New Roman" w:hAnsi="Times New Roman" w:eastAsia="宋体" w:cs="Times New Roman"/>
                <w:bCs/>
                <w:color w:val="auto"/>
                <w:kern w:val="0"/>
                <w:sz w:val="24"/>
                <w:szCs w:val="24"/>
                <w:highlight w:val="none"/>
                <w:lang w:eastAsia="zh-CN"/>
              </w:rPr>
              <w:t>t/a，排放速率为</w:t>
            </w:r>
            <w:r>
              <w:rPr>
                <w:rFonts w:hint="eastAsia" w:cs="Times New Roman"/>
                <w:bCs/>
                <w:color w:val="auto"/>
                <w:kern w:val="0"/>
                <w:sz w:val="24"/>
                <w:szCs w:val="24"/>
                <w:highlight w:val="none"/>
                <w:lang w:val="en-US" w:eastAsia="zh-CN"/>
              </w:rPr>
              <w:t>0.31</w:t>
            </w:r>
            <w:r>
              <w:rPr>
                <w:rFonts w:hint="default" w:ascii="Times New Roman" w:hAnsi="Times New Roman" w:eastAsia="宋体" w:cs="Times New Roman"/>
                <w:bCs/>
                <w:color w:val="auto"/>
                <w:kern w:val="0"/>
                <w:sz w:val="24"/>
                <w:szCs w:val="24"/>
                <w:highlight w:val="none"/>
                <w:lang w:eastAsia="zh-CN"/>
              </w:rPr>
              <w:t>kg/h。</w:t>
            </w:r>
          </w:p>
          <w:p w14:paraId="07A082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kern w:val="0"/>
                <w:sz w:val="24"/>
                <w:szCs w:val="24"/>
                <w:highlight w:val="none"/>
                <w:lang w:eastAsia="zh-CN"/>
              </w:rPr>
            </w:pPr>
            <w:r>
              <w:rPr>
                <w:rFonts w:hint="default" w:ascii="Times New Roman" w:hAnsi="Times New Roman" w:eastAsia="宋体" w:cs="Times New Roman"/>
                <w:bCs/>
                <w:color w:val="auto"/>
                <w:kern w:val="0"/>
                <w:sz w:val="24"/>
                <w:szCs w:val="24"/>
                <w:highlight w:val="none"/>
                <w:lang w:eastAsia="zh-CN"/>
              </w:rPr>
              <w:t>③烘干粉尘</w:t>
            </w:r>
          </w:p>
          <w:p w14:paraId="46A11A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kern w:val="0"/>
                <w:sz w:val="24"/>
                <w:szCs w:val="24"/>
                <w:highlight w:val="none"/>
                <w:lang w:eastAsia="zh-CN"/>
              </w:rPr>
            </w:pPr>
            <w:r>
              <w:rPr>
                <w:rFonts w:hint="default" w:ascii="Times New Roman" w:hAnsi="Times New Roman" w:eastAsia="宋体" w:cs="Times New Roman"/>
                <w:bCs/>
                <w:color w:val="auto"/>
                <w:kern w:val="0"/>
                <w:sz w:val="24"/>
                <w:szCs w:val="24"/>
                <w:highlight w:val="none"/>
                <w:lang w:eastAsia="zh-CN"/>
              </w:rPr>
              <w:t>本项目在粮食初清过程中已将绝大部分杂质清除干净，烘干过程中粉尘产生量根据《逸散性工业粉尘控制技术》第五章谷物仓储中的颗粒特性，干燥工序逸散尘排放因子取0.1kg/t，烘干</w:t>
            </w:r>
            <w:r>
              <w:rPr>
                <w:rFonts w:hint="eastAsia" w:ascii="Times New Roman" w:hAnsi="Times New Roman" w:eastAsia="宋体" w:cs="Times New Roman"/>
                <w:bCs/>
                <w:color w:val="auto"/>
                <w:kern w:val="0"/>
                <w:sz w:val="24"/>
                <w:szCs w:val="24"/>
                <w:highlight w:val="none"/>
                <w:lang w:eastAsia="zh-CN"/>
              </w:rPr>
              <w:t>量</w:t>
            </w:r>
            <w:r>
              <w:rPr>
                <w:rFonts w:hint="default" w:ascii="Times New Roman" w:hAnsi="Times New Roman" w:eastAsia="宋体" w:cs="Times New Roman"/>
                <w:bCs/>
                <w:color w:val="auto"/>
                <w:kern w:val="0"/>
                <w:sz w:val="24"/>
                <w:szCs w:val="24"/>
                <w:highlight w:val="none"/>
                <w:lang w:eastAsia="zh-CN"/>
              </w:rPr>
              <w:t>为</w:t>
            </w:r>
            <w:r>
              <w:rPr>
                <w:rFonts w:hint="eastAsia" w:cs="Times New Roman"/>
                <w:bCs/>
                <w:color w:val="auto"/>
                <w:kern w:val="0"/>
                <w:sz w:val="24"/>
                <w:szCs w:val="24"/>
                <w:highlight w:val="none"/>
                <w:lang w:val="en-US" w:eastAsia="zh-CN"/>
              </w:rPr>
              <w:t>24597.5</w:t>
            </w:r>
            <w:r>
              <w:rPr>
                <w:rFonts w:hint="default" w:ascii="Times New Roman" w:hAnsi="Times New Roman" w:eastAsia="宋体" w:cs="Times New Roman"/>
                <w:bCs/>
                <w:color w:val="auto"/>
                <w:kern w:val="0"/>
                <w:sz w:val="24"/>
                <w:szCs w:val="24"/>
                <w:highlight w:val="none"/>
                <w:lang w:eastAsia="zh-CN"/>
              </w:rPr>
              <w:t>t/a，则粉尘产生量</w:t>
            </w:r>
            <w:r>
              <w:rPr>
                <w:rFonts w:hint="eastAsia" w:cs="Times New Roman"/>
                <w:bCs/>
                <w:color w:val="auto"/>
                <w:kern w:val="0"/>
                <w:sz w:val="24"/>
                <w:szCs w:val="24"/>
                <w:highlight w:val="none"/>
                <w:lang w:val="en-US" w:eastAsia="zh-CN"/>
              </w:rPr>
              <w:t>2.46</w:t>
            </w:r>
            <w:r>
              <w:rPr>
                <w:rFonts w:hint="default" w:ascii="Times New Roman" w:hAnsi="Times New Roman" w:eastAsia="宋体" w:cs="Times New Roman"/>
                <w:bCs/>
                <w:color w:val="auto"/>
                <w:kern w:val="0"/>
                <w:sz w:val="24"/>
                <w:szCs w:val="24"/>
                <w:highlight w:val="none"/>
                <w:lang w:eastAsia="zh-CN"/>
              </w:rPr>
              <w:t>t/a，产生速率为</w:t>
            </w:r>
            <w:r>
              <w:rPr>
                <w:rFonts w:hint="eastAsia" w:cs="Times New Roman"/>
                <w:bCs/>
                <w:color w:val="auto"/>
                <w:kern w:val="0"/>
                <w:sz w:val="24"/>
                <w:szCs w:val="24"/>
                <w:highlight w:val="none"/>
                <w:lang w:val="en-US" w:eastAsia="zh-CN"/>
              </w:rPr>
              <w:t>2.05</w:t>
            </w:r>
            <w:r>
              <w:rPr>
                <w:rFonts w:hint="default" w:ascii="Times New Roman" w:hAnsi="Times New Roman" w:eastAsia="宋体" w:cs="Times New Roman"/>
                <w:bCs/>
                <w:color w:val="auto"/>
                <w:kern w:val="0"/>
                <w:sz w:val="24"/>
                <w:szCs w:val="24"/>
                <w:highlight w:val="none"/>
                <w:lang w:eastAsia="zh-CN"/>
              </w:rPr>
              <w:t>kg/h。烘干过程粉尘随着风力作用从烘干塔四周风口（占90%）及顶部溢出（占10%），最终以无组织形式排放。烘干塔内部自带重力沉降室，烘干塔底部四周设置防尘挡板，</w:t>
            </w:r>
            <w:r>
              <w:rPr>
                <w:rFonts w:hint="eastAsia" w:cs="Times New Roman"/>
                <w:bCs/>
                <w:color w:val="auto"/>
                <w:kern w:val="0"/>
                <w:sz w:val="24"/>
                <w:szCs w:val="24"/>
                <w:highlight w:val="none"/>
                <w:lang w:val="en-US" w:eastAsia="zh-CN"/>
              </w:rPr>
              <w:t>防风抑尘网位于烘干塔右侧，高度为28m，</w:t>
            </w:r>
            <w:r>
              <w:rPr>
                <w:rFonts w:hint="default" w:ascii="Times New Roman" w:hAnsi="Times New Roman" w:eastAsia="宋体" w:cs="Times New Roman"/>
                <w:bCs/>
                <w:color w:val="auto"/>
                <w:kern w:val="0"/>
                <w:sz w:val="24"/>
                <w:szCs w:val="24"/>
                <w:highlight w:val="none"/>
                <w:lang w:eastAsia="zh-CN"/>
              </w:rPr>
              <w:t>粉尘受挡板格挡后受重力作用回落到烘干塔底部收尘设施中，</w:t>
            </w:r>
            <w:r>
              <w:rPr>
                <w:rFonts w:hint="eastAsia" w:cs="Times New Roman"/>
                <w:bCs/>
                <w:color w:val="auto"/>
                <w:kern w:val="0"/>
                <w:sz w:val="24"/>
                <w:szCs w:val="24"/>
                <w:highlight w:val="none"/>
                <w:lang w:val="en-US" w:eastAsia="zh-CN"/>
              </w:rPr>
              <w:t>未被收集的粉尘无组织排放。</w:t>
            </w:r>
            <w:r>
              <w:rPr>
                <w:rFonts w:hint="default" w:ascii="Times New Roman" w:hAnsi="Times New Roman" w:eastAsia="宋体" w:cs="Times New Roman"/>
                <w:bCs/>
                <w:color w:val="auto"/>
                <w:kern w:val="0"/>
                <w:sz w:val="24"/>
                <w:szCs w:val="24"/>
                <w:highlight w:val="none"/>
                <w:lang w:eastAsia="zh-CN"/>
              </w:rPr>
              <w:t>参照《扬尘源颗粒物排放清单编制技术指南》中围挡遮围对TSP的控制效率，本项目抑尘效率按90%计，则项目烘干塔无组织粉尘排放量为</w:t>
            </w:r>
            <w:r>
              <w:rPr>
                <w:rFonts w:hint="eastAsia" w:cs="Times New Roman"/>
                <w:bCs/>
                <w:color w:val="auto"/>
                <w:kern w:val="0"/>
                <w:sz w:val="24"/>
                <w:szCs w:val="24"/>
                <w:highlight w:val="none"/>
                <w:lang w:val="en-US" w:eastAsia="zh-CN"/>
              </w:rPr>
              <w:t>0.246</w:t>
            </w:r>
            <w:r>
              <w:rPr>
                <w:rFonts w:hint="default" w:ascii="Times New Roman" w:hAnsi="Times New Roman" w:eastAsia="宋体" w:cs="Times New Roman"/>
                <w:bCs/>
                <w:color w:val="auto"/>
                <w:kern w:val="0"/>
                <w:sz w:val="24"/>
                <w:szCs w:val="24"/>
                <w:highlight w:val="none"/>
                <w:lang w:eastAsia="zh-CN"/>
              </w:rPr>
              <w:t>t/a，排放速率为</w:t>
            </w:r>
            <w:r>
              <w:rPr>
                <w:rFonts w:hint="eastAsia" w:cs="Times New Roman"/>
                <w:bCs/>
                <w:color w:val="auto"/>
                <w:kern w:val="0"/>
                <w:sz w:val="24"/>
                <w:szCs w:val="24"/>
                <w:highlight w:val="none"/>
                <w:lang w:val="en-US" w:eastAsia="zh-CN"/>
              </w:rPr>
              <w:t>0.205</w:t>
            </w:r>
            <w:r>
              <w:rPr>
                <w:rFonts w:hint="default" w:ascii="Times New Roman" w:hAnsi="Times New Roman" w:eastAsia="宋体" w:cs="Times New Roman"/>
                <w:bCs/>
                <w:color w:val="auto"/>
                <w:kern w:val="0"/>
                <w:sz w:val="24"/>
                <w:szCs w:val="24"/>
                <w:highlight w:val="none"/>
                <w:lang w:eastAsia="zh-CN"/>
              </w:rPr>
              <w:t>kg/h。</w:t>
            </w:r>
          </w:p>
          <w:p w14:paraId="2846978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eastAsia="宋体" w:cs="Times New Roman"/>
                <w:bCs/>
                <w:color w:val="auto"/>
                <w:kern w:val="0"/>
                <w:sz w:val="24"/>
                <w:szCs w:val="24"/>
                <w:highlight w:val="none"/>
                <w:lang w:eastAsia="zh-CN"/>
              </w:rPr>
            </w:pPr>
            <w:r>
              <w:rPr>
                <w:rFonts w:hint="eastAsia" w:cs="Times New Roman"/>
                <w:bCs/>
                <w:color w:val="auto"/>
                <w:kern w:val="0"/>
                <w:sz w:val="24"/>
                <w:szCs w:val="24"/>
                <w:highlight w:val="none"/>
                <w:lang w:eastAsia="zh-CN"/>
              </w:rPr>
              <w:t>（</w:t>
            </w:r>
            <w:r>
              <w:rPr>
                <w:rFonts w:hint="eastAsia" w:cs="Times New Roman"/>
                <w:bCs/>
                <w:color w:val="auto"/>
                <w:kern w:val="0"/>
                <w:sz w:val="24"/>
                <w:szCs w:val="24"/>
                <w:highlight w:val="none"/>
                <w:lang w:val="en-US" w:eastAsia="zh-CN"/>
              </w:rPr>
              <w:t>3）</w:t>
            </w:r>
            <w:r>
              <w:rPr>
                <w:rFonts w:hint="default" w:ascii="Times New Roman" w:hAnsi="Times New Roman" w:eastAsia="宋体" w:cs="Times New Roman"/>
                <w:bCs/>
                <w:color w:val="auto"/>
                <w:kern w:val="0"/>
                <w:sz w:val="24"/>
                <w:szCs w:val="24"/>
                <w:highlight w:val="none"/>
                <w:lang w:eastAsia="zh-CN"/>
              </w:rPr>
              <w:t>热风炉</w:t>
            </w:r>
            <w:r>
              <w:rPr>
                <w:rFonts w:hint="eastAsia" w:ascii="Times New Roman" w:hAnsi="Times New Roman" w:eastAsia="宋体" w:cs="Times New Roman"/>
                <w:bCs/>
                <w:color w:val="auto"/>
                <w:kern w:val="0"/>
                <w:sz w:val="24"/>
                <w:szCs w:val="24"/>
                <w:highlight w:val="none"/>
                <w:lang w:val="en-US" w:eastAsia="zh-CN"/>
              </w:rPr>
              <w:t>房</w:t>
            </w:r>
            <w:r>
              <w:rPr>
                <w:rFonts w:hint="default" w:ascii="Times New Roman" w:hAnsi="Times New Roman" w:eastAsia="宋体" w:cs="Times New Roman"/>
                <w:bCs/>
                <w:color w:val="auto"/>
                <w:kern w:val="0"/>
                <w:sz w:val="24"/>
                <w:szCs w:val="24"/>
                <w:highlight w:val="none"/>
                <w:lang w:eastAsia="zh-CN"/>
              </w:rPr>
              <w:t>灰渣储运扬尘</w:t>
            </w:r>
          </w:p>
          <w:p w14:paraId="34B0687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textAlignment w:val="auto"/>
              <w:rPr>
                <w:rFonts w:hint="default" w:ascii="Times New Roman" w:hAnsi="Times New Roman" w:eastAsia="宋体" w:cs="Times New Roman"/>
                <w:bCs/>
                <w:color w:val="auto"/>
                <w:kern w:val="0"/>
                <w:sz w:val="24"/>
                <w:szCs w:val="24"/>
                <w:highlight w:val="none"/>
                <w:lang w:eastAsia="zh-CN"/>
              </w:rPr>
            </w:pPr>
            <w:r>
              <w:rPr>
                <w:rFonts w:hint="default" w:ascii="Times New Roman" w:hAnsi="Times New Roman" w:eastAsia="宋体" w:cs="Times New Roman"/>
                <w:bCs/>
                <w:color w:val="auto"/>
                <w:kern w:val="0"/>
                <w:sz w:val="24"/>
                <w:szCs w:val="24"/>
                <w:highlight w:val="none"/>
                <w:lang w:eastAsia="zh-CN"/>
              </w:rPr>
              <w:t>本项目热风炉灰渣储存在</w:t>
            </w:r>
            <w:r>
              <w:rPr>
                <w:rFonts w:hint="eastAsia" w:ascii="Times New Roman" w:hAnsi="Times New Roman" w:eastAsia="宋体" w:cs="Times New Roman"/>
                <w:bCs/>
                <w:color w:val="auto"/>
                <w:kern w:val="0"/>
                <w:sz w:val="24"/>
                <w:szCs w:val="24"/>
                <w:highlight w:val="none"/>
                <w:lang w:eastAsia="zh-CN"/>
              </w:rPr>
              <w:t>热风炉房</w:t>
            </w:r>
            <w:r>
              <w:rPr>
                <w:rFonts w:hint="default" w:ascii="Times New Roman" w:hAnsi="Times New Roman" w:eastAsia="宋体" w:cs="Times New Roman"/>
                <w:bCs/>
                <w:color w:val="auto"/>
                <w:kern w:val="0"/>
                <w:sz w:val="24"/>
                <w:szCs w:val="24"/>
                <w:highlight w:val="none"/>
                <w:lang w:eastAsia="zh-CN"/>
              </w:rPr>
              <w:t>内。热风炉灰渣储存及外运过程将产生扬尘，对灰渣暂存位置、灰渣装运过程采取洒水降尘措施，可有效控制扬尘污染。</w:t>
            </w:r>
            <w:r>
              <w:rPr>
                <w:rFonts w:hint="eastAsia" w:cs="Times New Roman"/>
                <w:bCs/>
                <w:color w:val="auto"/>
                <w:kern w:val="0"/>
                <w:sz w:val="24"/>
                <w:szCs w:val="24"/>
                <w:highlight w:val="none"/>
                <w:lang w:val="en-US" w:eastAsia="zh-CN"/>
              </w:rPr>
              <w:t>取上述措施后，热风炉房外无组织粉尘排放浓度满足《工业炉窑大气污染物排放标准》（GB9078-1996）表3中有车间厂房其他窑炉无组织排放烟尘最高允许浓度限值要求。</w:t>
            </w:r>
          </w:p>
          <w:p w14:paraId="72965BDD">
            <w:pPr>
              <w:pStyle w:val="145"/>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表4-</w:t>
            </w:r>
            <w:r>
              <w:rPr>
                <w:rFonts w:hint="default" w:ascii="Times New Roman" w:hAnsi="Times New Roman" w:eastAsia="宋体" w:cs="Times New Roman"/>
                <w:b/>
                <w:color w:val="auto"/>
                <w:sz w:val="24"/>
                <w:szCs w:val="24"/>
                <w:highlight w:val="none"/>
                <w:lang w:val="en-US" w:eastAsia="zh-CN"/>
              </w:rPr>
              <w:t xml:space="preserve">1 </w:t>
            </w:r>
            <w:r>
              <w:rPr>
                <w:rFonts w:hint="default" w:ascii="Times New Roman" w:hAnsi="Times New Roman" w:eastAsia="宋体" w:cs="Times New Roman"/>
                <w:b/>
                <w:color w:val="auto"/>
                <w:sz w:val="24"/>
                <w:szCs w:val="24"/>
                <w:highlight w:val="none"/>
              </w:rPr>
              <w:t>废气污染源源强核算结果及相关参数一览表</w:t>
            </w:r>
          </w:p>
          <w:tbl>
            <w:tblPr>
              <w:tblStyle w:val="3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9"/>
              <w:gridCol w:w="401"/>
              <w:gridCol w:w="414"/>
              <w:gridCol w:w="388"/>
              <w:gridCol w:w="637"/>
              <w:gridCol w:w="755"/>
              <w:gridCol w:w="723"/>
              <w:gridCol w:w="631"/>
              <w:gridCol w:w="631"/>
              <w:gridCol w:w="369"/>
              <w:gridCol w:w="640"/>
              <w:gridCol w:w="791"/>
              <w:gridCol w:w="737"/>
              <w:gridCol w:w="458"/>
            </w:tblGrid>
            <w:tr w14:paraId="1073F8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238" w:type="pct"/>
                  <w:vMerge w:val="restart"/>
                  <w:vAlign w:val="center"/>
                </w:tcPr>
                <w:p w14:paraId="6C48CDC5">
                  <w:pPr>
                    <w:pStyle w:val="151"/>
                    <w:keepNext/>
                    <w:keepLines w:val="0"/>
                    <w:suppressLineNumbers w:val="0"/>
                    <w:adjustRightInd w:val="0"/>
                    <w:snapToGrid w:val="0"/>
                    <w:spacing w:before="0" w:beforeAutospacing="0" w:after="0" w:afterAutospacing="0"/>
                    <w:ind w:left="0" w:right="0"/>
                    <w:rPr>
                      <w:rFonts w:hint="default"/>
                      <w:color w:val="auto"/>
                      <w:sz w:val="21"/>
                      <w:szCs w:val="21"/>
                      <w:highlight w:val="none"/>
                    </w:rPr>
                  </w:pPr>
                  <w:r>
                    <w:rPr>
                      <w:rFonts w:hint="default"/>
                      <w:color w:val="auto"/>
                      <w:sz w:val="21"/>
                      <w:szCs w:val="21"/>
                      <w:highlight w:val="none"/>
                    </w:rPr>
                    <w:t>工序</w:t>
                  </w:r>
                  <w:r>
                    <w:rPr>
                      <w:rFonts w:hint="default"/>
                      <w:bCs/>
                      <w:color w:val="auto"/>
                      <w:sz w:val="21"/>
                      <w:szCs w:val="21"/>
                      <w:highlight w:val="none"/>
                    </w:rPr>
                    <w:t>/生产线</w:t>
                  </w:r>
                </w:p>
              </w:tc>
              <w:tc>
                <w:tcPr>
                  <w:tcW w:w="252" w:type="pct"/>
                  <w:vMerge w:val="restart"/>
                  <w:vAlign w:val="center"/>
                </w:tcPr>
                <w:p w14:paraId="33E199F1">
                  <w:pPr>
                    <w:pStyle w:val="151"/>
                    <w:keepNext/>
                    <w:keepLines w:val="0"/>
                    <w:suppressLineNumbers w:val="0"/>
                    <w:adjustRightInd w:val="0"/>
                    <w:snapToGrid w:val="0"/>
                    <w:spacing w:before="0" w:beforeAutospacing="0" w:after="0" w:afterAutospacing="0"/>
                    <w:ind w:left="0" w:right="0"/>
                    <w:rPr>
                      <w:rFonts w:hint="default"/>
                      <w:color w:val="auto"/>
                      <w:sz w:val="21"/>
                      <w:szCs w:val="21"/>
                      <w:highlight w:val="none"/>
                    </w:rPr>
                  </w:pPr>
                  <w:r>
                    <w:rPr>
                      <w:rFonts w:hint="default"/>
                      <w:color w:val="auto"/>
                      <w:sz w:val="21"/>
                      <w:szCs w:val="21"/>
                      <w:highlight w:val="none"/>
                    </w:rPr>
                    <w:t>污染源</w:t>
                  </w:r>
                </w:p>
              </w:tc>
              <w:tc>
                <w:tcPr>
                  <w:tcW w:w="260" w:type="pct"/>
                  <w:vMerge w:val="restart"/>
                  <w:vAlign w:val="center"/>
                </w:tcPr>
                <w:p w14:paraId="1AF71491">
                  <w:pPr>
                    <w:pStyle w:val="151"/>
                    <w:keepNext/>
                    <w:keepLines w:val="0"/>
                    <w:suppressLineNumbers w:val="0"/>
                    <w:adjustRightInd w:val="0"/>
                    <w:snapToGrid w:val="0"/>
                    <w:spacing w:before="0" w:beforeAutospacing="0" w:after="0" w:afterAutospacing="0"/>
                    <w:ind w:left="0" w:right="0"/>
                    <w:rPr>
                      <w:rFonts w:hint="default"/>
                      <w:color w:val="auto"/>
                      <w:sz w:val="21"/>
                      <w:szCs w:val="21"/>
                      <w:highlight w:val="none"/>
                    </w:rPr>
                  </w:pPr>
                  <w:r>
                    <w:rPr>
                      <w:rFonts w:hint="default"/>
                      <w:color w:val="auto"/>
                      <w:sz w:val="21"/>
                      <w:szCs w:val="21"/>
                      <w:highlight w:val="none"/>
                    </w:rPr>
                    <w:t>污染物</w:t>
                  </w:r>
                </w:p>
              </w:tc>
              <w:tc>
                <w:tcPr>
                  <w:tcW w:w="1573" w:type="pct"/>
                  <w:gridSpan w:val="4"/>
                  <w:vAlign w:val="center"/>
                </w:tcPr>
                <w:p w14:paraId="5A6A6B62">
                  <w:pPr>
                    <w:pStyle w:val="171"/>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污染物产生</w:t>
                  </w:r>
                </w:p>
              </w:tc>
              <w:tc>
                <w:tcPr>
                  <w:tcW w:w="793" w:type="pct"/>
                  <w:gridSpan w:val="2"/>
                  <w:vAlign w:val="center"/>
                </w:tcPr>
                <w:p w14:paraId="788BC744">
                  <w:pPr>
                    <w:pStyle w:val="171"/>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治理措施</w:t>
                  </w:r>
                </w:p>
              </w:tc>
              <w:tc>
                <w:tcPr>
                  <w:tcW w:w="1594" w:type="pct"/>
                  <w:gridSpan w:val="4"/>
                  <w:vAlign w:val="center"/>
                </w:tcPr>
                <w:p w14:paraId="42F4EF39">
                  <w:pPr>
                    <w:pStyle w:val="171"/>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污染物排放</w:t>
                  </w:r>
                </w:p>
              </w:tc>
              <w:tc>
                <w:tcPr>
                  <w:tcW w:w="287" w:type="pct"/>
                  <w:vMerge w:val="restart"/>
                  <w:vAlign w:val="center"/>
                </w:tcPr>
                <w:p w14:paraId="3937949F">
                  <w:pPr>
                    <w:pStyle w:val="151"/>
                    <w:keepNext/>
                    <w:keepLines w:val="0"/>
                    <w:suppressLineNumbers w:val="0"/>
                    <w:adjustRightInd w:val="0"/>
                    <w:snapToGrid w:val="0"/>
                    <w:spacing w:before="0" w:beforeAutospacing="0" w:after="0" w:afterAutospacing="0"/>
                    <w:ind w:left="0" w:right="0"/>
                    <w:rPr>
                      <w:rFonts w:hint="default"/>
                      <w:color w:val="auto"/>
                      <w:sz w:val="21"/>
                      <w:szCs w:val="21"/>
                      <w:highlight w:val="none"/>
                    </w:rPr>
                  </w:pPr>
                  <w:r>
                    <w:rPr>
                      <w:rFonts w:hint="default"/>
                      <w:bCs/>
                      <w:color w:val="auto"/>
                      <w:sz w:val="21"/>
                      <w:szCs w:val="21"/>
                      <w:highlight w:val="none"/>
                    </w:rPr>
                    <w:t>排放时间（h）</w:t>
                  </w:r>
                </w:p>
              </w:tc>
            </w:tr>
            <w:tr w14:paraId="4840CE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238" w:type="pct"/>
                  <w:vMerge w:val="continue"/>
                  <w:vAlign w:val="center"/>
                </w:tcPr>
                <w:p w14:paraId="2930CEF7">
                  <w:pPr>
                    <w:pStyle w:val="151"/>
                    <w:keepNext/>
                    <w:keepLines w:val="0"/>
                    <w:suppressLineNumbers w:val="0"/>
                    <w:tabs>
                      <w:tab w:val="left" w:pos="380"/>
                    </w:tabs>
                    <w:adjustRightInd w:val="0"/>
                    <w:snapToGrid w:val="0"/>
                    <w:spacing w:before="0" w:beforeAutospacing="0" w:after="0" w:afterAutospacing="0"/>
                    <w:ind w:left="0" w:right="0"/>
                    <w:rPr>
                      <w:rFonts w:hint="default"/>
                      <w:color w:val="auto"/>
                      <w:sz w:val="21"/>
                      <w:szCs w:val="21"/>
                      <w:highlight w:val="none"/>
                    </w:rPr>
                  </w:pPr>
                </w:p>
              </w:tc>
              <w:tc>
                <w:tcPr>
                  <w:tcW w:w="252" w:type="pct"/>
                  <w:vMerge w:val="continue"/>
                  <w:vAlign w:val="center"/>
                </w:tcPr>
                <w:p w14:paraId="1DCAC2DE">
                  <w:pPr>
                    <w:pStyle w:val="151"/>
                    <w:keepNext/>
                    <w:keepLines w:val="0"/>
                    <w:suppressLineNumbers w:val="0"/>
                    <w:adjustRightInd w:val="0"/>
                    <w:snapToGrid w:val="0"/>
                    <w:spacing w:before="0" w:beforeAutospacing="0" w:after="0" w:afterAutospacing="0"/>
                    <w:ind w:left="0" w:right="0"/>
                    <w:rPr>
                      <w:rFonts w:hint="default"/>
                      <w:color w:val="auto"/>
                      <w:sz w:val="21"/>
                      <w:szCs w:val="21"/>
                      <w:highlight w:val="none"/>
                    </w:rPr>
                  </w:pPr>
                </w:p>
              </w:tc>
              <w:tc>
                <w:tcPr>
                  <w:tcW w:w="260" w:type="pct"/>
                  <w:vMerge w:val="continue"/>
                  <w:vAlign w:val="center"/>
                </w:tcPr>
                <w:p w14:paraId="36E28A1E">
                  <w:pPr>
                    <w:pStyle w:val="151"/>
                    <w:keepNext/>
                    <w:keepLines w:val="0"/>
                    <w:suppressLineNumbers w:val="0"/>
                    <w:adjustRightInd w:val="0"/>
                    <w:snapToGrid w:val="0"/>
                    <w:spacing w:before="0" w:beforeAutospacing="0" w:after="0" w:afterAutospacing="0"/>
                    <w:ind w:left="0" w:right="0"/>
                    <w:rPr>
                      <w:rFonts w:hint="default"/>
                      <w:color w:val="auto"/>
                      <w:sz w:val="21"/>
                      <w:szCs w:val="21"/>
                      <w:highlight w:val="none"/>
                    </w:rPr>
                  </w:pPr>
                </w:p>
              </w:tc>
              <w:tc>
                <w:tcPr>
                  <w:tcW w:w="244" w:type="pct"/>
                  <w:vAlign w:val="center"/>
                </w:tcPr>
                <w:p w14:paraId="5014E0F2">
                  <w:pPr>
                    <w:pStyle w:val="171"/>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核算方法</w:t>
                  </w:r>
                </w:p>
              </w:tc>
              <w:tc>
                <w:tcPr>
                  <w:tcW w:w="400" w:type="pct"/>
                  <w:vAlign w:val="center"/>
                </w:tcPr>
                <w:p w14:paraId="056BB12A">
                  <w:pPr>
                    <w:pStyle w:val="171"/>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废气量</w:t>
                  </w:r>
                </w:p>
                <w:p w14:paraId="0609E639">
                  <w:pPr>
                    <w:pStyle w:val="171"/>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m</w:t>
                  </w:r>
                  <w:r>
                    <w:rPr>
                      <w:rFonts w:hint="default"/>
                      <w:color w:val="auto"/>
                      <w:sz w:val="21"/>
                      <w:szCs w:val="21"/>
                      <w:highlight w:val="none"/>
                      <w:vertAlign w:val="superscript"/>
                    </w:rPr>
                    <w:t>3</w:t>
                  </w:r>
                  <w:r>
                    <w:rPr>
                      <w:rFonts w:hint="default"/>
                      <w:color w:val="auto"/>
                      <w:sz w:val="21"/>
                      <w:szCs w:val="21"/>
                      <w:highlight w:val="none"/>
                    </w:rPr>
                    <w:t>/h</w:t>
                  </w:r>
                </w:p>
              </w:tc>
              <w:tc>
                <w:tcPr>
                  <w:tcW w:w="474" w:type="pct"/>
                  <w:vAlign w:val="center"/>
                </w:tcPr>
                <w:p w14:paraId="1FEDB90C">
                  <w:pPr>
                    <w:pStyle w:val="171"/>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产生浓度</w:t>
                  </w:r>
                </w:p>
                <w:p w14:paraId="4E64D160">
                  <w:pPr>
                    <w:pStyle w:val="171"/>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mg/m</w:t>
                  </w:r>
                  <w:r>
                    <w:rPr>
                      <w:rFonts w:hint="default"/>
                      <w:color w:val="auto"/>
                      <w:sz w:val="21"/>
                      <w:szCs w:val="21"/>
                      <w:highlight w:val="none"/>
                      <w:vertAlign w:val="superscript"/>
                    </w:rPr>
                    <w:t>3</w:t>
                  </w:r>
                </w:p>
              </w:tc>
              <w:tc>
                <w:tcPr>
                  <w:tcW w:w="454" w:type="pct"/>
                  <w:vAlign w:val="center"/>
                </w:tcPr>
                <w:p w14:paraId="5021CB00">
                  <w:pPr>
                    <w:pStyle w:val="171"/>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产生量</w:t>
                  </w:r>
                </w:p>
                <w:p w14:paraId="0DFCF907">
                  <w:pPr>
                    <w:pStyle w:val="171"/>
                    <w:keepNext w:val="0"/>
                    <w:keepLines w:val="0"/>
                    <w:suppressLineNumbers w:val="0"/>
                    <w:spacing w:before="0" w:beforeAutospacing="0" w:after="0" w:afterAutospacing="0" w:line="240" w:lineRule="auto"/>
                    <w:ind w:left="0" w:right="0"/>
                    <w:rPr>
                      <w:rFonts w:hint="default" w:eastAsia="宋体"/>
                      <w:color w:val="auto"/>
                      <w:sz w:val="21"/>
                      <w:szCs w:val="21"/>
                      <w:highlight w:val="none"/>
                      <w:lang w:val="en-US" w:eastAsia="zh-CN"/>
                    </w:rPr>
                  </w:pPr>
                  <w:r>
                    <w:rPr>
                      <w:rFonts w:hint="eastAsia"/>
                      <w:color w:val="auto"/>
                      <w:sz w:val="21"/>
                      <w:szCs w:val="21"/>
                      <w:highlight w:val="none"/>
                      <w:lang w:val="en-US" w:eastAsia="zh-CN"/>
                    </w:rPr>
                    <w:t>t/a</w:t>
                  </w:r>
                </w:p>
              </w:tc>
              <w:tc>
                <w:tcPr>
                  <w:tcW w:w="396" w:type="pct"/>
                  <w:vAlign w:val="center"/>
                </w:tcPr>
                <w:p w14:paraId="388953DD">
                  <w:pPr>
                    <w:pStyle w:val="171"/>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工艺</w:t>
                  </w:r>
                </w:p>
              </w:tc>
              <w:tc>
                <w:tcPr>
                  <w:tcW w:w="396" w:type="pct"/>
                  <w:vAlign w:val="center"/>
                </w:tcPr>
                <w:p w14:paraId="2CF09548">
                  <w:pPr>
                    <w:pStyle w:val="171"/>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效率</w:t>
                  </w:r>
                </w:p>
                <w:p w14:paraId="59EAD951">
                  <w:pPr>
                    <w:pStyle w:val="171"/>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w:t>
                  </w:r>
                </w:p>
              </w:tc>
              <w:tc>
                <w:tcPr>
                  <w:tcW w:w="231" w:type="pct"/>
                  <w:vAlign w:val="center"/>
                </w:tcPr>
                <w:p w14:paraId="34EDFE17">
                  <w:pPr>
                    <w:pStyle w:val="171"/>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核算方法</w:t>
                  </w:r>
                </w:p>
              </w:tc>
              <w:tc>
                <w:tcPr>
                  <w:tcW w:w="402" w:type="pct"/>
                  <w:vAlign w:val="center"/>
                </w:tcPr>
                <w:p w14:paraId="26EE207D">
                  <w:pPr>
                    <w:pStyle w:val="171"/>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废气量</w:t>
                  </w:r>
                </w:p>
                <w:p w14:paraId="1E3F79B0">
                  <w:pPr>
                    <w:pStyle w:val="171"/>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m</w:t>
                  </w:r>
                  <w:r>
                    <w:rPr>
                      <w:rFonts w:hint="default"/>
                      <w:color w:val="auto"/>
                      <w:sz w:val="21"/>
                      <w:szCs w:val="21"/>
                      <w:highlight w:val="none"/>
                      <w:vertAlign w:val="superscript"/>
                    </w:rPr>
                    <w:t>3</w:t>
                  </w:r>
                  <w:r>
                    <w:rPr>
                      <w:rFonts w:hint="default"/>
                      <w:color w:val="auto"/>
                      <w:sz w:val="21"/>
                      <w:szCs w:val="21"/>
                      <w:highlight w:val="none"/>
                    </w:rPr>
                    <w:t>/h</w:t>
                  </w:r>
                </w:p>
              </w:tc>
              <w:tc>
                <w:tcPr>
                  <w:tcW w:w="497" w:type="pct"/>
                  <w:vAlign w:val="center"/>
                </w:tcPr>
                <w:p w14:paraId="1656AFBA">
                  <w:pPr>
                    <w:pStyle w:val="171"/>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排放浓度</w:t>
                  </w:r>
                </w:p>
                <w:p w14:paraId="0B774672">
                  <w:pPr>
                    <w:pStyle w:val="171"/>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mg/m</w:t>
                  </w:r>
                  <w:r>
                    <w:rPr>
                      <w:rFonts w:hint="default"/>
                      <w:color w:val="auto"/>
                      <w:sz w:val="21"/>
                      <w:szCs w:val="21"/>
                      <w:highlight w:val="none"/>
                      <w:vertAlign w:val="superscript"/>
                    </w:rPr>
                    <w:t>3</w:t>
                  </w:r>
                </w:p>
              </w:tc>
              <w:tc>
                <w:tcPr>
                  <w:tcW w:w="463" w:type="pct"/>
                  <w:vAlign w:val="center"/>
                </w:tcPr>
                <w:p w14:paraId="00E04608">
                  <w:pPr>
                    <w:pStyle w:val="171"/>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排放量</w:t>
                  </w:r>
                </w:p>
                <w:p w14:paraId="60ED9D1E">
                  <w:pPr>
                    <w:pStyle w:val="171"/>
                    <w:keepNext w:val="0"/>
                    <w:keepLines w:val="0"/>
                    <w:suppressLineNumbers w:val="0"/>
                    <w:spacing w:before="0" w:beforeAutospacing="0" w:after="0" w:afterAutospacing="0" w:line="240" w:lineRule="auto"/>
                    <w:ind w:left="0" w:right="0"/>
                    <w:rPr>
                      <w:rFonts w:hint="default" w:eastAsia="宋体"/>
                      <w:color w:val="auto"/>
                      <w:sz w:val="21"/>
                      <w:szCs w:val="21"/>
                      <w:highlight w:val="none"/>
                      <w:lang w:val="en-US" w:eastAsia="zh-CN"/>
                    </w:rPr>
                  </w:pPr>
                  <w:r>
                    <w:rPr>
                      <w:rFonts w:hint="eastAsia"/>
                      <w:color w:val="auto"/>
                      <w:sz w:val="21"/>
                      <w:szCs w:val="21"/>
                      <w:highlight w:val="none"/>
                      <w:lang w:val="en-US" w:eastAsia="zh-CN"/>
                    </w:rPr>
                    <w:t>t/a</w:t>
                  </w:r>
                </w:p>
              </w:tc>
              <w:tc>
                <w:tcPr>
                  <w:tcW w:w="287" w:type="pct"/>
                  <w:vMerge w:val="continue"/>
                  <w:vAlign w:val="center"/>
                </w:tcPr>
                <w:p w14:paraId="14FAC3C6">
                  <w:pPr>
                    <w:pStyle w:val="151"/>
                    <w:keepNext/>
                    <w:keepLines w:val="0"/>
                    <w:suppressLineNumbers w:val="0"/>
                    <w:adjustRightInd w:val="0"/>
                    <w:snapToGrid w:val="0"/>
                    <w:spacing w:before="0" w:beforeAutospacing="0" w:after="0" w:afterAutospacing="0"/>
                    <w:ind w:left="0" w:right="0"/>
                    <w:rPr>
                      <w:rFonts w:hint="default"/>
                      <w:color w:val="auto"/>
                      <w:sz w:val="21"/>
                      <w:szCs w:val="21"/>
                      <w:highlight w:val="none"/>
                    </w:rPr>
                  </w:pPr>
                </w:p>
              </w:tc>
            </w:tr>
            <w:tr w14:paraId="37AA92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6" w:hRule="atLeast"/>
                <w:jc w:val="center"/>
              </w:trPr>
              <w:tc>
                <w:tcPr>
                  <w:tcW w:w="238" w:type="pct"/>
                  <w:vMerge w:val="restart"/>
                  <w:vAlign w:val="center"/>
                </w:tcPr>
                <w:p w14:paraId="71855B80">
                  <w:pPr>
                    <w:pStyle w:val="2"/>
                    <w:keepNext w:val="0"/>
                    <w:keepLines w:val="0"/>
                    <w:suppressLineNumbers w:val="0"/>
                    <w:spacing w:before="0" w:beforeAutospacing="0" w:after="0" w:afterAutospacing="0" w:line="240" w:lineRule="auto"/>
                    <w:ind w:left="0" w:right="0"/>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热风炉</w:t>
                  </w:r>
                </w:p>
              </w:tc>
              <w:tc>
                <w:tcPr>
                  <w:tcW w:w="252" w:type="pct"/>
                  <w:vMerge w:val="restart"/>
                  <w:vAlign w:val="center"/>
                </w:tcPr>
                <w:p w14:paraId="40D9F594">
                  <w:pPr>
                    <w:keepNext/>
                    <w:keepLines w:val="0"/>
                    <w:suppressLineNumbers w:val="0"/>
                    <w:adjustRightInd w:val="0"/>
                    <w:snapToGrid w:val="0"/>
                    <w:spacing w:before="0" w:beforeAutospacing="0" w:after="0" w:afterAutospacing="0"/>
                    <w:ind w:left="0" w:right="0"/>
                    <w:rPr>
                      <w:rFonts w:hint="default"/>
                      <w:color w:val="auto"/>
                      <w:sz w:val="21"/>
                      <w:szCs w:val="21"/>
                      <w:highlight w:val="none"/>
                    </w:rPr>
                  </w:pPr>
                  <w:r>
                    <w:rPr>
                      <w:rFonts w:hint="eastAsia"/>
                      <w:color w:val="auto"/>
                      <w:sz w:val="21"/>
                      <w:szCs w:val="21"/>
                      <w:highlight w:val="none"/>
                    </w:rPr>
                    <w:t>DA001</w:t>
                  </w:r>
                </w:p>
              </w:tc>
              <w:tc>
                <w:tcPr>
                  <w:tcW w:w="260" w:type="pct"/>
                  <w:vAlign w:val="center"/>
                </w:tcPr>
                <w:p w14:paraId="60D40536">
                  <w:pPr>
                    <w:keepNext/>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rPr>
                    <w:t>颗粒物</w:t>
                  </w:r>
                </w:p>
              </w:tc>
              <w:tc>
                <w:tcPr>
                  <w:tcW w:w="244" w:type="pct"/>
                  <w:vMerge w:val="restart"/>
                  <w:vAlign w:val="center"/>
                </w:tcPr>
                <w:p w14:paraId="47B9F0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olor w:val="auto"/>
                      <w:sz w:val="21"/>
                      <w:szCs w:val="21"/>
                      <w:highlight w:val="none"/>
                    </w:rPr>
                  </w:pPr>
                  <w:r>
                    <w:rPr>
                      <w:rFonts w:hint="eastAsia" w:ascii="Times New Roman" w:hAnsi="Times New Roman" w:eastAsia="宋体" w:cs="Times New Roman"/>
                      <w:color w:val="auto"/>
                      <w:spacing w:val="0"/>
                      <w:kern w:val="0"/>
                      <w:position w:val="0"/>
                      <w:sz w:val="21"/>
                      <w:szCs w:val="21"/>
                      <w:highlight w:val="none"/>
                      <w:lang w:val="en-US" w:eastAsia="zh-CN"/>
                    </w:rPr>
                    <w:t>物料衡算法</w:t>
                  </w:r>
                </w:p>
              </w:tc>
              <w:tc>
                <w:tcPr>
                  <w:tcW w:w="400" w:type="pct"/>
                  <w:vMerge w:val="restart"/>
                  <w:vAlign w:val="center"/>
                </w:tcPr>
                <w:p w14:paraId="05DE6023">
                  <w:pPr>
                    <w:keepNext/>
                    <w:keepLines w:val="0"/>
                    <w:suppressLineNumbers w:val="0"/>
                    <w:adjustRightInd w:val="0"/>
                    <w:snapToGrid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7638.02</w:t>
                  </w:r>
                </w:p>
              </w:tc>
              <w:tc>
                <w:tcPr>
                  <w:tcW w:w="474" w:type="pct"/>
                  <w:vAlign w:val="center"/>
                </w:tcPr>
                <w:p w14:paraId="733988F7">
                  <w:pPr>
                    <w:keepNext/>
                    <w:keepLines w:val="0"/>
                    <w:suppressLineNumbers w:val="0"/>
                    <w:adjustRightInd w:val="0"/>
                    <w:snapToGrid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7164.82</w:t>
                  </w:r>
                </w:p>
              </w:tc>
              <w:tc>
                <w:tcPr>
                  <w:tcW w:w="454" w:type="pct"/>
                  <w:vAlign w:val="center"/>
                </w:tcPr>
                <w:p w14:paraId="01FA3496">
                  <w:pPr>
                    <w:pStyle w:val="151"/>
                    <w:keepNext/>
                    <w:keepLines w:val="0"/>
                    <w:suppressLineNumbers w:val="0"/>
                    <w:adjustRightInd w:val="0"/>
                    <w:snapToGrid w:val="0"/>
                    <w:spacing w:before="0" w:beforeAutospacing="0" w:after="0" w:afterAutospacing="0"/>
                    <w:ind w:left="0" w:right="0"/>
                    <w:rPr>
                      <w:rFonts w:hint="default" w:eastAsia="宋体"/>
                      <w:color w:val="auto"/>
                      <w:sz w:val="21"/>
                      <w:szCs w:val="21"/>
                      <w:highlight w:val="none"/>
                      <w:lang w:val="en-US" w:eastAsia="zh-CN"/>
                    </w:rPr>
                  </w:pPr>
                  <w:r>
                    <w:rPr>
                      <w:rFonts w:hint="eastAsia"/>
                      <w:color w:val="auto"/>
                      <w:sz w:val="21"/>
                      <w:szCs w:val="21"/>
                      <w:highlight w:val="none"/>
                      <w:lang w:val="en-US" w:eastAsia="zh-CN"/>
                    </w:rPr>
                    <w:t>65.67</w:t>
                  </w:r>
                </w:p>
              </w:tc>
              <w:tc>
                <w:tcPr>
                  <w:tcW w:w="396" w:type="pct"/>
                  <w:vAlign w:val="center"/>
                </w:tcPr>
                <w:p w14:paraId="45DEF374">
                  <w:pPr>
                    <w:pStyle w:val="21"/>
                    <w:keepNext w:val="0"/>
                    <w:keepLines w:val="0"/>
                    <w:suppressLineNumbers w:val="0"/>
                    <w:spacing w:before="0" w:beforeAutospacing="0" w:after="0" w:afterAutospacing="0"/>
                    <w:ind w:left="0" w:right="0"/>
                    <w:jc w:val="center"/>
                    <w:rPr>
                      <w:rFonts w:hint="default" w:ascii="Times New Roman" w:hAnsi="Times New Roman"/>
                      <w:color w:val="auto"/>
                      <w:sz w:val="21"/>
                      <w:szCs w:val="21"/>
                      <w:highlight w:val="none"/>
                    </w:rPr>
                  </w:pPr>
                  <w:r>
                    <w:rPr>
                      <w:rFonts w:hint="eastAsia" w:ascii="Times New Roman" w:hAnsi="Times New Roman"/>
                      <w:color w:val="auto"/>
                      <w:sz w:val="21"/>
                      <w:szCs w:val="21"/>
                      <w:highlight w:val="none"/>
                      <w:lang w:val="en-US" w:eastAsia="zh-CN"/>
                    </w:rPr>
                    <w:t>袋式除尘器</w:t>
                  </w:r>
                  <w:r>
                    <w:rPr>
                      <w:rFonts w:hint="eastAsia" w:ascii="Times New Roman" w:hAnsi="Times New Roman"/>
                      <w:color w:val="auto"/>
                      <w:sz w:val="21"/>
                      <w:szCs w:val="21"/>
                      <w:highlight w:val="none"/>
                    </w:rPr>
                    <w:t>+1</w:t>
                  </w:r>
                  <w:r>
                    <w:rPr>
                      <w:rFonts w:hint="eastAsia" w:ascii="Times New Roman" w:hAnsi="Times New Roman"/>
                      <w:color w:val="auto"/>
                      <w:sz w:val="21"/>
                      <w:szCs w:val="21"/>
                      <w:highlight w:val="none"/>
                      <w:lang w:val="en-US" w:eastAsia="zh-CN"/>
                    </w:rPr>
                    <w:t>8</w:t>
                  </w:r>
                  <w:r>
                    <w:rPr>
                      <w:rFonts w:hint="eastAsia" w:ascii="Times New Roman" w:hAnsi="Times New Roman"/>
                      <w:color w:val="auto"/>
                      <w:sz w:val="21"/>
                      <w:szCs w:val="21"/>
                      <w:highlight w:val="none"/>
                    </w:rPr>
                    <w:t>m排气筒</w:t>
                  </w:r>
                </w:p>
              </w:tc>
              <w:tc>
                <w:tcPr>
                  <w:tcW w:w="396" w:type="pct"/>
                  <w:vAlign w:val="center"/>
                </w:tcPr>
                <w:p w14:paraId="0CD44C24">
                  <w:pPr>
                    <w:keepNext w:val="0"/>
                    <w:keepLines w:val="0"/>
                    <w:suppressLineNumbers w:val="0"/>
                    <w:spacing w:before="0" w:beforeAutospacing="0" w:after="0" w:afterAutospacing="0"/>
                    <w:ind w:left="0" w:right="0"/>
                    <w:jc w:val="center"/>
                    <w:rPr>
                      <w:rFonts w:hint="default"/>
                      <w:color w:val="auto"/>
                      <w:kern w:val="11"/>
                      <w:sz w:val="21"/>
                      <w:szCs w:val="21"/>
                      <w:highlight w:val="none"/>
                      <w:lang w:val="en-US"/>
                    </w:rPr>
                  </w:pPr>
                  <w:r>
                    <w:rPr>
                      <w:rFonts w:hint="eastAsia"/>
                      <w:color w:val="auto"/>
                      <w:kern w:val="11"/>
                      <w:sz w:val="21"/>
                      <w:szCs w:val="21"/>
                      <w:highlight w:val="none"/>
                      <w:lang w:val="en-US" w:eastAsia="zh-CN"/>
                    </w:rPr>
                    <w:t>99.7</w:t>
                  </w:r>
                </w:p>
              </w:tc>
              <w:tc>
                <w:tcPr>
                  <w:tcW w:w="231" w:type="pct"/>
                  <w:vMerge w:val="restart"/>
                  <w:vAlign w:val="center"/>
                </w:tcPr>
                <w:p w14:paraId="0F48617F">
                  <w:pPr>
                    <w:keepNext/>
                    <w:keepLines w:val="0"/>
                    <w:suppressLineNumbers w:val="0"/>
                    <w:adjustRightInd w:val="0"/>
                    <w:snapToGrid w:val="0"/>
                    <w:spacing w:before="0" w:beforeAutospacing="0" w:after="0" w:afterAutospacing="0"/>
                    <w:ind w:left="0" w:right="0"/>
                    <w:jc w:val="center"/>
                    <w:rPr>
                      <w:rFonts w:hint="eastAsia" w:eastAsia="宋体"/>
                      <w:bCs/>
                      <w:color w:val="auto"/>
                      <w:sz w:val="21"/>
                      <w:szCs w:val="21"/>
                      <w:highlight w:val="none"/>
                      <w:lang w:val="en-US" w:eastAsia="zh-CN"/>
                    </w:rPr>
                  </w:pPr>
                  <w:r>
                    <w:rPr>
                      <w:rFonts w:hint="eastAsia" w:ascii="Times New Roman" w:hAnsi="Times New Roman" w:eastAsia="宋体" w:cs="Times New Roman"/>
                      <w:color w:val="auto"/>
                      <w:spacing w:val="0"/>
                      <w:kern w:val="0"/>
                      <w:position w:val="0"/>
                      <w:sz w:val="21"/>
                      <w:szCs w:val="21"/>
                      <w:highlight w:val="none"/>
                      <w:lang w:val="en-US" w:eastAsia="zh-CN"/>
                    </w:rPr>
                    <w:t>物料衡算法</w:t>
                  </w:r>
                </w:p>
              </w:tc>
              <w:tc>
                <w:tcPr>
                  <w:tcW w:w="402" w:type="pct"/>
                  <w:vMerge w:val="restart"/>
                  <w:vAlign w:val="center"/>
                </w:tcPr>
                <w:p w14:paraId="15909124">
                  <w:pPr>
                    <w:keepNext/>
                    <w:keepLines w:val="0"/>
                    <w:suppressLineNumbers w:val="0"/>
                    <w:adjustRightInd w:val="0"/>
                    <w:snapToGrid w:val="0"/>
                    <w:spacing w:before="0" w:beforeAutospacing="0" w:after="0" w:afterAutospacing="0"/>
                    <w:ind w:left="0" w:right="0"/>
                    <w:jc w:val="center"/>
                    <w:rPr>
                      <w:rFonts w:hint="default"/>
                      <w:color w:val="auto"/>
                      <w:sz w:val="21"/>
                      <w:szCs w:val="21"/>
                      <w:highlight w:val="none"/>
                      <w:lang w:val="en-US"/>
                    </w:rPr>
                  </w:pPr>
                  <w:r>
                    <w:rPr>
                      <w:rFonts w:hint="eastAsia"/>
                      <w:color w:val="auto"/>
                      <w:sz w:val="21"/>
                      <w:szCs w:val="21"/>
                      <w:highlight w:val="none"/>
                      <w:lang w:val="en-US" w:eastAsia="zh-CN"/>
                    </w:rPr>
                    <w:t>7638.02</w:t>
                  </w:r>
                </w:p>
              </w:tc>
              <w:tc>
                <w:tcPr>
                  <w:tcW w:w="497" w:type="pct"/>
                  <w:vAlign w:val="center"/>
                </w:tcPr>
                <w:p w14:paraId="7690CB2E">
                  <w:pPr>
                    <w:keepNext/>
                    <w:keepLines w:val="0"/>
                    <w:suppressLineNumbers w:val="0"/>
                    <w:adjustRightInd w:val="0"/>
                    <w:snapToGrid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21.49</w:t>
                  </w:r>
                </w:p>
              </w:tc>
              <w:tc>
                <w:tcPr>
                  <w:tcW w:w="463" w:type="pct"/>
                  <w:vAlign w:val="center"/>
                </w:tcPr>
                <w:p w14:paraId="0FC72CF2">
                  <w:pPr>
                    <w:pStyle w:val="151"/>
                    <w:keepNext/>
                    <w:keepLines w:val="0"/>
                    <w:suppressLineNumbers w:val="0"/>
                    <w:adjustRightInd w:val="0"/>
                    <w:snapToGrid w:val="0"/>
                    <w:spacing w:before="0" w:beforeAutospacing="0" w:after="0" w:afterAutospacing="0"/>
                    <w:ind w:left="0" w:right="0"/>
                    <w:rPr>
                      <w:rFonts w:hint="default" w:eastAsia="宋体"/>
                      <w:color w:val="auto"/>
                      <w:sz w:val="21"/>
                      <w:szCs w:val="21"/>
                      <w:highlight w:val="none"/>
                      <w:lang w:val="en-US" w:eastAsia="zh-CN"/>
                    </w:rPr>
                  </w:pPr>
                  <w:r>
                    <w:rPr>
                      <w:rFonts w:hint="eastAsia"/>
                      <w:color w:val="auto"/>
                      <w:sz w:val="21"/>
                      <w:szCs w:val="21"/>
                      <w:highlight w:val="none"/>
                      <w:lang w:val="en-US" w:eastAsia="zh-CN"/>
                    </w:rPr>
                    <w:t>0.197</w:t>
                  </w:r>
                </w:p>
              </w:tc>
              <w:tc>
                <w:tcPr>
                  <w:tcW w:w="287" w:type="pct"/>
                  <w:vMerge w:val="restart"/>
                  <w:vAlign w:val="center"/>
                </w:tcPr>
                <w:p w14:paraId="363509C5">
                  <w:pPr>
                    <w:pStyle w:val="151"/>
                    <w:keepNext/>
                    <w:keepLines w:val="0"/>
                    <w:suppressLineNumbers w:val="0"/>
                    <w:adjustRightInd w:val="0"/>
                    <w:snapToGrid w:val="0"/>
                    <w:spacing w:before="0" w:beforeAutospacing="0" w:after="0" w:afterAutospacing="0"/>
                    <w:ind w:left="0" w:right="0"/>
                    <w:rPr>
                      <w:rFonts w:hint="default" w:eastAsia="宋体"/>
                      <w:color w:val="auto"/>
                      <w:sz w:val="21"/>
                      <w:szCs w:val="21"/>
                      <w:highlight w:val="none"/>
                      <w:lang w:val="en-US" w:eastAsia="zh-CN"/>
                    </w:rPr>
                  </w:pPr>
                  <w:r>
                    <w:rPr>
                      <w:rFonts w:hint="eastAsia"/>
                      <w:color w:val="auto"/>
                      <w:sz w:val="21"/>
                      <w:szCs w:val="21"/>
                      <w:highlight w:val="none"/>
                      <w:lang w:val="en-US" w:eastAsia="zh-CN"/>
                    </w:rPr>
                    <w:t>1200</w:t>
                  </w:r>
                </w:p>
              </w:tc>
            </w:tr>
            <w:tr w14:paraId="60D0F4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6" w:hRule="atLeast"/>
                <w:jc w:val="center"/>
              </w:trPr>
              <w:tc>
                <w:tcPr>
                  <w:tcW w:w="238" w:type="pct"/>
                  <w:vMerge w:val="continue"/>
                  <w:vAlign w:val="center"/>
                </w:tcPr>
                <w:p w14:paraId="1D892FFA">
                  <w:pPr>
                    <w:pStyle w:val="2"/>
                    <w:keepNext w:val="0"/>
                    <w:keepLines w:val="0"/>
                    <w:suppressLineNumbers w:val="0"/>
                    <w:spacing w:before="0" w:beforeAutospacing="0" w:after="0" w:afterAutospacing="0" w:line="240" w:lineRule="auto"/>
                    <w:ind w:left="0" w:right="0"/>
                    <w:rPr>
                      <w:rFonts w:hint="eastAsia" w:ascii="Times New Roman" w:eastAsia="宋体"/>
                      <w:color w:val="auto"/>
                      <w:sz w:val="21"/>
                      <w:szCs w:val="21"/>
                      <w:highlight w:val="none"/>
                      <w:lang w:val="en-US" w:eastAsia="zh-CN"/>
                    </w:rPr>
                  </w:pPr>
                </w:p>
              </w:tc>
              <w:tc>
                <w:tcPr>
                  <w:tcW w:w="252" w:type="pct"/>
                  <w:vMerge w:val="continue"/>
                  <w:vAlign w:val="center"/>
                </w:tcPr>
                <w:p w14:paraId="643F54F0">
                  <w:pPr>
                    <w:keepNext/>
                    <w:keepLines w:val="0"/>
                    <w:suppressLineNumbers w:val="0"/>
                    <w:adjustRightInd w:val="0"/>
                    <w:snapToGrid w:val="0"/>
                    <w:spacing w:before="0" w:beforeAutospacing="0" w:after="0" w:afterAutospacing="0"/>
                    <w:ind w:left="0" w:right="0"/>
                    <w:rPr>
                      <w:rFonts w:hint="eastAsia"/>
                      <w:color w:val="auto"/>
                      <w:sz w:val="21"/>
                      <w:szCs w:val="21"/>
                      <w:highlight w:val="none"/>
                    </w:rPr>
                  </w:pPr>
                </w:p>
              </w:tc>
              <w:tc>
                <w:tcPr>
                  <w:tcW w:w="260" w:type="pct"/>
                  <w:vAlign w:val="center"/>
                </w:tcPr>
                <w:p w14:paraId="70D9FD6C">
                  <w:pPr>
                    <w:keepNext/>
                    <w:keepLines w:val="0"/>
                    <w:suppressLineNumbers w:val="0"/>
                    <w:adjustRightInd w:val="0"/>
                    <w:snapToGrid w:val="0"/>
                    <w:spacing w:before="0" w:beforeAutospacing="0" w:after="0" w:afterAutospacing="0"/>
                    <w:ind w:left="0" w:right="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二氧化硫</w:t>
                  </w:r>
                </w:p>
              </w:tc>
              <w:tc>
                <w:tcPr>
                  <w:tcW w:w="244" w:type="pct"/>
                  <w:vMerge w:val="continue"/>
                  <w:vAlign w:val="center"/>
                </w:tcPr>
                <w:p w14:paraId="40F9EF7C">
                  <w:pPr>
                    <w:keepNext/>
                    <w:keepLines w:val="0"/>
                    <w:suppressLineNumbers w:val="0"/>
                    <w:adjustRightInd w:val="0"/>
                    <w:snapToGrid w:val="0"/>
                    <w:spacing w:before="0" w:beforeAutospacing="0" w:after="0" w:afterAutospacing="0"/>
                    <w:ind w:left="0" w:right="0"/>
                    <w:jc w:val="center"/>
                    <w:rPr>
                      <w:rFonts w:hint="default"/>
                      <w:bCs/>
                      <w:color w:val="auto"/>
                      <w:sz w:val="21"/>
                      <w:szCs w:val="21"/>
                      <w:highlight w:val="none"/>
                    </w:rPr>
                  </w:pPr>
                </w:p>
              </w:tc>
              <w:tc>
                <w:tcPr>
                  <w:tcW w:w="400" w:type="pct"/>
                  <w:vMerge w:val="continue"/>
                  <w:vAlign w:val="center"/>
                </w:tcPr>
                <w:p w14:paraId="5095D025">
                  <w:pPr>
                    <w:keepNext/>
                    <w:keepLines w:val="0"/>
                    <w:suppressLineNumbers w:val="0"/>
                    <w:adjustRightInd w:val="0"/>
                    <w:snapToGrid w:val="0"/>
                    <w:spacing w:before="0" w:beforeAutospacing="0" w:after="0" w:afterAutospacing="0"/>
                    <w:ind w:left="0" w:right="0"/>
                    <w:jc w:val="center"/>
                    <w:rPr>
                      <w:rFonts w:hint="eastAsia"/>
                      <w:color w:val="auto"/>
                      <w:sz w:val="21"/>
                      <w:szCs w:val="21"/>
                      <w:highlight w:val="none"/>
                      <w:lang w:val="en-US" w:eastAsia="zh-CN"/>
                    </w:rPr>
                  </w:pPr>
                </w:p>
              </w:tc>
              <w:tc>
                <w:tcPr>
                  <w:tcW w:w="755" w:type="dxa"/>
                  <w:vAlign w:val="center"/>
                </w:tcPr>
                <w:p w14:paraId="1B4BA2F7">
                  <w:pPr>
                    <w:keepNext/>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lang w:val="en-US" w:eastAsia="zh-CN"/>
                    </w:rPr>
                  </w:pPr>
                  <w:r>
                    <w:rPr>
                      <w:rFonts w:hint="eastAsia"/>
                      <w:color w:val="auto"/>
                      <w:sz w:val="21"/>
                      <w:szCs w:val="21"/>
                      <w:highlight w:val="none"/>
                      <w:lang w:val="en-US" w:eastAsia="zh-CN"/>
                    </w:rPr>
                    <w:t>71.899</w:t>
                  </w:r>
                </w:p>
              </w:tc>
              <w:tc>
                <w:tcPr>
                  <w:tcW w:w="723" w:type="dxa"/>
                  <w:vAlign w:val="center"/>
                </w:tcPr>
                <w:p w14:paraId="37B4FB09">
                  <w:pPr>
                    <w:pStyle w:val="151"/>
                    <w:keepNext/>
                    <w:keepLines w:val="0"/>
                    <w:suppressLineNumbers w:val="0"/>
                    <w:adjustRightInd w:val="0"/>
                    <w:snapToGrid w:val="0"/>
                    <w:spacing w:before="0" w:beforeAutospacing="0" w:after="0" w:afterAutospacing="0"/>
                    <w:ind w:left="0" w:leftChars="0" w:right="0" w:rightChars="0"/>
                    <w:rPr>
                      <w:rFonts w:hint="eastAsia"/>
                      <w:color w:val="auto"/>
                      <w:sz w:val="21"/>
                      <w:szCs w:val="21"/>
                      <w:highlight w:val="none"/>
                      <w:lang w:val="en-US" w:eastAsia="zh-CN"/>
                    </w:rPr>
                  </w:pPr>
                  <w:r>
                    <w:rPr>
                      <w:rFonts w:hint="eastAsia"/>
                      <w:color w:val="auto"/>
                      <w:sz w:val="21"/>
                      <w:szCs w:val="21"/>
                      <w:highlight w:val="none"/>
                      <w:lang w:val="en-US" w:eastAsia="zh-CN"/>
                    </w:rPr>
                    <w:t>0.659</w:t>
                  </w:r>
                </w:p>
              </w:tc>
              <w:tc>
                <w:tcPr>
                  <w:tcW w:w="396" w:type="pct"/>
                  <w:vAlign w:val="center"/>
                </w:tcPr>
                <w:p w14:paraId="60E1FA78">
                  <w:pPr>
                    <w:pStyle w:val="21"/>
                    <w:keepNext w:val="0"/>
                    <w:keepLines w:val="0"/>
                    <w:suppressLineNumbers w:val="0"/>
                    <w:spacing w:before="0" w:beforeAutospacing="0" w:after="0" w:afterAutospacing="0"/>
                    <w:ind w:left="0" w:right="0"/>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w:t>
                  </w:r>
                </w:p>
              </w:tc>
              <w:tc>
                <w:tcPr>
                  <w:tcW w:w="396" w:type="pct"/>
                  <w:vAlign w:val="center"/>
                </w:tcPr>
                <w:p w14:paraId="38A74CF3">
                  <w:pPr>
                    <w:keepNext w:val="0"/>
                    <w:keepLines w:val="0"/>
                    <w:suppressLineNumbers w:val="0"/>
                    <w:spacing w:before="0" w:beforeAutospacing="0" w:after="0" w:afterAutospacing="0"/>
                    <w:ind w:left="0" w:right="0"/>
                    <w:jc w:val="center"/>
                    <w:rPr>
                      <w:rFonts w:hint="eastAsia" w:eastAsia="宋体"/>
                      <w:color w:val="auto"/>
                      <w:kern w:val="11"/>
                      <w:sz w:val="21"/>
                      <w:szCs w:val="21"/>
                      <w:highlight w:val="none"/>
                      <w:lang w:val="en-US" w:eastAsia="zh-CN"/>
                    </w:rPr>
                  </w:pPr>
                  <w:r>
                    <w:rPr>
                      <w:rFonts w:hint="eastAsia"/>
                      <w:color w:val="auto"/>
                      <w:kern w:val="11"/>
                      <w:sz w:val="21"/>
                      <w:szCs w:val="21"/>
                      <w:highlight w:val="none"/>
                      <w:lang w:val="en-US" w:eastAsia="zh-CN"/>
                    </w:rPr>
                    <w:t>/</w:t>
                  </w:r>
                </w:p>
              </w:tc>
              <w:tc>
                <w:tcPr>
                  <w:tcW w:w="231" w:type="pct"/>
                  <w:vMerge w:val="continue"/>
                  <w:vAlign w:val="center"/>
                </w:tcPr>
                <w:p w14:paraId="5FECC414">
                  <w:pPr>
                    <w:keepNext/>
                    <w:keepLines w:val="0"/>
                    <w:suppressLineNumbers w:val="0"/>
                    <w:adjustRightInd w:val="0"/>
                    <w:snapToGrid w:val="0"/>
                    <w:spacing w:before="0" w:beforeAutospacing="0" w:after="0" w:afterAutospacing="0"/>
                    <w:ind w:left="0" w:right="0"/>
                    <w:jc w:val="center"/>
                    <w:rPr>
                      <w:rFonts w:hint="default"/>
                      <w:bCs/>
                      <w:color w:val="auto"/>
                      <w:sz w:val="21"/>
                      <w:szCs w:val="21"/>
                      <w:highlight w:val="none"/>
                    </w:rPr>
                  </w:pPr>
                </w:p>
              </w:tc>
              <w:tc>
                <w:tcPr>
                  <w:tcW w:w="402" w:type="pct"/>
                  <w:vMerge w:val="continue"/>
                  <w:vAlign w:val="center"/>
                </w:tcPr>
                <w:p w14:paraId="0A06D8F0">
                  <w:pPr>
                    <w:keepNext/>
                    <w:keepLines w:val="0"/>
                    <w:suppressLineNumbers w:val="0"/>
                    <w:adjustRightInd w:val="0"/>
                    <w:snapToGrid w:val="0"/>
                    <w:spacing w:before="0" w:beforeAutospacing="0" w:after="0" w:afterAutospacing="0"/>
                    <w:ind w:left="0" w:right="0"/>
                    <w:jc w:val="center"/>
                    <w:rPr>
                      <w:rFonts w:hint="eastAsia"/>
                      <w:color w:val="auto"/>
                      <w:sz w:val="21"/>
                      <w:szCs w:val="21"/>
                      <w:highlight w:val="none"/>
                      <w:lang w:val="en-US" w:eastAsia="zh-CN"/>
                    </w:rPr>
                  </w:pPr>
                </w:p>
              </w:tc>
              <w:tc>
                <w:tcPr>
                  <w:tcW w:w="497" w:type="pct"/>
                  <w:vAlign w:val="center"/>
                </w:tcPr>
                <w:p w14:paraId="479CFFEA">
                  <w:pPr>
                    <w:keepNext/>
                    <w:keepLines w:val="0"/>
                    <w:suppressLineNumbers w:val="0"/>
                    <w:adjustRightInd w:val="0"/>
                    <w:snapToGrid w:val="0"/>
                    <w:spacing w:before="0" w:beforeAutospacing="0" w:after="0" w:afterAutospacing="0"/>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71.899</w:t>
                  </w:r>
                </w:p>
              </w:tc>
              <w:tc>
                <w:tcPr>
                  <w:tcW w:w="463" w:type="pct"/>
                  <w:vAlign w:val="center"/>
                </w:tcPr>
                <w:p w14:paraId="24CC2D00">
                  <w:pPr>
                    <w:pStyle w:val="151"/>
                    <w:keepNext/>
                    <w:keepLines w:val="0"/>
                    <w:suppressLineNumbers w:val="0"/>
                    <w:adjustRightInd w:val="0"/>
                    <w:snapToGrid w:val="0"/>
                    <w:spacing w:before="0" w:beforeAutospacing="0" w:after="0" w:afterAutospacing="0"/>
                    <w:ind w:left="0" w:right="0"/>
                    <w:rPr>
                      <w:rFonts w:hint="default"/>
                      <w:color w:val="auto"/>
                      <w:sz w:val="21"/>
                      <w:szCs w:val="21"/>
                      <w:highlight w:val="none"/>
                      <w:lang w:val="en-US" w:eastAsia="zh-CN"/>
                    </w:rPr>
                  </w:pPr>
                  <w:r>
                    <w:rPr>
                      <w:rFonts w:hint="eastAsia"/>
                      <w:color w:val="auto"/>
                      <w:sz w:val="21"/>
                      <w:szCs w:val="21"/>
                      <w:highlight w:val="none"/>
                      <w:lang w:val="en-US" w:eastAsia="zh-CN"/>
                    </w:rPr>
                    <w:t>0.659</w:t>
                  </w:r>
                </w:p>
              </w:tc>
              <w:tc>
                <w:tcPr>
                  <w:tcW w:w="287" w:type="pct"/>
                  <w:vMerge w:val="continue"/>
                  <w:vAlign w:val="center"/>
                </w:tcPr>
                <w:p w14:paraId="246826E6">
                  <w:pPr>
                    <w:pStyle w:val="151"/>
                    <w:keepNext/>
                    <w:keepLines w:val="0"/>
                    <w:suppressLineNumbers w:val="0"/>
                    <w:adjustRightInd w:val="0"/>
                    <w:snapToGrid w:val="0"/>
                    <w:spacing w:before="0" w:beforeAutospacing="0" w:after="0" w:afterAutospacing="0"/>
                    <w:ind w:left="0" w:right="0"/>
                    <w:rPr>
                      <w:rFonts w:hint="eastAsia"/>
                      <w:color w:val="auto"/>
                      <w:sz w:val="21"/>
                      <w:szCs w:val="21"/>
                      <w:highlight w:val="none"/>
                      <w:lang w:val="en-US" w:eastAsia="zh-CN"/>
                    </w:rPr>
                  </w:pPr>
                </w:p>
              </w:tc>
            </w:tr>
            <w:tr w14:paraId="226E75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6" w:hRule="atLeast"/>
                <w:jc w:val="center"/>
              </w:trPr>
              <w:tc>
                <w:tcPr>
                  <w:tcW w:w="238" w:type="pct"/>
                  <w:vMerge w:val="continue"/>
                  <w:vAlign w:val="center"/>
                </w:tcPr>
                <w:p w14:paraId="55C0CB9C">
                  <w:pPr>
                    <w:pStyle w:val="2"/>
                    <w:keepNext w:val="0"/>
                    <w:keepLines w:val="0"/>
                    <w:suppressLineNumbers w:val="0"/>
                    <w:spacing w:before="0" w:beforeAutospacing="0" w:after="0" w:afterAutospacing="0" w:line="240" w:lineRule="auto"/>
                    <w:ind w:left="0" w:right="0"/>
                    <w:rPr>
                      <w:rFonts w:hint="eastAsia" w:ascii="Times New Roman" w:eastAsia="宋体"/>
                      <w:color w:val="auto"/>
                      <w:sz w:val="21"/>
                      <w:szCs w:val="21"/>
                      <w:highlight w:val="none"/>
                      <w:lang w:val="en-US" w:eastAsia="zh-CN"/>
                    </w:rPr>
                  </w:pPr>
                </w:p>
              </w:tc>
              <w:tc>
                <w:tcPr>
                  <w:tcW w:w="252" w:type="pct"/>
                  <w:vMerge w:val="continue"/>
                  <w:vAlign w:val="center"/>
                </w:tcPr>
                <w:p w14:paraId="4814F316">
                  <w:pPr>
                    <w:keepNext/>
                    <w:keepLines w:val="0"/>
                    <w:suppressLineNumbers w:val="0"/>
                    <w:adjustRightInd w:val="0"/>
                    <w:snapToGrid w:val="0"/>
                    <w:spacing w:before="0" w:beforeAutospacing="0" w:after="0" w:afterAutospacing="0"/>
                    <w:ind w:left="0" w:right="0"/>
                    <w:rPr>
                      <w:rFonts w:hint="eastAsia"/>
                      <w:color w:val="auto"/>
                      <w:sz w:val="21"/>
                      <w:szCs w:val="21"/>
                      <w:highlight w:val="none"/>
                    </w:rPr>
                  </w:pPr>
                </w:p>
              </w:tc>
              <w:tc>
                <w:tcPr>
                  <w:tcW w:w="260" w:type="pct"/>
                  <w:vAlign w:val="center"/>
                </w:tcPr>
                <w:p w14:paraId="333B799D">
                  <w:pPr>
                    <w:keepNext/>
                    <w:keepLines w:val="0"/>
                    <w:suppressLineNumbers w:val="0"/>
                    <w:adjustRightInd w:val="0"/>
                    <w:snapToGrid w:val="0"/>
                    <w:spacing w:before="0" w:beforeAutospacing="0" w:after="0" w:afterAutospacing="0"/>
                    <w:ind w:left="0" w:right="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氮氧化物</w:t>
                  </w:r>
                </w:p>
              </w:tc>
              <w:tc>
                <w:tcPr>
                  <w:tcW w:w="244" w:type="pct"/>
                  <w:vAlign w:val="center"/>
                </w:tcPr>
                <w:p w14:paraId="60D2F6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bCs/>
                      <w:color w:val="auto"/>
                      <w:sz w:val="21"/>
                      <w:szCs w:val="21"/>
                      <w:highlight w:val="none"/>
                    </w:rPr>
                  </w:pPr>
                  <w:r>
                    <w:rPr>
                      <w:rFonts w:hint="default" w:ascii="Times New Roman" w:hAnsi="Times New Roman" w:eastAsia="宋体" w:cs="Times New Roman"/>
                      <w:color w:val="auto"/>
                      <w:spacing w:val="0"/>
                      <w:position w:val="0"/>
                      <w:sz w:val="21"/>
                      <w:szCs w:val="21"/>
                      <w:highlight w:val="none"/>
                    </w:rPr>
                    <w:t>产污系数法</w:t>
                  </w:r>
                </w:p>
              </w:tc>
              <w:tc>
                <w:tcPr>
                  <w:tcW w:w="400" w:type="pct"/>
                  <w:vMerge w:val="continue"/>
                  <w:vAlign w:val="center"/>
                </w:tcPr>
                <w:p w14:paraId="52CA0E3E">
                  <w:pPr>
                    <w:keepNext/>
                    <w:keepLines w:val="0"/>
                    <w:suppressLineNumbers w:val="0"/>
                    <w:adjustRightInd w:val="0"/>
                    <w:snapToGrid w:val="0"/>
                    <w:spacing w:before="0" w:beforeAutospacing="0" w:after="0" w:afterAutospacing="0"/>
                    <w:ind w:left="0" w:right="0"/>
                    <w:jc w:val="center"/>
                    <w:rPr>
                      <w:rFonts w:hint="eastAsia"/>
                      <w:color w:val="auto"/>
                      <w:sz w:val="21"/>
                      <w:szCs w:val="21"/>
                      <w:highlight w:val="none"/>
                      <w:lang w:val="en-US" w:eastAsia="zh-CN"/>
                    </w:rPr>
                  </w:pPr>
                </w:p>
              </w:tc>
              <w:tc>
                <w:tcPr>
                  <w:tcW w:w="809" w:type="dxa"/>
                  <w:vAlign w:val="center"/>
                </w:tcPr>
                <w:p w14:paraId="5B9AD1C9">
                  <w:pPr>
                    <w:keepNext/>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lang w:val="en-US" w:eastAsia="zh-CN"/>
                    </w:rPr>
                  </w:pPr>
                  <w:r>
                    <w:rPr>
                      <w:rFonts w:hint="eastAsia"/>
                      <w:color w:val="auto"/>
                      <w:sz w:val="21"/>
                      <w:szCs w:val="21"/>
                      <w:highlight w:val="none"/>
                      <w:lang w:val="en-US" w:eastAsia="zh-CN"/>
                    </w:rPr>
                    <w:t>153.94</w:t>
                  </w:r>
                </w:p>
              </w:tc>
              <w:tc>
                <w:tcPr>
                  <w:tcW w:w="774" w:type="dxa"/>
                  <w:vAlign w:val="center"/>
                </w:tcPr>
                <w:p w14:paraId="0BC36B24">
                  <w:pPr>
                    <w:pStyle w:val="151"/>
                    <w:keepNext/>
                    <w:keepLines w:val="0"/>
                    <w:suppressLineNumbers w:val="0"/>
                    <w:adjustRightInd w:val="0"/>
                    <w:snapToGrid w:val="0"/>
                    <w:spacing w:before="0" w:beforeAutospacing="0" w:after="0" w:afterAutospacing="0"/>
                    <w:ind w:left="0" w:leftChars="0" w:right="0" w:rightChars="0"/>
                    <w:rPr>
                      <w:rFonts w:hint="eastAsia"/>
                      <w:color w:val="auto"/>
                      <w:sz w:val="21"/>
                      <w:szCs w:val="21"/>
                      <w:highlight w:val="none"/>
                      <w:lang w:val="en-US" w:eastAsia="zh-CN"/>
                    </w:rPr>
                  </w:pPr>
                  <w:r>
                    <w:rPr>
                      <w:rFonts w:hint="eastAsia"/>
                      <w:color w:val="auto"/>
                      <w:sz w:val="21"/>
                      <w:szCs w:val="21"/>
                      <w:highlight w:val="none"/>
                      <w:lang w:val="en-US" w:eastAsia="zh-CN"/>
                    </w:rPr>
                    <w:t>1.411</w:t>
                  </w:r>
                </w:p>
              </w:tc>
              <w:tc>
                <w:tcPr>
                  <w:tcW w:w="396" w:type="pct"/>
                  <w:vAlign w:val="center"/>
                </w:tcPr>
                <w:p w14:paraId="4A4EB859">
                  <w:pPr>
                    <w:pStyle w:val="21"/>
                    <w:keepNext w:val="0"/>
                    <w:keepLines w:val="0"/>
                    <w:suppressLineNumbers w:val="0"/>
                    <w:spacing w:before="0" w:beforeAutospacing="0" w:after="0" w:afterAutospacing="0"/>
                    <w:ind w:left="0" w:right="0"/>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w:t>
                  </w:r>
                </w:p>
              </w:tc>
              <w:tc>
                <w:tcPr>
                  <w:tcW w:w="396" w:type="pct"/>
                  <w:vAlign w:val="center"/>
                </w:tcPr>
                <w:p w14:paraId="08B50629">
                  <w:pPr>
                    <w:keepNext w:val="0"/>
                    <w:keepLines w:val="0"/>
                    <w:suppressLineNumbers w:val="0"/>
                    <w:spacing w:before="0" w:beforeAutospacing="0" w:after="0" w:afterAutospacing="0"/>
                    <w:ind w:left="0" w:right="0"/>
                    <w:jc w:val="center"/>
                    <w:rPr>
                      <w:rFonts w:hint="eastAsia" w:eastAsia="宋体"/>
                      <w:color w:val="auto"/>
                      <w:kern w:val="11"/>
                      <w:sz w:val="21"/>
                      <w:szCs w:val="21"/>
                      <w:highlight w:val="none"/>
                      <w:lang w:val="en-US" w:eastAsia="zh-CN"/>
                    </w:rPr>
                  </w:pPr>
                  <w:r>
                    <w:rPr>
                      <w:rFonts w:hint="eastAsia"/>
                      <w:color w:val="auto"/>
                      <w:kern w:val="11"/>
                      <w:sz w:val="21"/>
                      <w:szCs w:val="21"/>
                      <w:highlight w:val="none"/>
                      <w:lang w:val="en-US" w:eastAsia="zh-CN"/>
                    </w:rPr>
                    <w:t>/</w:t>
                  </w:r>
                </w:p>
              </w:tc>
              <w:tc>
                <w:tcPr>
                  <w:tcW w:w="231" w:type="pct"/>
                  <w:vMerge w:val="continue"/>
                  <w:shd w:val="clear" w:color="auto" w:fill="auto"/>
                  <w:vAlign w:val="center"/>
                </w:tcPr>
                <w:p w14:paraId="6F62F4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402" w:type="pct"/>
                  <w:vMerge w:val="continue"/>
                  <w:vAlign w:val="center"/>
                </w:tcPr>
                <w:p w14:paraId="6122D22D">
                  <w:pPr>
                    <w:keepNext/>
                    <w:keepLines w:val="0"/>
                    <w:suppressLineNumbers w:val="0"/>
                    <w:adjustRightInd w:val="0"/>
                    <w:snapToGrid w:val="0"/>
                    <w:spacing w:before="0" w:beforeAutospacing="0" w:after="0" w:afterAutospacing="0"/>
                    <w:ind w:left="0" w:right="0"/>
                    <w:jc w:val="center"/>
                    <w:rPr>
                      <w:rFonts w:hint="eastAsia"/>
                      <w:color w:val="auto"/>
                      <w:sz w:val="21"/>
                      <w:szCs w:val="21"/>
                      <w:highlight w:val="none"/>
                      <w:lang w:val="en-US" w:eastAsia="zh-CN"/>
                    </w:rPr>
                  </w:pPr>
                </w:p>
              </w:tc>
              <w:tc>
                <w:tcPr>
                  <w:tcW w:w="497" w:type="pct"/>
                  <w:vAlign w:val="center"/>
                </w:tcPr>
                <w:p w14:paraId="6D8BEC79">
                  <w:pPr>
                    <w:keepNext/>
                    <w:keepLines w:val="0"/>
                    <w:suppressLineNumbers w:val="0"/>
                    <w:adjustRightInd w:val="0"/>
                    <w:snapToGrid w:val="0"/>
                    <w:spacing w:before="0" w:beforeAutospacing="0" w:after="0" w:afterAutospacing="0"/>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153.94</w:t>
                  </w:r>
                </w:p>
              </w:tc>
              <w:tc>
                <w:tcPr>
                  <w:tcW w:w="463" w:type="pct"/>
                  <w:vAlign w:val="center"/>
                </w:tcPr>
                <w:p w14:paraId="78B302BD">
                  <w:pPr>
                    <w:pStyle w:val="151"/>
                    <w:keepNext/>
                    <w:keepLines w:val="0"/>
                    <w:suppressLineNumbers w:val="0"/>
                    <w:adjustRightInd w:val="0"/>
                    <w:snapToGrid w:val="0"/>
                    <w:spacing w:before="0" w:beforeAutospacing="0" w:after="0" w:afterAutospacing="0"/>
                    <w:ind w:left="0" w:right="0"/>
                    <w:rPr>
                      <w:rFonts w:hint="default"/>
                      <w:color w:val="auto"/>
                      <w:sz w:val="21"/>
                      <w:szCs w:val="21"/>
                      <w:highlight w:val="none"/>
                      <w:lang w:val="en-US" w:eastAsia="zh-CN"/>
                    </w:rPr>
                  </w:pPr>
                  <w:r>
                    <w:rPr>
                      <w:rFonts w:hint="eastAsia"/>
                      <w:color w:val="auto"/>
                      <w:sz w:val="21"/>
                      <w:szCs w:val="21"/>
                      <w:highlight w:val="none"/>
                      <w:lang w:val="en-US" w:eastAsia="zh-CN"/>
                    </w:rPr>
                    <w:t>1.411</w:t>
                  </w:r>
                </w:p>
              </w:tc>
              <w:tc>
                <w:tcPr>
                  <w:tcW w:w="287" w:type="pct"/>
                  <w:vMerge w:val="continue"/>
                  <w:vAlign w:val="center"/>
                </w:tcPr>
                <w:p w14:paraId="6AC08D2D">
                  <w:pPr>
                    <w:pStyle w:val="151"/>
                    <w:keepNext/>
                    <w:keepLines w:val="0"/>
                    <w:suppressLineNumbers w:val="0"/>
                    <w:adjustRightInd w:val="0"/>
                    <w:snapToGrid w:val="0"/>
                    <w:spacing w:before="0" w:beforeAutospacing="0" w:after="0" w:afterAutospacing="0"/>
                    <w:ind w:left="0" w:right="0"/>
                    <w:rPr>
                      <w:rFonts w:hint="eastAsia"/>
                      <w:color w:val="auto"/>
                      <w:sz w:val="21"/>
                      <w:szCs w:val="21"/>
                      <w:highlight w:val="none"/>
                      <w:lang w:val="en-US" w:eastAsia="zh-CN"/>
                    </w:rPr>
                  </w:pPr>
                </w:p>
              </w:tc>
            </w:tr>
            <w:tr w14:paraId="16AE98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6" w:hRule="atLeast"/>
                <w:jc w:val="center"/>
              </w:trPr>
              <w:tc>
                <w:tcPr>
                  <w:tcW w:w="238" w:type="pct"/>
                  <w:vMerge w:val="continue"/>
                  <w:vAlign w:val="center"/>
                </w:tcPr>
                <w:p w14:paraId="048E5B94">
                  <w:pPr>
                    <w:pStyle w:val="2"/>
                    <w:keepNext w:val="0"/>
                    <w:keepLines w:val="0"/>
                    <w:suppressLineNumbers w:val="0"/>
                    <w:spacing w:before="0" w:beforeAutospacing="0" w:after="0" w:afterAutospacing="0" w:line="240" w:lineRule="auto"/>
                    <w:ind w:left="0" w:right="0"/>
                    <w:rPr>
                      <w:rFonts w:hint="eastAsia" w:ascii="Times New Roman" w:eastAsia="宋体"/>
                      <w:color w:val="auto"/>
                      <w:sz w:val="21"/>
                      <w:szCs w:val="21"/>
                      <w:highlight w:val="none"/>
                      <w:lang w:val="en-US" w:eastAsia="zh-CN"/>
                    </w:rPr>
                  </w:pPr>
                </w:p>
              </w:tc>
              <w:tc>
                <w:tcPr>
                  <w:tcW w:w="252" w:type="pct"/>
                  <w:vMerge w:val="continue"/>
                  <w:vAlign w:val="center"/>
                </w:tcPr>
                <w:p w14:paraId="34BC3B9D">
                  <w:pPr>
                    <w:keepNext/>
                    <w:keepLines w:val="0"/>
                    <w:suppressLineNumbers w:val="0"/>
                    <w:adjustRightInd w:val="0"/>
                    <w:snapToGrid w:val="0"/>
                    <w:spacing w:before="0" w:beforeAutospacing="0" w:after="0" w:afterAutospacing="0"/>
                    <w:ind w:left="0" w:right="0"/>
                    <w:rPr>
                      <w:rFonts w:hint="eastAsia"/>
                      <w:color w:val="auto"/>
                      <w:sz w:val="21"/>
                      <w:szCs w:val="21"/>
                      <w:highlight w:val="none"/>
                    </w:rPr>
                  </w:pPr>
                </w:p>
              </w:tc>
              <w:tc>
                <w:tcPr>
                  <w:tcW w:w="260" w:type="pct"/>
                  <w:vAlign w:val="center"/>
                </w:tcPr>
                <w:p w14:paraId="2122971C">
                  <w:pPr>
                    <w:keepNext/>
                    <w:keepLines w:val="0"/>
                    <w:suppressLineNumbers w:val="0"/>
                    <w:adjustRightInd w:val="0"/>
                    <w:snapToGrid w:val="0"/>
                    <w:spacing w:before="0" w:beforeAutospacing="0" w:after="0" w:afterAutospacing="0"/>
                    <w:ind w:left="0" w:right="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烟气黑度</w:t>
                  </w:r>
                </w:p>
              </w:tc>
              <w:tc>
                <w:tcPr>
                  <w:tcW w:w="244" w:type="pct"/>
                  <w:vAlign w:val="center"/>
                </w:tcPr>
                <w:p w14:paraId="126C1335">
                  <w:pPr>
                    <w:keepNext/>
                    <w:keepLines w:val="0"/>
                    <w:suppressLineNumbers w:val="0"/>
                    <w:adjustRightInd w:val="0"/>
                    <w:snapToGrid w:val="0"/>
                    <w:spacing w:before="0" w:beforeAutospacing="0" w:after="0" w:afterAutospacing="0"/>
                    <w:ind w:left="0" w:right="0"/>
                    <w:jc w:val="center"/>
                    <w:rPr>
                      <w:rFonts w:hint="eastAsia" w:eastAsia="宋体"/>
                      <w:bCs/>
                      <w:color w:val="auto"/>
                      <w:sz w:val="21"/>
                      <w:szCs w:val="21"/>
                      <w:highlight w:val="none"/>
                      <w:lang w:val="en-US" w:eastAsia="zh-CN"/>
                    </w:rPr>
                  </w:pPr>
                  <w:r>
                    <w:rPr>
                      <w:rFonts w:hint="eastAsia"/>
                      <w:bCs/>
                      <w:color w:val="auto"/>
                      <w:sz w:val="21"/>
                      <w:szCs w:val="21"/>
                      <w:highlight w:val="none"/>
                      <w:lang w:val="en-US" w:eastAsia="zh-CN"/>
                    </w:rPr>
                    <w:t>/</w:t>
                  </w:r>
                </w:p>
              </w:tc>
              <w:tc>
                <w:tcPr>
                  <w:tcW w:w="1329" w:type="pct"/>
                  <w:gridSpan w:val="3"/>
                  <w:vAlign w:val="center"/>
                </w:tcPr>
                <w:p w14:paraId="464AFCC2">
                  <w:pPr>
                    <w:pStyle w:val="151"/>
                    <w:keepNext/>
                    <w:keepLines w:val="0"/>
                    <w:suppressLineNumbers w:val="0"/>
                    <w:adjustRightInd w:val="0"/>
                    <w:snapToGrid w:val="0"/>
                    <w:spacing w:before="0" w:beforeAutospacing="0" w:after="0" w:afterAutospacing="0"/>
                    <w:ind w:left="0" w:right="0"/>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396" w:type="pct"/>
                  <w:vAlign w:val="center"/>
                </w:tcPr>
                <w:p w14:paraId="2FCE6702">
                  <w:pPr>
                    <w:pStyle w:val="21"/>
                    <w:keepNext w:val="0"/>
                    <w:keepLines w:val="0"/>
                    <w:suppressLineNumbers w:val="0"/>
                    <w:spacing w:before="0" w:beforeAutospacing="0" w:after="0" w:afterAutospacing="0"/>
                    <w:ind w:left="0" w:right="0"/>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w:t>
                  </w:r>
                </w:p>
              </w:tc>
              <w:tc>
                <w:tcPr>
                  <w:tcW w:w="396" w:type="pct"/>
                  <w:vAlign w:val="center"/>
                </w:tcPr>
                <w:p w14:paraId="231F8243">
                  <w:pPr>
                    <w:keepNext w:val="0"/>
                    <w:keepLines w:val="0"/>
                    <w:suppressLineNumbers w:val="0"/>
                    <w:spacing w:before="0" w:beforeAutospacing="0" w:after="0" w:afterAutospacing="0"/>
                    <w:ind w:left="0" w:right="0"/>
                    <w:jc w:val="center"/>
                    <w:rPr>
                      <w:rFonts w:hint="eastAsia" w:eastAsia="宋体"/>
                      <w:color w:val="auto"/>
                      <w:kern w:val="11"/>
                      <w:sz w:val="21"/>
                      <w:szCs w:val="21"/>
                      <w:highlight w:val="none"/>
                      <w:lang w:val="en-US" w:eastAsia="zh-CN"/>
                    </w:rPr>
                  </w:pPr>
                  <w:r>
                    <w:rPr>
                      <w:rFonts w:hint="eastAsia"/>
                      <w:color w:val="auto"/>
                      <w:kern w:val="11"/>
                      <w:sz w:val="21"/>
                      <w:szCs w:val="21"/>
                      <w:highlight w:val="none"/>
                      <w:lang w:val="en-US" w:eastAsia="zh-CN"/>
                    </w:rPr>
                    <w:t>/</w:t>
                  </w:r>
                </w:p>
              </w:tc>
              <w:tc>
                <w:tcPr>
                  <w:tcW w:w="231" w:type="pct"/>
                  <w:vMerge w:val="continue"/>
                  <w:vAlign w:val="center"/>
                </w:tcPr>
                <w:p w14:paraId="67F14E13">
                  <w:pPr>
                    <w:keepNext/>
                    <w:keepLines w:val="0"/>
                    <w:suppressLineNumbers w:val="0"/>
                    <w:adjustRightInd w:val="0"/>
                    <w:snapToGrid w:val="0"/>
                    <w:spacing w:before="0" w:beforeAutospacing="0" w:after="0" w:afterAutospacing="0"/>
                    <w:ind w:left="0" w:right="0"/>
                    <w:jc w:val="center"/>
                    <w:rPr>
                      <w:rFonts w:hint="eastAsia" w:eastAsia="宋体"/>
                      <w:bCs/>
                      <w:color w:val="auto"/>
                      <w:sz w:val="21"/>
                      <w:szCs w:val="21"/>
                      <w:highlight w:val="none"/>
                      <w:lang w:val="en-US" w:eastAsia="zh-CN"/>
                    </w:rPr>
                  </w:pPr>
                </w:p>
              </w:tc>
              <w:tc>
                <w:tcPr>
                  <w:tcW w:w="1362" w:type="pct"/>
                  <w:gridSpan w:val="3"/>
                  <w:vAlign w:val="center"/>
                </w:tcPr>
                <w:p w14:paraId="76842192">
                  <w:pPr>
                    <w:pStyle w:val="151"/>
                    <w:keepNext/>
                    <w:keepLines w:val="0"/>
                    <w:suppressLineNumbers w:val="0"/>
                    <w:adjustRightInd w:val="0"/>
                    <w:snapToGrid w:val="0"/>
                    <w:spacing w:before="0" w:beforeAutospacing="0" w:after="0" w:afterAutospacing="0"/>
                    <w:ind w:left="0" w:right="0"/>
                    <w:rPr>
                      <w:rFonts w:hint="eastAsia"/>
                      <w:color w:val="auto"/>
                      <w:sz w:val="21"/>
                      <w:szCs w:val="21"/>
                      <w:highlight w:val="none"/>
                      <w:lang w:val="en-US" w:eastAsia="zh-CN"/>
                    </w:rPr>
                  </w:pPr>
                  <w:r>
                    <w:rPr>
                      <w:rFonts w:hint="eastAsia"/>
                      <w:color w:val="auto"/>
                      <w:sz w:val="21"/>
                      <w:szCs w:val="21"/>
                      <w:highlight w:val="none"/>
                      <w:lang w:val="en-US" w:eastAsia="zh-CN"/>
                    </w:rPr>
                    <w:t>≤1</w:t>
                  </w:r>
                </w:p>
              </w:tc>
              <w:tc>
                <w:tcPr>
                  <w:tcW w:w="287" w:type="pct"/>
                  <w:vMerge w:val="continue"/>
                  <w:vAlign w:val="center"/>
                </w:tcPr>
                <w:p w14:paraId="3961FC2E">
                  <w:pPr>
                    <w:pStyle w:val="151"/>
                    <w:keepNext/>
                    <w:keepLines w:val="0"/>
                    <w:suppressLineNumbers w:val="0"/>
                    <w:adjustRightInd w:val="0"/>
                    <w:snapToGrid w:val="0"/>
                    <w:spacing w:before="0" w:beforeAutospacing="0" w:after="0" w:afterAutospacing="0"/>
                    <w:ind w:left="0" w:right="0"/>
                    <w:rPr>
                      <w:rFonts w:hint="eastAsia"/>
                      <w:color w:val="auto"/>
                      <w:sz w:val="21"/>
                      <w:szCs w:val="21"/>
                      <w:highlight w:val="none"/>
                      <w:lang w:val="en-US" w:eastAsia="zh-CN"/>
                    </w:rPr>
                  </w:pPr>
                </w:p>
              </w:tc>
            </w:tr>
            <w:tr w14:paraId="6C26DE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6" w:hRule="atLeast"/>
                <w:jc w:val="center"/>
              </w:trPr>
              <w:tc>
                <w:tcPr>
                  <w:tcW w:w="238" w:type="pct"/>
                  <w:vAlign w:val="center"/>
                </w:tcPr>
                <w:p w14:paraId="4810F5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rPr>
                      <w:rFonts w:hint="default" w:ascii="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输送装卸</w:t>
                  </w:r>
                </w:p>
              </w:tc>
              <w:tc>
                <w:tcPr>
                  <w:tcW w:w="252" w:type="pct"/>
                  <w:vMerge w:val="restart"/>
                  <w:vAlign w:val="center"/>
                </w:tcPr>
                <w:p w14:paraId="5A406260">
                  <w:pPr>
                    <w:keepNext/>
                    <w:keepLines w:val="0"/>
                    <w:suppressLineNumbers w:val="0"/>
                    <w:adjustRightInd w:val="0"/>
                    <w:snapToGrid w:val="0"/>
                    <w:spacing w:before="0" w:beforeAutospacing="0" w:after="0" w:afterAutospacing="0"/>
                    <w:ind w:left="0" w:right="0"/>
                    <w:rPr>
                      <w:rFonts w:hint="default"/>
                      <w:color w:val="auto"/>
                      <w:sz w:val="21"/>
                      <w:szCs w:val="21"/>
                      <w:highlight w:val="none"/>
                    </w:rPr>
                  </w:pPr>
                  <w:r>
                    <w:rPr>
                      <w:rFonts w:hint="eastAsia"/>
                      <w:color w:val="auto"/>
                      <w:sz w:val="21"/>
                      <w:szCs w:val="21"/>
                      <w:highlight w:val="none"/>
                    </w:rPr>
                    <w:t>无组织</w:t>
                  </w:r>
                  <w:r>
                    <w:rPr>
                      <w:rFonts w:hint="default"/>
                      <w:color w:val="auto"/>
                      <w:sz w:val="21"/>
                      <w:szCs w:val="21"/>
                      <w:highlight w:val="none"/>
                    </w:rPr>
                    <w:t>排放</w:t>
                  </w:r>
                </w:p>
              </w:tc>
              <w:tc>
                <w:tcPr>
                  <w:tcW w:w="260" w:type="pct"/>
                  <w:vMerge w:val="restart"/>
                  <w:vAlign w:val="center"/>
                </w:tcPr>
                <w:p w14:paraId="2D32FBED">
                  <w:pPr>
                    <w:keepNext/>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default"/>
                      <w:color w:val="auto"/>
                      <w:sz w:val="21"/>
                      <w:szCs w:val="21"/>
                      <w:highlight w:val="none"/>
                    </w:rPr>
                    <w:t>颗粒物</w:t>
                  </w:r>
                </w:p>
              </w:tc>
              <w:tc>
                <w:tcPr>
                  <w:tcW w:w="244" w:type="pct"/>
                  <w:vMerge w:val="restart"/>
                  <w:vAlign w:val="center"/>
                </w:tcPr>
                <w:p w14:paraId="4925D39D">
                  <w:pPr>
                    <w:keepNext/>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default" w:ascii="Times New Roman" w:hAnsi="Times New Roman" w:eastAsia="宋体" w:cs="Times New Roman"/>
                      <w:color w:val="auto"/>
                      <w:spacing w:val="0"/>
                      <w:position w:val="0"/>
                      <w:sz w:val="21"/>
                      <w:szCs w:val="21"/>
                      <w:highlight w:val="none"/>
                    </w:rPr>
                    <w:t>产污系数法</w:t>
                  </w:r>
                </w:p>
              </w:tc>
              <w:tc>
                <w:tcPr>
                  <w:tcW w:w="400" w:type="pct"/>
                  <w:vAlign w:val="center"/>
                </w:tcPr>
                <w:p w14:paraId="49021E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olor w:val="auto"/>
                      <w:sz w:val="21"/>
                      <w:szCs w:val="21"/>
                      <w:highlight w:val="none"/>
                    </w:rPr>
                  </w:pPr>
                  <w:r>
                    <w:rPr>
                      <w:rFonts w:hint="default" w:ascii="Times New Roman" w:hAnsi="Times New Roman" w:eastAsia="宋体" w:cs="Times New Roman"/>
                      <w:color w:val="auto"/>
                      <w:sz w:val="21"/>
                      <w:szCs w:val="21"/>
                      <w:highlight w:val="none"/>
                    </w:rPr>
                    <w:t>/</w:t>
                  </w:r>
                </w:p>
              </w:tc>
              <w:tc>
                <w:tcPr>
                  <w:tcW w:w="474" w:type="pct"/>
                  <w:vAlign w:val="center"/>
                </w:tcPr>
                <w:p w14:paraId="55253E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olor w:val="auto"/>
                      <w:sz w:val="21"/>
                      <w:szCs w:val="21"/>
                      <w:highlight w:val="none"/>
                    </w:rPr>
                  </w:pPr>
                  <w:r>
                    <w:rPr>
                      <w:rFonts w:hint="default" w:ascii="Times New Roman" w:hAnsi="Times New Roman" w:eastAsia="宋体" w:cs="Times New Roman"/>
                      <w:color w:val="auto"/>
                      <w:sz w:val="21"/>
                      <w:szCs w:val="21"/>
                      <w:highlight w:val="none"/>
                    </w:rPr>
                    <w:t>/</w:t>
                  </w:r>
                </w:p>
              </w:tc>
              <w:tc>
                <w:tcPr>
                  <w:tcW w:w="454" w:type="pct"/>
                  <w:vAlign w:val="center"/>
                </w:tcPr>
                <w:p w14:paraId="38A89F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eastAsia="宋体"/>
                      <w:color w:val="auto"/>
                      <w:sz w:val="21"/>
                      <w:szCs w:val="21"/>
                      <w:highlight w:val="none"/>
                      <w:lang w:val="en-US" w:eastAsia="zh-CN"/>
                    </w:rPr>
                  </w:pPr>
                  <w:r>
                    <w:rPr>
                      <w:rFonts w:hint="eastAsia" w:cs="Times New Roman"/>
                      <w:bCs/>
                      <w:color w:val="auto"/>
                      <w:kern w:val="0"/>
                      <w:sz w:val="21"/>
                      <w:szCs w:val="21"/>
                      <w:highlight w:val="none"/>
                      <w:lang w:val="en-US" w:eastAsia="zh-CN"/>
                    </w:rPr>
                    <w:t>2.5</w:t>
                  </w:r>
                </w:p>
              </w:tc>
              <w:tc>
                <w:tcPr>
                  <w:tcW w:w="396" w:type="pct"/>
                  <w:vAlign w:val="center"/>
                </w:tcPr>
                <w:p w14:paraId="4769F20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color w:val="auto"/>
                      <w:sz w:val="21"/>
                      <w:szCs w:val="21"/>
                      <w:highlight w:val="none"/>
                    </w:rPr>
                  </w:pPr>
                  <w:r>
                    <w:rPr>
                      <w:rFonts w:hint="default" w:ascii="Times New Roman" w:hAnsi="Times New Roman" w:eastAsia="宋体" w:cs="Times New Roman"/>
                      <w:bCs/>
                      <w:color w:val="auto"/>
                      <w:kern w:val="0"/>
                      <w:sz w:val="21"/>
                      <w:szCs w:val="21"/>
                      <w:highlight w:val="none"/>
                      <w:lang w:val="en-US" w:eastAsia="zh-CN"/>
                    </w:rPr>
                    <w:t>装卸工段采取粮仓密闭四周设置临时围挡</w:t>
                  </w:r>
                  <w:r>
                    <w:rPr>
                      <w:rFonts w:hint="default" w:ascii="Times New Roman" w:hAnsi="Times New Roman" w:eastAsia="宋体" w:cs="Times New Roman"/>
                      <w:bCs/>
                      <w:color w:val="auto"/>
                      <w:kern w:val="0"/>
                      <w:sz w:val="21"/>
                      <w:szCs w:val="21"/>
                      <w:highlight w:val="none"/>
                      <w:lang w:eastAsia="zh-CN"/>
                    </w:rPr>
                    <w:t>、减小装卸高度</w:t>
                  </w:r>
                  <w:r>
                    <w:rPr>
                      <w:rFonts w:hint="eastAsia" w:ascii="Times New Roman" w:hAnsi="Times New Roman" w:eastAsia="宋体" w:cs="Times New Roman"/>
                      <w:color w:val="auto"/>
                      <w:sz w:val="21"/>
                      <w:szCs w:val="21"/>
                      <w:highlight w:val="none"/>
                      <w:lang w:val="en-US" w:eastAsia="zh-CN"/>
                    </w:rPr>
                    <w:t>及</w:t>
                  </w:r>
                  <w:r>
                    <w:rPr>
                      <w:rFonts w:hint="default" w:ascii="Times New Roman" w:hAnsi="Times New Roman" w:eastAsia="宋体" w:cs="Times New Roman"/>
                      <w:bCs/>
                      <w:color w:val="auto"/>
                      <w:kern w:val="0"/>
                      <w:sz w:val="21"/>
                      <w:szCs w:val="21"/>
                      <w:highlight w:val="none"/>
                      <w:lang w:eastAsia="zh-CN"/>
                    </w:rPr>
                    <w:t>封闭输送</w:t>
                  </w:r>
                </w:p>
              </w:tc>
              <w:tc>
                <w:tcPr>
                  <w:tcW w:w="396" w:type="pct"/>
                  <w:vAlign w:val="center"/>
                </w:tcPr>
                <w:p w14:paraId="72E59D9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color w:val="auto"/>
                      <w:kern w:val="11"/>
                      <w:sz w:val="21"/>
                      <w:szCs w:val="21"/>
                      <w:highlight w:val="none"/>
                    </w:rPr>
                  </w:pPr>
                  <w:r>
                    <w:rPr>
                      <w:rFonts w:hint="eastAsia" w:cs="Times New Roman"/>
                      <w:color w:val="auto"/>
                      <w:sz w:val="21"/>
                      <w:szCs w:val="21"/>
                      <w:highlight w:val="none"/>
                      <w:lang w:val="en-US" w:eastAsia="zh-CN"/>
                    </w:rPr>
                    <w:t>60</w:t>
                  </w:r>
                </w:p>
              </w:tc>
              <w:tc>
                <w:tcPr>
                  <w:tcW w:w="231" w:type="pct"/>
                  <w:vMerge w:val="continue"/>
                  <w:vAlign w:val="center"/>
                </w:tcPr>
                <w:p w14:paraId="618C68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olor w:val="auto"/>
                      <w:sz w:val="21"/>
                      <w:szCs w:val="21"/>
                      <w:highlight w:val="none"/>
                    </w:rPr>
                  </w:pPr>
                </w:p>
              </w:tc>
              <w:tc>
                <w:tcPr>
                  <w:tcW w:w="402" w:type="pct"/>
                  <w:vAlign w:val="center"/>
                </w:tcPr>
                <w:p w14:paraId="3222B1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olor w:val="auto"/>
                      <w:sz w:val="21"/>
                      <w:szCs w:val="21"/>
                      <w:highlight w:val="none"/>
                    </w:rPr>
                  </w:pPr>
                  <w:r>
                    <w:rPr>
                      <w:rFonts w:hint="default" w:ascii="Times New Roman" w:hAnsi="Times New Roman" w:eastAsia="宋体" w:cs="Times New Roman"/>
                      <w:color w:val="auto"/>
                      <w:sz w:val="21"/>
                      <w:szCs w:val="21"/>
                      <w:highlight w:val="none"/>
                    </w:rPr>
                    <w:t>/</w:t>
                  </w:r>
                </w:p>
              </w:tc>
              <w:tc>
                <w:tcPr>
                  <w:tcW w:w="497" w:type="pct"/>
                  <w:vAlign w:val="center"/>
                </w:tcPr>
                <w:p w14:paraId="606F18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olor w:val="auto"/>
                      <w:sz w:val="21"/>
                      <w:szCs w:val="21"/>
                      <w:highlight w:val="none"/>
                    </w:rPr>
                  </w:pPr>
                  <w:r>
                    <w:rPr>
                      <w:rFonts w:hint="default" w:ascii="Times New Roman" w:hAnsi="Times New Roman" w:eastAsia="宋体" w:cs="Times New Roman"/>
                      <w:color w:val="auto"/>
                      <w:sz w:val="21"/>
                      <w:szCs w:val="21"/>
                      <w:highlight w:val="none"/>
                    </w:rPr>
                    <w:t>/</w:t>
                  </w:r>
                </w:p>
              </w:tc>
              <w:tc>
                <w:tcPr>
                  <w:tcW w:w="463" w:type="pct"/>
                  <w:vAlign w:val="center"/>
                </w:tcPr>
                <w:p w14:paraId="1B3B75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w:t>
                  </w:r>
                </w:p>
              </w:tc>
              <w:tc>
                <w:tcPr>
                  <w:tcW w:w="287" w:type="pct"/>
                  <w:vMerge w:val="restart"/>
                  <w:vAlign w:val="center"/>
                </w:tcPr>
                <w:p w14:paraId="60A120A7">
                  <w:pPr>
                    <w:pStyle w:val="151"/>
                    <w:keepNext/>
                    <w:keepLines w:val="0"/>
                    <w:suppressLineNumbers w:val="0"/>
                    <w:adjustRightInd w:val="0"/>
                    <w:snapToGrid w:val="0"/>
                    <w:spacing w:before="0" w:beforeAutospacing="0" w:after="0" w:afterAutospacing="0"/>
                    <w:ind w:left="0" w:right="0"/>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1</w:t>
                  </w:r>
                  <w:r>
                    <w:rPr>
                      <w:rFonts w:hint="eastAsia"/>
                      <w:color w:val="auto"/>
                      <w:sz w:val="21"/>
                      <w:szCs w:val="21"/>
                      <w:highlight w:val="none"/>
                      <w:lang w:val="en-US" w:eastAsia="zh-CN"/>
                    </w:rPr>
                    <w:t>200</w:t>
                  </w:r>
                </w:p>
              </w:tc>
            </w:tr>
            <w:tr w14:paraId="36BEC5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6" w:hRule="atLeast"/>
                <w:jc w:val="center"/>
              </w:trPr>
              <w:tc>
                <w:tcPr>
                  <w:tcW w:w="238" w:type="pct"/>
                  <w:vAlign w:val="center"/>
                </w:tcPr>
                <w:p w14:paraId="5C314D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rPr>
                      <w:rFonts w:hint="default" w:ascii="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筛分</w:t>
                  </w:r>
                </w:p>
              </w:tc>
              <w:tc>
                <w:tcPr>
                  <w:tcW w:w="252" w:type="pct"/>
                  <w:vMerge w:val="continue"/>
                  <w:vAlign w:val="center"/>
                </w:tcPr>
                <w:p w14:paraId="196B079A">
                  <w:pPr>
                    <w:keepNext/>
                    <w:keepLines w:val="0"/>
                    <w:suppressLineNumbers w:val="0"/>
                    <w:adjustRightInd w:val="0"/>
                    <w:snapToGrid w:val="0"/>
                    <w:spacing w:before="0" w:beforeAutospacing="0" w:after="0" w:afterAutospacing="0"/>
                    <w:ind w:left="0" w:right="0"/>
                    <w:rPr>
                      <w:rFonts w:hint="eastAsia" w:eastAsia="宋体"/>
                      <w:color w:val="auto"/>
                      <w:sz w:val="21"/>
                      <w:szCs w:val="21"/>
                      <w:highlight w:val="none"/>
                      <w:lang w:eastAsia="zh-CN"/>
                    </w:rPr>
                  </w:pPr>
                </w:p>
              </w:tc>
              <w:tc>
                <w:tcPr>
                  <w:tcW w:w="260" w:type="pct"/>
                  <w:vMerge w:val="continue"/>
                  <w:vAlign w:val="center"/>
                </w:tcPr>
                <w:p w14:paraId="0495E342">
                  <w:pPr>
                    <w:keepNext/>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p>
              </w:tc>
              <w:tc>
                <w:tcPr>
                  <w:tcW w:w="244" w:type="pct"/>
                  <w:vMerge w:val="continue"/>
                  <w:vAlign w:val="center"/>
                </w:tcPr>
                <w:p w14:paraId="665387EF">
                  <w:pPr>
                    <w:keepNext/>
                    <w:keepLines w:val="0"/>
                    <w:suppressLineNumbers w:val="0"/>
                    <w:adjustRightInd w:val="0"/>
                    <w:snapToGrid w:val="0"/>
                    <w:spacing w:before="0" w:beforeAutospacing="0" w:after="0" w:afterAutospacing="0"/>
                    <w:ind w:left="0" w:right="0"/>
                    <w:jc w:val="center"/>
                    <w:rPr>
                      <w:rFonts w:hint="default"/>
                      <w:bCs/>
                      <w:color w:val="auto"/>
                      <w:sz w:val="21"/>
                      <w:szCs w:val="21"/>
                      <w:highlight w:val="none"/>
                    </w:rPr>
                  </w:pPr>
                </w:p>
              </w:tc>
              <w:tc>
                <w:tcPr>
                  <w:tcW w:w="400" w:type="pct"/>
                  <w:vAlign w:val="center"/>
                </w:tcPr>
                <w:p w14:paraId="0DD72D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eastAsia="宋体"/>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p>
              </w:tc>
              <w:tc>
                <w:tcPr>
                  <w:tcW w:w="474" w:type="pct"/>
                  <w:vAlign w:val="center"/>
                </w:tcPr>
                <w:p w14:paraId="5279A1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eastAsia="宋体"/>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p>
              </w:tc>
              <w:tc>
                <w:tcPr>
                  <w:tcW w:w="454" w:type="pct"/>
                  <w:vAlign w:val="center"/>
                </w:tcPr>
                <w:p w14:paraId="7F7127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37.5</w:t>
                  </w:r>
                </w:p>
              </w:tc>
              <w:tc>
                <w:tcPr>
                  <w:tcW w:w="396" w:type="pct"/>
                  <w:vAlign w:val="center"/>
                </w:tcPr>
                <w:p w14:paraId="1086300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封闭式滚筒筛</w:t>
                  </w:r>
                </w:p>
              </w:tc>
              <w:tc>
                <w:tcPr>
                  <w:tcW w:w="396" w:type="pct"/>
                  <w:vAlign w:val="center"/>
                </w:tcPr>
                <w:p w14:paraId="0083BD2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color w:val="auto"/>
                      <w:kern w:val="11"/>
                      <w:sz w:val="21"/>
                      <w:szCs w:val="21"/>
                      <w:highlight w:val="none"/>
                    </w:rPr>
                  </w:pPr>
                  <w:r>
                    <w:rPr>
                      <w:rFonts w:hint="eastAsia" w:ascii="Times New Roman" w:hAnsi="Times New Roman" w:eastAsia="宋体" w:cs="Times New Roman"/>
                      <w:color w:val="auto"/>
                      <w:sz w:val="21"/>
                      <w:szCs w:val="21"/>
                      <w:highlight w:val="none"/>
                      <w:lang w:val="en-US" w:eastAsia="zh-CN"/>
                    </w:rPr>
                    <w:t>99</w:t>
                  </w:r>
                </w:p>
              </w:tc>
              <w:tc>
                <w:tcPr>
                  <w:tcW w:w="231" w:type="pct"/>
                  <w:vMerge w:val="continue"/>
                  <w:vAlign w:val="center"/>
                </w:tcPr>
                <w:p w14:paraId="3B036E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bCs/>
                      <w:color w:val="auto"/>
                      <w:sz w:val="21"/>
                      <w:szCs w:val="21"/>
                      <w:highlight w:val="none"/>
                    </w:rPr>
                  </w:pPr>
                </w:p>
              </w:tc>
              <w:tc>
                <w:tcPr>
                  <w:tcW w:w="402" w:type="pct"/>
                  <w:vAlign w:val="center"/>
                </w:tcPr>
                <w:p w14:paraId="6AD482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olor w:val="auto"/>
                      <w:sz w:val="21"/>
                      <w:szCs w:val="21"/>
                      <w:highlight w:val="none"/>
                    </w:rPr>
                  </w:pPr>
                  <w:r>
                    <w:rPr>
                      <w:rFonts w:hint="default" w:ascii="Times New Roman" w:hAnsi="Times New Roman" w:eastAsia="宋体" w:cs="Times New Roman"/>
                      <w:color w:val="auto"/>
                      <w:sz w:val="21"/>
                      <w:szCs w:val="21"/>
                      <w:highlight w:val="none"/>
                    </w:rPr>
                    <w:t>/</w:t>
                  </w:r>
                </w:p>
              </w:tc>
              <w:tc>
                <w:tcPr>
                  <w:tcW w:w="497" w:type="pct"/>
                  <w:vAlign w:val="center"/>
                </w:tcPr>
                <w:p w14:paraId="7CC697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eastAsia="宋体"/>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p>
              </w:tc>
              <w:tc>
                <w:tcPr>
                  <w:tcW w:w="463" w:type="pct"/>
                  <w:vAlign w:val="center"/>
                </w:tcPr>
                <w:p w14:paraId="7C0257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0.3</w:t>
                  </w:r>
                  <w:r>
                    <w:rPr>
                      <w:rFonts w:hint="eastAsia"/>
                      <w:color w:val="auto"/>
                      <w:sz w:val="21"/>
                      <w:szCs w:val="21"/>
                      <w:highlight w:val="none"/>
                      <w:lang w:val="en-US" w:eastAsia="zh-CN"/>
                    </w:rPr>
                    <w:t>75</w:t>
                  </w:r>
                </w:p>
              </w:tc>
              <w:tc>
                <w:tcPr>
                  <w:tcW w:w="287" w:type="pct"/>
                  <w:vMerge w:val="continue"/>
                  <w:vAlign w:val="center"/>
                </w:tcPr>
                <w:p w14:paraId="7FE1E518">
                  <w:pPr>
                    <w:pStyle w:val="151"/>
                    <w:keepNext/>
                    <w:keepLines w:val="0"/>
                    <w:suppressLineNumbers w:val="0"/>
                    <w:adjustRightInd w:val="0"/>
                    <w:snapToGrid w:val="0"/>
                    <w:spacing w:before="0" w:beforeAutospacing="0" w:after="0" w:afterAutospacing="0"/>
                    <w:ind w:left="0" w:right="0"/>
                    <w:rPr>
                      <w:rFonts w:hint="default" w:eastAsia="宋体"/>
                      <w:color w:val="auto"/>
                      <w:sz w:val="21"/>
                      <w:szCs w:val="21"/>
                      <w:highlight w:val="none"/>
                      <w:lang w:val="en-US" w:eastAsia="zh-CN"/>
                    </w:rPr>
                  </w:pPr>
                </w:p>
              </w:tc>
            </w:tr>
            <w:tr w14:paraId="08DCF5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6" w:hRule="atLeast"/>
                <w:jc w:val="center"/>
              </w:trPr>
              <w:tc>
                <w:tcPr>
                  <w:tcW w:w="238" w:type="pct"/>
                  <w:vAlign w:val="center"/>
                </w:tcPr>
                <w:p w14:paraId="170ACB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rPr>
                      <w:rFonts w:hint="default"/>
                      <w:color w:val="auto"/>
                      <w:sz w:val="21"/>
                      <w:szCs w:val="21"/>
                      <w:highlight w:val="none"/>
                    </w:rPr>
                  </w:pPr>
                  <w:r>
                    <w:rPr>
                      <w:rFonts w:hint="default" w:ascii="Times New Roman" w:hAnsi="Times New Roman" w:eastAsia="宋体" w:cs="Times New Roman"/>
                      <w:color w:val="auto"/>
                      <w:sz w:val="21"/>
                      <w:szCs w:val="21"/>
                      <w:highlight w:val="none"/>
                      <w:lang w:eastAsia="zh-CN"/>
                    </w:rPr>
                    <w:t>烘干</w:t>
                  </w:r>
                </w:p>
              </w:tc>
              <w:tc>
                <w:tcPr>
                  <w:tcW w:w="252" w:type="pct"/>
                  <w:vMerge w:val="continue"/>
                  <w:vAlign w:val="center"/>
                </w:tcPr>
                <w:p w14:paraId="5E31C02E">
                  <w:pPr>
                    <w:pStyle w:val="151"/>
                    <w:keepNext/>
                    <w:keepLines w:val="0"/>
                    <w:suppressLineNumbers w:val="0"/>
                    <w:adjustRightInd w:val="0"/>
                    <w:snapToGrid w:val="0"/>
                    <w:spacing w:before="0" w:beforeAutospacing="0" w:after="0" w:afterAutospacing="0"/>
                    <w:ind w:left="0" w:right="0"/>
                    <w:rPr>
                      <w:rFonts w:hint="default"/>
                      <w:color w:val="auto"/>
                      <w:sz w:val="21"/>
                      <w:szCs w:val="21"/>
                      <w:highlight w:val="none"/>
                    </w:rPr>
                  </w:pPr>
                </w:p>
              </w:tc>
              <w:tc>
                <w:tcPr>
                  <w:tcW w:w="260" w:type="pct"/>
                  <w:vMerge w:val="continue"/>
                  <w:vAlign w:val="center"/>
                </w:tcPr>
                <w:p w14:paraId="26A501CA">
                  <w:pPr>
                    <w:keepNext/>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p>
              </w:tc>
              <w:tc>
                <w:tcPr>
                  <w:tcW w:w="244" w:type="pct"/>
                  <w:vMerge w:val="continue"/>
                  <w:vAlign w:val="center"/>
                </w:tcPr>
                <w:p w14:paraId="082C5D41">
                  <w:pPr>
                    <w:keepNext/>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p>
              </w:tc>
              <w:tc>
                <w:tcPr>
                  <w:tcW w:w="400" w:type="pct"/>
                  <w:vAlign w:val="center"/>
                </w:tcPr>
                <w:p w14:paraId="5E0CFD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olor w:val="auto"/>
                      <w:sz w:val="21"/>
                      <w:szCs w:val="21"/>
                      <w:highlight w:val="none"/>
                    </w:rPr>
                  </w:pPr>
                  <w:r>
                    <w:rPr>
                      <w:rFonts w:hint="default" w:ascii="Times New Roman" w:hAnsi="Times New Roman" w:eastAsia="宋体" w:cs="Times New Roman"/>
                      <w:color w:val="auto"/>
                      <w:sz w:val="21"/>
                      <w:szCs w:val="21"/>
                      <w:highlight w:val="none"/>
                    </w:rPr>
                    <w:t>/</w:t>
                  </w:r>
                </w:p>
              </w:tc>
              <w:tc>
                <w:tcPr>
                  <w:tcW w:w="474" w:type="pct"/>
                  <w:vAlign w:val="center"/>
                </w:tcPr>
                <w:p w14:paraId="7B5932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olor w:val="auto"/>
                      <w:sz w:val="21"/>
                      <w:szCs w:val="21"/>
                      <w:highlight w:val="none"/>
                    </w:rPr>
                  </w:pPr>
                  <w:r>
                    <w:rPr>
                      <w:rFonts w:hint="default" w:ascii="Times New Roman" w:hAnsi="Times New Roman" w:eastAsia="宋体" w:cs="Times New Roman"/>
                      <w:color w:val="auto"/>
                      <w:sz w:val="21"/>
                      <w:szCs w:val="21"/>
                      <w:highlight w:val="none"/>
                    </w:rPr>
                    <w:t>/</w:t>
                  </w:r>
                </w:p>
              </w:tc>
              <w:tc>
                <w:tcPr>
                  <w:tcW w:w="454" w:type="pct"/>
                  <w:vAlign w:val="center"/>
                </w:tcPr>
                <w:p w14:paraId="72585D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2.</w:t>
                  </w:r>
                  <w:r>
                    <w:rPr>
                      <w:rFonts w:hint="eastAsia"/>
                      <w:color w:val="auto"/>
                      <w:sz w:val="21"/>
                      <w:szCs w:val="21"/>
                      <w:highlight w:val="none"/>
                      <w:lang w:val="en-US" w:eastAsia="zh-CN"/>
                    </w:rPr>
                    <w:t>46</w:t>
                  </w:r>
                </w:p>
              </w:tc>
              <w:tc>
                <w:tcPr>
                  <w:tcW w:w="396" w:type="pct"/>
                  <w:vAlign w:val="center"/>
                </w:tcPr>
                <w:p w14:paraId="64AB34C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防风抑尘网、苫布遮盖</w:t>
                  </w:r>
                </w:p>
              </w:tc>
              <w:tc>
                <w:tcPr>
                  <w:tcW w:w="396" w:type="pct"/>
                  <w:vAlign w:val="center"/>
                </w:tcPr>
                <w:p w14:paraId="4EC9AC0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color w:val="auto"/>
                      <w:sz w:val="21"/>
                      <w:szCs w:val="21"/>
                      <w:highlight w:val="none"/>
                    </w:rPr>
                  </w:pPr>
                  <w:r>
                    <w:rPr>
                      <w:rFonts w:hint="eastAsia" w:ascii="Times New Roman" w:hAnsi="Times New Roman" w:eastAsia="宋体" w:cs="Times New Roman"/>
                      <w:color w:val="auto"/>
                      <w:sz w:val="21"/>
                      <w:szCs w:val="21"/>
                      <w:highlight w:val="none"/>
                      <w:lang w:val="en-US" w:eastAsia="zh-CN"/>
                    </w:rPr>
                    <w:t>90</w:t>
                  </w:r>
                </w:p>
              </w:tc>
              <w:tc>
                <w:tcPr>
                  <w:tcW w:w="231" w:type="pct"/>
                  <w:vMerge w:val="continue"/>
                  <w:vAlign w:val="center"/>
                </w:tcPr>
                <w:p w14:paraId="183732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olor w:val="auto"/>
                      <w:sz w:val="21"/>
                      <w:szCs w:val="21"/>
                      <w:highlight w:val="none"/>
                    </w:rPr>
                  </w:pPr>
                </w:p>
              </w:tc>
              <w:tc>
                <w:tcPr>
                  <w:tcW w:w="402" w:type="pct"/>
                  <w:vAlign w:val="center"/>
                </w:tcPr>
                <w:p w14:paraId="619268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olor w:val="auto"/>
                      <w:sz w:val="21"/>
                      <w:szCs w:val="21"/>
                      <w:highlight w:val="none"/>
                    </w:rPr>
                  </w:pPr>
                  <w:r>
                    <w:rPr>
                      <w:rFonts w:hint="default" w:ascii="Times New Roman" w:hAnsi="Times New Roman" w:eastAsia="宋体" w:cs="Times New Roman"/>
                      <w:color w:val="auto"/>
                      <w:sz w:val="21"/>
                      <w:szCs w:val="21"/>
                      <w:highlight w:val="none"/>
                    </w:rPr>
                    <w:t>/</w:t>
                  </w:r>
                </w:p>
              </w:tc>
              <w:tc>
                <w:tcPr>
                  <w:tcW w:w="497" w:type="pct"/>
                  <w:vAlign w:val="center"/>
                </w:tcPr>
                <w:p w14:paraId="376C68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olor w:val="auto"/>
                      <w:sz w:val="21"/>
                      <w:szCs w:val="21"/>
                      <w:highlight w:val="none"/>
                    </w:rPr>
                  </w:pPr>
                  <w:r>
                    <w:rPr>
                      <w:rFonts w:hint="default" w:ascii="Times New Roman" w:hAnsi="Times New Roman" w:eastAsia="宋体" w:cs="Times New Roman"/>
                      <w:color w:val="auto"/>
                      <w:sz w:val="21"/>
                      <w:szCs w:val="21"/>
                      <w:highlight w:val="none"/>
                    </w:rPr>
                    <w:t>/</w:t>
                  </w:r>
                </w:p>
              </w:tc>
              <w:tc>
                <w:tcPr>
                  <w:tcW w:w="463" w:type="pct"/>
                  <w:vAlign w:val="center"/>
                </w:tcPr>
                <w:p w14:paraId="4A7C5D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0.2</w:t>
                  </w:r>
                  <w:r>
                    <w:rPr>
                      <w:rFonts w:hint="eastAsia"/>
                      <w:color w:val="auto"/>
                      <w:sz w:val="21"/>
                      <w:szCs w:val="21"/>
                      <w:highlight w:val="none"/>
                      <w:lang w:val="en-US" w:eastAsia="zh-CN"/>
                    </w:rPr>
                    <w:t>46</w:t>
                  </w:r>
                </w:p>
              </w:tc>
              <w:tc>
                <w:tcPr>
                  <w:tcW w:w="287" w:type="pct"/>
                  <w:vMerge w:val="continue"/>
                  <w:vAlign w:val="center"/>
                </w:tcPr>
                <w:p w14:paraId="52590813">
                  <w:pPr>
                    <w:pStyle w:val="151"/>
                    <w:keepNext/>
                    <w:keepLines w:val="0"/>
                    <w:suppressLineNumbers w:val="0"/>
                    <w:adjustRightInd w:val="0"/>
                    <w:snapToGrid w:val="0"/>
                    <w:spacing w:before="0" w:beforeAutospacing="0" w:after="0" w:afterAutospacing="0"/>
                    <w:ind w:left="0" w:right="0"/>
                    <w:rPr>
                      <w:rFonts w:hint="default" w:eastAsia="宋体"/>
                      <w:color w:val="auto"/>
                      <w:sz w:val="21"/>
                      <w:szCs w:val="21"/>
                      <w:highlight w:val="none"/>
                      <w:lang w:val="en-US" w:eastAsia="zh-CN"/>
                    </w:rPr>
                  </w:pPr>
                </w:p>
              </w:tc>
            </w:tr>
          </w:tbl>
          <w:p w14:paraId="3487DC3A">
            <w:pPr>
              <w:keepNext w:val="0"/>
              <w:keepLines w:val="0"/>
              <w:suppressLineNumbers w:val="0"/>
              <w:adjustRightInd w:val="0"/>
              <w:snapToGrid w:val="0"/>
              <w:spacing w:before="0" w:beforeAutospacing="0" w:after="0" w:afterAutospacing="0" w:line="360" w:lineRule="auto"/>
              <w:ind w:left="0" w:right="0" w:firstLine="480" w:firstLineChars="200"/>
              <w:jc w:val="both"/>
              <w:rPr>
                <w:rFonts w:hint="default"/>
                <w:bCs/>
                <w:color w:val="auto"/>
                <w:sz w:val="24"/>
                <w:szCs w:val="24"/>
                <w:highlight w:val="none"/>
              </w:rPr>
            </w:pPr>
            <w:r>
              <w:rPr>
                <w:rFonts w:hint="default"/>
                <w:bCs/>
                <w:color w:val="auto"/>
                <w:sz w:val="24"/>
                <w:szCs w:val="24"/>
                <w:highlight w:val="none"/>
              </w:rPr>
              <w:t>（</w:t>
            </w:r>
            <w:r>
              <w:rPr>
                <w:rFonts w:hint="eastAsia"/>
                <w:bCs/>
                <w:color w:val="auto"/>
                <w:sz w:val="24"/>
                <w:szCs w:val="24"/>
                <w:highlight w:val="none"/>
                <w:lang w:val="en-US" w:eastAsia="zh-CN"/>
              </w:rPr>
              <w:t>4</w:t>
            </w:r>
            <w:r>
              <w:rPr>
                <w:rFonts w:hint="default"/>
                <w:bCs/>
                <w:color w:val="auto"/>
                <w:sz w:val="24"/>
                <w:szCs w:val="24"/>
                <w:highlight w:val="none"/>
              </w:rPr>
              <w:t>）排放口基本情况</w:t>
            </w:r>
          </w:p>
          <w:p w14:paraId="7AFAD461">
            <w:pPr>
              <w:pStyle w:val="145"/>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表4</w:t>
            </w:r>
            <w:r>
              <w:rPr>
                <w:rFonts w:hint="eastAsia" w:ascii="Times New Roman" w:hAnsi="Times New Roman" w:eastAsia="宋体" w:cs="Times New Roman"/>
                <w:b/>
                <w:color w:val="auto"/>
                <w:sz w:val="24"/>
                <w:szCs w:val="24"/>
                <w:highlight w:val="none"/>
                <w:lang w:val="en-US" w:eastAsia="zh-CN"/>
              </w:rPr>
              <w:t xml:space="preserve">-2 </w:t>
            </w:r>
            <w:r>
              <w:rPr>
                <w:rFonts w:hint="default" w:ascii="Times New Roman" w:hAnsi="Times New Roman" w:eastAsia="宋体" w:cs="Times New Roman"/>
                <w:b/>
                <w:color w:val="auto"/>
                <w:sz w:val="24"/>
                <w:szCs w:val="24"/>
                <w:highlight w:val="none"/>
              </w:rPr>
              <w:t>废气排放口基本情况一览表</w:t>
            </w:r>
          </w:p>
          <w:tbl>
            <w:tblPr>
              <w:tblStyle w:val="38"/>
              <w:tblW w:w="795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5"/>
              <w:gridCol w:w="1372"/>
              <w:gridCol w:w="845"/>
              <w:gridCol w:w="845"/>
              <w:gridCol w:w="951"/>
              <w:gridCol w:w="1357"/>
              <w:gridCol w:w="1734"/>
            </w:tblGrid>
            <w:tr w14:paraId="07FA3C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7" w:type="pct"/>
                  <w:tcBorders>
                    <w:tl2br w:val="nil"/>
                    <w:tr2bl w:val="nil"/>
                  </w:tcBorders>
                  <w:noWrap w:val="0"/>
                  <w:vAlign w:val="center"/>
                </w:tcPr>
                <w:p w14:paraId="2A425C48">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编号</w:t>
                  </w:r>
                </w:p>
              </w:tc>
              <w:tc>
                <w:tcPr>
                  <w:tcW w:w="861" w:type="pct"/>
                  <w:tcBorders>
                    <w:tl2br w:val="nil"/>
                    <w:tr2bl w:val="nil"/>
                  </w:tcBorders>
                  <w:noWrap w:val="0"/>
                  <w:vAlign w:val="center"/>
                </w:tcPr>
                <w:p w14:paraId="0BB3FA27">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排放口名称</w:t>
                  </w:r>
                </w:p>
              </w:tc>
              <w:tc>
                <w:tcPr>
                  <w:tcW w:w="530" w:type="pct"/>
                  <w:tcBorders>
                    <w:tl2br w:val="nil"/>
                    <w:tr2bl w:val="nil"/>
                  </w:tcBorders>
                  <w:noWrap w:val="0"/>
                  <w:vAlign w:val="center"/>
                </w:tcPr>
                <w:p w14:paraId="61EDBE43">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高度/m</w:t>
                  </w:r>
                </w:p>
              </w:tc>
              <w:tc>
                <w:tcPr>
                  <w:tcW w:w="530" w:type="pct"/>
                  <w:tcBorders>
                    <w:tl2br w:val="nil"/>
                    <w:tr2bl w:val="nil"/>
                  </w:tcBorders>
                  <w:noWrap w:val="0"/>
                  <w:vAlign w:val="center"/>
                </w:tcPr>
                <w:p w14:paraId="7BA80499">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内径/m</w:t>
                  </w:r>
                </w:p>
              </w:tc>
              <w:tc>
                <w:tcPr>
                  <w:tcW w:w="597" w:type="pct"/>
                  <w:tcBorders>
                    <w:tl2br w:val="nil"/>
                    <w:tr2bl w:val="nil"/>
                  </w:tcBorders>
                  <w:noWrap w:val="0"/>
                  <w:vAlign w:val="center"/>
                </w:tcPr>
                <w:p w14:paraId="1F1356BD">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温度/℃</w:t>
                  </w:r>
                </w:p>
              </w:tc>
              <w:tc>
                <w:tcPr>
                  <w:tcW w:w="852" w:type="pct"/>
                  <w:tcBorders>
                    <w:tl2br w:val="nil"/>
                    <w:tr2bl w:val="nil"/>
                  </w:tcBorders>
                  <w:noWrap w:val="0"/>
                  <w:vAlign w:val="center"/>
                </w:tcPr>
                <w:p w14:paraId="77E69270">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类型</w:t>
                  </w:r>
                </w:p>
              </w:tc>
              <w:tc>
                <w:tcPr>
                  <w:tcW w:w="1089" w:type="pct"/>
                  <w:tcBorders>
                    <w:tl2br w:val="nil"/>
                    <w:tr2bl w:val="nil"/>
                  </w:tcBorders>
                  <w:noWrap w:val="0"/>
                  <w:vAlign w:val="center"/>
                </w:tcPr>
                <w:p w14:paraId="06526270">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地理坐标</w:t>
                  </w:r>
                </w:p>
              </w:tc>
            </w:tr>
            <w:tr w14:paraId="639B3D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7" w:type="pct"/>
                  <w:tcBorders>
                    <w:tl2br w:val="nil"/>
                    <w:tr2bl w:val="nil"/>
                  </w:tcBorders>
                  <w:noWrap w:val="0"/>
                  <w:vAlign w:val="center"/>
                </w:tcPr>
                <w:p w14:paraId="22F6B6C3">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DA001</w:t>
                  </w:r>
                </w:p>
              </w:tc>
              <w:tc>
                <w:tcPr>
                  <w:tcW w:w="861" w:type="pct"/>
                  <w:tcBorders>
                    <w:tl2br w:val="nil"/>
                    <w:tr2bl w:val="nil"/>
                  </w:tcBorders>
                  <w:noWrap w:val="0"/>
                  <w:vAlign w:val="center"/>
                </w:tcPr>
                <w:p w14:paraId="2DF31A6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21"/>
                      <w:szCs w:val="21"/>
                      <w:highlight w:val="none"/>
                      <w:lang w:eastAsia="zh-CN"/>
                    </w:rPr>
                  </w:pPr>
                  <w:r>
                    <w:rPr>
                      <w:rFonts w:hint="eastAsia"/>
                      <w:color w:val="auto"/>
                      <w:sz w:val="21"/>
                      <w:szCs w:val="21"/>
                      <w:highlight w:val="none"/>
                      <w:lang w:eastAsia="zh-CN"/>
                    </w:rPr>
                    <w:t>热风炉</w:t>
                  </w:r>
                  <w:r>
                    <w:rPr>
                      <w:rFonts w:hint="eastAsia" w:cs="Times New Roman"/>
                      <w:color w:val="auto"/>
                      <w:sz w:val="21"/>
                      <w:szCs w:val="21"/>
                      <w:highlight w:val="none"/>
                      <w:lang w:eastAsia="zh-CN"/>
                    </w:rPr>
                    <w:t>烟囱</w:t>
                  </w:r>
                </w:p>
              </w:tc>
              <w:tc>
                <w:tcPr>
                  <w:tcW w:w="530" w:type="pct"/>
                  <w:tcBorders>
                    <w:tl2br w:val="nil"/>
                    <w:tr2bl w:val="nil"/>
                  </w:tcBorders>
                  <w:noWrap w:val="0"/>
                  <w:vAlign w:val="center"/>
                </w:tcPr>
                <w:p w14:paraId="07A1AD6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18</w:t>
                  </w:r>
                </w:p>
              </w:tc>
              <w:tc>
                <w:tcPr>
                  <w:tcW w:w="530" w:type="pct"/>
                  <w:tcBorders>
                    <w:tl2br w:val="nil"/>
                    <w:tr2bl w:val="nil"/>
                  </w:tcBorders>
                  <w:noWrap w:val="0"/>
                  <w:vAlign w:val="center"/>
                </w:tcPr>
                <w:p w14:paraId="57801F0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eastAsia="宋体"/>
                      <w:color w:val="auto"/>
                      <w:sz w:val="21"/>
                      <w:szCs w:val="21"/>
                      <w:highlight w:val="none"/>
                      <w:lang w:val="en-US" w:eastAsia="zh-CN"/>
                    </w:rPr>
                    <w:t>0.</w:t>
                  </w:r>
                  <w:r>
                    <w:rPr>
                      <w:rFonts w:hint="eastAsia"/>
                      <w:color w:val="auto"/>
                      <w:sz w:val="21"/>
                      <w:szCs w:val="21"/>
                      <w:highlight w:val="none"/>
                      <w:lang w:val="en-US" w:eastAsia="zh-CN"/>
                    </w:rPr>
                    <w:t>8</w:t>
                  </w:r>
                </w:p>
              </w:tc>
              <w:tc>
                <w:tcPr>
                  <w:tcW w:w="597" w:type="pct"/>
                  <w:tcBorders>
                    <w:tl2br w:val="nil"/>
                    <w:tr2bl w:val="nil"/>
                  </w:tcBorders>
                  <w:noWrap w:val="0"/>
                  <w:vAlign w:val="center"/>
                </w:tcPr>
                <w:p w14:paraId="35950F6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eastAsia="宋体"/>
                      <w:color w:val="auto"/>
                      <w:sz w:val="21"/>
                      <w:szCs w:val="21"/>
                      <w:highlight w:val="none"/>
                      <w:lang w:val="en-US" w:eastAsia="zh-CN"/>
                    </w:rPr>
                    <w:t>100</w:t>
                  </w:r>
                </w:p>
              </w:tc>
              <w:tc>
                <w:tcPr>
                  <w:tcW w:w="852" w:type="pct"/>
                  <w:tcBorders>
                    <w:tl2br w:val="nil"/>
                    <w:tr2bl w:val="nil"/>
                  </w:tcBorders>
                  <w:noWrap w:val="0"/>
                  <w:vAlign w:val="center"/>
                </w:tcPr>
                <w:p w14:paraId="16B9776A">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color w:val="auto"/>
                      <w:sz w:val="21"/>
                      <w:szCs w:val="21"/>
                      <w:highlight w:val="none"/>
                    </w:rPr>
                    <w:t>一般排放口</w:t>
                  </w:r>
                </w:p>
              </w:tc>
              <w:tc>
                <w:tcPr>
                  <w:tcW w:w="1089" w:type="pct"/>
                  <w:tcBorders>
                    <w:tl2br w:val="nil"/>
                    <w:tr2bl w:val="nil"/>
                  </w:tcBorders>
                  <w:noWrap w:val="0"/>
                  <w:vAlign w:val="center"/>
                </w:tcPr>
                <w:p w14:paraId="3034031A">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132.987669668</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45.774220120</w:t>
                  </w:r>
                </w:p>
              </w:tc>
            </w:tr>
          </w:tbl>
          <w:p w14:paraId="325910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）本项目非正常排放</w:t>
            </w:r>
          </w:p>
          <w:p w14:paraId="3657FC33">
            <w:pPr>
              <w:keepNext w:val="0"/>
              <w:keepLines w:val="0"/>
              <w:suppressLineNumbers w:val="0"/>
              <w:bidi w:val="0"/>
              <w:spacing w:before="0" w:beforeAutospacing="0" w:after="0" w:afterAutospacing="0" w:line="360" w:lineRule="auto"/>
              <w:ind w:left="0" w:right="0" w:firstLine="480" w:firstLineChars="200"/>
              <w:rPr>
                <w:rFonts w:hint="eastAsia"/>
                <w:color w:val="auto"/>
                <w:sz w:val="24"/>
                <w:szCs w:val="24"/>
              </w:rPr>
            </w:pPr>
            <w:r>
              <w:rPr>
                <w:rFonts w:hint="default" w:ascii="Times New Roman" w:hAnsi="Times New Roman" w:eastAsia="宋体" w:cs="Times New Roman"/>
                <w:color w:val="000000"/>
                <w:sz w:val="24"/>
              </w:rPr>
              <w:t>非正常工况是指：正常开、停车或部分设备检修及工艺设备或环保设施达不到设计规定指标运行时的工况；非正常工况时排放的污染物为非正常工况排污。本项目非正常工况下产生的废气主要考虑环保设施故障时造成的污染物超标排放。</w:t>
            </w:r>
            <w:r>
              <w:rPr>
                <w:rFonts w:hint="default"/>
                <w:color w:val="auto"/>
                <w:sz w:val="24"/>
                <w:highlight w:val="none"/>
              </w:rPr>
              <w:t>本项目以</w:t>
            </w:r>
            <w:r>
              <w:rPr>
                <w:rFonts w:hint="eastAsia" w:ascii="Times New Roman" w:hAnsi="Times New Roman" w:eastAsia="宋体" w:cs="Times New Roman"/>
                <w:bCs/>
                <w:snapToGrid w:val="0"/>
                <w:color w:val="auto"/>
                <w:kern w:val="0"/>
                <w:sz w:val="24"/>
                <w:highlight w:val="none"/>
                <w:lang w:val="en-US" w:eastAsia="zh-CN"/>
              </w:rPr>
              <w:t>布袋除尘器</w:t>
            </w:r>
            <w:r>
              <w:rPr>
                <w:rFonts w:hint="eastAsia"/>
                <w:color w:val="auto"/>
                <w:sz w:val="24"/>
                <w:highlight w:val="none"/>
                <w:lang w:val="en-US" w:eastAsia="zh-CN"/>
              </w:rPr>
              <w:t>失效</w:t>
            </w:r>
            <w:r>
              <w:rPr>
                <w:rFonts w:hint="default"/>
                <w:color w:val="auto"/>
                <w:sz w:val="24"/>
                <w:highlight w:val="none"/>
              </w:rPr>
              <w:t>的情况下计算非正常工况</w:t>
            </w:r>
            <w:r>
              <w:rPr>
                <w:rFonts w:hint="eastAsia" w:ascii="Times New Roman" w:hAnsi="Times New Roman" w:eastAsia="宋体" w:cs="Times New Roman"/>
                <w:color w:val="auto"/>
                <w:sz w:val="24"/>
                <w:highlight w:val="none"/>
                <w:lang w:val="en-US" w:eastAsia="zh-CN"/>
              </w:rPr>
              <w:t>，</w:t>
            </w:r>
            <w:r>
              <w:rPr>
                <w:rFonts w:hint="eastAsia"/>
                <w:color w:val="auto"/>
                <w:sz w:val="24"/>
                <w:szCs w:val="24"/>
              </w:rPr>
              <w:t>则本项目非正常工况下废气产生及排放情况见表4-</w:t>
            </w:r>
            <w:r>
              <w:rPr>
                <w:rFonts w:hint="eastAsia"/>
                <w:color w:val="auto"/>
                <w:sz w:val="24"/>
                <w:szCs w:val="24"/>
                <w:lang w:val="en-US" w:eastAsia="zh-CN"/>
              </w:rPr>
              <w:t>3</w:t>
            </w:r>
            <w:r>
              <w:rPr>
                <w:rFonts w:hint="eastAsia"/>
                <w:color w:val="auto"/>
                <w:sz w:val="24"/>
                <w:szCs w:val="24"/>
              </w:rPr>
              <w:t>。</w:t>
            </w:r>
          </w:p>
          <w:p w14:paraId="534FE718">
            <w:pPr>
              <w:pStyle w:val="7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表4-</w:t>
            </w:r>
            <w:r>
              <w:rPr>
                <w:rFonts w:hint="eastAsia" w:cs="Times New Roman"/>
                <w:b/>
                <w:color w:val="auto"/>
                <w:sz w:val="24"/>
                <w:szCs w:val="24"/>
                <w:highlight w:val="none"/>
                <w:lang w:val="en-US" w:eastAsia="zh-CN"/>
              </w:rPr>
              <w:t xml:space="preserve">3 </w:t>
            </w:r>
            <w:r>
              <w:rPr>
                <w:rFonts w:hint="default" w:ascii="Times New Roman" w:hAnsi="Times New Roman" w:cs="Times New Roman"/>
                <w:b/>
                <w:color w:val="auto"/>
                <w:sz w:val="24"/>
                <w:szCs w:val="24"/>
                <w:highlight w:val="none"/>
              </w:rPr>
              <w:t>非正常排放参数表</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Layout w:type="fixed"/>
              <w:tblCellMar>
                <w:top w:w="0" w:type="dxa"/>
                <w:left w:w="108" w:type="dxa"/>
                <w:bottom w:w="0" w:type="dxa"/>
                <w:right w:w="108" w:type="dxa"/>
              </w:tblCellMar>
            </w:tblPr>
            <w:tblGrid>
              <w:gridCol w:w="1087"/>
              <w:gridCol w:w="1530"/>
              <w:gridCol w:w="855"/>
              <w:gridCol w:w="915"/>
              <w:gridCol w:w="976"/>
              <w:gridCol w:w="984"/>
              <w:gridCol w:w="709"/>
              <w:gridCol w:w="901"/>
            </w:tblGrid>
            <w:tr w14:paraId="617B652C">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320" w:hRule="atLeast"/>
              </w:trPr>
              <w:tc>
                <w:tcPr>
                  <w:tcW w:w="683" w:type="pct"/>
                  <w:tcBorders>
                    <w:tl2br w:val="nil"/>
                    <w:tr2bl w:val="nil"/>
                  </w:tcBorders>
                  <w:noWrap w:val="0"/>
                  <w:vAlign w:val="center"/>
                </w:tcPr>
                <w:p w14:paraId="31C39DF9">
                  <w:pPr>
                    <w:pStyle w:val="76"/>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非正常排放源</w:t>
                  </w:r>
                </w:p>
              </w:tc>
              <w:tc>
                <w:tcPr>
                  <w:tcW w:w="961" w:type="pct"/>
                  <w:tcBorders>
                    <w:tl2br w:val="nil"/>
                    <w:tr2bl w:val="nil"/>
                  </w:tcBorders>
                  <w:noWrap w:val="0"/>
                  <w:vAlign w:val="center"/>
                </w:tcPr>
                <w:p w14:paraId="01335907">
                  <w:pPr>
                    <w:pStyle w:val="76"/>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非正常</w:t>
                  </w:r>
                </w:p>
                <w:p w14:paraId="096FE6CB">
                  <w:pPr>
                    <w:pStyle w:val="76"/>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排放原因</w:t>
                  </w:r>
                </w:p>
              </w:tc>
              <w:tc>
                <w:tcPr>
                  <w:tcW w:w="537" w:type="pct"/>
                  <w:tcBorders>
                    <w:tl2br w:val="nil"/>
                    <w:tr2bl w:val="nil"/>
                  </w:tcBorders>
                  <w:noWrap w:val="0"/>
                  <w:vAlign w:val="center"/>
                </w:tcPr>
                <w:p w14:paraId="2430CD72">
                  <w:pPr>
                    <w:pStyle w:val="76"/>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574" w:type="pct"/>
                  <w:tcBorders>
                    <w:tl2br w:val="nil"/>
                    <w:tr2bl w:val="nil"/>
                  </w:tcBorders>
                  <w:noWrap w:val="0"/>
                  <w:vAlign w:val="center"/>
                </w:tcPr>
                <w:p w14:paraId="5D24AB24">
                  <w:pPr>
                    <w:pStyle w:val="76"/>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rPr>
                  </w:pPr>
                  <w:r>
                    <w:rPr>
                      <w:rFonts w:hint="eastAsia"/>
                      <w:bCs/>
                      <w:color w:val="auto"/>
                      <w:spacing w:val="0"/>
                      <w:position w:val="0"/>
                      <w:sz w:val="21"/>
                      <w:szCs w:val="21"/>
                      <w:highlight w:val="none"/>
                      <w:lang w:val="en-US" w:eastAsia="zh-CN"/>
                    </w:rPr>
                    <w:t>非</w:t>
                  </w:r>
                  <w:r>
                    <w:rPr>
                      <w:rFonts w:hint="default"/>
                      <w:bCs/>
                      <w:color w:val="auto"/>
                      <w:spacing w:val="0"/>
                      <w:position w:val="0"/>
                      <w:sz w:val="21"/>
                      <w:szCs w:val="21"/>
                      <w:highlight w:val="none"/>
                    </w:rPr>
                    <w:t>排放浓度mg/m</w:t>
                  </w:r>
                  <w:r>
                    <w:rPr>
                      <w:rFonts w:hint="default"/>
                      <w:bCs/>
                      <w:color w:val="auto"/>
                      <w:spacing w:val="0"/>
                      <w:position w:val="0"/>
                      <w:sz w:val="21"/>
                      <w:szCs w:val="21"/>
                      <w:highlight w:val="none"/>
                      <w:vertAlign w:val="superscript"/>
                    </w:rPr>
                    <w:t>3</w:t>
                  </w:r>
                </w:p>
              </w:tc>
              <w:tc>
                <w:tcPr>
                  <w:tcW w:w="613" w:type="pct"/>
                  <w:tcBorders>
                    <w:tl2br w:val="nil"/>
                    <w:tr2bl w:val="nil"/>
                  </w:tcBorders>
                  <w:noWrap w:val="0"/>
                  <w:vAlign w:val="center"/>
                </w:tcPr>
                <w:p w14:paraId="32AEA821">
                  <w:pPr>
                    <w:pStyle w:val="76"/>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非正常排放</w:t>
                  </w:r>
                  <w:r>
                    <w:rPr>
                      <w:rFonts w:hint="default" w:ascii="Times New Roman" w:hAnsi="Times New Roman" w:eastAsia="宋体" w:cs="Times New Roman"/>
                      <w:bCs/>
                      <w:color w:val="auto"/>
                      <w:sz w:val="21"/>
                      <w:szCs w:val="21"/>
                      <w:highlight w:val="none"/>
                    </w:rPr>
                    <w:t>速率kg/h</w:t>
                  </w:r>
                </w:p>
              </w:tc>
              <w:tc>
                <w:tcPr>
                  <w:tcW w:w="618" w:type="pct"/>
                  <w:tcBorders>
                    <w:tl2br w:val="nil"/>
                    <w:tr2bl w:val="nil"/>
                  </w:tcBorders>
                  <w:noWrap w:val="0"/>
                  <w:vAlign w:val="center"/>
                </w:tcPr>
                <w:p w14:paraId="37211727">
                  <w:pPr>
                    <w:pStyle w:val="76"/>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单次持续时间/h</w:t>
                  </w:r>
                </w:p>
              </w:tc>
              <w:tc>
                <w:tcPr>
                  <w:tcW w:w="445" w:type="pct"/>
                  <w:tcBorders>
                    <w:tl2br w:val="nil"/>
                    <w:tr2bl w:val="nil"/>
                  </w:tcBorders>
                  <w:noWrap w:val="0"/>
                  <w:vAlign w:val="center"/>
                </w:tcPr>
                <w:p w14:paraId="69548FD6">
                  <w:pPr>
                    <w:pStyle w:val="76"/>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年发生频次/次</w:t>
                  </w:r>
                </w:p>
              </w:tc>
              <w:tc>
                <w:tcPr>
                  <w:tcW w:w="566" w:type="pct"/>
                  <w:tcBorders>
                    <w:tl2br w:val="nil"/>
                    <w:tr2bl w:val="nil"/>
                  </w:tcBorders>
                  <w:noWrap w:val="0"/>
                  <w:vAlign w:val="center"/>
                </w:tcPr>
                <w:p w14:paraId="436531EB">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应对措施</w:t>
                  </w:r>
                </w:p>
              </w:tc>
            </w:tr>
            <w:tr w14:paraId="3CF8735D">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320" w:hRule="atLeast"/>
              </w:trPr>
              <w:tc>
                <w:tcPr>
                  <w:tcW w:w="683" w:type="pct"/>
                  <w:tcBorders>
                    <w:tl2br w:val="nil"/>
                    <w:tr2bl w:val="nil"/>
                  </w:tcBorders>
                  <w:noWrap w:val="0"/>
                  <w:vAlign w:val="center"/>
                </w:tcPr>
                <w:p w14:paraId="4B2D1D5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DA001</w:t>
                  </w:r>
                </w:p>
              </w:tc>
              <w:tc>
                <w:tcPr>
                  <w:tcW w:w="961" w:type="pct"/>
                  <w:tcBorders>
                    <w:tl2br w:val="nil"/>
                    <w:tr2bl w:val="nil"/>
                  </w:tcBorders>
                  <w:noWrap w:val="0"/>
                  <w:vAlign w:val="center"/>
                </w:tcPr>
                <w:p w14:paraId="23C8E10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布袋</w:t>
                  </w:r>
                  <w:r>
                    <w:rPr>
                      <w:rFonts w:hint="default" w:ascii="Times New Roman" w:hAnsi="Times New Roman" w:eastAsia="宋体" w:cs="Times New Roman"/>
                      <w:color w:val="auto"/>
                      <w:sz w:val="21"/>
                      <w:szCs w:val="21"/>
                      <w:highlight w:val="none"/>
                    </w:rPr>
                    <w:t>除尘器发生故障，处理效率降低为</w:t>
                  </w:r>
                  <w:r>
                    <w:rPr>
                      <w:rFonts w:hint="eastAsia" w:cs="Times New Roman"/>
                      <w:color w:val="auto"/>
                      <w:sz w:val="21"/>
                      <w:szCs w:val="21"/>
                      <w:highlight w:val="none"/>
                      <w:lang w:val="en-US" w:eastAsia="zh-CN"/>
                    </w:rPr>
                    <w:t>90</w:t>
                  </w:r>
                  <w:r>
                    <w:rPr>
                      <w:rFonts w:hint="default" w:ascii="Times New Roman" w:hAnsi="Times New Roman" w:eastAsia="宋体" w:cs="Times New Roman"/>
                      <w:color w:val="auto"/>
                      <w:sz w:val="21"/>
                      <w:szCs w:val="21"/>
                      <w:highlight w:val="none"/>
                    </w:rPr>
                    <w:t>%</w:t>
                  </w:r>
                </w:p>
              </w:tc>
              <w:tc>
                <w:tcPr>
                  <w:tcW w:w="537" w:type="pct"/>
                  <w:tcBorders>
                    <w:tl2br w:val="nil"/>
                    <w:tr2bl w:val="nil"/>
                  </w:tcBorders>
                  <w:noWrap w:val="0"/>
                  <w:vAlign w:val="center"/>
                </w:tcPr>
                <w:p w14:paraId="1939693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颗粒物</w:t>
                  </w:r>
                </w:p>
              </w:tc>
              <w:tc>
                <w:tcPr>
                  <w:tcW w:w="574" w:type="pct"/>
                  <w:tcBorders>
                    <w:tl2br w:val="nil"/>
                    <w:tr2bl w:val="nil"/>
                  </w:tcBorders>
                  <w:noWrap w:val="0"/>
                  <w:vAlign w:val="center"/>
                </w:tcPr>
                <w:p w14:paraId="17CE0C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eastAsia="宋体"/>
                      <w:bCs/>
                      <w:color w:val="auto"/>
                      <w:spacing w:val="0"/>
                      <w:position w:val="0"/>
                      <w:sz w:val="21"/>
                      <w:szCs w:val="21"/>
                      <w:highlight w:val="none"/>
                      <w:lang w:val="en-US" w:eastAsia="zh-CN"/>
                    </w:rPr>
                  </w:pPr>
                  <w:r>
                    <w:rPr>
                      <w:rFonts w:hint="eastAsia"/>
                      <w:bCs/>
                      <w:color w:val="auto"/>
                      <w:spacing w:val="0"/>
                      <w:position w:val="0"/>
                      <w:sz w:val="21"/>
                      <w:szCs w:val="21"/>
                      <w:highlight w:val="none"/>
                      <w:lang w:val="en-US" w:eastAsia="zh-CN"/>
                    </w:rPr>
                    <w:t>716.482</w:t>
                  </w:r>
                </w:p>
              </w:tc>
              <w:tc>
                <w:tcPr>
                  <w:tcW w:w="613" w:type="pct"/>
                  <w:tcBorders>
                    <w:tl2br w:val="nil"/>
                    <w:tr2bl w:val="nil"/>
                  </w:tcBorders>
                  <w:noWrap w:val="0"/>
                  <w:vAlign w:val="center"/>
                </w:tcPr>
                <w:p w14:paraId="147491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6.567</w:t>
                  </w:r>
                </w:p>
              </w:tc>
              <w:tc>
                <w:tcPr>
                  <w:tcW w:w="618" w:type="pct"/>
                  <w:tcBorders>
                    <w:tl2br w:val="nil"/>
                    <w:tr2bl w:val="nil"/>
                  </w:tcBorders>
                  <w:noWrap w:val="0"/>
                  <w:vAlign w:val="center"/>
                </w:tcPr>
                <w:p w14:paraId="69D0510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445" w:type="pct"/>
                  <w:tcBorders>
                    <w:tl2br w:val="nil"/>
                    <w:tr2bl w:val="nil"/>
                  </w:tcBorders>
                  <w:noWrap w:val="0"/>
                  <w:vAlign w:val="center"/>
                </w:tcPr>
                <w:p w14:paraId="1924646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566" w:type="pct"/>
                  <w:tcBorders>
                    <w:tl2br w:val="nil"/>
                    <w:tr2bl w:val="nil"/>
                  </w:tcBorders>
                  <w:noWrap w:val="0"/>
                  <w:vAlign w:val="center"/>
                </w:tcPr>
                <w:p w14:paraId="435319D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设备停止运行，进行检修维护</w:t>
                  </w:r>
                </w:p>
              </w:tc>
            </w:tr>
          </w:tbl>
          <w:p w14:paraId="1C11F6EE">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b/>
                <w:bCs/>
                <w:color w:val="auto"/>
                <w:sz w:val="24"/>
                <w:szCs w:val="24"/>
                <w:highlight w:val="none"/>
              </w:rPr>
            </w:pPr>
            <w:r>
              <w:rPr>
                <w:rFonts w:hint="eastAsia" w:cs="Times New Roman"/>
                <w:b w:val="0"/>
                <w:bCs w:val="0"/>
                <w:color w:val="auto"/>
                <w:sz w:val="24"/>
                <w:szCs w:val="24"/>
                <w:highlight w:val="none"/>
                <w:lang w:eastAsia="zh-CN"/>
              </w:rPr>
              <w:t>（</w:t>
            </w:r>
            <w:r>
              <w:rPr>
                <w:rFonts w:hint="eastAsia" w:cs="Times New Roman"/>
                <w:b w:val="0"/>
                <w:bCs w:val="0"/>
                <w:color w:val="auto"/>
                <w:sz w:val="24"/>
                <w:szCs w:val="24"/>
                <w:highlight w:val="none"/>
                <w:lang w:val="en-US" w:eastAsia="zh-CN"/>
              </w:rPr>
              <w:t>6</w:t>
            </w:r>
            <w:r>
              <w:rPr>
                <w:rFonts w:hint="eastAsia"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废气监测计划</w:t>
            </w:r>
          </w:p>
          <w:p w14:paraId="3CF3C0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cs="Times New Roman"/>
                <w:color w:val="auto"/>
                <w:sz w:val="24"/>
                <w:szCs w:val="24"/>
                <w:highlight w:val="none"/>
              </w:rPr>
            </w:pPr>
            <w:r>
              <w:rPr>
                <w:rFonts w:hint="default"/>
                <w:color w:val="auto"/>
                <w:sz w:val="24"/>
                <w:szCs w:val="24"/>
                <w:highlight w:val="none"/>
              </w:rPr>
              <w:t>根据</w:t>
            </w:r>
            <w:r>
              <w:rPr>
                <w:rFonts w:hint="default" w:ascii="Times New Roman" w:hAnsi="Times New Roman" w:cs="Times New Roman"/>
                <w:color w:val="auto"/>
                <w:sz w:val="24"/>
                <w:szCs w:val="24"/>
                <w:highlight w:val="none"/>
              </w:rPr>
              <w:t>《排污许可证申请与核发技术规范 工业炉窑》（HJ1121-2020）</w:t>
            </w:r>
            <w:r>
              <w:rPr>
                <w:rFonts w:hint="eastAsia"/>
                <w:color w:val="auto"/>
                <w:sz w:val="24"/>
                <w:szCs w:val="24"/>
                <w:highlight w:val="none"/>
                <w:lang w:eastAsia="zh-CN"/>
              </w:rPr>
              <w:t>，</w:t>
            </w:r>
            <w:r>
              <w:rPr>
                <w:rFonts w:hint="default" w:ascii="Times New Roman" w:hAnsi="Times New Roman" w:cs="Times New Roman"/>
                <w:color w:val="auto"/>
                <w:sz w:val="24"/>
                <w:szCs w:val="24"/>
                <w:highlight w:val="none"/>
              </w:rPr>
              <w:t>制定本项目废气监测计划如下。</w:t>
            </w:r>
          </w:p>
          <w:p w14:paraId="2C2B5AC0">
            <w:pPr>
              <w:keepNext w:val="0"/>
              <w:keepLines w:val="0"/>
              <w:suppressLineNumbers w:val="0"/>
              <w:spacing w:before="0" w:beforeAutospacing="0" w:after="0" w:afterAutospacing="0"/>
              <w:ind w:left="0" w:right="0"/>
              <w:jc w:val="center"/>
              <w:rPr>
                <w:rFonts w:hint="default" w:ascii="Times New Roman" w:hAnsi="Times New Roman" w:cs="Times New Roman"/>
                <w:b/>
                <w:color w:val="auto"/>
                <w:sz w:val="24"/>
                <w:szCs w:val="24"/>
                <w:highlight w:val="none"/>
              </w:rPr>
            </w:pPr>
          </w:p>
          <w:p w14:paraId="090734B7">
            <w:pPr>
              <w:keepNext w:val="0"/>
              <w:keepLines w:val="0"/>
              <w:suppressLineNumbers w:val="0"/>
              <w:spacing w:before="0" w:beforeAutospacing="0" w:after="0" w:afterAutospacing="0"/>
              <w:ind w:left="0" w:right="0"/>
              <w:jc w:val="center"/>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表4-</w:t>
            </w:r>
            <w:r>
              <w:rPr>
                <w:rFonts w:hint="eastAsia" w:cs="Times New Roman"/>
                <w:b/>
                <w:color w:val="auto"/>
                <w:sz w:val="24"/>
                <w:szCs w:val="24"/>
                <w:highlight w:val="none"/>
                <w:lang w:val="en-US" w:eastAsia="zh-CN"/>
              </w:rPr>
              <w:t xml:space="preserve">4 </w:t>
            </w:r>
            <w:r>
              <w:rPr>
                <w:rFonts w:hint="default" w:ascii="Times New Roman" w:hAnsi="Times New Roman" w:cs="Times New Roman"/>
                <w:b/>
                <w:color w:val="auto"/>
                <w:sz w:val="24"/>
                <w:szCs w:val="24"/>
                <w:highlight w:val="none"/>
              </w:rPr>
              <w:t>废气监测方案</w:t>
            </w:r>
          </w:p>
          <w:tbl>
            <w:tblPr>
              <w:tblStyle w:val="38"/>
              <w:tblW w:w="498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8"/>
              <w:gridCol w:w="1288"/>
              <w:gridCol w:w="1825"/>
              <w:gridCol w:w="1220"/>
              <w:gridCol w:w="2848"/>
            </w:tblGrid>
            <w:tr w14:paraId="209C2C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58" w:type="dxa"/>
                  <w:tcBorders>
                    <w:tl2br w:val="nil"/>
                    <w:tr2bl w:val="nil"/>
                  </w:tcBorders>
                  <w:noWrap w:val="0"/>
                  <w:vAlign w:val="center"/>
                </w:tcPr>
                <w:p w14:paraId="110036A3">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编号</w:t>
                  </w:r>
                </w:p>
              </w:tc>
              <w:tc>
                <w:tcPr>
                  <w:tcW w:w="1289" w:type="dxa"/>
                  <w:tcBorders>
                    <w:tl2br w:val="nil"/>
                    <w:tr2bl w:val="nil"/>
                  </w:tcBorders>
                  <w:noWrap w:val="0"/>
                  <w:vAlign w:val="center"/>
                </w:tcPr>
                <w:p w14:paraId="359115FD">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排放口名称</w:t>
                  </w:r>
                </w:p>
              </w:tc>
              <w:tc>
                <w:tcPr>
                  <w:tcW w:w="1825" w:type="dxa"/>
                  <w:tcBorders>
                    <w:tl2br w:val="nil"/>
                    <w:tr2bl w:val="nil"/>
                  </w:tcBorders>
                  <w:noWrap w:val="0"/>
                  <w:vAlign w:val="center"/>
                </w:tcPr>
                <w:p w14:paraId="239AD0F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w:t>
                  </w:r>
                  <w:r>
                    <w:rPr>
                      <w:rFonts w:hint="default" w:ascii="Times New Roman" w:hAnsi="Times New Roman" w:eastAsia="宋体" w:cs="Times New Roman"/>
                      <w:bCs/>
                      <w:color w:val="auto"/>
                      <w:sz w:val="21"/>
                      <w:szCs w:val="21"/>
                      <w:highlight w:val="none"/>
                    </w:rPr>
                    <w:t>因子</w:t>
                  </w:r>
                </w:p>
              </w:tc>
              <w:tc>
                <w:tcPr>
                  <w:tcW w:w="1220" w:type="dxa"/>
                  <w:tcBorders>
                    <w:tl2br w:val="nil"/>
                    <w:tr2bl w:val="nil"/>
                  </w:tcBorders>
                  <w:noWrap w:val="0"/>
                  <w:vAlign w:val="center"/>
                </w:tcPr>
                <w:p w14:paraId="7DA53A7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监测频次</w:t>
                  </w:r>
                </w:p>
              </w:tc>
              <w:tc>
                <w:tcPr>
                  <w:tcW w:w="2848" w:type="dxa"/>
                  <w:tcBorders>
                    <w:tl2br w:val="nil"/>
                    <w:tr2bl w:val="nil"/>
                  </w:tcBorders>
                  <w:noWrap w:val="0"/>
                  <w:vAlign w:val="center"/>
                </w:tcPr>
                <w:p w14:paraId="0BB1458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执行排放标准</w:t>
                  </w:r>
                </w:p>
              </w:tc>
            </w:tr>
            <w:tr w14:paraId="288205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58" w:type="dxa"/>
                  <w:vMerge w:val="restart"/>
                  <w:tcBorders>
                    <w:tl2br w:val="nil"/>
                    <w:tr2bl w:val="nil"/>
                  </w:tcBorders>
                  <w:noWrap w:val="0"/>
                  <w:vAlign w:val="center"/>
                </w:tcPr>
                <w:p w14:paraId="7EB287F9">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DA001</w:t>
                  </w:r>
                </w:p>
              </w:tc>
              <w:tc>
                <w:tcPr>
                  <w:tcW w:w="1289" w:type="dxa"/>
                  <w:vMerge w:val="restart"/>
                  <w:tcBorders>
                    <w:tl2br w:val="nil"/>
                    <w:tr2bl w:val="nil"/>
                  </w:tcBorders>
                  <w:noWrap w:val="0"/>
                  <w:vAlign w:val="center"/>
                </w:tcPr>
                <w:p w14:paraId="1423E917">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21"/>
                      <w:szCs w:val="21"/>
                      <w:highlight w:val="none"/>
                      <w:lang w:eastAsia="zh-CN"/>
                    </w:rPr>
                  </w:pPr>
                  <w:r>
                    <w:rPr>
                      <w:rFonts w:hint="eastAsia"/>
                      <w:color w:val="auto"/>
                      <w:sz w:val="21"/>
                      <w:szCs w:val="21"/>
                      <w:highlight w:val="none"/>
                      <w:lang w:eastAsia="zh-CN"/>
                    </w:rPr>
                    <w:t>热风炉</w:t>
                  </w:r>
                  <w:r>
                    <w:rPr>
                      <w:rFonts w:hint="eastAsia" w:cs="Times New Roman"/>
                      <w:color w:val="auto"/>
                      <w:sz w:val="21"/>
                      <w:szCs w:val="21"/>
                      <w:highlight w:val="none"/>
                      <w:lang w:eastAsia="zh-CN"/>
                    </w:rPr>
                    <w:t>烟囱</w:t>
                  </w:r>
                </w:p>
              </w:tc>
              <w:tc>
                <w:tcPr>
                  <w:tcW w:w="1825" w:type="dxa"/>
                  <w:tcBorders>
                    <w:tl2br w:val="nil"/>
                    <w:tr2bl w:val="nil"/>
                  </w:tcBorders>
                  <w:noWrap w:val="0"/>
                  <w:vAlign w:val="center"/>
                </w:tcPr>
                <w:p w14:paraId="72FDD72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烟尘</w:t>
                  </w:r>
                  <w:r>
                    <w:rPr>
                      <w:rFonts w:hint="eastAsia"/>
                      <w:color w:val="auto"/>
                      <w:sz w:val="21"/>
                      <w:szCs w:val="21"/>
                      <w:highlight w:val="none"/>
                      <w:lang w:eastAsia="zh-CN"/>
                    </w:rPr>
                    <w:t>、烟气黑度</w:t>
                  </w:r>
                  <w:r>
                    <w:rPr>
                      <w:rFonts w:hint="default"/>
                      <w:color w:val="auto"/>
                      <w:sz w:val="21"/>
                      <w:szCs w:val="21"/>
                      <w:highlight w:val="none"/>
                    </w:rPr>
                    <w:t>、SO</w:t>
                  </w:r>
                  <w:r>
                    <w:rPr>
                      <w:rFonts w:hint="default"/>
                      <w:color w:val="auto"/>
                      <w:sz w:val="21"/>
                      <w:szCs w:val="21"/>
                      <w:highlight w:val="none"/>
                      <w:vertAlign w:val="subscript"/>
                    </w:rPr>
                    <w:t>2</w:t>
                  </w:r>
                </w:p>
              </w:tc>
              <w:tc>
                <w:tcPr>
                  <w:tcW w:w="1220" w:type="dxa"/>
                  <w:tcBorders>
                    <w:bottom w:val="single" w:color="000000" w:sz="4" w:space="0"/>
                    <w:tl2br w:val="nil"/>
                    <w:tr2bl w:val="nil"/>
                  </w:tcBorders>
                  <w:noWrap w:val="0"/>
                  <w:vAlign w:val="center"/>
                </w:tcPr>
                <w:p w14:paraId="5C619B5A">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次/</w:t>
                  </w:r>
                  <w:r>
                    <w:rPr>
                      <w:rFonts w:hint="eastAsia" w:cs="Times New Roman"/>
                      <w:color w:val="auto"/>
                      <w:sz w:val="21"/>
                      <w:szCs w:val="21"/>
                      <w:highlight w:val="none"/>
                      <w:lang w:val="en-US" w:eastAsia="zh-CN"/>
                    </w:rPr>
                    <w:t>年</w:t>
                  </w:r>
                </w:p>
              </w:tc>
              <w:tc>
                <w:tcPr>
                  <w:tcW w:w="2848" w:type="dxa"/>
                  <w:tcBorders>
                    <w:bottom w:val="single" w:color="000000" w:sz="4" w:space="0"/>
                    <w:tl2br w:val="nil"/>
                    <w:tr2bl w:val="nil"/>
                  </w:tcBorders>
                  <w:noWrap w:val="0"/>
                  <w:vAlign w:val="center"/>
                </w:tcPr>
                <w:p w14:paraId="7E9928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rPr>
                  </w:pPr>
                  <w:r>
                    <w:rPr>
                      <w:rFonts w:hint="eastAsia" w:ascii="Times New Roman" w:hAnsi="Times New Roman" w:eastAsia="宋体" w:cs="Times New Roman"/>
                      <w:b w:val="0"/>
                      <w:bCs w:val="0"/>
                      <w:color w:val="auto"/>
                      <w:sz w:val="21"/>
                      <w:szCs w:val="21"/>
                      <w:highlight w:val="none"/>
                      <w:lang w:val="en-US" w:eastAsia="zh-CN"/>
                    </w:rPr>
                    <w:t>《工业炉窑大气污染物排放标准》（GB9078-1996）</w:t>
                  </w:r>
                </w:p>
              </w:tc>
            </w:tr>
            <w:tr w14:paraId="4F1F68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58" w:type="dxa"/>
                  <w:vMerge w:val="continue"/>
                  <w:tcBorders>
                    <w:tl2br w:val="nil"/>
                    <w:tr2bl w:val="nil"/>
                  </w:tcBorders>
                  <w:noWrap w:val="0"/>
                  <w:vAlign w:val="center"/>
                </w:tcPr>
                <w:p w14:paraId="48327FB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sz w:val="21"/>
                      <w:szCs w:val="21"/>
                      <w:highlight w:val="none"/>
                    </w:rPr>
                  </w:pPr>
                </w:p>
              </w:tc>
              <w:tc>
                <w:tcPr>
                  <w:tcW w:w="1289" w:type="dxa"/>
                  <w:vMerge w:val="continue"/>
                  <w:tcBorders>
                    <w:tl2br w:val="nil"/>
                    <w:tr2bl w:val="nil"/>
                  </w:tcBorders>
                  <w:noWrap w:val="0"/>
                  <w:vAlign w:val="center"/>
                </w:tcPr>
                <w:p w14:paraId="13B80FA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sz w:val="21"/>
                      <w:szCs w:val="21"/>
                      <w:highlight w:val="none"/>
                    </w:rPr>
                  </w:pPr>
                </w:p>
              </w:tc>
              <w:tc>
                <w:tcPr>
                  <w:tcW w:w="1825" w:type="dxa"/>
                  <w:tcBorders>
                    <w:tl2br w:val="nil"/>
                    <w:tr2bl w:val="nil"/>
                  </w:tcBorders>
                  <w:noWrap w:val="0"/>
                  <w:vAlign w:val="center"/>
                </w:tcPr>
                <w:p w14:paraId="13339F8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color w:val="auto"/>
                      <w:sz w:val="21"/>
                      <w:szCs w:val="21"/>
                      <w:highlight w:val="none"/>
                    </w:rPr>
                    <w:t>NO</w:t>
                  </w:r>
                  <w:r>
                    <w:rPr>
                      <w:rFonts w:hint="default"/>
                      <w:color w:val="auto"/>
                      <w:sz w:val="21"/>
                      <w:szCs w:val="21"/>
                      <w:highlight w:val="none"/>
                      <w:vertAlign w:val="subscript"/>
                    </w:rPr>
                    <w:t>X</w:t>
                  </w:r>
                </w:p>
              </w:tc>
              <w:tc>
                <w:tcPr>
                  <w:tcW w:w="1220" w:type="dxa"/>
                  <w:tcBorders>
                    <w:top w:val="single" w:color="000000" w:sz="4" w:space="0"/>
                    <w:tl2br w:val="nil"/>
                    <w:tr2bl w:val="nil"/>
                  </w:tcBorders>
                  <w:noWrap w:val="0"/>
                  <w:vAlign w:val="center"/>
                </w:tcPr>
                <w:p w14:paraId="73B1886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次/月</w:t>
                  </w:r>
                </w:p>
              </w:tc>
              <w:tc>
                <w:tcPr>
                  <w:tcW w:w="2848" w:type="dxa"/>
                  <w:tcBorders>
                    <w:top w:val="single" w:color="000000" w:sz="4" w:space="0"/>
                    <w:tl2br w:val="nil"/>
                    <w:tr2bl w:val="nil"/>
                  </w:tcBorders>
                  <w:noWrap w:val="0"/>
                  <w:vAlign w:val="center"/>
                </w:tcPr>
                <w:p w14:paraId="6EA071F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bl>
          <w:p w14:paraId="2408AC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b/>
                <w:bCs/>
                <w:color w:val="auto"/>
                <w:sz w:val="24"/>
                <w:szCs w:val="24"/>
                <w:highlight w:val="none"/>
              </w:rPr>
            </w:pPr>
            <w:r>
              <w:rPr>
                <w:rFonts w:hint="default"/>
                <w:b/>
                <w:bCs/>
                <w:color w:val="auto"/>
                <w:sz w:val="24"/>
                <w:szCs w:val="24"/>
                <w:highlight w:val="none"/>
              </w:rPr>
              <w:t>表4-</w:t>
            </w:r>
            <w:r>
              <w:rPr>
                <w:rFonts w:hint="eastAsia"/>
                <w:b/>
                <w:bCs/>
                <w:color w:val="auto"/>
                <w:sz w:val="24"/>
                <w:szCs w:val="24"/>
                <w:highlight w:val="none"/>
                <w:lang w:val="en-US" w:eastAsia="zh-CN"/>
              </w:rPr>
              <w:t>5</w:t>
            </w:r>
            <w:r>
              <w:rPr>
                <w:rFonts w:hint="default"/>
                <w:b/>
                <w:bCs/>
                <w:color w:val="auto"/>
                <w:sz w:val="24"/>
                <w:szCs w:val="24"/>
                <w:highlight w:val="none"/>
              </w:rPr>
              <w:t xml:space="preserve"> 无组织废气监测要求</w:t>
            </w:r>
          </w:p>
          <w:tbl>
            <w:tblPr>
              <w:tblStyle w:val="38"/>
              <w:tblW w:w="798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1289"/>
              <w:gridCol w:w="1825"/>
              <w:gridCol w:w="1401"/>
              <w:gridCol w:w="3471"/>
            </w:tblGrid>
            <w:tr w14:paraId="3518D2BC">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20" w:hRule="atLeast"/>
                <w:jc w:val="center"/>
              </w:trPr>
              <w:tc>
                <w:tcPr>
                  <w:tcW w:w="1289" w:type="dxa"/>
                  <w:tcBorders>
                    <w:tl2br w:val="nil"/>
                    <w:tr2bl w:val="nil"/>
                  </w:tcBorders>
                  <w:noWrap w:val="0"/>
                  <w:vAlign w:val="center"/>
                </w:tcPr>
                <w:p w14:paraId="18F17C67">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rPr>
                  </w:pPr>
                  <w:r>
                    <w:rPr>
                      <w:rFonts w:hint="default"/>
                      <w:color w:val="auto"/>
                      <w:sz w:val="24"/>
                      <w:szCs w:val="24"/>
                      <w:highlight w:val="none"/>
                    </w:rPr>
                    <w:t>监测因子</w:t>
                  </w:r>
                </w:p>
              </w:tc>
              <w:tc>
                <w:tcPr>
                  <w:tcW w:w="1825" w:type="dxa"/>
                  <w:tcBorders>
                    <w:tl2br w:val="nil"/>
                    <w:tr2bl w:val="nil"/>
                  </w:tcBorders>
                  <w:noWrap w:val="0"/>
                  <w:vAlign w:val="center"/>
                </w:tcPr>
                <w:p w14:paraId="62875991">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color w:val="auto"/>
                      <w:sz w:val="24"/>
                      <w:szCs w:val="24"/>
                      <w:highlight w:val="none"/>
                    </w:rPr>
                    <w:t>监测频次</w:t>
                  </w:r>
                </w:p>
              </w:tc>
              <w:tc>
                <w:tcPr>
                  <w:tcW w:w="1401" w:type="dxa"/>
                  <w:tcBorders>
                    <w:tl2br w:val="nil"/>
                    <w:tr2bl w:val="nil"/>
                  </w:tcBorders>
                  <w:noWrap w:val="0"/>
                  <w:vAlign w:val="center"/>
                </w:tcPr>
                <w:p w14:paraId="4F6AE9EE">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color w:val="auto"/>
                      <w:sz w:val="24"/>
                      <w:szCs w:val="24"/>
                      <w:highlight w:val="none"/>
                    </w:rPr>
                    <w:t>监测点位</w:t>
                  </w:r>
                </w:p>
              </w:tc>
              <w:tc>
                <w:tcPr>
                  <w:tcW w:w="3471" w:type="dxa"/>
                  <w:tcBorders>
                    <w:tl2br w:val="nil"/>
                    <w:tr2bl w:val="nil"/>
                  </w:tcBorders>
                  <w:noWrap w:val="0"/>
                  <w:vAlign w:val="center"/>
                </w:tcPr>
                <w:p w14:paraId="53572D6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执行排放标准</w:t>
                  </w:r>
                </w:p>
              </w:tc>
            </w:tr>
            <w:tr w14:paraId="7D7ABB12">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20" w:hRule="atLeast"/>
                <w:jc w:val="center"/>
              </w:trPr>
              <w:tc>
                <w:tcPr>
                  <w:tcW w:w="1289" w:type="dxa"/>
                  <w:tcBorders>
                    <w:tl2br w:val="nil"/>
                    <w:tr2bl w:val="nil"/>
                  </w:tcBorders>
                  <w:noWrap w:val="0"/>
                  <w:vAlign w:val="center"/>
                </w:tcPr>
                <w:p w14:paraId="13C4DD65">
                  <w:pPr>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ascii="Times New Roman" w:hAnsi="Times New Roman" w:cs="Times New Roman"/>
                      <w:color w:val="auto"/>
                      <w:sz w:val="21"/>
                      <w:szCs w:val="21"/>
                    </w:rPr>
                    <w:t>厂界</w:t>
                  </w:r>
                </w:p>
              </w:tc>
              <w:tc>
                <w:tcPr>
                  <w:tcW w:w="1825" w:type="dxa"/>
                  <w:tcBorders>
                    <w:tl2br w:val="nil"/>
                    <w:tr2bl w:val="nil"/>
                  </w:tcBorders>
                  <w:noWrap w:val="0"/>
                  <w:vAlign w:val="center"/>
                </w:tcPr>
                <w:p w14:paraId="55BAEDBC">
                  <w:pPr>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ascii="Times New Roman" w:hAnsi="Times New Roman" w:cs="Times New Roman"/>
                      <w:color w:val="auto"/>
                      <w:sz w:val="21"/>
                      <w:szCs w:val="21"/>
                    </w:rPr>
                    <w:t>颗粒物</w:t>
                  </w:r>
                </w:p>
              </w:tc>
              <w:tc>
                <w:tcPr>
                  <w:tcW w:w="1401" w:type="dxa"/>
                  <w:tcBorders>
                    <w:tl2br w:val="nil"/>
                    <w:tr2bl w:val="nil"/>
                  </w:tcBorders>
                  <w:noWrap w:val="0"/>
                  <w:vAlign w:val="center"/>
                </w:tcPr>
                <w:p w14:paraId="4758466B">
                  <w:pPr>
                    <w:pStyle w:val="37"/>
                    <w:keepNext w:val="0"/>
                    <w:keepLines w:val="0"/>
                    <w:suppressLineNumbers w:val="0"/>
                    <w:spacing w:before="0" w:beforeAutospacing="0" w:after="0" w:afterAutospacing="0" w:line="240" w:lineRule="auto"/>
                    <w:ind w:left="0" w:leftChars="0" w:right="0" w:firstLine="0" w:firstLineChars="0"/>
                    <w:jc w:val="center"/>
                    <w:rPr>
                      <w:rFonts w:hint="default"/>
                      <w:color w:val="auto"/>
                      <w:sz w:val="21"/>
                      <w:szCs w:val="21"/>
                      <w:highlight w:val="none"/>
                    </w:rPr>
                  </w:pPr>
                  <w:r>
                    <w:rPr>
                      <w:rFonts w:hint="default" w:ascii="Times New Roman" w:hAnsi="Times New Roman" w:cs="Times New Roman"/>
                      <w:color w:val="auto"/>
                      <w:sz w:val="21"/>
                      <w:szCs w:val="21"/>
                    </w:rPr>
                    <w:t>1次/年</w:t>
                  </w:r>
                </w:p>
              </w:tc>
              <w:tc>
                <w:tcPr>
                  <w:tcW w:w="3471" w:type="dxa"/>
                  <w:tcBorders>
                    <w:tl2br w:val="nil"/>
                    <w:tr2bl w:val="nil"/>
                  </w:tcBorders>
                  <w:noWrap w:val="0"/>
                  <w:vAlign w:val="center"/>
                </w:tcPr>
                <w:p w14:paraId="51C3E25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rPr>
                    <w:t>《大气污染物综合排放标准》（GB16297－1996）</w:t>
                  </w:r>
                </w:p>
              </w:tc>
            </w:tr>
          </w:tbl>
          <w:p w14:paraId="019F814B">
            <w:pPr>
              <w:keepNext w:val="0"/>
              <w:keepLines w:val="0"/>
              <w:suppressLineNumbers w:val="0"/>
              <w:adjustRightInd w:val="0"/>
              <w:snapToGrid w:val="0"/>
              <w:spacing w:before="0" w:beforeAutospacing="0" w:after="0" w:afterAutospacing="0" w:line="360" w:lineRule="auto"/>
              <w:ind w:left="0" w:right="0" w:firstLine="480" w:firstLineChars="200"/>
              <w:rPr>
                <w:rFonts w:hint="eastAsia" w:cs="Times New Roman"/>
                <w:bCs/>
                <w:color w:val="auto"/>
                <w:sz w:val="24"/>
                <w:szCs w:val="24"/>
                <w:highlight w:val="none"/>
                <w:lang w:eastAsia="zh-CN"/>
              </w:rPr>
            </w:pPr>
            <w:r>
              <w:rPr>
                <w:rFonts w:hint="eastAsia" w:cs="Times New Roman"/>
                <w:bCs/>
                <w:color w:val="auto"/>
                <w:sz w:val="24"/>
                <w:szCs w:val="24"/>
                <w:highlight w:val="none"/>
                <w:lang w:eastAsia="zh-CN"/>
              </w:rPr>
              <w:t>（</w:t>
            </w:r>
            <w:r>
              <w:rPr>
                <w:rFonts w:hint="eastAsia" w:cs="Times New Roman"/>
                <w:bCs/>
                <w:color w:val="auto"/>
                <w:sz w:val="24"/>
                <w:szCs w:val="24"/>
                <w:highlight w:val="none"/>
                <w:lang w:val="en-US" w:eastAsia="zh-CN"/>
              </w:rPr>
              <w:t>7）废气处理技术</w:t>
            </w:r>
            <w:r>
              <w:rPr>
                <w:rFonts w:hint="eastAsia" w:cs="Times New Roman"/>
                <w:bCs/>
                <w:color w:val="auto"/>
                <w:sz w:val="24"/>
                <w:szCs w:val="24"/>
                <w:highlight w:val="none"/>
                <w:lang w:eastAsia="zh-CN"/>
              </w:rPr>
              <w:t>可行性分析</w:t>
            </w:r>
          </w:p>
          <w:p w14:paraId="16FA09CB">
            <w:pPr>
              <w:keepNext w:val="0"/>
              <w:keepLines w:val="0"/>
              <w:pageBreakBefore w:val="0"/>
              <w:numPr>
                <w:ilvl w:val="0"/>
                <w:numId w:val="0"/>
              </w:numPr>
              <w:suppressLineNumbers w:val="0"/>
              <w:kinsoku/>
              <w:wordWrap/>
              <w:overflowPunct/>
              <w:topLinePunct w:val="0"/>
              <w:bidi w:val="0"/>
              <w:spacing w:before="0" w:beforeAutospacing="0" w:after="0" w:afterAutospacing="0" w:line="360" w:lineRule="auto"/>
              <w:ind w:left="0" w:right="0" w:firstLine="480" w:firstLineChars="200"/>
              <w:contextualSpacing/>
              <w:rPr>
                <w:rStyle w:val="156"/>
                <w:rFonts w:hint="eastAsia" w:ascii="Times New Roman" w:hAnsi="Times New Roman" w:eastAsia="宋体" w:cs="Times New Roman"/>
                <w:color w:val="auto"/>
                <w:highlight w:val="none"/>
                <w:lang w:val="en-US" w:eastAsia="zh-CN"/>
              </w:rPr>
            </w:pPr>
            <w:r>
              <w:rPr>
                <w:rStyle w:val="156"/>
                <w:rFonts w:hint="eastAsia" w:ascii="Times New Roman" w:hAnsi="Times New Roman" w:eastAsia="宋体" w:cs="Times New Roman"/>
                <w:color w:val="auto"/>
                <w:highlight w:val="none"/>
                <w:lang w:val="en-US" w:eastAsia="zh-CN"/>
              </w:rPr>
              <w:t>袋式除尘技术是一种干式滤尘技术，它适用于捕集细小、干燥、非纤维性粉尘。其工作原理是利用滤袋对含尘气体进行过滤，本项目滤袋规格为</w:t>
            </w:r>
            <w:r>
              <w:rPr>
                <w:rStyle w:val="156"/>
                <w:rFonts w:hint="default" w:ascii="Times New Roman" w:hAnsi="Times New Roman" w:eastAsia="宋体" w:cs="Times New Roman"/>
                <w:color w:val="auto"/>
                <w:highlight w:val="none"/>
                <w:lang w:val="en-US" w:eastAsia="zh-CN"/>
              </w:rPr>
              <w:t>250</w:t>
            </w:r>
            <w:r>
              <w:rPr>
                <w:rStyle w:val="156"/>
                <w:rFonts w:hint="eastAsia" w:ascii="Times New Roman" w:hAnsi="Times New Roman" w:eastAsia="宋体" w:cs="Times New Roman"/>
                <w:color w:val="auto"/>
                <w:highlight w:val="none"/>
                <w:lang w:val="en-US" w:eastAsia="zh-CN"/>
              </w:rPr>
              <w:t>纳米，颗粒大、比重大的粉尘，由于重力的作用沉降下来，落入灰斗，含有较细小粉尘的气体在通过滤料时，粉尘被阻留，使气体得到净化。过滤材料捕集粗粒粉尘主要靠惯性碰撞作用，捕集细粒粉尘主要靠扩散和筛分作用。滤料的粉尘层也有一定的过滤作用，除尘效率可达</w:t>
            </w:r>
            <w:r>
              <w:rPr>
                <w:rStyle w:val="156"/>
                <w:rFonts w:hint="default" w:ascii="Times New Roman" w:hAnsi="Times New Roman" w:eastAsia="宋体" w:cs="Times New Roman"/>
                <w:color w:val="auto"/>
                <w:highlight w:val="none"/>
                <w:lang w:val="en-US" w:eastAsia="zh-CN"/>
              </w:rPr>
              <w:t>99%</w:t>
            </w:r>
            <w:r>
              <w:rPr>
                <w:rStyle w:val="156"/>
                <w:rFonts w:hint="eastAsia" w:ascii="Times New Roman" w:hAnsi="Times New Roman" w:eastAsia="宋体" w:cs="Times New Roman"/>
                <w:color w:val="auto"/>
                <w:highlight w:val="none"/>
                <w:lang w:val="en-US" w:eastAsia="zh-CN"/>
              </w:rPr>
              <w:t>以上。布袋除尘器滤袋材质设计选用PPS滤料，具有使用寿命长、稳定可靠等特点；同时，布袋除尘器还具有不停机在线检修、喷吹压力小等特点，在除尘效率、系统运行能耗和滤袋寿命等指标上都达到先进水平。</w:t>
            </w:r>
          </w:p>
          <w:p w14:paraId="484CB6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根据</w:t>
            </w:r>
            <w:r>
              <w:rPr>
                <w:rFonts w:hint="default" w:ascii="Times New Roman" w:hAnsi="Times New Roman" w:eastAsia="宋体" w:cs="Times New Roman"/>
                <w:color w:val="auto"/>
                <w:sz w:val="24"/>
                <w:szCs w:val="24"/>
                <w:highlight w:val="none"/>
                <w:lang w:val="en-US" w:eastAsia="zh-CN"/>
              </w:rPr>
              <w:t>《排污许可证申请与核发技术规范 工业炉窑》（HJ1121</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2020）中对污染防治可行技术的要求，</w:t>
            </w:r>
            <w:r>
              <w:rPr>
                <w:rFonts w:hint="eastAsia" w:ascii="Times New Roman" w:hAnsi="Times New Roman" w:cs="Times New Roman"/>
                <w:color w:val="auto"/>
                <w:sz w:val="24"/>
                <w:szCs w:val="24"/>
                <w:highlight w:val="none"/>
                <w:lang w:val="en-US" w:eastAsia="zh-CN"/>
              </w:rPr>
              <w:t>本</w:t>
            </w:r>
            <w:r>
              <w:rPr>
                <w:rFonts w:hint="default" w:ascii="Times New Roman" w:hAnsi="Times New Roman" w:eastAsia="宋体" w:cs="Times New Roman"/>
                <w:color w:val="auto"/>
                <w:sz w:val="24"/>
                <w:szCs w:val="24"/>
                <w:highlight w:val="none"/>
                <w:lang w:val="en-US" w:eastAsia="zh-CN"/>
              </w:rPr>
              <w:t>项目燃</w:t>
            </w:r>
            <w:r>
              <w:rPr>
                <w:rFonts w:hint="eastAsia" w:cs="Times New Roman"/>
                <w:color w:val="auto"/>
                <w:sz w:val="24"/>
                <w:szCs w:val="24"/>
                <w:highlight w:val="none"/>
                <w:lang w:val="en-US" w:eastAsia="zh-CN"/>
              </w:rPr>
              <w:t>生物质链条热风炉</w:t>
            </w:r>
            <w:r>
              <w:rPr>
                <w:rFonts w:hint="default" w:ascii="Times New Roman" w:hAnsi="Times New Roman" w:eastAsia="宋体" w:cs="Times New Roman"/>
                <w:color w:val="auto"/>
                <w:sz w:val="24"/>
                <w:szCs w:val="24"/>
                <w:highlight w:val="none"/>
                <w:lang w:val="en-US" w:eastAsia="zh-CN"/>
              </w:rPr>
              <w:t>采取布袋除尘器处理烟气，属于可行技术。</w:t>
            </w:r>
          </w:p>
          <w:p w14:paraId="1CF6CA29">
            <w:pPr>
              <w:keepNext w:val="0"/>
              <w:keepLines w:val="0"/>
              <w:pageBreakBefore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eastAsia="zh-CN"/>
              </w:rPr>
              <w:t>烟囱</w:t>
            </w:r>
            <w:r>
              <w:rPr>
                <w:rFonts w:hint="default" w:ascii="Times New Roman" w:hAnsi="Times New Roman" w:eastAsia="宋体" w:cs="Times New Roman"/>
                <w:color w:val="auto"/>
                <w:sz w:val="24"/>
                <w:szCs w:val="24"/>
                <w:highlight w:val="none"/>
              </w:rPr>
              <w:t>设置合理性分析</w:t>
            </w:r>
          </w:p>
          <w:p w14:paraId="773D0BBF">
            <w:pPr>
              <w:pStyle w:val="2"/>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0" w:beforeAutospacing="0" w:after="0" w:afterAutospacing="0" w:line="360" w:lineRule="auto"/>
              <w:ind w:left="0" w:right="0" w:rightChars="0" w:firstLine="480" w:firstLineChars="200"/>
              <w:jc w:val="both"/>
              <w:textAlignment w:val="baseline"/>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根据</w:t>
            </w:r>
            <w:r>
              <w:rPr>
                <w:rFonts w:hint="default" w:ascii="Times New Roman" w:hAnsi="Times New Roman" w:cs="Times New Roman"/>
                <w:color w:val="auto"/>
                <w:sz w:val="24"/>
                <w:szCs w:val="24"/>
                <w:highlight w:val="none"/>
              </w:rPr>
              <w:t>《工业炉窑大气污染物排放标准》（GB9078-1996）</w:t>
            </w:r>
            <w:r>
              <w:rPr>
                <w:rFonts w:hint="default" w:ascii="Times New Roman" w:hAnsi="Times New Roman" w:eastAsia="宋体" w:cs="Times New Roman"/>
                <w:color w:val="auto"/>
                <w:sz w:val="24"/>
                <w:szCs w:val="24"/>
                <w:highlight w:val="none"/>
                <w:lang w:val="en-US" w:eastAsia="zh-CN"/>
              </w:rPr>
              <w:t>中对于</w:t>
            </w:r>
            <w:r>
              <w:rPr>
                <w:rFonts w:hint="default" w:ascii="Times New Roman" w:hAnsi="Times New Roman" w:cs="Times New Roman"/>
                <w:color w:val="auto"/>
                <w:sz w:val="24"/>
                <w:szCs w:val="24"/>
                <w:highlight w:val="none"/>
              </w:rPr>
              <w:t>工业炉窑</w:t>
            </w:r>
            <w:r>
              <w:rPr>
                <w:rFonts w:hint="default" w:ascii="Times New Roman" w:hAnsi="Times New Roman" w:cs="Times New Roman"/>
                <w:color w:val="auto"/>
                <w:sz w:val="24"/>
                <w:szCs w:val="24"/>
                <w:highlight w:val="none"/>
                <w:lang w:val="en-US" w:eastAsia="zh-CN"/>
              </w:rPr>
              <w:t>烟囱</w:t>
            </w:r>
            <w:r>
              <w:rPr>
                <w:rFonts w:hint="default" w:ascii="Times New Roman" w:hAnsi="Times New Roman" w:eastAsia="宋体" w:cs="Times New Roman"/>
                <w:color w:val="auto"/>
                <w:sz w:val="24"/>
                <w:szCs w:val="24"/>
                <w:highlight w:val="none"/>
                <w:lang w:val="en-US" w:eastAsia="zh-CN"/>
              </w:rPr>
              <w:t>的要求可知，</w:t>
            </w:r>
            <w:r>
              <w:rPr>
                <w:rFonts w:hint="default" w:ascii="Times New Roman" w:hAnsi="Times New Roman" w:cs="Times New Roman"/>
                <w:color w:val="auto"/>
                <w:sz w:val="24"/>
                <w:szCs w:val="24"/>
                <w:highlight w:val="none"/>
              </w:rPr>
              <w:t>工业炉窑</w:t>
            </w:r>
            <w:r>
              <w:rPr>
                <w:rFonts w:hint="default" w:ascii="Times New Roman" w:hAnsi="Times New Roman" w:cs="Times New Roman"/>
                <w:color w:val="auto"/>
                <w:sz w:val="24"/>
                <w:szCs w:val="24"/>
                <w:highlight w:val="none"/>
                <w:lang w:val="en-US" w:eastAsia="zh-CN"/>
              </w:rPr>
              <w:t>烟囱</w:t>
            </w:r>
            <w:r>
              <w:rPr>
                <w:rFonts w:hint="default" w:ascii="Times New Roman" w:hAnsi="Times New Roman" w:eastAsia="宋体" w:cs="Times New Roman"/>
                <w:color w:val="auto"/>
                <w:sz w:val="24"/>
                <w:szCs w:val="24"/>
                <w:highlight w:val="none"/>
                <w:lang w:val="en-US" w:eastAsia="zh-CN"/>
              </w:rPr>
              <w:t>应不低于</w:t>
            </w:r>
            <w:r>
              <w:rPr>
                <w:rFonts w:hint="eastAsia" w:ascii="Times New Roman" w:hAnsi="Times New Roman" w:cs="Times New Roman"/>
                <w:color w:val="auto"/>
                <w:sz w:val="24"/>
                <w:szCs w:val="24"/>
                <w:highlight w:val="none"/>
                <w:lang w:val="en-US" w:eastAsia="zh-CN"/>
              </w:rPr>
              <w:t>15m</w:t>
            </w:r>
            <w:r>
              <w:rPr>
                <w:rFonts w:hint="default" w:ascii="Times New Roman" w:hAnsi="Times New Roman" w:eastAsia="宋体" w:cs="Times New Roman"/>
                <w:color w:val="auto"/>
                <w:sz w:val="24"/>
                <w:szCs w:val="24"/>
                <w:highlight w:val="none"/>
                <w:lang w:val="en-US" w:eastAsia="zh-CN"/>
              </w:rPr>
              <w:t>，并应高于周边200m范围最高建筑物高度3m以上，本项目</w:t>
            </w:r>
            <w:r>
              <w:rPr>
                <w:rFonts w:hint="default" w:ascii="Times New Roman" w:hAnsi="Times New Roman" w:cs="Times New Roman"/>
                <w:color w:val="auto"/>
                <w:sz w:val="24"/>
                <w:szCs w:val="24"/>
                <w:highlight w:val="none"/>
                <w:lang w:val="en-US" w:eastAsia="zh-CN"/>
              </w:rPr>
              <w:t>热风炉烟囱</w:t>
            </w:r>
            <w:r>
              <w:rPr>
                <w:rFonts w:hint="default" w:ascii="Times New Roman" w:hAnsi="Times New Roman" w:eastAsia="宋体" w:cs="Times New Roman"/>
                <w:color w:val="auto"/>
                <w:sz w:val="24"/>
                <w:szCs w:val="24"/>
                <w:highlight w:val="none"/>
                <w:lang w:val="en-US" w:eastAsia="zh-CN"/>
              </w:rPr>
              <w:t>（DA00</w:t>
            </w:r>
            <w:r>
              <w:rPr>
                <w:rFonts w:hint="default" w:ascii="Times New Roman" w:hAnsi="Times New Roman"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）高度</w:t>
            </w:r>
            <w:r>
              <w:rPr>
                <w:rFonts w:hint="eastAsia" w:ascii="Times New Roman" w:hAnsi="Times New Roman" w:cs="Times New Roman"/>
                <w:color w:val="auto"/>
                <w:sz w:val="24"/>
                <w:szCs w:val="24"/>
                <w:highlight w:val="none"/>
                <w:lang w:val="en-US" w:eastAsia="zh-CN"/>
              </w:rPr>
              <w:t>18</w:t>
            </w:r>
            <w:r>
              <w:rPr>
                <w:rFonts w:hint="default" w:ascii="Times New Roman" w:hAnsi="Times New Roman" w:eastAsia="宋体" w:cs="Times New Roman"/>
                <w:color w:val="auto"/>
                <w:sz w:val="24"/>
                <w:szCs w:val="24"/>
                <w:highlight w:val="none"/>
                <w:lang w:val="en-US" w:eastAsia="zh-CN"/>
              </w:rPr>
              <w:t>，周边200m范围内最高建筑物建筑高度</w:t>
            </w:r>
            <w:r>
              <w:rPr>
                <w:rFonts w:hint="default" w:ascii="Times New Roman" w:hAnsi="Times New Roman" w:cs="Times New Roman"/>
                <w:color w:val="auto"/>
                <w:sz w:val="24"/>
                <w:szCs w:val="24"/>
                <w:highlight w:val="none"/>
                <w:lang w:val="en-US" w:eastAsia="zh-CN"/>
              </w:rPr>
              <w:t>约</w:t>
            </w:r>
            <w:r>
              <w:rPr>
                <w:rFonts w:hint="eastAsia" w:ascii="Times New Roman" w:hAnsi="Times New Roman" w:cs="Times New Roman"/>
                <w:color w:val="auto"/>
                <w:sz w:val="24"/>
                <w:szCs w:val="24"/>
                <w:highlight w:val="none"/>
                <w:lang w:val="en-US" w:eastAsia="zh-CN"/>
              </w:rPr>
              <w:t>15</w:t>
            </w:r>
            <w:r>
              <w:rPr>
                <w:rFonts w:hint="default" w:ascii="Times New Roman" w:hAnsi="Times New Roman" w:eastAsia="宋体" w:cs="Times New Roman"/>
                <w:color w:val="auto"/>
                <w:sz w:val="24"/>
                <w:szCs w:val="24"/>
                <w:highlight w:val="none"/>
                <w:lang w:val="en-US" w:eastAsia="zh-CN"/>
              </w:rPr>
              <w:t>m，</w:t>
            </w:r>
            <w:r>
              <w:rPr>
                <w:rFonts w:hint="eastAsia" w:ascii="Times New Roman" w:hAnsi="Times New Roman" w:cs="Times New Roman"/>
                <w:color w:val="auto"/>
                <w:sz w:val="24"/>
                <w:szCs w:val="24"/>
                <w:highlight w:val="none"/>
                <w:lang w:val="en-US" w:eastAsia="zh-CN"/>
              </w:rPr>
              <w:t>为厂区北侧废弃办公楼，</w:t>
            </w:r>
            <w:r>
              <w:rPr>
                <w:rFonts w:hint="default" w:ascii="Times New Roman" w:hAnsi="Times New Roman" w:eastAsia="宋体" w:cs="Times New Roman"/>
                <w:color w:val="auto"/>
                <w:sz w:val="24"/>
                <w:szCs w:val="24"/>
                <w:highlight w:val="none"/>
                <w:lang w:val="en-US" w:eastAsia="zh-CN"/>
              </w:rPr>
              <w:t>因此本项目</w:t>
            </w:r>
            <w:r>
              <w:rPr>
                <w:rFonts w:hint="default" w:ascii="Times New Roman" w:hAnsi="Times New Roman" w:cs="Times New Roman"/>
                <w:color w:val="auto"/>
                <w:sz w:val="24"/>
                <w:szCs w:val="24"/>
                <w:highlight w:val="none"/>
                <w:lang w:val="en-US" w:eastAsia="zh-CN"/>
              </w:rPr>
              <w:t>热风炉烟囱</w:t>
            </w:r>
            <w:r>
              <w:rPr>
                <w:rFonts w:hint="default" w:ascii="Times New Roman" w:hAnsi="Times New Roman" w:eastAsia="宋体" w:cs="Times New Roman"/>
                <w:color w:val="auto"/>
                <w:sz w:val="24"/>
                <w:szCs w:val="24"/>
                <w:highlight w:val="none"/>
                <w:lang w:val="en-US" w:eastAsia="zh-CN"/>
              </w:rPr>
              <w:t>符合</w:t>
            </w:r>
            <w:r>
              <w:rPr>
                <w:rFonts w:hint="default" w:ascii="Times New Roman" w:hAnsi="Times New Roman" w:cs="Times New Roman"/>
                <w:color w:val="auto"/>
                <w:sz w:val="24"/>
                <w:szCs w:val="24"/>
                <w:highlight w:val="none"/>
              </w:rPr>
              <w:t>《工业炉窑大气污染物排放标准》（GB9078-1996）</w:t>
            </w:r>
            <w:r>
              <w:rPr>
                <w:rFonts w:hint="default" w:ascii="Times New Roman" w:hAnsi="Times New Roman" w:eastAsia="宋体" w:cs="Times New Roman"/>
                <w:color w:val="auto"/>
                <w:sz w:val="24"/>
                <w:szCs w:val="24"/>
                <w:highlight w:val="none"/>
                <w:lang w:val="en-US" w:eastAsia="zh-CN"/>
              </w:rPr>
              <w:t>对于</w:t>
            </w:r>
            <w:r>
              <w:rPr>
                <w:rFonts w:hint="default" w:ascii="Times New Roman" w:hAnsi="Times New Roman" w:cs="Times New Roman"/>
                <w:color w:val="auto"/>
                <w:sz w:val="24"/>
                <w:szCs w:val="24"/>
                <w:highlight w:val="none"/>
              </w:rPr>
              <w:t>工业炉窑</w:t>
            </w:r>
            <w:r>
              <w:rPr>
                <w:rFonts w:hint="default" w:ascii="Times New Roman" w:hAnsi="Times New Roman" w:cs="Times New Roman"/>
                <w:color w:val="auto"/>
                <w:sz w:val="24"/>
                <w:szCs w:val="24"/>
                <w:highlight w:val="none"/>
                <w:lang w:val="en-US" w:eastAsia="zh-CN"/>
              </w:rPr>
              <w:t>烟囱</w:t>
            </w:r>
            <w:r>
              <w:rPr>
                <w:rFonts w:hint="default" w:ascii="Times New Roman" w:hAnsi="Times New Roman" w:eastAsia="宋体" w:cs="Times New Roman"/>
                <w:color w:val="auto"/>
                <w:sz w:val="24"/>
                <w:szCs w:val="24"/>
                <w:highlight w:val="none"/>
                <w:lang w:val="en-US" w:eastAsia="zh-CN"/>
              </w:rPr>
              <w:t>高度的要求。</w:t>
            </w:r>
          </w:p>
          <w:p w14:paraId="0FC91136">
            <w:pPr>
              <w:keepNext w:val="0"/>
              <w:keepLines w:val="0"/>
              <w:pageBreakBefore w:val="0"/>
              <w:widowControl w:val="0"/>
              <w:numPr>
                <w:ilvl w:val="0"/>
                <w:numId w:val="1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jc w:val="both"/>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废气排放环境影响</w:t>
            </w:r>
          </w:p>
          <w:p w14:paraId="14728D0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cs="Times New Roman"/>
                <w:bCs/>
                <w:color w:val="auto"/>
                <w:kern w:val="0"/>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本项目热风炉烟气通过布袋除尘器处理后经</w:t>
            </w:r>
            <w:r>
              <w:rPr>
                <w:rFonts w:hint="eastAsia" w:cs="Times New Roman"/>
                <w:b w:val="0"/>
                <w:bCs w:val="0"/>
                <w:color w:val="auto"/>
                <w:sz w:val="24"/>
                <w:szCs w:val="24"/>
                <w:highlight w:val="none"/>
                <w:lang w:val="en-US" w:eastAsia="zh-CN"/>
              </w:rPr>
              <w:t>18m烟囱（DA001）</w:t>
            </w:r>
            <w:r>
              <w:rPr>
                <w:rFonts w:hint="eastAsia" w:ascii="Times New Roman" w:hAnsi="Times New Roman" w:eastAsia="宋体" w:cs="Times New Roman"/>
                <w:b w:val="0"/>
                <w:bCs w:val="0"/>
                <w:color w:val="auto"/>
                <w:sz w:val="24"/>
                <w:szCs w:val="24"/>
                <w:highlight w:val="none"/>
                <w:lang w:val="en-US" w:eastAsia="zh-CN"/>
              </w:rPr>
              <w:t>高空排放，SO</w:t>
            </w:r>
            <w:r>
              <w:rPr>
                <w:rFonts w:hint="eastAsia" w:ascii="Times New Roman" w:hAnsi="Times New Roman" w:eastAsia="宋体" w:cs="Times New Roman"/>
                <w:b w:val="0"/>
                <w:bCs w:val="0"/>
                <w:color w:val="auto"/>
                <w:sz w:val="24"/>
                <w:szCs w:val="24"/>
                <w:highlight w:val="none"/>
                <w:vertAlign w:val="subscript"/>
                <w:lang w:val="en-US" w:eastAsia="zh-CN"/>
              </w:rPr>
              <w:t>2</w:t>
            </w:r>
            <w:r>
              <w:rPr>
                <w:rFonts w:hint="eastAsia" w:ascii="Times New Roman" w:hAnsi="Times New Roman" w:eastAsia="宋体" w:cs="Times New Roman"/>
                <w:b w:val="0"/>
                <w:bCs w:val="0"/>
                <w:color w:val="auto"/>
                <w:sz w:val="24"/>
                <w:szCs w:val="24"/>
                <w:highlight w:val="none"/>
                <w:lang w:val="en-US" w:eastAsia="zh-CN"/>
              </w:rPr>
              <w:t>排放浓度</w:t>
            </w:r>
            <w:r>
              <w:rPr>
                <w:rFonts w:hint="eastAsia" w:cs="Times New Roman"/>
                <w:b w:val="0"/>
                <w:bCs w:val="0"/>
                <w:color w:val="auto"/>
                <w:sz w:val="24"/>
                <w:szCs w:val="24"/>
                <w:highlight w:val="none"/>
                <w:lang w:val="en-US" w:eastAsia="zh-CN"/>
              </w:rPr>
              <w:t>符合</w:t>
            </w:r>
            <w:r>
              <w:rPr>
                <w:rFonts w:hint="eastAsia" w:ascii="Times New Roman" w:hAnsi="Times New Roman" w:eastAsia="宋体" w:cs="Times New Roman"/>
                <w:b w:val="0"/>
                <w:bCs w:val="0"/>
                <w:color w:val="auto"/>
                <w:sz w:val="24"/>
                <w:szCs w:val="24"/>
                <w:highlight w:val="none"/>
                <w:lang w:val="en-US" w:eastAsia="zh-CN"/>
              </w:rPr>
              <w:t>《工业炉窑大气污染物排放标准》（GB9078-1996）中的表4中的二级标准，</w:t>
            </w:r>
            <w:r>
              <w:rPr>
                <w:rFonts w:hint="eastAsia" w:cs="Times New Roman"/>
                <w:b w:val="0"/>
                <w:bCs w:val="0"/>
                <w:color w:val="auto"/>
                <w:sz w:val="24"/>
                <w:szCs w:val="24"/>
                <w:highlight w:val="none"/>
                <w:lang w:val="en-US" w:eastAsia="zh-CN"/>
              </w:rPr>
              <w:t>烟尘排放浓度及烟气黑度符合</w:t>
            </w:r>
            <w:r>
              <w:rPr>
                <w:rFonts w:hint="eastAsia" w:ascii="Times New Roman" w:hAnsi="Times New Roman" w:eastAsia="宋体" w:cs="Times New Roman"/>
                <w:b w:val="0"/>
                <w:bCs w:val="0"/>
                <w:color w:val="auto"/>
                <w:sz w:val="24"/>
                <w:szCs w:val="24"/>
                <w:highlight w:val="none"/>
                <w:lang w:val="en-US" w:eastAsia="zh-CN"/>
              </w:rPr>
              <w:t>《工业炉窑大气污染物排放标准》（GB9078-1996）中的表2中的二级标准。</w:t>
            </w:r>
            <w:r>
              <w:rPr>
                <w:rFonts w:hint="eastAsia" w:cs="Times New Roman"/>
                <w:bCs/>
                <w:color w:val="auto"/>
                <w:kern w:val="0"/>
                <w:sz w:val="24"/>
                <w:szCs w:val="24"/>
                <w:highlight w:val="none"/>
                <w:lang w:val="en-US" w:eastAsia="zh-CN"/>
              </w:rPr>
              <w:t>热风炉房外无组织粉尘排放浓度满足《工业炉窑大气污染物排放标准》（GB9078-1996）表3中有车间厂房其他窑炉无组织排放烟尘最高允许浓度限值要求。</w:t>
            </w:r>
          </w:p>
          <w:p w14:paraId="576F9CF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原料烘干、运输、筛分过程会有粉尘产生，此部分粉尘以无组织的形式排放。装卸工段采取粮仓密闭四周设置临时围挡、减小装卸高度等降尘措施，输送过程中输送带采取加罩密封，在设备连接处加密封垫或密封胶；清粮采用全密闭滚筒筛，产生的粉尘经处理后排放；烘干塔内部自带重力沉降室，烘干塔底部四周设置防尘挡板，粉尘受挡板格挡后受重力作用回落到烘干塔底部收尘设施中。</w:t>
            </w:r>
            <w:r>
              <w:rPr>
                <w:rFonts w:hint="eastAsia" w:cs="Times New Roman"/>
                <w:b w:val="0"/>
                <w:bCs w:val="0"/>
                <w:color w:val="auto"/>
                <w:sz w:val="24"/>
                <w:szCs w:val="24"/>
                <w:highlight w:val="none"/>
                <w:lang w:val="en-US" w:eastAsia="zh-CN"/>
              </w:rPr>
              <w:t>热风炉</w:t>
            </w:r>
            <w:r>
              <w:rPr>
                <w:rFonts w:hint="eastAsia" w:ascii="Times New Roman" w:hAnsi="Times New Roman" w:eastAsia="宋体" w:cs="Times New Roman"/>
                <w:b w:val="0"/>
                <w:bCs w:val="0"/>
                <w:color w:val="auto"/>
                <w:sz w:val="24"/>
                <w:szCs w:val="24"/>
                <w:highlight w:val="none"/>
                <w:lang w:val="en-US" w:eastAsia="zh-CN"/>
              </w:rPr>
              <w:t>密闭并定期洒水抑尘，减少粉尘扩散</w:t>
            </w:r>
            <w:r>
              <w:rPr>
                <w:rFonts w:hint="eastAsia"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厂界颗粒物排放浓度符合《大气污染物综合排放标准》（GB16297-1996）表2无组织排放浓度限值要求。</w:t>
            </w:r>
          </w:p>
          <w:p w14:paraId="0FAE7B3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综上所述，在落实污染防治措施的前提下，并保证环保设施正常运行，本项目排放的污染物对评价区域环境空气质量影响较小。</w:t>
            </w:r>
          </w:p>
          <w:p w14:paraId="30F0190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jc w:val="both"/>
              <w:textAlignment w:val="auto"/>
              <w:rPr>
                <w:rFonts w:hint="default" w:ascii="Times New Roman" w:hAnsi="Times New Roman" w:cs="Times New Roman"/>
                <w:b/>
                <w:color w:val="auto"/>
                <w:sz w:val="24"/>
                <w:szCs w:val="24"/>
                <w:highlight w:val="none"/>
              </w:rPr>
            </w:pPr>
            <w:r>
              <w:rPr>
                <w:rFonts w:hint="eastAsia" w:cs="Times New Roman"/>
                <w:b/>
                <w:color w:val="auto"/>
                <w:sz w:val="24"/>
                <w:szCs w:val="24"/>
                <w:highlight w:val="none"/>
                <w:lang w:val="en-US" w:eastAsia="zh-CN"/>
              </w:rPr>
              <w:t>2、</w:t>
            </w:r>
            <w:r>
              <w:rPr>
                <w:rFonts w:hint="default" w:ascii="Times New Roman" w:hAnsi="Times New Roman" w:cs="Times New Roman"/>
                <w:b/>
                <w:color w:val="auto"/>
                <w:sz w:val="24"/>
                <w:szCs w:val="24"/>
                <w:highlight w:val="none"/>
              </w:rPr>
              <w:t>废水</w:t>
            </w:r>
          </w:p>
          <w:p w14:paraId="5900D3B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default" w:ascii="Times New Roman" w:hAnsi="Times New Roman" w:cs="Times New Roman"/>
                <w:color w:val="auto"/>
                <w:kern w:val="0"/>
                <w:sz w:val="24"/>
                <w:szCs w:val="24"/>
                <w:highlight w:val="none"/>
                <w:shd w:val="clear" w:color="auto" w:fill="auto"/>
              </w:rPr>
            </w:pPr>
            <w:r>
              <w:rPr>
                <w:rFonts w:hint="default" w:ascii="Times New Roman" w:hAnsi="Times New Roman" w:cs="Times New Roman"/>
                <w:bCs/>
                <w:color w:val="auto"/>
                <w:sz w:val="24"/>
                <w:szCs w:val="24"/>
                <w:highlight w:val="none"/>
              </w:rPr>
              <w:t>（1）</w:t>
            </w:r>
            <w:r>
              <w:rPr>
                <w:rFonts w:hint="default" w:ascii="Times New Roman" w:hAnsi="Times New Roman" w:cs="Times New Roman"/>
                <w:color w:val="auto"/>
                <w:kern w:val="0"/>
                <w:sz w:val="24"/>
                <w:szCs w:val="24"/>
                <w:highlight w:val="none"/>
                <w:shd w:val="clear" w:color="auto" w:fill="auto"/>
              </w:rPr>
              <w:t>生活污水</w:t>
            </w:r>
          </w:p>
          <w:p w14:paraId="40210F7E">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eastAsia" w:eastAsia="宋体"/>
                <w:lang w:eastAsia="zh-CN"/>
              </w:rPr>
            </w:pPr>
            <w:r>
              <w:rPr>
                <w:rFonts w:hint="eastAsia" w:cs="Times New Roman"/>
                <w:bCs/>
                <w:color w:val="auto"/>
                <w:sz w:val="24"/>
                <w:szCs w:val="24"/>
                <w:highlight w:val="none"/>
                <w:lang w:eastAsia="zh-CN"/>
              </w:rPr>
              <w:t>生活污水按用水的</w:t>
            </w:r>
            <w:r>
              <w:rPr>
                <w:rFonts w:hint="eastAsia" w:cs="Times New Roman"/>
                <w:bCs/>
                <w:color w:val="auto"/>
                <w:sz w:val="24"/>
                <w:szCs w:val="24"/>
                <w:highlight w:val="none"/>
                <w:lang w:val="en-US" w:eastAsia="zh-CN"/>
              </w:rPr>
              <w:t>80%计，则本项目生活污水排水量为0.512</w:t>
            </w:r>
            <w:r>
              <w:rPr>
                <w:rFonts w:hint="eastAsia" w:ascii="Times New Roman" w:hAnsi="Times New Roman" w:cs="Times New Roman"/>
                <w:color w:val="auto"/>
                <w:sz w:val="24"/>
                <w:szCs w:val="24"/>
                <w:highlight w:val="none"/>
                <w:lang w:val="en-US" w:eastAsia="zh-CN"/>
              </w:rPr>
              <w:t>t</w:t>
            </w:r>
            <w:r>
              <w:rPr>
                <w:rFonts w:hint="default" w:ascii="Times New Roman" w:hAnsi="Times New Roman" w:cs="Times New Roman"/>
                <w:color w:val="auto"/>
                <w:sz w:val="24"/>
                <w:szCs w:val="24"/>
                <w:highlight w:val="none"/>
              </w:rPr>
              <w:t>/d</w:t>
            </w:r>
            <w:r>
              <w:rPr>
                <w:rFonts w:hint="eastAsia" w:ascii="Times New Roman" w:hAnsi="Times New Roman" w:cs="Times New Roman"/>
                <w:color w:val="auto"/>
                <w:sz w:val="24"/>
                <w:szCs w:val="24"/>
                <w:highlight w:val="none"/>
                <w:lang w:eastAsia="zh-CN"/>
              </w:rPr>
              <w:t>，</w:t>
            </w:r>
            <w:r>
              <w:rPr>
                <w:rFonts w:hint="eastAsia" w:cs="Times New Roman"/>
                <w:color w:val="auto"/>
                <w:sz w:val="24"/>
                <w:szCs w:val="24"/>
                <w:highlight w:val="none"/>
                <w:lang w:val="en-US" w:eastAsia="zh-CN"/>
              </w:rPr>
              <w:t>25.6</w:t>
            </w:r>
            <w:r>
              <w:rPr>
                <w:rFonts w:hint="eastAsia" w:ascii="Times New Roman" w:hAnsi="Times New Roman" w:cs="Times New Roman"/>
                <w:color w:val="auto"/>
                <w:sz w:val="24"/>
                <w:szCs w:val="24"/>
                <w:highlight w:val="none"/>
                <w:lang w:val="en-US" w:eastAsia="zh-CN"/>
              </w:rPr>
              <w:t>t</w:t>
            </w:r>
            <w:r>
              <w:rPr>
                <w:rFonts w:hint="default" w:ascii="Times New Roman" w:hAnsi="Times New Roman" w:cs="Times New Roman"/>
                <w:color w:val="auto"/>
                <w:sz w:val="24"/>
                <w:szCs w:val="24"/>
                <w:highlight w:val="none"/>
              </w:rPr>
              <w:t>/a</w:t>
            </w:r>
            <w:r>
              <w:rPr>
                <w:rFonts w:hint="eastAsia" w:ascii="Times New Roman" w:hAnsi="Times New Roman" w:cs="Times New Roman"/>
                <w:color w:val="auto"/>
                <w:sz w:val="24"/>
                <w:szCs w:val="24"/>
                <w:highlight w:val="none"/>
                <w:lang w:eastAsia="zh-CN"/>
              </w:rPr>
              <w:t>。</w:t>
            </w:r>
            <w:r>
              <w:rPr>
                <w:rFonts w:hint="eastAsia"/>
                <w:color w:val="auto"/>
                <w:sz w:val="24"/>
                <w:szCs w:val="24"/>
                <w:highlight w:val="none"/>
              </w:rPr>
              <w:t>参照《社会区域类环境影响评价》（主编：吴波，编制时间2007年）中给出的生活污水中各项污染物浓度</w:t>
            </w:r>
            <w:r>
              <w:rPr>
                <w:rFonts w:hint="eastAsia"/>
                <w:color w:val="auto"/>
                <w:sz w:val="24"/>
                <w:szCs w:val="24"/>
                <w:highlight w:val="none"/>
                <w:lang w:eastAsia="zh-CN"/>
              </w:rPr>
              <w:t>，</w:t>
            </w:r>
            <w:r>
              <w:rPr>
                <w:rFonts w:hint="default" w:ascii="Times New Roman" w:hAnsi="Times New Roman" w:cs="Times New Roman"/>
                <w:color w:val="auto"/>
                <w:kern w:val="0"/>
                <w:sz w:val="24"/>
                <w:szCs w:val="24"/>
                <w:highlight w:val="none"/>
                <w:shd w:val="clear" w:color="auto" w:fill="auto"/>
              </w:rPr>
              <w:t>生活污水COD</w:t>
            </w:r>
            <w:r>
              <w:rPr>
                <w:rFonts w:hint="eastAsia" w:cs="Times New Roman"/>
                <w:color w:val="auto"/>
                <w:kern w:val="0"/>
                <w:sz w:val="24"/>
                <w:szCs w:val="24"/>
                <w:highlight w:val="none"/>
                <w:shd w:val="clear" w:color="auto" w:fill="auto"/>
                <w:lang w:val="en-US" w:eastAsia="zh-CN"/>
              </w:rPr>
              <w:t>产生</w:t>
            </w:r>
            <w:r>
              <w:rPr>
                <w:rFonts w:hint="default" w:ascii="Times New Roman" w:hAnsi="Times New Roman" w:cs="Times New Roman"/>
                <w:color w:val="auto"/>
                <w:kern w:val="0"/>
                <w:sz w:val="24"/>
                <w:szCs w:val="24"/>
                <w:highlight w:val="none"/>
                <w:shd w:val="clear" w:color="auto" w:fill="auto"/>
              </w:rPr>
              <w:t>浓度取值3</w:t>
            </w:r>
            <w:r>
              <w:rPr>
                <w:rFonts w:hint="default" w:ascii="Times New Roman" w:hAnsi="Times New Roman" w:cs="Times New Roman"/>
                <w:color w:val="auto"/>
                <w:kern w:val="0"/>
                <w:sz w:val="24"/>
                <w:szCs w:val="24"/>
                <w:highlight w:val="none"/>
                <w:shd w:val="clear" w:color="auto" w:fill="auto"/>
                <w:lang w:val="en-US" w:eastAsia="zh-CN"/>
              </w:rPr>
              <w:t>0</w:t>
            </w:r>
            <w:r>
              <w:rPr>
                <w:rFonts w:hint="default" w:ascii="Times New Roman" w:hAnsi="Times New Roman" w:cs="Times New Roman"/>
                <w:color w:val="auto"/>
                <w:kern w:val="0"/>
                <w:sz w:val="24"/>
                <w:szCs w:val="24"/>
                <w:highlight w:val="none"/>
                <w:shd w:val="clear" w:color="auto" w:fill="auto"/>
              </w:rPr>
              <w:t>0mg/L，氨氮</w:t>
            </w:r>
            <w:r>
              <w:rPr>
                <w:rFonts w:hint="eastAsia" w:cs="Times New Roman"/>
                <w:color w:val="auto"/>
                <w:kern w:val="0"/>
                <w:sz w:val="24"/>
                <w:szCs w:val="24"/>
                <w:highlight w:val="none"/>
                <w:shd w:val="clear" w:color="auto" w:fill="auto"/>
                <w:lang w:val="en-US" w:eastAsia="zh-CN"/>
              </w:rPr>
              <w:t>产生</w:t>
            </w:r>
            <w:r>
              <w:rPr>
                <w:rFonts w:hint="default" w:ascii="Times New Roman" w:hAnsi="Times New Roman" w:cs="Times New Roman"/>
                <w:color w:val="auto"/>
                <w:kern w:val="0"/>
                <w:sz w:val="24"/>
                <w:szCs w:val="24"/>
                <w:highlight w:val="none"/>
                <w:shd w:val="clear" w:color="auto" w:fill="auto"/>
              </w:rPr>
              <w:t>浓度取值25mg/L，BOD</w:t>
            </w:r>
            <w:r>
              <w:rPr>
                <w:rFonts w:hint="default" w:ascii="Times New Roman" w:hAnsi="Times New Roman" w:cs="Times New Roman"/>
                <w:color w:val="auto"/>
                <w:kern w:val="0"/>
                <w:sz w:val="24"/>
                <w:szCs w:val="24"/>
                <w:highlight w:val="none"/>
                <w:shd w:val="clear" w:color="auto" w:fill="auto"/>
                <w:vertAlign w:val="subscript"/>
              </w:rPr>
              <w:t>5</w:t>
            </w:r>
            <w:r>
              <w:rPr>
                <w:rFonts w:hint="eastAsia" w:cs="Times New Roman"/>
                <w:color w:val="auto"/>
                <w:kern w:val="0"/>
                <w:sz w:val="24"/>
                <w:szCs w:val="24"/>
                <w:highlight w:val="none"/>
                <w:shd w:val="clear" w:color="auto" w:fill="auto"/>
                <w:lang w:val="en-US" w:eastAsia="zh-CN"/>
              </w:rPr>
              <w:t>产生</w:t>
            </w:r>
            <w:r>
              <w:rPr>
                <w:rFonts w:hint="default" w:ascii="Times New Roman" w:hAnsi="Times New Roman" w:cs="Times New Roman"/>
                <w:color w:val="auto"/>
                <w:kern w:val="0"/>
                <w:sz w:val="24"/>
                <w:szCs w:val="24"/>
                <w:highlight w:val="none"/>
                <w:shd w:val="clear" w:color="auto" w:fill="auto"/>
              </w:rPr>
              <w:t>浓度取值200mg/L，SS</w:t>
            </w:r>
            <w:r>
              <w:rPr>
                <w:rFonts w:hint="eastAsia" w:cs="Times New Roman"/>
                <w:color w:val="auto"/>
                <w:kern w:val="0"/>
                <w:sz w:val="24"/>
                <w:szCs w:val="24"/>
                <w:highlight w:val="none"/>
                <w:shd w:val="clear" w:color="auto" w:fill="auto"/>
                <w:lang w:val="en-US" w:eastAsia="zh-CN"/>
              </w:rPr>
              <w:t>产生</w:t>
            </w:r>
            <w:r>
              <w:rPr>
                <w:rFonts w:hint="default" w:ascii="Times New Roman" w:hAnsi="Times New Roman" w:cs="Times New Roman"/>
                <w:color w:val="auto"/>
                <w:kern w:val="0"/>
                <w:sz w:val="24"/>
                <w:szCs w:val="24"/>
                <w:highlight w:val="none"/>
                <w:shd w:val="clear" w:color="auto" w:fill="auto"/>
              </w:rPr>
              <w:t>浓度取值</w:t>
            </w:r>
            <w:r>
              <w:rPr>
                <w:rFonts w:hint="default" w:ascii="Times New Roman" w:hAnsi="Times New Roman" w:cs="Times New Roman"/>
                <w:color w:val="auto"/>
                <w:kern w:val="0"/>
                <w:sz w:val="24"/>
                <w:szCs w:val="24"/>
                <w:highlight w:val="none"/>
                <w:shd w:val="clear" w:color="auto" w:fill="auto"/>
                <w:lang w:val="en-US" w:eastAsia="zh-CN"/>
              </w:rPr>
              <w:t>2</w:t>
            </w:r>
            <w:r>
              <w:rPr>
                <w:rFonts w:hint="default" w:ascii="Times New Roman" w:hAnsi="Times New Roman" w:cs="Times New Roman"/>
                <w:color w:val="auto"/>
                <w:kern w:val="0"/>
                <w:sz w:val="24"/>
                <w:szCs w:val="24"/>
                <w:highlight w:val="none"/>
                <w:shd w:val="clear" w:color="auto" w:fill="auto"/>
              </w:rPr>
              <w:t>00mg/L</w:t>
            </w:r>
            <w:r>
              <w:rPr>
                <w:rFonts w:hint="eastAsia" w:ascii="Times New Roman" w:hAnsi="Times New Roman" w:cs="Times New Roman"/>
                <w:color w:val="auto"/>
                <w:kern w:val="0"/>
                <w:sz w:val="24"/>
                <w:szCs w:val="24"/>
                <w:highlight w:val="none"/>
                <w:shd w:val="clear" w:color="auto" w:fill="auto"/>
                <w:lang w:eastAsia="zh-CN"/>
              </w:rPr>
              <w:t>。</w:t>
            </w:r>
          </w:p>
          <w:p w14:paraId="348995F5">
            <w:pPr>
              <w:keepNext w:val="0"/>
              <w:keepLines w:val="0"/>
              <w:suppressLineNumbers w:val="0"/>
              <w:adjustRightInd w:val="0"/>
              <w:snapToGrid w:val="0"/>
              <w:spacing w:before="0" w:beforeAutospacing="0" w:after="0" w:afterAutospacing="0"/>
              <w:ind w:left="0" w:right="0"/>
              <w:jc w:val="center"/>
              <w:rPr>
                <w:rFonts w:hint="eastAsia" w:eastAsia="宋体"/>
                <w:b/>
                <w:bCs/>
                <w:color w:val="auto"/>
                <w:sz w:val="24"/>
                <w:szCs w:val="24"/>
                <w:highlight w:val="none"/>
                <w:lang w:eastAsia="zh-CN"/>
              </w:rPr>
            </w:pPr>
            <w:r>
              <w:rPr>
                <w:rFonts w:hint="default" w:ascii="Times New Roman" w:hAnsi="Times New Roman" w:cs="Times New Roman"/>
                <w:b/>
                <w:color w:val="auto"/>
                <w:sz w:val="24"/>
                <w:szCs w:val="24"/>
                <w:highlight w:val="none"/>
              </w:rPr>
              <w:t>表4</w:t>
            </w:r>
            <w:r>
              <w:rPr>
                <w:rFonts w:hint="eastAsia" w:cs="Times New Roman"/>
                <w:b/>
                <w:color w:val="auto"/>
                <w:sz w:val="24"/>
                <w:szCs w:val="24"/>
                <w:highlight w:val="none"/>
                <w:lang w:val="en-US" w:eastAsia="zh-CN"/>
              </w:rPr>
              <w:t xml:space="preserve">-6 </w:t>
            </w:r>
            <w:r>
              <w:rPr>
                <w:rFonts w:hint="default"/>
                <w:b/>
                <w:bCs/>
                <w:color w:val="auto"/>
                <w:sz w:val="24"/>
                <w:szCs w:val="24"/>
                <w:highlight w:val="none"/>
              </w:rPr>
              <w:t>废水污染源源强核算结果及相关参数一览表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7"/>
              <w:gridCol w:w="731"/>
              <w:gridCol w:w="480"/>
              <w:gridCol w:w="785"/>
              <w:gridCol w:w="807"/>
              <w:gridCol w:w="840"/>
              <w:gridCol w:w="502"/>
              <w:gridCol w:w="513"/>
              <w:gridCol w:w="445"/>
              <w:gridCol w:w="610"/>
              <w:gridCol w:w="834"/>
              <w:gridCol w:w="683"/>
            </w:tblGrid>
            <w:tr w14:paraId="664E82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restart"/>
                  <w:tcBorders>
                    <w:tl2br w:val="nil"/>
                    <w:tr2bl w:val="nil"/>
                  </w:tcBorders>
                  <w:vAlign w:val="center"/>
                </w:tcPr>
                <w:p w14:paraId="701645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排放源</w:t>
                  </w:r>
                </w:p>
              </w:tc>
              <w:tc>
                <w:tcPr>
                  <w:tcW w:w="459" w:type="pct"/>
                  <w:vMerge w:val="restart"/>
                  <w:tcBorders>
                    <w:tl2br w:val="nil"/>
                    <w:tr2bl w:val="nil"/>
                  </w:tcBorders>
                  <w:vAlign w:val="center"/>
                </w:tcPr>
                <w:p w14:paraId="459126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污染物</w:t>
                  </w:r>
                </w:p>
              </w:tc>
              <w:tc>
                <w:tcPr>
                  <w:tcW w:w="1829" w:type="pct"/>
                  <w:gridSpan w:val="4"/>
                  <w:tcBorders>
                    <w:tl2br w:val="nil"/>
                    <w:tr2bl w:val="nil"/>
                  </w:tcBorders>
                  <w:vAlign w:val="center"/>
                </w:tcPr>
                <w:p w14:paraId="19E80A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污染物产生</w:t>
                  </w:r>
                </w:p>
              </w:tc>
              <w:tc>
                <w:tcPr>
                  <w:tcW w:w="637" w:type="pct"/>
                  <w:gridSpan w:val="2"/>
                  <w:tcBorders>
                    <w:tl2br w:val="nil"/>
                    <w:tr2bl w:val="nil"/>
                  </w:tcBorders>
                  <w:vAlign w:val="center"/>
                </w:tcPr>
                <w:p w14:paraId="08BDBA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治理</w:t>
                  </w:r>
                </w:p>
                <w:p w14:paraId="72D10E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措施</w:t>
                  </w:r>
                </w:p>
              </w:tc>
              <w:tc>
                <w:tcPr>
                  <w:tcW w:w="1616" w:type="pct"/>
                  <w:gridSpan w:val="4"/>
                  <w:tcBorders>
                    <w:tl2br w:val="nil"/>
                    <w:tr2bl w:val="nil"/>
                  </w:tcBorders>
                  <w:vAlign w:val="center"/>
                </w:tcPr>
                <w:p w14:paraId="792CFD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污染物</w:t>
                  </w:r>
                  <w:r>
                    <w:rPr>
                      <w:rFonts w:hint="default" w:ascii="Times New Roman" w:hAnsi="Times New Roman" w:cs="Times New Roman" w:eastAsiaTheme="minorEastAsia"/>
                      <w:color w:val="auto"/>
                      <w:sz w:val="21"/>
                      <w:szCs w:val="21"/>
                      <w:highlight w:val="none"/>
                      <w:lang w:val="en-US" w:eastAsia="zh-CN"/>
                    </w:rPr>
                    <w:t>排放</w:t>
                  </w:r>
                </w:p>
              </w:tc>
            </w:tr>
            <w:tr w14:paraId="3F1B4E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tcBorders>
                    <w:tl2br w:val="nil"/>
                    <w:tr2bl w:val="nil"/>
                  </w:tcBorders>
                  <w:vAlign w:val="center"/>
                </w:tcPr>
                <w:p w14:paraId="5D2C26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459" w:type="pct"/>
                  <w:vMerge w:val="continue"/>
                  <w:tcBorders>
                    <w:tl2br w:val="nil"/>
                    <w:tr2bl w:val="nil"/>
                  </w:tcBorders>
                  <w:vAlign w:val="center"/>
                </w:tcPr>
                <w:p w14:paraId="2E6E53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301" w:type="pct"/>
                  <w:tcBorders>
                    <w:tl2br w:val="nil"/>
                    <w:tr2bl w:val="nil"/>
                  </w:tcBorders>
                  <w:vAlign w:val="center"/>
                </w:tcPr>
                <w:p w14:paraId="0DAC6E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核算方法</w:t>
                  </w:r>
                </w:p>
              </w:tc>
              <w:tc>
                <w:tcPr>
                  <w:tcW w:w="493" w:type="pct"/>
                  <w:tcBorders>
                    <w:tl2br w:val="nil"/>
                    <w:tr2bl w:val="nil"/>
                  </w:tcBorders>
                  <w:vAlign w:val="center"/>
                </w:tcPr>
                <w:p w14:paraId="17A440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废水量</w:t>
                  </w:r>
                  <w:r>
                    <w:rPr>
                      <w:rFonts w:hint="default" w:ascii="Times New Roman" w:hAnsi="Times New Roman" w:cs="Times New Roman" w:eastAsiaTheme="minorEastAsia"/>
                      <w:color w:val="auto"/>
                      <w:sz w:val="21"/>
                      <w:szCs w:val="21"/>
                      <w:highlight w:val="none"/>
                      <w:lang w:val="en-US" w:eastAsia="zh-CN"/>
                    </w:rPr>
                    <w:t>t</w:t>
                  </w:r>
                  <w:r>
                    <w:rPr>
                      <w:rFonts w:hint="default" w:ascii="Times New Roman" w:hAnsi="Times New Roman" w:cs="Times New Roman" w:eastAsiaTheme="minorEastAsia"/>
                      <w:color w:val="auto"/>
                      <w:sz w:val="21"/>
                      <w:szCs w:val="21"/>
                      <w:highlight w:val="none"/>
                    </w:rPr>
                    <w:t>/a</w:t>
                  </w:r>
                </w:p>
              </w:tc>
              <w:tc>
                <w:tcPr>
                  <w:tcW w:w="507" w:type="pct"/>
                  <w:tcBorders>
                    <w:tl2br w:val="nil"/>
                    <w:tr2bl w:val="nil"/>
                  </w:tcBorders>
                  <w:vAlign w:val="center"/>
                </w:tcPr>
                <w:p w14:paraId="432084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产生</w:t>
                  </w:r>
                </w:p>
                <w:p w14:paraId="6142FE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浓度mg/L</w:t>
                  </w:r>
                </w:p>
              </w:tc>
              <w:tc>
                <w:tcPr>
                  <w:tcW w:w="527" w:type="pct"/>
                  <w:tcBorders>
                    <w:tl2br w:val="nil"/>
                    <w:tr2bl w:val="nil"/>
                  </w:tcBorders>
                  <w:vAlign w:val="center"/>
                </w:tcPr>
                <w:p w14:paraId="5D59A6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产生量t/a</w:t>
                  </w:r>
                </w:p>
              </w:tc>
              <w:tc>
                <w:tcPr>
                  <w:tcW w:w="315" w:type="pct"/>
                  <w:tcBorders>
                    <w:tl2br w:val="nil"/>
                    <w:tr2bl w:val="nil"/>
                  </w:tcBorders>
                  <w:vAlign w:val="center"/>
                </w:tcPr>
                <w:p w14:paraId="5F632B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工艺</w:t>
                  </w:r>
                </w:p>
              </w:tc>
              <w:tc>
                <w:tcPr>
                  <w:tcW w:w="322" w:type="pct"/>
                  <w:tcBorders>
                    <w:tl2br w:val="nil"/>
                    <w:tr2bl w:val="nil"/>
                  </w:tcBorders>
                  <w:vAlign w:val="center"/>
                </w:tcPr>
                <w:p w14:paraId="7D5826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效率</w:t>
                  </w:r>
                </w:p>
                <w:p w14:paraId="114406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c>
                <w:tcPr>
                  <w:tcW w:w="279" w:type="pct"/>
                  <w:tcBorders>
                    <w:tl2br w:val="nil"/>
                    <w:tr2bl w:val="nil"/>
                  </w:tcBorders>
                  <w:vAlign w:val="center"/>
                </w:tcPr>
                <w:p w14:paraId="62AD8D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核算方法</w:t>
                  </w:r>
                </w:p>
              </w:tc>
              <w:tc>
                <w:tcPr>
                  <w:tcW w:w="383" w:type="pct"/>
                  <w:tcBorders>
                    <w:tl2br w:val="nil"/>
                    <w:tr2bl w:val="nil"/>
                  </w:tcBorders>
                  <w:vAlign w:val="center"/>
                </w:tcPr>
                <w:p w14:paraId="5E5380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废水量</w:t>
                  </w:r>
                  <w:r>
                    <w:rPr>
                      <w:rFonts w:hint="default" w:ascii="Times New Roman" w:hAnsi="Times New Roman" w:cs="Times New Roman" w:eastAsiaTheme="minorEastAsia"/>
                      <w:color w:val="auto"/>
                      <w:sz w:val="21"/>
                      <w:szCs w:val="21"/>
                      <w:highlight w:val="none"/>
                      <w:lang w:val="en-US" w:eastAsia="zh-CN"/>
                    </w:rPr>
                    <w:t>t</w:t>
                  </w:r>
                  <w:r>
                    <w:rPr>
                      <w:rFonts w:hint="default" w:ascii="Times New Roman" w:hAnsi="Times New Roman" w:cs="Times New Roman" w:eastAsiaTheme="minorEastAsia"/>
                      <w:color w:val="auto"/>
                      <w:sz w:val="21"/>
                      <w:szCs w:val="21"/>
                      <w:highlight w:val="none"/>
                    </w:rPr>
                    <w:t>/a</w:t>
                  </w:r>
                </w:p>
              </w:tc>
              <w:tc>
                <w:tcPr>
                  <w:tcW w:w="524" w:type="pct"/>
                  <w:tcBorders>
                    <w:tl2br w:val="nil"/>
                    <w:tr2bl w:val="nil"/>
                  </w:tcBorders>
                  <w:vAlign w:val="center"/>
                </w:tcPr>
                <w:p w14:paraId="7E937F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排放浓度mg/L</w:t>
                  </w:r>
                </w:p>
              </w:tc>
              <w:tc>
                <w:tcPr>
                  <w:tcW w:w="429" w:type="pct"/>
                  <w:tcBorders>
                    <w:tl2br w:val="nil"/>
                    <w:tr2bl w:val="nil"/>
                  </w:tcBorders>
                  <w:vAlign w:val="center"/>
                </w:tcPr>
                <w:p w14:paraId="15ED30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排放量t/a</w:t>
                  </w:r>
                </w:p>
              </w:tc>
            </w:tr>
            <w:tr w14:paraId="4CB843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restart"/>
                  <w:tcBorders>
                    <w:tl2br w:val="nil"/>
                    <w:tr2bl w:val="nil"/>
                  </w:tcBorders>
                  <w:vAlign w:val="center"/>
                </w:tcPr>
                <w:p w14:paraId="131BBE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生活污水</w:t>
                  </w:r>
                </w:p>
              </w:tc>
              <w:tc>
                <w:tcPr>
                  <w:tcW w:w="459" w:type="pct"/>
                  <w:tcBorders>
                    <w:tl2br w:val="nil"/>
                    <w:tr2bl w:val="nil"/>
                  </w:tcBorders>
                  <w:vAlign w:val="center"/>
                </w:tcPr>
                <w:p w14:paraId="6EA59D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COD</w:t>
                  </w:r>
                </w:p>
              </w:tc>
              <w:tc>
                <w:tcPr>
                  <w:tcW w:w="301" w:type="pct"/>
                  <w:vMerge w:val="restart"/>
                  <w:tcBorders>
                    <w:tl2br w:val="nil"/>
                    <w:tr2bl w:val="nil"/>
                  </w:tcBorders>
                  <w:vAlign w:val="center"/>
                </w:tcPr>
                <w:p w14:paraId="36B509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类比法</w:t>
                  </w:r>
                </w:p>
              </w:tc>
              <w:tc>
                <w:tcPr>
                  <w:tcW w:w="493" w:type="pct"/>
                  <w:vMerge w:val="restart"/>
                  <w:tcBorders>
                    <w:tl2br w:val="nil"/>
                    <w:tr2bl w:val="nil"/>
                  </w:tcBorders>
                  <w:vAlign w:val="center"/>
                </w:tcPr>
                <w:p w14:paraId="470695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25.6</w:t>
                  </w:r>
                </w:p>
              </w:tc>
              <w:tc>
                <w:tcPr>
                  <w:tcW w:w="507" w:type="pct"/>
                  <w:tcBorders>
                    <w:tl2br w:val="nil"/>
                    <w:tr2bl w:val="nil"/>
                  </w:tcBorders>
                  <w:vAlign w:val="center"/>
                </w:tcPr>
                <w:p w14:paraId="3598F3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300</w:t>
                  </w:r>
                </w:p>
              </w:tc>
              <w:tc>
                <w:tcPr>
                  <w:tcW w:w="527" w:type="pct"/>
                  <w:tcBorders>
                    <w:tl2br w:val="nil"/>
                    <w:tr2bl w:val="nil"/>
                  </w:tcBorders>
                  <w:vAlign w:val="center"/>
                </w:tcPr>
                <w:p w14:paraId="23B9C2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kern w:val="0"/>
                      <w:sz w:val="21"/>
                      <w:szCs w:val="21"/>
                      <w:highlight w:val="none"/>
                      <w:shd w:val="clear" w:color="auto" w:fill="auto"/>
                      <w:lang w:val="en-US" w:eastAsia="zh-CN"/>
                    </w:rPr>
                  </w:pPr>
                  <w:r>
                    <w:rPr>
                      <w:rFonts w:hint="eastAsia" w:cs="Times New Roman" w:eastAsiaTheme="minorEastAsia"/>
                      <w:color w:val="auto"/>
                      <w:kern w:val="0"/>
                      <w:sz w:val="21"/>
                      <w:szCs w:val="21"/>
                      <w:highlight w:val="none"/>
                      <w:shd w:val="clear" w:color="auto" w:fill="auto"/>
                      <w:lang w:val="en-US" w:eastAsia="zh-CN"/>
                    </w:rPr>
                    <w:t>0.008</w:t>
                  </w:r>
                </w:p>
              </w:tc>
              <w:tc>
                <w:tcPr>
                  <w:tcW w:w="315" w:type="pct"/>
                  <w:vMerge w:val="restart"/>
                  <w:tcBorders>
                    <w:tl2br w:val="nil"/>
                    <w:tr2bl w:val="nil"/>
                  </w:tcBorders>
                  <w:vAlign w:val="center"/>
                </w:tcPr>
                <w:p w14:paraId="4F69BA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firstLine="0" w:firstLineChars="0"/>
                    <w:jc w:val="center"/>
                    <w:textAlignment w:val="auto"/>
                    <w:rPr>
                      <w:rFonts w:hint="default" w:ascii="Times New Roman" w:hAnsi="Times New Roman" w:cs="Times New Roman" w:eastAsiaTheme="minorEastAsia"/>
                      <w:color w:val="auto"/>
                      <w:kern w:val="0"/>
                      <w:sz w:val="21"/>
                      <w:szCs w:val="21"/>
                      <w:highlight w:val="none"/>
                      <w:shd w:val="clear" w:color="auto" w:fill="auto"/>
                      <w:lang w:val="en-US" w:eastAsia="zh-CN"/>
                    </w:rPr>
                  </w:pPr>
                  <w:r>
                    <w:rPr>
                      <w:rFonts w:hint="default" w:ascii="Times New Roman" w:hAnsi="Times New Roman" w:cs="Times New Roman" w:eastAsiaTheme="minorEastAsia"/>
                      <w:color w:val="auto"/>
                      <w:kern w:val="0"/>
                      <w:sz w:val="21"/>
                      <w:szCs w:val="21"/>
                      <w:highlight w:val="none"/>
                    </w:rPr>
                    <w:t>/</w:t>
                  </w:r>
                </w:p>
              </w:tc>
              <w:tc>
                <w:tcPr>
                  <w:tcW w:w="322" w:type="pct"/>
                  <w:vMerge w:val="restart"/>
                  <w:tcBorders>
                    <w:tl2br w:val="nil"/>
                    <w:tr2bl w:val="nil"/>
                  </w:tcBorders>
                  <w:vAlign w:val="center"/>
                </w:tcPr>
                <w:p w14:paraId="3E8F3D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kern w:val="0"/>
                      <w:sz w:val="21"/>
                      <w:szCs w:val="21"/>
                      <w:highlight w:val="none"/>
                    </w:rPr>
                    <w:t>/</w:t>
                  </w:r>
                </w:p>
              </w:tc>
              <w:tc>
                <w:tcPr>
                  <w:tcW w:w="279" w:type="pct"/>
                  <w:vMerge w:val="restart"/>
                  <w:tcBorders>
                    <w:tl2br w:val="nil"/>
                    <w:tr2bl w:val="nil"/>
                  </w:tcBorders>
                  <w:vAlign w:val="center"/>
                </w:tcPr>
                <w:p w14:paraId="390E60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物料衡算法</w:t>
                  </w:r>
                </w:p>
              </w:tc>
              <w:tc>
                <w:tcPr>
                  <w:tcW w:w="383" w:type="pct"/>
                  <w:vMerge w:val="restart"/>
                  <w:tcBorders>
                    <w:tl2br w:val="nil"/>
                    <w:tr2bl w:val="nil"/>
                  </w:tcBorders>
                  <w:vAlign w:val="center"/>
                </w:tcPr>
                <w:p w14:paraId="0B3CA8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rPr>
                    <w:t>/</w:t>
                  </w:r>
                </w:p>
              </w:tc>
              <w:tc>
                <w:tcPr>
                  <w:tcW w:w="524" w:type="pct"/>
                  <w:tcBorders>
                    <w:tl2br w:val="nil"/>
                    <w:tr2bl w:val="nil"/>
                  </w:tcBorders>
                  <w:vAlign w:val="center"/>
                </w:tcPr>
                <w:p w14:paraId="752564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kern w:val="0"/>
                      <w:sz w:val="21"/>
                      <w:szCs w:val="21"/>
                      <w:highlight w:val="none"/>
                    </w:rPr>
                    <w:t>/</w:t>
                  </w:r>
                </w:p>
              </w:tc>
              <w:tc>
                <w:tcPr>
                  <w:tcW w:w="429" w:type="pct"/>
                  <w:tcBorders>
                    <w:tl2br w:val="nil"/>
                    <w:tr2bl w:val="nil"/>
                  </w:tcBorders>
                  <w:vAlign w:val="center"/>
                </w:tcPr>
                <w:p w14:paraId="162AC6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kern w:val="0"/>
                      <w:sz w:val="21"/>
                      <w:szCs w:val="21"/>
                      <w:highlight w:val="none"/>
                    </w:rPr>
                    <w:t>/</w:t>
                  </w:r>
                </w:p>
              </w:tc>
            </w:tr>
            <w:tr w14:paraId="6AB235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tcBorders>
                    <w:tl2br w:val="nil"/>
                    <w:tr2bl w:val="nil"/>
                  </w:tcBorders>
                  <w:vAlign w:val="center"/>
                </w:tcPr>
                <w:p w14:paraId="657C6E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459" w:type="pct"/>
                  <w:tcBorders>
                    <w:tl2br w:val="nil"/>
                    <w:tr2bl w:val="nil"/>
                  </w:tcBorders>
                  <w:vAlign w:val="center"/>
                </w:tcPr>
                <w:p w14:paraId="030844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BOD</w:t>
                  </w:r>
                  <w:r>
                    <w:rPr>
                      <w:rFonts w:hint="default" w:ascii="Times New Roman" w:hAnsi="Times New Roman" w:cs="Times New Roman" w:eastAsiaTheme="minorEastAsia"/>
                      <w:color w:val="auto"/>
                      <w:sz w:val="21"/>
                      <w:szCs w:val="21"/>
                      <w:highlight w:val="none"/>
                      <w:vertAlign w:val="subscript"/>
                    </w:rPr>
                    <w:t>5</w:t>
                  </w:r>
                </w:p>
              </w:tc>
              <w:tc>
                <w:tcPr>
                  <w:tcW w:w="301" w:type="pct"/>
                  <w:vMerge w:val="continue"/>
                  <w:tcBorders>
                    <w:tl2br w:val="nil"/>
                    <w:tr2bl w:val="nil"/>
                  </w:tcBorders>
                  <w:vAlign w:val="center"/>
                </w:tcPr>
                <w:p w14:paraId="15A5ED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493" w:type="pct"/>
                  <w:vMerge w:val="continue"/>
                  <w:tcBorders>
                    <w:tl2br w:val="nil"/>
                    <w:tr2bl w:val="nil"/>
                  </w:tcBorders>
                  <w:vAlign w:val="center"/>
                </w:tcPr>
                <w:p w14:paraId="11981D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507" w:type="pct"/>
                  <w:tcBorders>
                    <w:tl2br w:val="nil"/>
                    <w:tr2bl w:val="nil"/>
                  </w:tcBorders>
                  <w:vAlign w:val="center"/>
                </w:tcPr>
                <w:p w14:paraId="2F5667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200</w:t>
                  </w:r>
                </w:p>
              </w:tc>
              <w:tc>
                <w:tcPr>
                  <w:tcW w:w="527" w:type="pct"/>
                  <w:tcBorders>
                    <w:tl2br w:val="nil"/>
                    <w:tr2bl w:val="nil"/>
                  </w:tcBorders>
                  <w:vAlign w:val="center"/>
                </w:tcPr>
                <w:p w14:paraId="1D9A7A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0.005</w:t>
                  </w:r>
                </w:p>
              </w:tc>
              <w:tc>
                <w:tcPr>
                  <w:tcW w:w="315" w:type="pct"/>
                  <w:vMerge w:val="continue"/>
                  <w:tcBorders>
                    <w:tl2br w:val="nil"/>
                    <w:tr2bl w:val="nil"/>
                  </w:tcBorders>
                  <w:vAlign w:val="center"/>
                </w:tcPr>
                <w:p w14:paraId="3BBCBC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322" w:type="pct"/>
                  <w:vMerge w:val="continue"/>
                  <w:tcBorders>
                    <w:tl2br w:val="nil"/>
                    <w:tr2bl w:val="nil"/>
                  </w:tcBorders>
                  <w:vAlign w:val="center"/>
                </w:tcPr>
                <w:p w14:paraId="182B14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279" w:type="pct"/>
                  <w:vMerge w:val="continue"/>
                  <w:tcBorders>
                    <w:tl2br w:val="nil"/>
                    <w:tr2bl w:val="nil"/>
                  </w:tcBorders>
                  <w:vAlign w:val="center"/>
                </w:tcPr>
                <w:p w14:paraId="376B4B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383" w:type="pct"/>
                  <w:vMerge w:val="continue"/>
                  <w:tcBorders>
                    <w:tl2br w:val="nil"/>
                    <w:tr2bl w:val="nil"/>
                  </w:tcBorders>
                  <w:vAlign w:val="center"/>
                </w:tcPr>
                <w:p w14:paraId="773EC0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524" w:type="pct"/>
                  <w:tcBorders>
                    <w:tl2br w:val="nil"/>
                    <w:tr2bl w:val="nil"/>
                  </w:tcBorders>
                  <w:vAlign w:val="center"/>
                </w:tcPr>
                <w:p w14:paraId="751C6A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kern w:val="0"/>
                      <w:sz w:val="21"/>
                      <w:szCs w:val="21"/>
                      <w:highlight w:val="none"/>
                    </w:rPr>
                    <w:t>/</w:t>
                  </w:r>
                </w:p>
              </w:tc>
              <w:tc>
                <w:tcPr>
                  <w:tcW w:w="429" w:type="pct"/>
                  <w:tcBorders>
                    <w:tl2br w:val="nil"/>
                    <w:tr2bl w:val="nil"/>
                  </w:tcBorders>
                  <w:vAlign w:val="center"/>
                </w:tcPr>
                <w:p w14:paraId="6967DA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kern w:val="0"/>
                      <w:sz w:val="21"/>
                      <w:szCs w:val="21"/>
                      <w:highlight w:val="none"/>
                    </w:rPr>
                    <w:t>/</w:t>
                  </w:r>
                </w:p>
              </w:tc>
            </w:tr>
            <w:tr w14:paraId="449B43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tcBorders>
                    <w:tl2br w:val="nil"/>
                    <w:tr2bl w:val="nil"/>
                  </w:tcBorders>
                  <w:vAlign w:val="center"/>
                </w:tcPr>
                <w:p w14:paraId="2EE096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459" w:type="pct"/>
                  <w:tcBorders>
                    <w:tl2br w:val="nil"/>
                    <w:tr2bl w:val="nil"/>
                  </w:tcBorders>
                  <w:vAlign w:val="center"/>
                </w:tcPr>
                <w:p w14:paraId="29688C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SS</w:t>
                  </w:r>
                </w:p>
              </w:tc>
              <w:tc>
                <w:tcPr>
                  <w:tcW w:w="301" w:type="pct"/>
                  <w:vMerge w:val="continue"/>
                  <w:tcBorders>
                    <w:tl2br w:val="nil"/>
                    <w:tr2bl w:val="nil"/>
                  </w:tcBorders>
                  <w:vAlign w:val="center"/>
                </w:tcPr>
                <w:p w14:paraId="327543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493" w:type="pct"/>
                  <w:vMerge w:val="continue"/>
                  <w:tcBorders>
                    <w:tl2br w:val="nil"/>
                    <w:tr2bl w:val="nil"/>
                  </w:tcBorders>
                  <w:vAlign w:val="center"/>
                </w:tcPr>
                <w:p w14:paraId="03D10D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507" w:type="pct"/>
                  <w:tcBorders>
                    <w:tl2br w:val="nil"/>
                    <w:tr2bl w:val="nil"/>
                  </w:tcBorders>
                  <w:vAlign w:val="center"/>
                </w:tcPr>
                <w:p w14:paraId="5FECE5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200</w:t>
                  </w:r>
                </w:p>
              </w:tc>
              <w:tc>
                <w:tcPr>
                  <w:tcW w:w="527" w:type="pct"/>
                  <w:tcBorders>
                    <w:tl2br w:val="nil"/>
                    <w:tr2bl w:val="nil"/>
                  </w:tcBorders>
                  <w:vAlign w:val="center"/>
                </w:tcPr>
                <w:p w14:paraId="2338F3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0.005</w:t>
                  </w:r>
                </w:p>
              </w:tc>
              <w:tc>
                <w:tcPr>
                  <w:tcW w:w="315" w:type="pct"/>
                  <w:vMerge w:val="continue"/>
                  <w:tcBorders>
                    <w:tl2br w:val="nil"/>
                    <w:tr2bl w:val="nil"/>
                  </w:tcBorders>
                  <w:vAlign w:val="center"/>
                </w:tcPr>
                <w:p w14:paraId="6CE5E4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322" w:type="pct"/>
                  <w:vMerge w:val="continue"/>
                  <w:tcBorders>
                    <w:tl2br w:val="nil"/>
                    <w:tr2bl w:val="nil"/>
                  </w:tcBorders>
                  <w:vAlign w:val="center"/>
                </w:tcPr>
                <w:p w14:paraId="092C46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279" w:type="pct"/>
                  <w:vMerge w:val="continue"/>
                  <w:tcBorders>
                    <w:tl2br w:val="nil"/>
                    <w:tr2bl w:val="nil"/>
                  </w:tcBorders>
                  <w:vAlign w:val="center"/>
                </w:tcPr>
                <w:p w14:paraId="5929D3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383" w:type="pct"/>
                  <w:vMerge w:val="continue"/>
                  <w:tcBorders>
                    <w:tl2br w:val="nil"/>
                    <w:tr2bl w:val="nil"/>
                  </w:tcBorders>
                  <w:vAlign w:val="center"/>
                </w:tcPr>
                <w:p w14:paraId="6064AB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524" w:type="pct"/>
                  <w:tcBorders>
                    <w:tl2br w:val="nil"/>
                    <w:tr2bl w:val="nil"/>
                  </w:tcBorders>
                  <w:vAlign w:val="center"/>
                </w:tcPr>
                <w:p w14:paraId="11CEDD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kern w:val="0"/>
                      <w:sz w:val="21"/>
                      <w:szCs w:val="21"/>
                      <w:highlight w:val="none"/>
                    </w:rPr>
                    <w:t>/</w:t>
                  </w:r>
                </w:p>
              </w:tc>
              <w:tc>
                <w:tcPr>
                  <w:tcW w:w="429" w:type="pct"/>
                  <w:tcBorders>
                    <w:tl2br w:val="nil"/>
                    <w:tr2bl w:val="nil"/>
                  </w:tcBorders>
                  <w:vAlign w:val="center"/>
                </w:tcPr>
                <w:p w14:paraId="7FDA02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kern w:val="0"/>
                      <w:sz w:val="21"/>
                      <w:szCs w:val="21"/>
                      <w:highlight w:val="none"/>
                    </w:rPr>
                    <w:t>/</w:t>
                  </w:r>
                </w:p>
              </w:tc>
            </w:tr>
            <w:tr w14:paraId="21EAF6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tcBorders>
                    <w:tl2br w:val="nil"/>
                    <w:tr2bl w:val="nil"/>
                  </w:tcBorders>
                  <w:vAlign w:val="center"/>
                </w:tcPr>
                <w:p w14:paraId="43C3DC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459" w:type="pct"/>
                  <w:tcBorders>
                    <w:tl2br w:val="nil"/>
                    <w:tr2bl w:val="nil"/>
                  </w:tcBorders>
                  <w:vAlign w:val="center"/>
                </w:tcPr>
                <w:p w14:paraId="05BDE2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氨氮</w:t>
                  </w:r>
                </w:p>
              </w:tc>
              <w:tc>
                <w:tcPr>
                  <w:tcW w:w="301" w:type="pct"/>
                  <w:vMerge w:val="continue"/>
                  <w:tcBorders>
                    <w:tl2br w:val="nil"/>
                    <w:tr2bl w:val="nil"/>
                  </w:tcBorders>
                  <w:vAlign w:val="center"/>
                </w:tcPr>
                <w:p w14:paraId="05CF15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493" w:type="pct"/>
                  <w:vMerge w:val="continue"/>
                  <w:tcBorders>
                    <w:tl2br w:val="nil"/>
                    <w:tr2bl w:val="nil"/>
                  </w:tcBorders>
                  <w:vAlign w:val="center"/>
                </w:tcPr>
                <w:p w14:paraId="101B47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507" w:type="pct"/>
                  <w:tcBorders>
                    <w:tl2br w:val="nil"/>
                    <w:tr2bl w:val="nil"/>
                  </w:tcBorders>
                  <w:vAlign w:val="center"/>
                </w:tcPr>
                <w:p w14:paraId="6ED94F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25</w:t>
                  </w:r>
                </w:p>
              </w:tc>
              <w:tc>
                <w:tcPr>
                  <w:tcW w:w="527" w:type="pct"/>
                  <w:tcBorders>
                    <w:tl2br w:val="nil"/>
                    <w:tr2bl w:val="nil"/>
                  </w:tcBorders>
                  <w:vAlign w:val="center"/>
                </w:tcPr>
                <w:p w14:paraId="081DB7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0.0006</w:t>
                  </w:r>
                </w:p>
              </w:tc>
              <w:tc>
                <w:tcPr>
                  <w:tcW w:w="315" w:type="pct"/>
                  <w:vMerge w:val="continue"/>
                  <w:tcBorders>
                    <w:tl2br w:val="nil"/>
                    <w:tr2bl w:val="nil"/>
                  </w:tcBorders>
                  <w:vAlign w:val="center"/>
                </w:tcPr>
                <w:p w14:paraId="09E079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322" w:type="pct"/>
                  <w:vMerge w:val="continue"/>
                  <w:tcBorders>
                    <w:tl2br w:val="nil"/>
                    <w:tr2bl w:val="nil"/>
                  </w:tcBorders>
                  <w:vAlign w:val="center"/>
                </w:tcPr>
                <w:p w14:paraId="65C92B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279" w:type="pct"/>
                  <w:vMerge w:val="continue"/>
                  <w:tcBorders>
                    <w:tl2br w:val="nil"/>
                    <w:tr2bl w:val="nil"/>
                  </w:tcBorders>
                  <w:vAlign w:val="center"/>
                </w:tcPr>
                <w:p w14:paraId="7130F9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383" w:type="pct"/>
                  <w:vMerge w:val="continue"/>
                  <w:tcBorders>
                    <w:tl2br w:val="nil"/>
                    <w:tr2bl w:val="nil"/>
                  </w:tcBorders>
                  <w:vAlign w:val="center"/>
                </w:tcPr>
                <w:p w14:paraId="4620E3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21"/>
                      <w:szCs w:val="21"/>
                      <w:highlight w:val="none"/>
                    </w:rPr>
                  </w:pPr>
                </w:p>
              </w:tc>
              <w:tc>
                <w:tcPr>
                  <w:tcW w:w="524" w:type="pct"/>
                  <w:tcBorders>
                    <w:tl2br w:val="nil"/>
                    <w:tr2bl w:val="nil"/>
                  </w:tcBorders>
                  <w:vAlign w:val="center"/>
                </w:tcPr>
                <w:p w14:paraId="63FF39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kern w:val="0"/>
                      <w:sz w:val="21"/>
                      <w:szCs w:val="21"/>
                      <w:highlight w:val="none"/>
                    </w:rPr>
                    <w:t>/</w:t>
                  </w:r>
                </w:p>
              </w:tc>
              <w:tc>
                <w:tcPr>
                  <w:tcW w:w="429" w:type="pct"/>
                  <w:tcBorders>
                    <w:tl2br w:val="nil"/>
                    <w:tr2bl w:val="nil"/>
                  </w:tcBorders>
                  <w:vAlign w:val="center"/>
                </w:tcPr>
                <w:p w14:paraId="5E672F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kern w:val="0"/>
                      <w:sz w:val="21"/>
                      <w:szCs w:val="21"/>
                      <w:highlight w:val="none"/>
                    </w:rPr>
                    <w:t>/</w:t>
                  </w:r>
                </w:p>
              </w:tc>
            </w:tr>
          </w:tbl>
          <w:p w14:paraId="3DE805B8">
            <w:pPr>
              <w:keepNext w:val="0"/>
              <w:keepLines w:val="0"/>
              <w:pageBreakBefore w:val="0"/>
              <w:widowControl w:val="0"/>
              <w:numPr>
                <w:ilvl w:val="0"/>
                <w:numId w:val="11"/>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bCs/>
                <w:color w:val="auto"/>
                <w:spacing w:val="0"/>
                <w:sz w:val="24"/>
                <w:szCs w:val="24"/>
                <w:highlight w:val="none"/>
              </w:rPr>
            </w:pPr>
            <w:r>
              <w:rPr>
                <w:rFonts w:hint="eastAsia" w:cs="Times New Roman"/>
                <w:bCs/>
                <w:color w:val="auto"/>
                <w:spacing w:val="0"/>
                <w:sz w:val="24"/>
                <w:szCs w:val="24"/>
                <w:highlight w:val="none"/>
                <w:lang w:val="en-US" w:eastAsia="zh-CN"/>
              </w:rPr>
              <w:t>污染防治措施及</w:t>
            </w:r>
            <w:r>
              <w:rPr>
                <w:rFonts w:hint="default"/>
                <w:bCs/>
                <w:color w:val="auto"/>
                <w:spacing w:val="0"/>
                <w:sz w:val="24"/>
                <w:szCs w:val="24"/>
                <w:highlight w:val="none"/>
              </w:rPr>
              <w:t>环境影响分析</w:t>
            </w:r>
          </w:p>
          <w:p w14:paraId="4E36AE9F">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80" w:firstLineChars="200"/>
              <w:jc w:val="both"/>
              <w:textAlignment w:val="auto"/>
              <w:rPr>
                <w:rFonts w:hint="eastAsia" w:ascii="宋体" w:hAnsi="宋体" w:eastAsia="宋体" w:cs="宋体"/>
                <w:color w:val="auto"/>
                <w:spacing w:val="0"/>
                <w:kern w:val="24"/>
                <w:sz w:val="24"/>
                <w:szCs w:val="24"/>
                <w:highlight w:val="none"/>
                <w:lang w:eastAsia="zh-CN"/>
              </w:rPr>
            </w:pPr>
            <w:r>
              <w:rPr>
                <w:rFonts w:hint="default" w:ascii="Times New Roman" w:hAnsi="Times New Roman" w:eastAsia="宋体" w:cs="Times New Roman"/>
                <w:bCs/>
                <w:color w:val="auto"/>
                <w:sz w:val="24"/>
                <w:szCs w:val="24"/>
                <w:highlight w:val="none"/>
                <w:lang w:val="en-US" w:eastAsia="zh-CN"/>
              </w:rPr>
              <w:t>本项目无生产废水</w:t>
            </w:r>
            <w:r>
              <w:rPr>
                <w:rFonts w:hint="eastAsia" w:ascii="Times New Roman" w:hAnsi="Times New Roman" w:eastAsia="宋体" w:cs="Times New Roman"/>
                <w:bCs/>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生活污水</w:t>
            </w:r>
            <w:r>
              <w:rPr>
                <w:rFonts w:hint="default" w:ascii="Times New Roman" w:hAnsi="Times New Roman" w:cs="Times New Roman"/>
                <w:color w:val="auto"/>
                <w:sz w:val="24"/>
                <w:szCs w:val="24"/>
                <w:highlight w:val="none"/>
                <w:lang w:eastAsia="zh-CN"/>
              </w:rPr>
              <w:t>排入防渗旱厕，定期清掏，外运堆肥，</w:t>
            </w:r>
            <w:r>
              <w:rPr>
                <w:rFonts w:hint="default" w:ascii="Times New Roman" w:hAnsi="Times New Roman" w:cs="Times New Roman"/>
                <w:color w:val="auto"/>
                <w:sz w:val="24"/>
                <w:szCs w:val="24"/>
                <w:highlight w:val="none"/>
                <w:lang w:val="en-US" w:eastAsia="zh-CN"/>
              </w:rPr>
              <w:t>不外排</w:t>
            </w:r>
            <w:r>
              <w:rPr>
                <w:rFonts w:hint="eastAsia" w:cs="Times New Roman"/>
                <w:color w:val="auto"/>
                <w:sz w:val="24"/>
                <w:szCs w:val="24"/>
                <w:highlight w:val="none"/>
                <w:lang w:val="en-US" w:eastAsia="zh-CN"/>
              </w:rPr>
              <w:t>，</w:t>
            </w:r>
            <w:r>
              <w:rPr>
                <w:rFonts w:hint="eastAsia"/>
                <w:color w:val="auto"/>
                <w:sz w:val="24"/>
                <w:szCs w:val="24"/>
                <w:highlight w:val="none"/>
              </w:rPr>
              <w:t>不会对周边地表水环境产生较大影响</w:t>
            </w:r>
            <w:r>
              <w:rPr>
                <w:rFonts w:hint="eastAsia" w:ascii="Times New Roman" w:hAnsi="Times New Roman" w:cs="Times New Roman"/>
                <w:bCs/>
                <w:color w:val="auto"/>
                <w:spacing w:val="-2"/>
                <w:sz w:val="24"/>
                <w:szCs w:val="24"/>
                <w:highlight w:val="none"/>
                <w:lang w:eastAsia="zh-CN"/>
              </w:rPr>
              <w:t>。</w:t>
            </w:r>
          </w:p>
          <w:p w14:paraId="2C193B9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3、噪声</w:t>
            </w:r>
          </w:p>
          <w:p w14:paraId="6B2DCAB9">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噪声污染源源强核算结果及相关参数见表4-</w:t>
            </w:r>
            <w:r>
              <w:rPr>
                <w:rFonts w:hint="eastAsia" w:cs="Times New Roman"/>
                <w:bCs/>
                <w:color w:val="auto"/>
                <w:sz w:val="24"/>
                <w:szCs w:val="24"/>
                <w:highlight w:val="none"/>
                <w:lang w:val="en-US" w:eastAsia="zh-CN"/>
              </w:rPr>
              <w:t>7、4-8</w:t>
            </w:r>
            <w:r>
              <w:rPr>
                <w:rFonts w:hint="default" w:ascii="Times New Roman" w:hAnsi="Times New Roman" w:cs="Times New Roman"/>
                <w:bCs/>
                <w:color w:val="auto"/>
                <w:sz w:val="24"/>
                <w:szCs w:val="24"/>
                <w:highlight w:val="none"/>
              </w:rPr>
              <w:t>。</w:t>
            </w:r>
          </w:p>
          <w:p w14:paraId="63082B7E">
            <w:pPr>
              <w:keepNext w:val="0"/>
              <w:keepLines w:val="0"/>
              <w:suppressLineNumbers w:val="0"/>
              <w:spacing w:before="0" w:beforeAutospacing="0" w:after="0" w:afterAutospacing="0"/>
              <w:ind w:left="0" w:right="0"/>
              <w:jc w:val="center"/>
              <w:textAlignment w:val="center"/>
              <w:rPr>
                <w:rFonts w:hint="default" w:ascii="Times New Roman" w:hAnsi="Times New Roman" w:cs="Times New Roman"/>
                <w:b/>
                <w:color w:val="auto"/>
                <w:sz w:val="24"/>
                <w:szCs w:val="24"/>
                <w:highlight w:val="none"/>
                <w:u w:val="none"/>
              </w:rPr>
            </w:pPr>
            <w:r>
              <w:rPr>
                <w:rFonts w:hint="default" w:ascii="Times New Roman" w:hAnsi="Times New Roman" w:cs="Times New Roman"/>
                <w:b/>
                <w:color w:val="auto"/>
                <w:sz w:val="24"/>
                <w:szCs w:val="24"/>
                <w:highlight w:val="none"/>
                <w:u w:val="none"/>
              </w:rPr>
              <w:t>表</w:t>
            </w:r>
            <w:r>
              <w:rPr>
                <w:rFonts w:hint="default" w:ascii="Times New Roman" w:hAnsi="Times New Roman" w:cs="Times New Roman"/>
                <w:b/>
                <w:color w:val="auto"/>
                <w:sz w:val="24"/>
                <w:szCs w:val="24"/>
                <w:highlight w:val="none"/>
                <w:u w:val="none"/>
                <w:lang w:val="en-US" w:eastAsia="zh-CN"/>
              </w:rPr>
              <w:t>4</w:t>
            </w:r>
            <w:r>
              <w:rPr>
                <w:rFonts w:hint="eastAsia" w:ascii="Times New Roman" w:hAnsi="Times New Roman" w:cs="Times New Roman"/>
                <w:b/>
                <w:color w:val="auto"/>
                <w:sz w:val="24"/>
                <w:szCs w:val="24"/>
                <w:highlight w:val="none"/>
                <w:u w:val="none"/>
                <w:lang w:val="en-US" w:eastAsia="zh-CN"/>
              </w:rPr>
              <w:t>-</w:t>
            </w:r>
            <w:r>
              <w:rPr>
                <w:rFonts w:hint="eastAsia" w:cs="Times New Roman"/>
                <w:b/>
                <w:color w:val="auto"/>
                <w:sz w:val="24"/>
                <w:szCs w:val="24"/>
                <w:highlight w:val="none"/>
                <w:u w:val="none"/>
                <w:lang w:val="en-US" w:eastAsia="zh-CN"/>
              </w:rPr>
              <w:t>7</w:t>
            </w:r>
            <w:r>
              <w:rPr>
                <w:rFonts w:hint="default" w:ascii="Times New Roman" w:hAnsi="Times New Roman" w:cs="Times New Roman"/>
                <w:b/>
                <w:color w:val="auto"/>
                <w:sz w:val="24"/>
                <w:szCs w:val="24"/>
                <w:highlight w:val="none"/>
                <w:u w:val="none"/>
                <w:lang w:val="en-US" w:eastAsia="zh-CN"/>
              </w:rPr>
              <w:t xml:space="preserve"> </w:t>
            </w:r>
            <w:r>
              <w:rPr>
                <w:rFonts w:hint="eastAsia" w:ascii="Times New Roman" w:hAnsi="Times New Roman" w:cs="Times New Roman"/>
                <w:b/>
                <w:color w:val="auto"/>
                <w:sz w:val="24"/>
                <w:szCs w:val="24"/>
                <w:highlight w:val="none"/>
                <w:u w:val="none"/>
                <w:lang w:val="en-US" w:eastAsia="zh-CN"/>
              </w:rPr>
              <w:t>室外</w:t>
            </w:r>
            <w:r>
              <w:rPr>
                <w:rFonts w:hint="default" w:ascii="Times New Roman" w:hAnsi="Times New Roman" w:cs="Times New Roman"/>
                <w:b/>
                <w:color w:val="auto"/>
                <w:sz w:val="24"/>
                <w:szCs w:val="24"/>
                <w:highlight w:val="none"/>
                <w:u w:val="none"/>
              </w:rPr>
              <w:t>噪声污染源源强核算结果及相关参数一览表</w:t>
            </w:r>
          </w:p>
          <w:tbl>
            <w:tblPr>
              <w:tblStyle w:val="38"/>
              <w:tblW w:w="502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4"/>
              <w:gridCol w:w="1287"/>
              <w:gridCol w:w="480"/>
              <w:gridCol w:w="780"/>
              <w:gridCol w:w="810"/>
              <w:gridCol w:w="660"/>
              <w:gridCol w:w="1800"/>
              <w:gridCol w:w="840"/>
              <w:gridCol w:w="810"/>
            </w:tblGrid>
            <w:tr w14:paraId="5A39F9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327" w:type="pct"/>
                  <w:vMerge w:val="restart"/>
                  <w:tcBorders>
                    <w:tl2br w:val="nil"/>
                    <w:tr2bl w:val="nil"/>
                  </w:tcBorders>
                  <w:vAlign w:val="center"/>
                </w:tcPr>
                <w:p w14:paraId="7F3AB69C">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序号</w:t>
                  </w:r>
                </w:p>
              </w:tc>
              <w:tc>
                <w:tcPr>
                  <w:tcW w:w="805" w:type="pct"/>
                  <w:vMerge w:val="restart"/>
                  <w:tcBorders>
                    <w:tl2br w:val="nil"/>
                    <w:tr2bl w:val="nil"/>
                  </w:tcBorders>
                  <w:vAlign w:val="center"/>
                </w:tcPr>
                <w:p w14:paraId="61AD4668">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声源名称</w:t>
                  </w:r>
                </w:p>
              </w:tc>
              <w:tc>
                <w:tcPr>
                  <w:tcW w:w="300" w:type="pct"/>
                  <w:vMerge w:val="restart"/>
                  <w:tcBorders>
                    <w:tl2br w:val="nil"/>
                    <w:tr2bl w:val="nil"/>
                  </w:tcBorders>
                  <w:vAlign w:val="center"/>
                </w:tcPr>
                <w:p w14:paraId="1F77DC21">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型号</w:t>
                  </w:r>
                </w:p>
              </w:tc>
              <w:tc>
                <w:tcPr>
                  <w:tcW w:w="1407" w:type="pct"/>
                  <w:gridSpan w:val="3"/>
                  <w:tcBorders>
                    <w:tl2br w:val="nil"/>
                    <w:tr2bl w:val="nil"/>
                  </w:tcBorders>
                  <w:vAlign w:val="center"/>
                </w:tcPr>
                <w:p w14:paraId="5C5B9F2B">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空间相对位置/m</w:t>
                  </w:r>
                </w:p>
              </w:tc>
              <w:tc>
                <w:tcPr>
                  <w:tcW w:w="1126" w:type="pct"/>
                  <w:tcBorders>
                    <w:tl2br w:val="nil"/>
                    <w:tr2bl w:val="nil"/>
                  </w:tcBorders>
                  <w:vAlign w:val="center"/>
                </w:tcPr>
                <w:p w14:paraId="1E76848E">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声源源强</w:t>
                  </w:r>
                </w:p>
              </w:tc>
              <w:tc>
                <w:tcPr>
                  <w:tcW w:w="525" w:type="pct"/>
                  <w:vMerge w:val="restart"/>
                  <w:tcBorders>
                    <w:tl2br w:val="nil"/>
                    <w:tr2bl w:val="nil"/>
                  </w:tcBorders>
                  <w:vAlign w:val="center"/>
                </w:tcPr>
                <w:p w14:paraId="074B2940">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声源控制措施</w:t>
                  </w:r>
                </w:p>
              </w:tc>
              <w:tc>
                <w:tcPr>
                  <w:tcW w:w="506" w:type="pct"/>
                  <w:vMerge w:val="restart"/>
                  <w:tcBorders>
                    <w:tl2br w:val="nil"/>
                    <w:tr2bl w:val="nil"/>
                  </w:tcBorders>
                  <w:vAlign w:val="center"/>
                </w:tcPr>
                <w:p w14:paraId="6D0D4F1F">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运行</w:t>
                  </w:r>
                </w:p>
                <w:p w14:paraId="139CF06F">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时段</w:t>
                  </w:r>
                </w:p>
              </w:tc>
            </w:tr>
            <w:tr w14:paraId="007FA2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27" w:type="pct"/>
                  <w:vMerge w:val="continue"/>
                  <w:tcBorders>
                    <w:tl2br w:val="nil"/>
                    <w:tr2bl w:val="nil"/>
                  </w:tcBorders>
                  <w:vAlign w:val="center"/>
                </w:tcPr>
                <w:p w14:paraId="65EADE50">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c>
                <w:tcPr>
                  <w:tcW w:w="805" w:type="pct"/>
                  <w:vMerge w:val="continue"/>
                  <w:tcBorders>
                    <w:tl2br w:val="nil"/>
                    <w:tr2bl w:val="nil"/>
                  </w:tcBorders>
                  <w:vAlign w:val="center"/>
                </w:tcPr>
                <w:p w14:paraId="2FD6A1EF">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c>
                <w:tcPr>
                  <w:tcW w:w="300" w:type="pct"/>
                  <w:vMerge w:val="continue"/>
                  <w:tcBorders>
                    <w:tl2br w:val="nil"/>
                    <w:tr2bl w:val="nil"/>
                  </w:tcBorders>
                  <w:vAlign w:val="center"/>
                </w:tcPr>
                <w:p w14:paraId="4C779F49">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c>
                <w:tcPr>
                  <w:tcW w:w="487" w:type="pct"/>
                  <w:tcBorders>
                    <w:tl2br w:val="nil"/>
                    <w:tr2bl w:val="nil"/>
                  </w:tcBorders>
                  <w:vAlign w:val="center"/>
                </w:tcPr>
                <w:p w14:paraId="03BA0BD2">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X</w:t>
                  </w:r>
                </w:p>
              </w:tc>
              <w:tc>
                <w:tcPr>
                  <w:tcW w:w="506" w:type="pct"/>
                  <w:tcBorders>
                    <w:tl2br w:val="nil"/>
                    <w:tr2bl w:val="nil"/>
                  </w:tcBorders>
                  <w:vAlign w:val="center"/>
                </w:tcPr>
                <w:p w14:paraId="7F078975">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Y</w:t>
                  </w:r>
                </w:p>
              </w:tc>
              <w:tc>
                <w:tcPr>
                  <w:tcW w:w="412" w:type="pct"/>
                  <w:tcBorders>
                    <w:tl2br w:val="nil"/>
                    <w:tr2bl w:val="nil"/>
                  </w:tcBorders>
                  <w:vAlign w:val="center"/>
                </w:tcPr>
                <w:p w14:paraId="29FEC391">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Z</w:t>
                  </w:r>
                </w:p>
              </w:tc>
              <w:tc>
                <w:tcPr>
                  <w:tcW w:w="1126" w:type="pct"/>
                  <w:tcBorders>
                    <w:tl2br w:val="nil"/>
                    <w:tr2bl w:val="nil"/>
                  </w:tcBorders>
                  <w:vAlign w:val="center"/>
                </w:tcPr>
                <w:p w14:paraId="3C2FE1FB">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声功率级/dB（A）</w:t>
                  </w:r>
                </w:p>
              </w:tc>
              <w:tc>
                <w:tcPr>
                  <w:tcW w:w="525" w:type="pct"/>
                  <w:vMerge w:val="continue"/>
                  <w:tcBorders>
                    <w:tl2br w:val="nil"/>
                    <w:tr2bl w:val="nil"/>
                  </w:tcBorders>
                  <w:vAlign w:val="center"/>
                </w:tcPr>
                <w:p w14:paraId="13F1D811">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c>
                <w:tcPr>
                  <w:tcW w:w="506" w:type="pct"/>
                  <w:vMerge w:val="continue"/>
                  <w:tcBorders>
                    <w:tl2br w:val="nil"/>
                    <w:tr2bl w:val="nil"/>
                  </w:tcBorders>
                  <w:vAlign w:val="center"/>
                </w:tcPr>
                <w:p w14:paraId="199A2227">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r>
            <w:tr w14:paraId="411C59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27" w:type="pct"/>
                  <w:tcBorders>
                    <w:tl2br w:val="nil"/>
                    <w:tr2bl w:val="nil"/>
                  </w:tcBorders>
                  <w:vAlign w:val="center"/>
                </w:tcPr>
                <w:p w14:paraId="7FB3AD70">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1</w:t>
                  </w:r>
                </w:p>
              </w:tc>
              <w:tc>
                <w:tcPr>
                  <w:tcW w:w="805" w:type="pct"/>
                  <w:tcBorders>
                    <w:tl2br w:val="nil"/>
                    <w:tr2bl w:val="nil"/>
                  </w:tcBorders>
                  <w:vAlign w:val="center"/>
                </w:tcPr>
                <w:p w14:paraId="4B209564">
                  <w:pPr>
                    <w:keepNext w:val="0"/>
                    <w:keepLines w:val="0"/>
                    <w:suppressLineNumbers w:val="0"/>
                    <w:snapToGrid w:val="0"/>
                    <w:spacing w:before="0" w:beforeAutospacing="0" w:after="0" w:afterAutospacing="0" w:line="240" w:lineRule="auto"/>
                    <w:ind w:left="0" w:leftChars="0" w:right="0" w:rightChars="0"/>
                    <w:jc w:val="center"/>
                    <w:rPr>
                      <w:rFonts w:hint="default"/>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带式输送机</w:t>
                  </w:r>
                </w:p>
              </w:tc>
              <w:tc>
                <w:tcPr>
                  <w:tcW w:w="300" w:type="pct"/>
                  <w:tcBorders>
                    <w:tl2br w:val="nil"/>
                    <w:tr2bl w:val="nil"/>
                  </w:tcBorders>
                  <w:vAlign w:val="center"/>
                </w:tcPr>
                <w:p w14:paraId="68FCE044">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w:t>
                  </w:r>
                </w:p>
              </w:tc>
              <w:tc>
                <w:tcPr>
                  <w:tcW w:w="487" w:type="pct"/>
                  <w:tcBorders>
                    <w:tl2br w:val="nil"/>
                    <w:tr2bl w:val="nil"/>
                  </w:tcBorders>
                  <w:vAlign w:val="center"/>
                </w:tcPr>
                <w:p w14:paraId="5EBB1819">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bCs/>
                      <w:color w:val="auto"/>
                      <w:sz w:val="21"/>
                      <w:szCs w:val="21"/>
                      <w:highlight w:val="none"/>
                    </w:rPr>
                  </w:pPr>
                  <w:r>
                    <w:rPr>
                      <w:rFonts w:hint="eastAsia" w:cs="Times New Roman"/>
                      <w:color w:val="000000"/>
                      <w:kern w:val="0"/>
                      <w:sz w:val="21"/>
                      <w:szCs w:val="21"/>
                      <w:highlight w:val="none"/>
                      <w:lang w:val="en-US" w:eastAsia="zh-CN"/>
                    </w:rPr>
                    <w:t>40.7</w:t>
                  </w:r>
                </w:p>
              </w:tc>
              <w:tc>
                <w:tcPr>
                  <w:tcW w:w="506" w:type="pct"/>
                  <w:tcBorders>
                    <w:tl2br w:val="nil"/>
                    <w:tr2bl w:val="nil"/>
                  </w:tcBorders>
                  <w:vAlign w:val="center"/>
                </w:tcPr>
                <w:p w14:paraId="60D796B5">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bCs/>
                      <w:color w:val="auto"/>
                      <w:sz w:val="21"/>
                      <w:szCs w:val="21"/>
                      <w:highlight w:val="none"/>
                    </w:rPr>
                  </w:pPr>
                  <w:r>
                    <w:rPr>
                      <w:rFonts w:hint="eastAsia" w:cs="Times New Roman"/>
                      <w:color w:val="000000"/>
                      <w:kern w:val="0"/>
                      <w:sz w:val="21"/>
                      <w:szCs w:val="21"/>
                      <w:highlight w:val="none"/>
                      <w:lang w:val="en-US" w:eastAsia="zh-CN"/>
                    </w:rPr>
                    <w:t>147</w:t>
                  </w:r>
                </w:p>
              </w:tc>
              <w:tc>
                <w:tcPr>
                  <w:tcW w:w="412" w:type="pct"/>
                  <w:tcBorders>
                    <w:tl2br w:val="nil"/>
                    <w:tr2bl w:val="nil"/>
                  </w:tcBorders>
                  <w:vAlign w:val="center"/>
                </w:tcPr>
                <w:p w14:paraId="172CED3C">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eastAsia="宋体"/>
                      <w:bCs/>
                      <w:color w:val="auto"/>
                      <w:sz w:val="21"/>
                      <w:szCs w:val="21"/>
                      <w:highlight w:val="none"/>
                      <w:lang w:val="en-US" w:eastAsia="zh-CN"/>
                    </w:rPr>
                  </w:pPr>
                  <w:r>
                    <w:rPr>
                      <w:rFonts w:hint="eastAsia" w:cs="Times New Roman"/>
                      <w:color w:val="000000"/>
                      <w:kern w:val="0"/>
                      <w:sz w:val="21"/>
                      <w:szCs w:val="21"/>
                      <w:highlight w:val="none"/>
                      <w:lang w:val="en-US" w:eastAsia="zh-CN"/>
                    </w:rPr>
                    <w:t>1</w:t>
                  </w:r>
                </w:p>
              </w:tc>
              <w:tc>
                <w:tcPr>
                  <w:tcW w:w="1126" w:type="pct"/>
                  <w:tcBorders>
                    <w:tl2br w:val="nil"/>
                    <w:tr2bl w:val="nil"/>
                  </w:tcBorders>
                  <w:vAlign w:val="center"/>
                </w:tcPr>
                <w:p w14:paraId="0A01F19F">
                  <w:pPr>
                    <w:keepNext w:val="0"/>
                    <w:keepLines w:val="0"/>
                    <w:suppressLineNumbers w:val="0"/>
                    <w:spacing w:before="0" w:beforeAutospacing="0" w:after="0" w:afterAutospacing="0" w:line="240" w:lineRule="auto"/>
                    <w:ind w:left="0" w:leftChars="0" w:right="0" w:rightChars="0"/>
                    <w:jc w:val="center"/>
                    <w:rPr>
                      <w:rFonts w:hint="default"/>
                      <w:bCs/>
                      <w:color w:val="auto"/>
                      <w:sz w:val="21"/>
                      <w:szCs w:val="21"/>
                      <w:highlight w:val="none"/>
                    </w:rPr>
                  </w:pPr>
                  <w:r>
                    <w:rPr>
                      <w:rFonts w:hint="default" w:ascii="Times New Roman" w:hAnsi="Times New Roman" w:eastAsia="宋体" w:cs="Times New Roman"/>
                      <w:color w:val="auto"/>
                      <w:sz w:val="21"/>
                      <w:szCs w:val="21"/>
                      <w:vertAlign w:val="baseline"/>
                      <w:lang w:val="en-US" w:eastAsia="zh-CN"/>
                    </w:rPr>
                    <w:t>75</w:t>
                  </w:r>
                </w:p>
              </w:tc>
              <w:tc>
                <w:tcPr>
                  <w:tcW w:w="525" w:type="pct"/>
                  <w:vMerge w:val="restart"/>
                  <w:tcBorders>
                    <w:tl2br w:val="nil"/>
                    <w:tr2bl w:val="nil"/>
                  </w:tcBorders>
                  <w:vAlign w:val="center"/>
                </w:tcPr>
                <w:p w14:paraId="4B328BB0">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color w:val="auto"/>
                      <w:sz w:val="21"/>
                      <w:szCs w:val="21"/>
                      <w:highlight w:val="none"/>
                    </w:rPr>
                    <w:t>已</w:t>
                  </w:r>
                  <w:r>
                    <w:rPr>
                      <w:rFonts w:hint="default"/>
                      <w:color w:val="auto"/>
                      <w:sz w:val="21"/>
                      <w:szCs w:val="21"/>
                      <w:highlight w:val="none"/>
                    </w:rPr>
                    <w:t>选用低噪声设备，加装减震、隔声</w:t>
                  </w:r>
                  <w:r>
                    <w:rPr>
                      <w:rFonts w:hint="eastAsia"/>
                      <w:color w:val="auto"/>
                      <w:sz w:val="21"/>
                      <w:szCs w:val="21"/>
                      <w:highlight w:val="none"/>
                    </w:rPr>
                    <w:t>设施</w:t>
                  </w:r>
                </w:p>
              </w:tc>
              <w:tc>
                <w:tcPr>
                  <w:tcW w:w="506" w:type="pct"/>
                  <w:vMerge w:val="restart"/>
                  <w:tcBorders>
                    <w:tl2br w:val="nil"/>
                    <w:tr2bl w:val="nil"/>
                  </w:tcBorders>
                  <w:vAlign w:val="center"/>
                </w:tcPr>
                <w:p w14:paraId="5D2988FD">
                  <w:pPr>
                    <w:keepNext w:val="0"/>
                    <w:keepLines w:val="0"/>
                    <w:suppressLineNumbers w:val="0"/>
                    <w:spacing w:before="0" w:beforeAutospacing="0" w:after="0" w:afterAutospacing="0"/>
                    <w:ind w:left="0" w:right="0"/>
                    <w:jc w:val="center"/>
                    <w:rPr>
                      <w:rFonts w:hint="default"/>
                      <w:bCs/>
                      <w:color w:val="auto"/>
                      <w:sz w:val="21"/>
                      <w:szCs w:val="21"/>
                      <w:highlight w:val="none"/>
                    </w:rPr>
                  </w:pPr>
                  <w:r>
                    <w:rPr>
                      <w:rFonts w:hint="eastAsia"/>
                      <w:color w:val="auto"/>
                      <w:sz w:val="21"/>
                      <w:szCs w:val="21"/>
                      <w:highlight w:val="none"/>
                      <w:lang w:val="en-US" w:eastAsia="zh-CN"/>
                    </w:rPr>
                    <w:t>1200</w:t>
                  </w:r>
                  <w:r>
                    <w:rPr>
                      <w:rFonts w:hint="eastAsia"/>
                      <w:color w:val="auto"/>
                      <w:sz w:val="21"/>
                      <w:szCs w:val="21"/>
                      <w:highlight w:val="none"/>
                    </w:rPr>
                    <w:t>h</w:t>
                  </w:r>
                </w:p>
              </w:tc>
            </w:tr>
            <w:tr w14:paraId="30C7A8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27" w:type="pct"/>
                  <w:tcBorders>
                    <w:tl2br w:val="nil"/>
                    <w:tr2bl w:val="nil"/>
                  </w:tcBorders>
                  <w:vAlign w:val="center"/>
                </w:tcPr>
                <w:p w14:paraId="7570DD10">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2</w:t>
                  </w:r>
                </w:p>
              </w:tc>
              <w:tc>
                <w:tcPr>
                  <w:tcW w:w="805" w:type="pct"/>
                  <w:tcBorders>
                    <w:tl2br w:val="nil"/>
                    <w:tr2bl w:val="nil"/>
                  </w:tcBorders>
                  <w:vAlign w:val="center"/>
                </w:tcPr>
                <w:p w14:paraId="58C6C4E3">
                  <w:pPr>
                    <w:keepNext w:val="0"/>
                    <w:keepLines w:val="0"/>
                    <w:suppressLineNumbers w:val="0"/>
                    <w:snapToGrid w:val="0"/>
                    <w:spacing w:before="0" w:beforeAutospacing="0" w:after="0" w:afterAutospacing="0" w:line="240" w:lineRule="auto"/>
                    <w:ind w:left="0" w:leftChars="0" w:right="0" w:rightChars="0"/>
                    <w:jc w:val="center"/>
                    <w:rPr>
                      <w:rFonts w:hint="default"/>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带式输送机</w:t>
                  </w:r>
                </w:p>
              </w:tc>
              <w:tc>
                <w:tcPr>
                  <w:tcW w:w="300" w:type="pct"/>
                  <w:tcBorders>
                    <w:tl2br w:val="nil"/>
                    <w:tr2bl w:val="nil"/>
                  </w:tcBorders>
                  <w:vAlign w:val="center"/>
                </w:tcPr>
                <w:p w14:paraId="2F3EBC99">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w:t>
                  </w:r>
                </w:p>
              </w:tc>
              <w:tc>
                <w:tcPr>
                  <w:tcW w:w="487" w:type="pct"/>
                  <w:tcBorders>
                    <w:tl2br w:val="nil"/>
                    <w:tr2bl w:val="nil"/>
                  </w:tcBorders>
                  <w:vAlign w:val="center"/>
                </w:tcPr>
                <w:p w14:paraId="0B83DF5A">
                  <w:pPr>
                    <w:keepNext w:val="0"/>
                    <w:keepLines w:val="0"/>
                    <w:suppressLineNumbers w:val="0"/>
                    <w:spacing w:before="0" w:beforeAutospacing="0" w:after="0" w:afterAutospacing="0" w:line="240" w:lineRule="auto"/>
                    <w:ind w:left="0" w:leftChars="0" w:right="0" w:rightChars="0"/>
                    <w:jc w:val="center"/>
                    <w:rPr>
                      <w:rFonts w:hint="default"/>
                      <w:bCs/>
                      <w:color w:val="auto"/>
                      <w:sz w:val="21"/>
                      <w:szCs w:val="21"/>
                      <w:highlight w:val="none"/>
                    </w:rPr>
                  </w:pPr>
                  <w:r>
                    <w:rPr>
                      <w:rFonts w:hint="eastAsia" w:ascii="Times New Roman" w:hAnsi="Times New Roman" w:eastAsia="宋体" w:cs="Times New Roman"/>
                      <w:color w:val="auto"/>
                      <w:sz w:val="21"/>
                      <w:szCs w:val="21"/>
                      <w:vertAlign w:val="baseline"/>
                      <w:lang w:val="en-US" w:eastAsia="zh-CN"/>
                    </w:rPr>
                    <w:t>39.6</w:t>
                  </w:r>
                </w:p>
              </w:tc>
              <w:tc>
                <w:tcPr>
                  <w:tcW w:w="506" w:type="pct"/>
                  <w:tcBorders>
                    <w:tl2br w:val="nil"/>
                    <w:tr2bl w:val="nil"/>
                  </w:tcBorders>
                  <w:vAlign w:val="center"/>
                </w:tcPr>
                <w:p w14:paraId="1798CC57">
                  <w:pPr>
                    <w:keepNext w:val="0"/>
                    <w:keepLines w:val="0"/>
                    <w:suppressLineNumbers w:val="0"/>
                    <w:spacing w:before="0" w:beforeAutospacing="0" w:after="0" w:afterAutospacing="0" w:line="240" w:lineRule="auto"/>
                    <w:ind w:left="0" w:leftChars="0" w:right="0" w:rightChars="0"/>
                    <w:jc w:val="center"/>
                    <w:rPr>
                      <w:rFonts w:hint="eastAsia" w:eastAsia="宋体"/>
                      <w:bCs/>
                      <w:color w:val="auto"/>
                      <w:sz w:val="21"/>
                      <w:szCs w:val="21"/>
                      <w:highlight w:val="none"/>
                      <w:lang w:eastAsia="zh-CN"/>
                    </w:rPr>
                  </w:pPr>
                  <w:r>
                    <w:rPr>
                      <w:rFonts w:hint="eastAsia" w:ascii="Times New Roman" w:hAnsi="Times New Roman" w:eastAsia="宋体" w:cs="Times New Roman"/>
                      <w:color w:val="auto"/>
                      <w:sz w:val="21"/>
                      <w:szCs w:val="21"/>
                      <w:vertAlign w:val="baseline"/>
                      <w:lang w:val="en-US" w:eastAsia="zh-CN"/>
                    </w:rPr>
                    <w:t>145</w:t>
                  </w:r>
                </w:p>
              </w:tc>
              <w:tc>
                <w:tcPr>
                  <w:tcW w:w="412" w:type="pct"/>
                  <w:tcBorders>
                    <w:tl2br w:val="nil"/>
                    <w:tr2bl w:val="nil"/>
                  </w:tcBorders>
                  <w:vAlign w:val="center"/>
                </w:tcPr>
                <w:p w14:paraId="6609F3B8">
                  <w:pPr>
                    <w:keepNext w:val="0"/>
                    <w:keepLines w:val="0"/>
                    <w:suppressLineNumbers w:val="0"/>
                    <w:spacing w:before="0" w:beforeAutospacing="0" w:after="0" w:afterAutospacing="0" w:line="240" w:lineRule="auto"/>
                    <w:ind w:left="0" w:leftChars="0" w:right="0" w:rightChars="0"/>
                    <w:jc w:val="center"/>
                    <w:rPr>
                      <w:rFonts w:hint="eastAsia" w:eastAsia="宋体"/>
                      <w:bCs/>
                      <w:color w:val="auto"/>
                      <w:sz w:val="21"/>
                      <w:szCs w:val="21"/>
                      <w:highlight w:val="no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126" w:type="pct"/>
                  <w:tcBorders>
                    <w:tl2br w:val="nil"/>
                    <w:tr2bl w:val="nil"/>
                  </w:tcBorders>
                  <w:vAlign w:val="center"/>
                </w:tcPr>
                <w:p w14:paraId="5415E23A">
                  <w:pPr>
                    <w:keepNext w:val="0"/>
                    <w:keepLines w:val="0"/>
                    <w:suppressLineNumbers w:val="0"/>
                    <w:spacing w:before="0" w:beforeAutospacing="0" w:after="0" w:afterAutospacing="0" w:line="240" w:lineRule="auto"/>
                    <w:ind w:left="0" w:leftChars="0" w:right="0" w:rightChars="0"/>
                    <w:jc w:val="center"/>
                    <w:rPr>
                      <w:rFonts w:hint="default"/>
                      <w:bCs/>
                      <w:color w:val="auto"/>
                      <w:sz w:val="21"/>
                      <w:szCs w:val="21"/>
                      <w:highlight w:val="none"/>
                    </w:rPr>
                  </w:pPr>
                  <w:r>
                    <w:rPr>
                      <w:rFonts w:hint="default" w:ascii="Times New Roman" w:hAnsi="Times New Roman" w:eastAsia="宋体" w:cs="Times New Roman"/>
                      <w:color w:val="auto"/>
                      <w:sz w:val="21"/>
                      <w:szCs w:val="21"/>
                      <w:vertAlign w:val="baseline"/>
                      <w:lang w:val="en-US" w:eastAsia="zh-CN"/>
                    </w:rPr>
                    <w:t>75</w:t>
                  </w:r>
                </w:p>
              </w:tc>
              <w:tc>
                <w:tcPr>
                  <w:tcW w:w="525" w:type="pct"/>
                  <w:vMerge w:val="continue"/>
                  <w:tcBorders>
                    <w:tl2br w:val="nil"/>
                    <w:tr2bl w:val="nil"/>
                  </w:tcBorders>
                  <w:vAlign w:val="center"/>
                </w:tcPr>
                <w:p w14:paraId="55C8DEA1">
                  <w:pPr>
                    <w:pStyle w:val="162"/>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p>
              </w:tc>
              <w:tc>
                <w:tcPr>
                  <w:tcW w:w="506" w:type="pct"/>
                  <w:vMerge w:val="continue"/>
                  <w:tcBorders>
                    <w:tl2br w:val="nil"/>
                    <w:tr2bl w:val="nil"/>
                  </w:tcBorders>
                  <w:vAlign w:val="center"/>
                </w:tcPr>
                <w:p w14:paraId="6F1294B6">
                  <w:pPr>
                    <w:keepNext w:val="0"/>
                    <w:keepLines w:val="0"/>
                    <w:suppressLineNumbers w:val="0"/>
                    <w:spacing w:before="0" w:beforeAutospacing="0" w:after="0" w:afterAutospacing="0"/>
                    <w:ind w:left="0" w:right="0"/>
                    <w:jc w:val="center"/>
                    <w:rPr>
                      <w:rFonts w:hint="default"/>
                      <w:color w:val="auto"/>
                      <w:sz w:val="21"/>
                      <w:szCs w:val="21"/>
                      <w:highlight w:val="none"/>
                    </w:rPr>
                  </w:pPr>
                </w:p>
              </w:tc>
            </w:tr>
            <w:tr w14:paraId="0DD541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27" w:type="pct"/>
                  <w:tcBorders>
                    <w:tl2br w:val="nil"/>
                    <w:tr2bl w:val="nil"/>
                  </w:tcBorders>
                  <w:vAlign w:val="center"/>
                </w:tcPr>
                <w:p w14:paraId="6E996919">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3</w:t>
                  </w:r>
                </w:p>
              </w:tc>
              <w:tc>
                <w:tcPr>
                  <w:tcW w:w="805" w:type="pct"/>
                  <w:tcBorders>
                    <w:tl2br w:val="nil"/>
                    <w:tr2bl w:val="nil"/>
                  </w:tcBorders>
                  <w:vAlign w:val="center"/>
                </w:tcPr>
                <w:p w14:paraId="79D59FD4">
                  <w:pPr>
                    <w:keepNext w:val="0"/>
                    <w:keepLines w:val="0"/>
                    <w:suppressLineNumbers w:val="0"/>
                    <w:snapToGrid w:val="0"/>
                    <w:spacing w:before="0" w:beforeAutospacing="0" w:after="0" w:afterAutospacing="0" w:line="240" w:lineRule="auto"/>
                    <w:ind w:left="0" w:leftChars="0" w:right="0" w:rightChars="0"/>
                    <w:jc w:val="center"/>
                    <w:rPr>
                      <w:rFonts w:hint="default"/>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带式输送机</w:t>
                  </w:r>
                </w:p>
              </w:tc>
              <w:tc>
                <w:tcPr>
                  <w:tcW w:w="300" w:type="pct"/>
                  <w:tcBorders>
                    <w:tl2br w:val="nil"/>
                    <w:tr2bl w:val="nil"/>
                  </w:tcBorders>
                  <w:vAlign w:val="center"/>
                </w:tcPr>
                <w:p w14:paraId="747827B7">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w:t>
                  </w:r>
                </w:p>
              </w:tc>
              <w:tc>
                <w:tcPr>
                  <w:tcW w:w="487" w:type="pct"/>
                  <w:tcBorders>
                    <w:tl2br w:val="nil"/>
                    <w:tr2bl w:val="nil"/>
                  </w:tcBorders>
                  <w:vAlign w:val="center"/>
                </w:tcPr>
                <w:p w14:paraId="1F52951C">
                  <w:pPr>
                    <w:keepNext w:val="0"/>
                    <w:keepLines w:val="0"/>
                    <w:suppressLineNumbers w:val="0"/>
                    <w:spacing w:before="0" w:beforeAutospacing="0" w:after="0" w:afterAutospacing="0" w:line="240" w:lineRule="auto"/>
                    <w:ind w:left="0" w:leftChars="0" w:right="0" w:rightChars="0"/>
                    <w:jc w:val="center"/>
                    <w:rPr>
                      <w:rFonts w:hint="default"/>
                      <w:bCs/>
                      <w:color w:val="auto"/>
                      <w:sz w:val="21"/>
                      <w:szCs w:val="21"/>
                      <w:highlight w:val="none"/>
                      <w:lang w:val="en-US"/>
                    </w:rPr>
                  </w:pPr>
                  <w:r>
                    <w:rPr>
                      <w:rFonts w:hint="eastAsia" w:ascii="Times New Roman" w:hAnsi="Times New Roman" w:eastAsia="宋体" w:cs="Times New Roman"/>
                      <w:color w:val="auto"/>
                      <w:sz w:val="21"/>
                      <w:szCs w:val="21"/>
                      <w:vertAlign w:val="baseline"/>
                      <w:lang w:val="en-US" w:eastAsia="zh-CN"/>
                    </w:rPr>
                    <w:t>36</w:t>
                  </w:r>
                </w:p>
              </w:tc>
              <w:tc>
                <w:tcPr>
                  <w:tcW w:w="506" w:type="pct"/>
                  <w:tcBorders>
                    <w:tl2br w:val="nil"/>
                    <w:tr2bl w:val="nil"/>
                  </w:tcBorders>
                  <w:vAlign w:val="center"/>
                </w:tcPr>
                <w:p w14:paraId="33538D49">
                  <w:pPr>
                    <w:keepNext w:val="0"/>
                    <w:keepLines w:val="0"/>
                    <w:suppressLineNumbers w:val="0"/>
                    <w:spacing w:before="0" w:beforeAutospacing="0" w:after="0" w:afterAutospacing="0" w:line="240" w:lineRule="auto"/>
                    <w:ind w:left="0" w:leftChars="0" w:right="0" w:rightChars="0"/>
                    <w:jc w:val="center"/>
                    <w:rPr>
                      <w:rFonts w:hint="default"/>
                      <w:bCs/>
                      <w:color w:val="auto"/>
                      <w:sz w:val="21"/>
                      <w:szCs w:val="21"/>
                      <w:highlight w:val="none"/>
                    </w:rPr>
                  </w:pPr>
                  <w:r>
                    <w:rPr>
                      <w:rFonts w:hint="eastAsia" w:ascii="Times New Roman" w:hAnsi="Times New Roman" w:eastAsia="宋体" w:cs="Times New Roman"/>
                      <w:color w:val="auto"/>
                      <w:sz w:val="21"/>
                      <w:szCs w:val="21"/>
                      <w:vertAlign w:val="baseline"/>
                      <w:lang w:val="en-US" w:eastAsia="zh-CN"/>
                    </w:rPr>
                    <w:t>134</w:t>
                  </w:r>
                </w:p>
              </w:tc>
              <w:tc>
                <w:tcPr>
                  <w:tcW w:w="412" w:type="pct"/>
                  <w:tcBorders>
                    <w:tl2br w:val="nil"/>
                    <w:tr2bl w:val="nil"/>
                  </w:tcBorders>
                  <w:vAlign w:val="center"/>
                </w:tcPr>
                <w:p w14:paraId="1C8F40B7">
                  <w:pPr>
                    <w:keepNext w:val="0"/>
                    <w:keepLines w:val="0"/>
                    <w:suppressLineNumbers w:val="0"/>
                    <w:spacing w:before="0" w:beforeAutospacing="0" w:after="0" w:afterAutospacing="0" w:line="240" w:lineRule="auto"/>
                    <w:ind w:left="0" w:leftChars="0" w:right="0" w:rightChars="0"/>
                    <w:jc w:val="center"/>
                    <w:rPr>
                      <w:rFonts w:hint="default" w:eastAsia="宋体"/>
                      <w:bCs/>
                      <w:color w:val="auto"/>
                      <w:sz w:val="21"/>
                      <w:szCs w:val="21"/>
                      <w:highlight w:val="no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126" w:type="pct"/>
                  <w:tcBorders>
                    <w:tl2br w:val="nil"/>
                    <w:tr2bl w:val="nil"/>
                  </w:tcBorders>
                  <w:vAlign w:val="center"/>
                </w:tcPr>
                <w:p w14:paraId="478BAEB6">
                  <w:pPr>
                    <w:keepNext w:val="0"/>
                    <w:keepLines w:val="0"/>
                    <w:suppressLineNumbers w:val="0"/>
                    <w:spacing w:before="0" w:beforeAutospacing="0" w:after="0" w:afterAutospacing="0" w:line="240" w:lineRule="auto"/>
                    <w:ind w:left="0" w:leftChars="0" w:right="0" w:rightChars="0"/>
                    <w:jc w:val="center"/>
                    <w:rPr>
                      <w:rFonts w:hint="default"/>
                      <w:bCs/>
                      <w:color w:val="auto"/>
                      <w:sz w:val="21"/>
                      <w:szCs w:val="21"/>
                      <w:highlight w:val="none"/>
                    </w:rPr>
                  </w:pPr>
                  <w:r>
                    <w:rPr>
                      <w:rFonts w:hint="default" w:ascii="Times New Roman" w:hAnsi="Times New Roman" w:eastAsia="宋体" w:cs="Times New Roman"/>
                      <w:color w:val="auto"/>
                      <w:sz w:val="21"/>
                      <w:szCs w:val="21"/>
                      <w:vertAlign w:val="baseline"/>
                      <w:lang w:val="en-US" w:eastAsia="zh-CN"/>
                    </w:rPr>
                    <w:t>75</w:t>
                  </w:r>
                </w:p>
              </w:tc>
              <w:tc>
                <w:tcPr>
                  <w:tcW w:w="525" w:type="pct"/>
                  <w:vMerge w:val="continue"/>
                  <w:tcBorders>
                    <w:tl2br w:val="nil"/>
                    <w:tr2bl w:val="nil"/>
                  </w:tcBorders>
                  <w:vAlign w:val="center"/>
                </w:tcPr>
                <w:p w14:paraId="5DA5D8AA">
                  <w:pPr>
                    <w:pStyle w:val="162"/>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p>
              </w:tc>
              <w:tc>
                <w:tcPr>
                  <w:tcW w:w="506" w:type="pct"/>
                  <w:vMerge w:val="continue"/>
                  <w:tcBorders>
                    <w:tl2br w:val="nil"/>
                    <w:tr2bl w:val="nil"/>
                  </w:tcBorders>
                  <w:vAlign w:val="center"/>
                </w:tcPr>
                <w:p w14:paraId="300E9B95">
                  <w:pPr>
                    <w:keepNext w:val="0"/>
                    <w:keepLines w:val="0"/>
                    <w:suppressLineNumbers w:val="0"/>
                    <w:spacing w:before="0" w:beforeAutospacing="0" w:after="0" w:afterAutospacing="0"/>
                    <w:ind w:left="0" w:right="0"/>
                    <w:jc w:val="center"/>
                    <w:rPr>
                      <w:rFonts w:hint="default"/>
                      <w:color w:val="auto"/>
                      <w:sz w:val="21"/>
                      <w:szCs w:val="21"/>
                      <w:highlight w:val="none"/>
                    </w:rPr>
                  </w:pPr>
                </w:p>
              </w:tc>
            </w:tr>
            <w:tr w14:paraId="1551AF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27" w:type="pct"/>
                  <w:tcBorders>
                    <w:tl2br w:val="nil"/>
                    <w:tr2bl w:val="nil"/>
                  </w:tcBorders>
                  <w:vAlign w:val="center"/>
                </w:tcPr>
                <w:p w14:paraId="05855E14">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4</w:t>
                  </w:r>
                </w:p>
              </w:tc>
              <w:tc>
                <w:tcPr>
                  <w:tcW w:w="805" w:type="pct"/>
                  <w:tcBorders>
                    <w:tl2br w:val="nil"/>
                    <w:tr2bl w:val="nil"/>
                  </w:tcBorders>
                  <w:vAlign w:val="center"/>
                </w:tcPr>
                <w:p w14:paraId="6D79498C">
                  <w:pPr>
                    <w:keepNext w:val="0"/>
                    <w:keepLines w:val="0"/>
                    <w:suppressLineNumbers w:val="0"/>
                    <w:snapToGrid w:val="0"/>
                    <w:spacing w:before="0" w:beforeAutospacing="0" w:after="0" w:afterAutospacing="0" w:line="240" w:lineRule="auto"/>
                    <w:ind w:left="0" w:leftChars="0" w:right="0" w:rightChars="0"/>
                    <w:jc w:val="center"/>
                    <w:rPr>
                      <w:rFonts w:hint="eastAsia" w:eastAsia="宋体"/>
                      <w:bCs/>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带式输送机</w:t>
                  </w:r>
                </w:p>
              </w:tc>
              <w:tc>
                <w:tcPr>
                  <w:tcW w:w="300" w:type="pct"/>
                  <w:tcBorders>
                    <w:tl2br w:val="nil"/>
                    <w:tr2bl w:val="nil"/>
                  </w:tcBorders>
                  <w:vAlign w:val="center"/>
                </w:tcPr>
                <w:p w14:paraId="1E3414AF">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w:t>
                  </w:r>
                </w:p>
              </w:tc>
              <w:tc>
                <w:tcPr>
                  <w:tcW w:w="487" w:type="pct"/>
                  <w:tcBorders>
                    <w:tl2br w:val="nil"/>
                    <w:tr2bl w:val="nil"/>
                  </w:tcBorders>
                  <w:vAlign w:val="center"/>
                </w:tcPr>
                <w:p w14:paraId="4EFA7544">
                  <w:pPr>
                    <w:keepNext w:val="0"/>
                    <w:keepLines w:val="0"/>
                    <w:suppressLineNumbers w:val="0"/>
                    <w:spacing w:before="0" w:beforeAutospacing="0" w:after="0" w:afterAutospacing="0" w:line="240" w:lineRule="auto"/>
                    <w:ind w:left="0" w:leftChars="0" w:right="0" w:rightChars="0"/>
                    <w:jc w:val="center"/>
                    <w:rPr>
                      <w:rFonts w:hint="default"/>
                      <w:bCs/>
                      <w:color w:val="auto"/>
                      <w:sz w:val="21"/>
                      <w:szCs w:val="21"/>
                      <w:highlight w:val="none"/>
                    </w:rPr>
                  </w:pPr>
                  <w:r>
                    <w:rPr>
                      <w:rFonts w:hint="eastAsia" w:ascii="Times New Roman" w:hAnsi="Times New Roman" w:eastAsia="宋体" w:cs="Times New Roman"/>
                      <w:color w:val="auto"/>
                      <w:sz w:val="21"/>
                      <w:szCs w:val="21"/>
                      <w:vertAlign w:val="baseline"/>
                      <w:lang w:val="en-US" w:eastAsia="zh-CN"/>
                    </w:rPr>
                    <w:t>43</w:t>
                  </w:r>
                </w:p>
              </w:tc>
              <w:tc>
                <w:tcPr>
                  <w:tcW w:w="506" w:type="pct"/>
                  <w:tcBorders>
                    <w:tl2br w:val="nil"/>
                    <w:tr2bl w:val="nil"/>
                  </w:tcBorders>
                  <w:vAlign w:val="center"/>
                </w:tcPr>
                <w:p w14:paraId="325129BD">
                  <w:pPr>
                    <w:keepNext w:val="0"/>
                    <w:keepLines w:val="0"/>
                    <w:suppressLineNumbers w:val="0"/>
                    <w:spacing w:before="0" w:beforeAutospacing="0" w:after="0" w:afterAutospacing="0" w:line="240" w:lineRule="auto"/>
                    <w:ind w:left="0" w:leftChars="0" w:right="0" w:rightChars="0"/>
                    <w:jc w:val="center"/>
                    <w:rPr>
                      <w:rFonts w:hint="default"/>
                      <w:bCs/>
                      <w:color w:val="auto"/>
                      <w:sz w:val="21"/>
                      <w:szCs w:val="21"/>
                      <w:highlight w:val="none"/>
                      <w:lang w:val="en-US"/>
                    </w:rPr>
                  </w:pPr>
                  <w:r>
                    <w:rPr>
                      <w:rFonts w:hint="eastAsia" w:ascii="Times New Roman" w:hAnsi="Times New Roman" w:eastAsia="宋体" w:cs="Times New Roman"/>
                      <w:color w:val="auto"/>
                      <w:sz w:val="21"/>
                      <w:szCs w:val="21"/>
                      <w:vertAlign w:val="baseline"/>
                      <w:lang w:val="en-US" w:eastAsia="zh-CN"/>
                    </w:rPr>
                    <w:t>107</w:t>
                  </w:r>
                </w:p>
              </w:tc>
              <w:tc>
                <w:tcPr>
                  <w:tcW w:w="412" w:type="pct"/>
                  <w:tcBorders>
                    <w:tl2br w:val="nil"/>
                    <w:tr2bl w:val="nil"/>
                  </w:tcBorders>
                  <w:vAlign w:val="center"/>
                </w:tcPr>
                <w:p w14:paraId="6B5A91F5">
                  <w:pPr>
                    <w:keepNext w:val="0"/>
                    <w:keepLines w:val="0"/>
                    <w:suppressLineNumbers w:val="0"/>
                    <w:spacing w:before="0" w:beforeAutospacing="0" w:after="0" w:afterAutospacing="0" w:line="240" w:lineRule="auto"/>
                    <w:ind w:left="0" w:leftChars="0" w:right="0" w:rightChars="0"/>
                    <w:jc w:val="center"/>
                    <w:rPr>
                      <w:rFonts w:hint="eastAsia" w:eastAsia="宋体"/>
                      <w:bCs/>
                      <w:color w:val="auto"/>
                      <w:sz w:val="21"/>
                      <w:szCs w:val="21"/>
                      <w:highlight w:val="no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126" w:type="pct"/>
                  <w:tcBorders>
                    <w:tl2br w:val="nil"/>
                    <w:tr2bl w:val="nil"/>
                  </w:tcBorders>
                  <w:vAlign w:val="center"/>
                </w:tcPr>
                <w:p w14:paraId="7AF9AF52">
                  <w:pPr>
                    <w:keepNext w:val="0"/>
                    <w:keepLines w:val="0"/>
                    <w:suppressLineNumbers w:val="0"/>
                    <w:spacing w:before="0" w:beforeAutospacing="0" w:after="0" w:afterAutospacing="0" w:line="240" w:lineRule="auto"/>
                    <w:ind w:left="0" w:leftChars="0" w:right="0" w:rightChars="0"/>
                    <w:jc w:val="center"/>
                    <w:rPr>
                      <w:rFonts w:hint="default"/>
                      <w:bCs/>
                      <w:color w:val="auto"/>
                      <w:sz w:val="21"/>
                      <w:szCs w:val="21"/>
                      <w:highlight w:val="none"/>
                    </w:rPr>
                  </w:pPr>
                  <w:r>
                    <w:rPr>
                      <w:rFonts w:hint="default" w:ascii="Times New Roman" w:hAnsi="Times New Roman" w:eastAsia="宋体" w:cs="Times New Roman"/>
                      <w:color w:val="auto"/>
                      <w:sz w:val="21"/>
                      <w:szCs w:val="21"/>
                      <w:vertAlign w:val="baseline"/>
                      <w:lang w:val="en-US" w:eastAsia="zh-CN"/>
                    </w:rPr>
                    <w:t>75</w:t>
                  </w:r>
                </w:p>
              </w:tc>
              <w:tc>
                <w:tcPr>
                  <w:tcW w:w="525" w:type="pct"/>
                  <w:vMerge w:val="continue"/>
                  <w:tcBorders>
                    <w:tl2br w:val="nil"/>
                    <w:tr2bl w:val="nil"/>
                  </w:tcBorders>
                  <w:vAlign w:val="center"/>
                </w:tcPr>
                <w:p w14:paraId="09E3E47E">
                  <w:pPr>
                    <w:pStyle w:val="162"/>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p>
              </w:tc>
              <w:tc>
                <w:tcPr>
                  <w:tcW w:w="506" w:type="pct"/>
                  <w:vMerge w:val="continue"/>
                  <w:tcBorders>
                    <w:tl2br w:val="nil"/>
                    <w:tr2bl w:val="nil"/>
                  </w:tcBorders>
                  <w:vAlign w:val="center"/>
                </w:tcPr>
                <w:p w14:paraId="22D8DCE9">
                  <w:pPr>
                    <w:keepNext w:val="0"/>
                    <w:keepLines w:val="0"/>
                    <w:suppressLineNumbers w:val="0"/>
                    <w:spacing w:before="0" w:beforeAutospacing="0" w:after="0" w:afterAutospacing="0"/>
                    <w:ind w:left="0" w:right="0"/>
                    <w:jc w:val="center"/>
                    <w:rPr>
                      <w:rFonts w:hint="default"/>
                      <w:color w:val="auto"/>
                      <w:sz w:val="21"/>
                      <w:szCs w:val="21"/>
                      <w:highlight w:val="none"/>
                    </w:rPr>
                  </w:pPr>
                </w:p>
              </w:tc>
            </w:tr>
            <w:tr w14:paraId="3E7751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27" w:type="pct"/>
                  <w:tcBorders>
                    <w:tl2br w:val="nil"/>
                    <w:tr2bl w:val="nil"/>
                  </w:tcBorders>
                  <w:vAlign w:val="center"/>
                </w:tcPr>
                <w:p w14:paraId="41EECD73">
                  <w:pPr>
                    <w:pStyle w:val="162"/>
                    <w:keepNext w:val="0"/>
                    <w:keepLines w:val="0"/>
                    <w:suppressLineNumbers w:val="0"/>
                    <w:spacing w:before="0" w:beforeAutospacing="0" w:after="0" w:afterAutospacing="0" w:line="240" w:lineRule="auto"/>
                    <w:ind w:left="0" w:right="0" w:firstLine="0" w:firstLineChars="0"/>
                    <w:jc w:val="center"/>
                    <w:rPr>
                      <w:rFonts w:hint="eastAsia"/>
                      <w:bCs/>
                      <w:color w:val="auto"/>
                      <w:sz w:val="21"/>
                      <w:szCs w:val="21"/>
                      <w:highlight w:val="none"/>
                    </w:rPr>
                  </w:pPr>
                  <w:r>
                    <w:rPr>
                      <w:rFonts w:hint="eastAsia"/>
                      <w:bCs/>
                      <w:color w:val="auto"/>
                      <w:sz w:val="21"/>
                      <w:szCs w:val="21"/>
                      <w:highlight w:val="none"/>
                    </w:rPr>
                    <w:t>5</w:t>
                  </w:r>
                </w:p>
              </w:tc>
              <w:tc>
                <w:tcPr>
                  <w:tcW w:w="805" w:type="pct"/>
                  <w:tcBorders>
                    <w:tl2br w:val="nil"/>
                    <w:tr2bl w:val="nil"/>
                  </w:tcBorders>
                  <w:vAlign w:val="center"/>
                </w:tcPr>
                <w:p w14:paraId="1F38882D">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cs="Times New Roman"/>
                      <w:snapToGrid w:val="0"/>
                      <w:color w:val="auto"/>
                      <w:sz w:val="21"/>
                      <w:szCs w:val="21"/>
                      <w:highlight w:val="none"/>
                    </w:rPr>
                  </w:pPr>
                  <w:r>
                    <w:rPr>
                      <w:rFonts w:hint="default" w:ascii="Times New Roman" w:hAnsi="Times New Roman" w:eastAsia="宋体" w:cs="Times New Roman"/>
                      <w:color w:val="auto"/>
                      <w:sz w:val="21"/>
                      <w:szCs w:val="21"/>
                      <w:highlight w:val="none"/>
                      <w:lang w:val="en-US" w:eastAsia="zh-CN"/>
                    </w:rPr>
                    <w:t>带式输送机</w:t>
                  </w:r>
                </w:p>
              </w:tc>
              <w:tc>
                <w:tcPr>
                  <w:tcW w:w="300" w:type="pct"/>
                  <w:tcBorders>
                    <w:tl2br w:val="nil"/>
                    <w:tr2bl w:val="nil"/>
                  </w:tcBorders>
                  <w:vAlign w:val="center"/>
                </w:tcPr>
                <w:p w14:paraId="39B73C23">
                  <w:pPr>
                    <w:pStyle w:val="162"/>
                    <w:keepNext w:val="0"/>
                    <w:keepLines w:val="0"/>
                    <w:suppressLineNumbers w:val="0"/>
                    <w:spacing w:before="0" w:beforeAutospacing="0" w:after="0" w:afterAutospacing="0" w:line="240" w:lineRule="auto"/>
                    <w:ind w:left="0" w:right="0" w:firstLine="0" w:firstLineChars="0"/>
                    <w:jc w:val="center"/>
                    <w:rPr>
                      <w:rFonts w:hint="eastAsia" w:eastAsia="宋体"/>
                      <w:bCs/>
                      <w:color w:val="auto"/>
                      <w:sz w:val="21"/>
                      <w:szCs w:val="21"/>
                      <w:highlight w:val="none"/>
                      <w:lang w:val="en-US" w:eastAsia="zh-CN"/>
                    </w:rPr>
                  </w:pPr>
                  <w:r>
                    <w:rPr>
                      <w:rFonts w:hint="eastAsia"/>
                      <w:bCs/>
                      <w:color w:val="auto"/>
                      <w:sz w:val="21"/>
                      <w:szCs w:val="21"/>
                      <w:highlight w:val="none"/>
                      <w:lang w:val="en-US" w:eastAsia="zh-CN"/>
                    </w:rPr>
                    <w:t>/</w:t>
                  </w:r>
                </w:p>
              </w:tc>
              <w:tc>
                <w:tcPr>
                  <w:tcW w:w="487" w:type="pct"/>
                  <w:tcBorders>
                    <w:tl2br w:val="nil"/>
                    <w:tr2bl w:val="nil"/>
                  </w:tcBorders>
                  <w:vAlign w:val="center"/>
                </w:tcPr>
                <w:p w14:paraId="3029AF8D">
                  <w:pPr>
                    <w:keepNext w:val="0"/>
                    <w:keepLines w:val="0"/>
                    <w:suppressLineNumbers w:val="0"/>
                    <w:spacing w:before="0" w:beforeAutospacing="0" w:after="0" w:afterAutospacing="0" w:line="240" w:lineRule="auto"/>
                    <w:ind w:left="0" w:leftChars="0" w:right="0" w:rightChars="0"/>
                    <w:jc w:val="center"/>
                    <w:rPr>
                      <w:rFonts w:hint="default"/>
                      <w:bCs/>
                      <w:color w:val="auto"/>
                      <w:sz w:val="21"/>
                      <w:szCs w:val="21"/>
                      <w:highlight w:val="none"/>
                      <w:lang w:val="en-US" w:eastAsia="zh-CN"/>
                    </w:rPr>
                  </w:pPr>
                  <w:r>
                    <w:rPr>
                      <w:rFonts w:hint="eastAsia" w:ascii="Times New Roman" w:hAnsi="Times New Roman" w:eastAsia="宋体" w:cs="Times New Roman"/>
                      <w:color w:val="auto"/>
                      <w:kern w:val="2"/>
                      <w:sz w:val="21"/>
                      <w:szCs w:val="21"/>
                      <w:vertAlign w:val="baseline"/>
                      <w:lang w:val="en-US" w:eastAsia="zh-CN" w:bidi="ar-SA"/>
                    </w:rPr>
                    <w:t>52</w:t>
                  </w:r>
                </w:p>
              </w:tc>
              <w:tc>
                <w:tcPr>
                  <w:tcW w:w="506" w:type="pct"/>
                  <w:tcBorders>
                    <w:tl2br w:val="nil"/>
                    <w:tr2bl w:val="nil"/>
                  </w:tcBorders>
                  <w:vAlign w:val="center"/>
                </w:tcPr>
                <w:p w14:paraId="700851DC">
                  <w:pPr>
                    <w:keepNext w:val="0"/>
                    <w:keepLines w:val="0"/>
                    <w:suppressLineNumbers w:val="0"/>
                    <w:spacing w:before="0" w:beforeAutospacing="0" w:after="0" w:afterAutospacing="0" w:line="240" w:lineRule="auto"/>
                    <w:ind w:left="0" w:leftChars="0" w:right="0" w:rightChars="0"/>
                    <w:jc w:val="center"/>
                    <w:rPr>
                      <w:rFonts w:hint="default"/>
                      <w:bCs/>
                      <w:color w:val="auto"/>
                      <w:sz w:val="21"/>
                      <w:szCs w:val="21"/>
                      <w:highlight w:val="none"/>
                      <w:lang w:val="en-US" w:eastAsia="zh-CN"/>
                    </w:rPr>
                  </w:pPr>
                  <w:r>
                    <w:rPr>
                      <w:rFonts w:hint="eastAsia" w:ascii="Times New Roman" w:hAnsi="Times New Roman" w:eastAsia="宋体" w:cs="Times New Roman"/>
                      <w:color w:val="auto"/>
                      <w:kern w:val="2"/>
                      <w:sz w:val="21"/>
                      <w:szCs w:val="21"/>
                      <w:vertAlign w:val="baseline"/>
                      <w:lang w:val="en-US" w:eastAsia="zh-CN" w:bidi="ar-SA"/>
                    </w:rPr>
                    <w:t>124</w:t>
                  </w:r>
                </w:p>
              </w:tc>
              <w:tc>
                <w:tcPr>
                  <w:tcW w:w="412" w:type="pct"/>
                  <w:tcBorders>
                    <w:tl2br w:val="nil"/>
                    <w:tr2bl w:val="nil"/>
                  </w:tcBorders>
                  <w:vAlign w:val="center"/>
                </w:tcPr>
                <w:p w14:paraId="700E72AF">
                  <w:pPr>
                    <w:keepNext w:val="0"/>
                    <w:keepLines w:val="0"/>
                    <w:suppressLineNumbers w:val="0"/>
                    <w:spacing w:before="0" w:beforeAutospacing="0" w:after="0" w:afterAutospacing="0" w:line="240" w:lineRule="auto"/>
                    <w:ind w:left="0" w:leftChars="0" w:right="0" w:rightChars="0"/>
                    <w:jc w:val="center"/>
                    <w:rPr>
                      <w:rFonts w:hint="default" w:cs="Times New Roman"/>
                      <w:bCs/>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1</w:t>
                  </w:r>
                </w:p>
              </w:tc>
              <w:tc>
                <w:tcPr>
                  <w:tcW w:w="1126" w:type="pct"/>
                  <w:tcBorders>
                    <w:tl2br w:val="nil"/>
                    <w:tr2bl w:val="nil"/>
                  </w:tcBorders>
                  <w:vAlign w:val="center"/>
                </w:tcPr>
                <w:p w14:paraId="45F00D4F">
                  <w:pPr>
                    <w:keepNext w:val="0"/>
                    <w:keepLines w:val="0"/>
                    <w:suppressLineNumbers w:val="0"/>
                    <w:spacing w:before="0" w:beforeAutospacing="0" w:after="0" w:afterAutospacing="0" w:line="240" w:lineRule="auto"/>
                    <w:ind w:left="0" w:leftChars="0" w:right="0" w:rightChars="0"/>
                    <w:jc w:val="center"/>
                    <w:rPr>
                      <w:rFonts w:hint="default" w:eastAsia="宋体"/>
                      <w:bCs/>
                      <w:color w:val="auto"/>
                      <w:sz w:val="21"/>
                      <w:szCs w:val="21"/>
                      <w:highlight w:val="none"/>
                      <w:lang w:val="en-US" w:eastAsia="zh-CN"/>
                    </w:rPr>
                  </w:pPr>
                  <w:r>
                    <w:rPr>
                      <w:rFonts w:hint="default" w:ascii="Times New Roman" w:hAnsi="Times New Roman" w:eastAsia="宋体" w:cs="Times New Roman"/>
                      <w:color w:val="auto"/>
                      <w:sz w:val="21"/>
                      <w:szCs w:val="21"/>
                      <w:vertAlign w:val="baseline"/>
                      <w:lang w:val="en-US" w:eastAsia="zh-CN"/>
                    </w:rPr>
                    <w:t>75</w:t>
                  </w:r>
                </w:p>
              </w:tc>
              <w:tc>
                <w:tcPr>
                  <w:tcW w:w="525" w:type="pct"/>
                  <w:vMerge w:val="continue"/>
                  <w:tcBorders>
                    <w:tl2br w:val="nil"/>
                    <w:tr2bl w:val="nil"/>
                  </w:tcBorders>
                  <w:vAlign w:val="center"/>
                </w:tcPr>
                <w:p w14:paraId="1DCE81D1">
                  <w:pPr>
                    <w:pStyle w:val="162"/>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p>
              </w:tc>
              <w:tc>
                <w:tcPr>
                  <w:tcW w:w="506" w:type="pct"/>
                  <w:vMerge w:val="continue"/>
                  <w:tcBorders>
                    <w:tl2br w:val="nil"/>
                    <w:tr2bl w:val="nil"/>
                  </w:tcBorders>
                  <w:vAlign w:val="center"/>
                </w:tcPr>
                <w:p w14:paraId="0A1D1328">
                  <w:pPr>
                    <w:keepNext w:val="0"/>
                    <w:keepLines w:val="0"/>
                    <w:suppressLineNumbers w:val="0"/>
                    <w:spacing w:before="0" w:beforeAutospacing="0" w:after="0" w:afterAutospacing="0"/>
                    <w:ind w:left="0" w:right="0"/>
                    <w:jc w:val="center"/>
                    <w:rPr>
                      <w:rFonts w:hint="default"/>
                      <w:color w:val="auto"/>
                      <w:sz w:val="21"/>
                      <w:szCs w:val="21"/>
                      <w:highlight w:val="none"/>
                    </w:rPr>
                  </w:pPr>
                </w:p>
              </w:tc>
            </w:tr>
            <w:tr w14:paraId="33FBC2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27" w:type="pct"/>
                  <w:tcBorders>
                    <w:tl2br w:val="nil"/>
                    <w:tr2bl w:val="nil"/>
                  </w:tcBorders>
                  <w:shd w:val="clear" w:color="auto" w:fill="auto"/>
                  <w:vAlign w:val="center"/>
                </w:tcPr>
                <w:p w14:paraId="21D73E9A">
                  <w:pPr>
                    <w:pStyle w:val="162"/>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 w:val="21"/>
                      <w:szCs w:val="21"/>
                      <w:highlight w:val="none"/>
                    </w:rPr>
                    <w:t>6</w:t>
                  </w:r>
                </w:p>
              </w:tc>
              <w:tc>
                <w:tcPr>
                  <w:tcW w:w="805" w:type="pct"/>
                  <w:tcBorders>
                    <w:tl2br w:val="nil"/>
                    <w:tr2bl w:val="nil"/>
                  </w:tcBorders>
                  <w:vAlign w:val="center"/>
                </w:tcPr>
                <w:p w14:paraId="21793C1D">
                  <w:pPr>
                    <w:keepNext w:val="0"/>
                    <w:keepLines w:val="0"/>
                    <w:suppressLineNumbers w:val="0"/>
                    <w:snapToGrid w:val="0"/>
                    <w:spacing w:before="0" w:beforeAutospacing="0" w:after="0" w:afterAutospacing="0" w:line="240" w:lineRule="auto"/>
                    <w:ind w:left="0" w:leftChars="0" w:right="0" w:rightChars="0"/>
                    <w:jc w:val="center"/>
                    <w:rPr>
                      <w:rFonts w:hint="default"/>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带式输送机</w:t>
                  </w:r>
                </w:p>
              </w:tc>
              <w:tc>
                <w:tcPr>
                  <w:tcW w:w="300" w:type="pct"/>
                  <w:tcBorders>
                    <w:tl2br w:val="nil"/>
                    <w:tr2bl w:val="nil"/>
                  </w:tcBorders>
                  <w:vAlign w:val="center"/>
                </w:tcPr>
                <w:p w14:paraId="1C2E6A05">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w:t>
                  </w:r>
                </w:p>
              </w:tc>
              <w:tc>
                <w:tcPr>
                  <w:tcW w:w="487" w:type="pct"/>
                  <w:tcBorders>
                    <w:tl2br w:val="nil"/>
                    <w:tr2bl w:val="nil"/>
                  </w:tcBorders>
                  <w:vAlign w:val="center"/>
                </w:tcPr>
                <w:p w14:paraId="0909C38D">
                  <w:pPr>
                    <w:keepNext w:val="0"/>
                    <w:keepLines w:val="0"/>
                    <w:suppressLineNumbers w:val="0"/>
                    <w:spacing w:before="0" w:beforeAutospacing="0" w:after="0" w:afterAutospacing="0" w:line="240" w:lineRule="auto"/>
                    <w:ind w:left="0" w:leftChars="0" w:right="0" w:rightChars="0"/>
                    <w:jc w:val="center"/>
                    <w:rPr>
                      <w:rFonts w:hint="default"/>
                      <w:bCs/>
                      <w:color w:val="auto"/>
                      <w:sz w:val="21"/>
                      <w:szCs w:val="21"/>
                      <w:highlight w:val="none"/>
                    </w:rPr>
                  </w:pPr>
                  <w:r>
                    <w:rPr>
                      <w:rFonts w:hint="eastAsia" w:ascii="Times New Roman" w:hAnsi="Times New Roman" w:eastAsia="宋体" w:cs="Times New Roman"/>
                      <w:color w:val="auto"/>
                      <w:sz w:val="21"/>
                      <w:szCs w:val="21"/>
                      <w:vertAlign w:val="baseline"/>
                      <w:lang w:val="en-US" w:eastAsia="zh-CN"/>
                    </w:rPr>
                    <w:t>42</w:t>
                  </w:r>
                </w:p>
              </w:tc>
              <w:tc>
                <w:tcPr>
                  <w:tcW w:w="506" w:type="pct"/>
                  <w:tcBorders>
                    <w:tl2br w:val="nil"/>
                    <w:tr2bl w:val="nil"/>
                  </w:tcBorders>
                  <w:vAlign w:val="center"/>
                </w:tcPr>
                <w:p w14:paraId="4E94EEFF">
                  <w:pPr>
                    <w:keepNext w:val="0"/>
                    <w:keepLines w:val="0"/>
                    <w:suppressLineNumbers w:val="0"/>
                    <w:spacing w:before="0" w:beforeAutospacing="0" w:after="0" w:afterAutospacing="0" w:line="240" w:lineRule="auto"/>
                    <w:ind w:left="0" w:leftChars="0" w:right="0" w:rightChars="0"/>
                    <w:jc w:val="center"/>
                    <w:rPr>
                      <w:rFonts w:hint="default"/>
                      <w:bCs/>
                      <w:color w:val="auto"/>
                      <w:sz w:val="21"/>
                      <w:szCs w:val="21"/>
                      <w:highlight w:val="none"/>
                      <w:lang w:val="en-US"/>
                    </w:rPr>
                  </w:pPr>
                  <w:r>
                    <w:rPr>
                      <w:rFonts w:hint="eastAsia" w:ascii="Times New Roman" w:hAnsi="Times New Roman" w:eastAsia="宋体" w:cs="Times New Roman"/>
                      <w:color w:val="auto"/>
                      <w:sz w:val="21"/>
                      <w:szCs w:val="21"/>
                      <w:vertAlign w:val="baseline"/>
                      <w:lang w:val="en-US" w:eastAsia="zh-CN"/>
                    </w:rPr>
                    <w:t>132</w:t>
                  </w:r>
                </w:p>
              </w:tc>
              <w:tc>
                <w:tcPr>
                  <w:tcW w:w="412" w:type="pct"/>
                  <w:tcBorders>
                    <w:tl2br w:val="nil"/>
                    <w:tr2bl w:val="nil"/>
                  </w:tcBorders>
                  <w:vAlign w:val="center"/>
                </w:tcPr>
                <w:p w14:paraId="4E5D438B">
                  <w:pPr>
                    <w:keepNext w:val="0"/>
                    <w:keepLines w:val="0"/>
                    <w:suppressLineNumbers w:val="0"/>
                    <w:spacing w:before="0" w:beforeAutospacing="0" w:after="0" w:afterAutospacing="0" w:line="240" w:lineRule="auto"/>
                    <w:ind w:left="0" w:leftChars="0" w:right="0" w:rightChars="0"/>
                    <w:jc w:val="center"/>
                    <w:rPr>
                      <w:rFonts w:hint="eastAsia" w:eastAsia="宋体"/>
                      <w:bCs/>
                      <w:color w:val="auto"/>
                      <w:sz w:val="21"/>
                      <w:szCs w:val="21"/>
                      <w:highlight w:val="no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126" w:type="pct"/>
                  <w:tcBorders>
                    <w:tl2br w:val="nil"/>
                    <w:tr2bl w:val="nil"/>
                  </w:tcBorders>
                  <w:vAlign w:val="center"/>
                </w:tcPr>
                <w:p w14:paraId="0CF29113">
                  <w:pPr>
                    <w:keepNext w:val="0"/>
                    <w:keepLines w:val="0"/>
                    <w:suppressLineNumbers w:val="0"/>
                    <w:spacing w:before="0" w:beforeAutospacing="0" w:after="0" w:afterAutospacing="0" w:line="240" w:lineRule="auto"/>
                    <w:ind w:left="0" w:leftChars="0" w:right="0" w:rightChars="0"/>
                    <w:jc w:val="center"/>
                    <w:rPr>
                      <w:rFonts w:hint="default"/>
                      <w:bCs/>
                      <w:color w:val="auto"/>
                      <w:sz w:val="21"/>
                      <w:szCs w:val="21"/>
                      <w:highlight w:val="none"/>
                    </w:rPr>
                  </w:pPr>
                  <w:r>
                    <w:rPr>
                      <w:rFonts w:hint="default" w:ascii="Times New Roman" w:hAnsi="Times New Roman" w:eastAsia="宋体" w:cs="Times New Roman"/>
                      <w:color w:val="auto"/>
                      <w:sz w:val="21"/>
                      <w:szCs w:val="21"/>
                      <w:vertAlign w:val="baseline"/>
                      <w:lang w:val="en-US" w:eastAsia="zh-CN"/>
                    </w:rPr>
                    <w:t>75</w:t>
                  </w:r>
                </w:p>
              </w:tc>
              <w:tc>
                <w:tcPr>
                  <w:tcW w:w="525" w:type="pct"/>
                  <w:vMerge w:val="continue"/>
                  <w:tcBorders>
                    <w:tl2br w:val="nil"/>
                    <w:tr2bl w:val="nil"/>
                  </w:tcBorders>
                  <w:vAlign w:val="center"/>
                </w:tcPr>
                <w:p w14:paraId="606C5571">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c>
                <w:tcPr>
                  <w:tcW w:w="506" w:type="pct"/>
                  <w:vMerge w:val="continue"/>
                  <w:tcBorders>
                    <w:tl2br w:val="nil"/>
                    <w:tr2bl w:val="nil"/>
                  </w:tcBorders>
                  <w:vAlign w:val="center"/>
                </w:tcPr>
                <w:p w14:paraId="39562366">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r>
            <w:tr w14:paraId="436F60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27" w:type="pct"/>
                  <w:tcBorders>
                    <w:tl2br w:val="nil"/>
                    <w:tr2bl w:val="nil"/>
                  </w:tcBorders>
                  <w:shd w:val="clear" w:color="auto" w:fill="auto"/>
                  <w:vAlign w:val="center"/>
                </w:tcPr>
                <w:p w14:paraId="1899EBCE">
                  <w:pPr>
                    <w:pStyle w:val="162"/>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7</w:t>
                  </w:r>
                </w:p>
              </w:tc>
              <w:tc>
                <w:tcPr>
                  <w:tcW w:w="805" w:type="pct"/>
                  <w:tcBorders>
                    <w:tl2br w:val="nil"/>
                    <w:tr2bl w:val="nil"/>
                  </w:tcBorders>
                  <w:vAlign w:val="center"/>
                </w:tcPr>
                <w:p w14:paraId="629E31E0">
                  <w:pPr>
                    <w:keepNext w:val="0"/>
                    <w:keepLines w:val="0"/>
                    <w:suppressLineNumbers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带式输送机</w:t>
                  </w:r>
                </w:p>
              </w:tc>
              <w:tc>
                <w:tcPr>
                  <w:tcW w:w="300" w:type="pct"/>
                  <w:tcBorders>
                    <w:tl2br w:val="nil"/>
                    <w:tr2bl w:val="nil"/>
                  </w:tcBorders>
                  <w:vAlign w:val="center"/>
                </w:tcPr>
                <w:p w14:paraId="1D4CBABB">
                  <w:pPr>
                    <w:pStyle w:val="162"/>
                    <w:keepNext w:val="0"/>
                    <w:keepLines w:val="0"/>
                    <w:suppressLineNumbers w:val="0"/>
                    <w:spacing w:before="0" w:beforeAutospacing="0" w:after="0" w:afterAutospacing="0" w:line="240" w:lineRule="auto"/>
                    <w:ind w:left="0" w:right="0" w:firstLine="0" w:firstLineChars="0"/>
                    <w:jc w:val="center"/>
                    <w:rPr>
                      <w:rFonts w:hint="eastAsia" w:eastAsia="宋体"/>
                      <w:bCs/>
                      <w:color w:val="auto"/>
                      <w:sz w:val="21"/>
                      <w:szCs w:val="21"/>
                      <w:highlight w:val="none"/>
                      <w:lang w:val="en-US" w:eastAsia="zh-CN"/>
                    </w:rPr>
                  </w:pPr>
                  <w:r>
                    <w:rPr>
                      <w:rFonts w:hint="eastAsia"/>
                      <w:bCs/>
                      <w:color w:val="auto"/>
                      <w:sz w:val="21"/>
                      <w:szCs w:val="21"/>
                      <w:highlight w:val="none"/>
                      <w:lang w:val="en-US" w:eastAsia="zh-CN"/>
                    </w:rPr>
                    <w:t>/</w:t>
                  </w:r>
                </w:p>
              </w:tc>
              <w:tc>
                <w:tcPr>
                  <w:tcW w:w="487" w:type="pct"/>
                  <w:tcBorders>
                    <w:tl2br w:val="nil"/>
                    <w:tr2bl w:val="nil"/>
                  </w:tcBorders>
                  <w:vAlign w:val="center"/>
                </w:tcPr>
                <w:p w14:paraId="0FE3DC63">
                  <w:pPr>
                    <w:keepNext w:val="0"/>
                    <w:keepLines w:val="0"/>
                    <w:suppressLineNumbers w:val="0"/>
                    <w:spacing w:before="0" w:beforeAutospacing="0" w:after="0" w:afterAutospacing="0" w:line="240" w:lineRule="auto"/>
                    <w:ind w:left="0" w:leftChars="0" w:right="0" w:rightChars="0"/>
                    <w:jc w:val="center"/>
                    <w:rPr>
                      <w:rFonts w:hint="default"/>
                      <w:bCs/>
                      <w:color w:val="auto"/>
                      <w:sz w:val="21"/>
                      <w:szCs w:val="21"/>
                      <w:highlight w:val="none"/>
                      <w:lang w:val="en-US" w:eastAsia="zh-CN"/>
                    </w:rPr>
                  </w:pPr>
                  <w:r>
                    <w:rPr>
                      <w:rFonts w:hint="eastAsia" w:ascii="Times New Roman" w:hAnsi="Times New Roman" w:eastAsia="宋体" w:cs="Times New Roman"/>
                      <w:color w:val="auto"/>
                      <w:sz w:val="21"/>
                      <w:szCs w:val="21"/>
                      <w:vertAlign w:val="baseline"/>
                      <w:lang w:val="en-US" w:eastAsia="zh-CN"/>
                    </w:rPr>
                    <w:t>-12</w:t>
                  </w:r>
                </w:p>
              </w:tc>
              <w:tc>
                <w:tcPr>
                  <w:tcW w:w="506" w:type="pct"/>
                  <w:tcBorders>
                    <w:tl2br w:val="nil"/>
                    <w:tr2bl w:val="nil"/>
                  </w:tcBorders>
                  <w:vAlign w:val="center"/>
                </w:tcPr>
                <w:p w14:paraId="59689136">
                  <w:pPr>
                    <w:keepNext w:val="0"/>
                    <w:keepLines w:val="0"/>
                    <w:suppressLineNumbers w:val="0"/>
                    <w:spacing w:before="0" w:beforeAutospacing="0" w:after="0" w:afterAutospacing="0" w:line="240" w:lineRule="auto"/>
                    <w:ind w:left="0" w:leftChars="0" w:right="0" w:rightChars="0"/>
                    <w:jc w:val="center"/>
                    <w:rPr>
                      <w:rFonts w:hint="default"/>
                      <w:bCs/>
                      <w:color w:val="auto"/>
                      <w:sz w:val="21"/>
                      <w:szCs w:val="21"/>
                      <w:highlight w:val="none"/>
                      <w:lang w:val="en-US" w:eastAsia="zh-CN"/>
                    </w:rPr>
                  </w:pPr>
                  <w:r>
                    <w:rPr>
                      <w:rFonts w:hint="eastAsia" w:ascii="Times New Roman" w:hAnsi="Times New Roman" w:eastAsia="宋体" w:cs="Times New Roman"/>
                      <w:color w:val="auto"/>
                      <w:sz w:val="21"/>
                      <w:szCs w:val="21"/>
                      <w:vertAlign w:val="baseline"/>
                      <w:lang w:val="en-US" w:eastAsia="zh-CN"/>
                    </w:rPr>
                    <w:t>106</w:t>
                  </w:r>
                </w:p>
              </w:tc>
              <w:tc>
                <w:tcPr>
                  <w:tcW w:w="412" w:type="pct"/>
                  <w:tcBorders>
                    <w:tl2br w:val="nil"/>
                    <w:tr2bl w:val="nil"/>
                  </w:tcBorders>
                  <w:vAlign w:val="center"/>
                </w:tcPr>
                <w:p w14:paraId="699169F3">
                  <w:pPr>
                    <w:keepNext w:val="0"/>
                    <w:keepLines w:val="0"/>
                    <w:suppressLineNumbers w:val="0"/>
                    <w:spacing w:before="0" w:beforeAutospacing="0" w:after="0" w:afterAutospacing="0" w:line="240" w:lineRule="auto"/>
                    <w:ind w:left="0" w:leftChars="0" w:right="0" w:rightChars="0"/>
                    <w:jc w:val="center"/>
                    <w:rPr>
                      <w:rFonts w:hint="default"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1</w:t>
                  </w:r>
                </w:p>
              </w:tc>
              <w:tc>
                <w:tcPr>
                  <w:tcW w:w="1126" w:type="pct"/>
                  <w:tcBorders>
                    <w:tl2br w:val="nil"/>
                    <w:tr2bl w:val="nil"/>
                  </w:tcBorders>
                  <w:vAlign w:val="center"/>
                </w:tcPr>
                <w:p w14:paraId="276FFB16">
                  <w:pPr>
                    <w:keepNext w:val="0"/>
                    <w:keepLines w:val="0"/>
                    <w:suppressLineNumbers w:val="0"/>
                    <w:spacing w:before="0" w:beforeAutospacing="0" w:after="0" w:afterAutospacing="0" w:line="240" w:lineRule="auto"/>
                    <w:ind w:left="0" w:leftChars="0" w:right="0" w:rightChars="0"/>
                    <w:jc w:val="center"/>
                    <w:rPr>
                      <w:rFonts w:hint="default" w:eastAsia="宋体"/>
                      <w:color w:val="auto"/>
                      <w:sz w:val="21"/>
                      <w:szCs w:val="21"/>
                      <w:highlight w:val="none"/>
                      <w:lang w:val="en-US" w:eastAsia="zh-CN"/>
                    </w:rPr>
                  </w:pPr>
                  <w:r>
                    <w:rPr>
                      <w:rFonts w:hint="default" w:ascii="Times New Roman" w:hAnsi="Times New Roman" w:eastAsia="宋体" w:cs="Times New Roman"/>
                      <w:color w:val="auto"/>
                      <w:sz w:val="21"/>
                      <w:szCs w:val="21"/>
                      <w:vertAlign w:val="baseline"/>
                      <w:lang w:val="en-US" w:eastAsia="zh-CN"/>
                    </w:rPr>
                    <w:t>75</w:t>
                  </w:r>
                </w:p>
              </w:tc>
              <w:tc>
                <w:tcPr>
                  <w:tcW w:w="525" w:type="pct"/>
                  <w:vMerge w:val="continue"/>
                  <w:tcBorders>
                    <w:tl2br w:val="nil"/>
                    <w:tr2bl w:val="nil"/>
                  </w:tcBorders>
                  <w:vAlign w:val="center"/>
                </w:tcPr>
                <w:p w14:paraId="42094078">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c>
                <w:tcPr>
                  <w:tcW w:w="506" w:type="pct"/>
                  <w:vMerge w:val="continue"/>
                  <w:tcBorders>
                    <w:tl2br w:val="nil"/>
                    <w:tr2bl w:val="nil"/>
                  </w:tcBorders>
                  <w:vAlign w:val="center"/>
                </w:tcPr>
                <w:p w14:paraId="03479D96">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r>
            <w:tr w14:paraId="08B8A7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27" w:type="pct"/>
                  <w:tcBorders>
                    <w:tl2br w:val="nil"/>
                    <w:tr2bl w:val="nil"/>
                  </w:tcBorders>
                  <w:vAlign w:val="center"/>
                </w:tcPr>
                <w:p w14:paraId="20DB1A18">
                  <w:pPr>
                    <w:pStyle w:val="162"/>
                    <w:keepNext w:val="0"/>
                    <w:keepLines w:val="0"/>
                    <w:suppressLineNumbers w:val="0"/>
                    <w:spacing w:before="0" w:beforeAutospacing="0" w:after="0" w:afterAutospacing="0" w:line="240" w:lineRule="auto"/>
                    <w:ind w:left="0" w:right="0" w:firstLine="0" w:firstLineChars="0"/>
                    <w:jc w:val="center"/>
                    <w:rPr>
                      <w:rFonts w:hint="eastAsia" w:eastAsia="宋体"/>
                      <w:bCs/>
                      <w:color w:val="auto"/>
                      <w:sz w:val="21"/>
                      <w:szCs w:val="21"/>
                      <w:highlight w:val="none"/>
                      <w:lang w:val="en-US" w:eastAsia="zh-CN"/>
                    </w:rPr>
                  </w:pPr>
                  <w:r>
                    <w:rPr>
                      <w:rFonts w:hint="eastAsia"/>
                      <w:bCs/>
                      <w:color w:val="auto"/>
                      <w:sz w:val="21"/>
                      <w:szCs w:val="21"/>
                      <w:highlight w:val="none"/>
                      <w:lang w:val="en-US" w:eastAsia="zh-CN"/>
                    </w:rPr>
                    <w:t>8</w:t>
                  </w:r>
                </w:p>
              </w:tc>
              <w:tc>
                <w:tcPr>
                  <w:tcW w:w="805" w:type="pct"/>
                  <w:tcBorders>
                    <w:tl2br w:val="nil"/>
                    <w:tr2bl w:val="nil"/>
                  </w:tcBorders>
                  <w:vAlign w:val="center"/>
                </w:tcPr>
                <w:p w14:paraId="59243538">
                  <w:pPr>
                    <w:keepNext w:val="0"/>
                    <w:keepLines w:val="0"/>
                    <w:suppressLineNumbers w:val="0"/>
                    <w:snapToGrid w:val="0"/>
                    <w:spacing w:before="0" w:beforeAutospacing="0" w:after="0" w:afterAutospacing="0" w:line="240" w:lineRule="auto"/>
                    <w:ind w:left="0" w:leftChars="0" w:right="0" w:rightChars="0"/>
                    <w:jc w:val="center"/>
                    <w:rPr>
                      <w:rFonts w:hint="default"/>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带式输送机</w:t>
                  </w:r>
                </w:p>
              </w:tc>
              <w:tc>
                <w:tcPr>
                  <w:tcW w:w="300" w:type="pct"/>
                  <w:tcBorders>
                    <w:tl2br w:val="nil"/>
                    <w:tr2bl w:val="nil"/>
                  </w:tcBorders>
                  <w:vAlign w:val="center"/>
                </w:tcPr>
                <w:p w14:paraId="5042BA4B">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r>
                    <w:rPr>
                      <w:rFonts w:hint="eastAsia"/>
                      <w:bCs/>
                      <w:color w:val="auto"/>
                      <w:sz w:val="21"/>
                      <w:szCs w:val="21"/>
                      <w:highlight w:val="none"/>
                    </w:rPr>
                    <w:t>/</w:t>
                  </w:r>
                </w:p>
              </w:tc>
              <w:tc>
                <w:tcPr>
                  <w:tcW w:w="487" w:type="pct"/>
                  <w:tcBorders>
                    <w:tl2br w:val="nil"/>
                    <w:tr2bl w:val="nil"/>
                  </w:tcBorders>
                  <w:vAlign w:val="center"/>
                </w:tcPr>
                <w:p w14:paraId="652CE298">
                  <w:pPr>
                    <w:keepNext w:val="0"/>
                    <w:keepLines w:val="0"/>
                    <w:suppressLineNumbers w:val="0"/>
                    <w:spacing w:before="0" w:beforeAutospacing="0" w:after="0" w:afterAutospacing="0" w:line="240" w:lineRule="auto"/>
                    <w:ind w:left="0" w:leftChars="0" w:right="0" w:rightChars="0"/>
                    <w:jc w:val="center"/>
                    <w:rPr>
                      <w:rFonts w:hint="default"/>
                      <w:bCs/>
                      <w:color w:val="auto"/>
                      <w:sz w:val="21"/>
                      <w:szCs w:val="21"/>
                      <w:highlight w:val="none"/>
                    </w:rPr>
                  </w:pPr>
                  <w:r>
                    <w:rPr>
                      <w:rFonts w:hint="eastAsia" w:ascii="Times New Roman" w:hAnsi="Times New Roman" w:eastAsia="宋体" w:cs="Times New Roman"/>
                      <w:color w:val="auto"/>
                      <w:sz w:val="21"/>
                      <w:szCs w:val="21"/>
                      <w:vertAlign w:val="baseline"/>
                      <w:lang w:val="en-US" w:eastAsia="zh-CN"/>
                    </w:rPr>
                    <w:t>39.5</w:t>
                  </w:r>
                </w:p>
              </w:tc>
              <w:tc>
                <w:tcPr>
                  <w:tcW w:w="506" w:type="pct"/>
                  <w:tcBorders>
                    <w:tl2br w:val="nil"/>
                    <w:tr2bl w:val="nil"/>
                  </w:tcBorders>
                  <w:vAlign w:val="center"/>
                </w:tcPr>
                <w:p w14:paraId="4B2CD443">
                  <w:pPr>
                    <w:keepNext w:val="0"/>
                    <w:keepLines w:val="0"/>
                    <w:suppressLineNumbers w:val="0"/>
                    <w:spacing w:before="0" w:beforeAutospacing="0" w:after="0" w:afterAutospacing="0" w:line="240" w:lineRule="auto"/>
                    <w:ind w:left="0" w:leftChars="0" w:right="0" w:rightChars="0"/>
                    <w:jc w:val="center"/>
                    <w:rPr>
                      <w:rFonts w:hint="default"/>
                      <w:bCs/>
                      <w:color w:val="auto"/>
                      <w:sz w:val="21"/>
                      <w:szCs w:val="21"/>
                      <w:highlight w:val="none"/>
                    </w:rPr>
                  </w:pPr>
                  <w:r>
                    <w:rPr>
                      <w:rFonts w:hint="eastAsia" w:ascii="Times New Roman" w:hAnsi="Times New Roman" w:eastAsia="宋体" w:cs="Times New Roman"/>
                      <w:color w:val="auto"/>
                      <w:sz w:val="21"/>
                      <w:szCs w:val="21"/>
                      <w:vertAlign w:val="baseline"/>
                      <w:lang w:val="en-US" w:eastAsia="zh-CN"/>
                    </w:rPr>
                    <w:t>64</w:t>
                  </w:r>
                </w:p>
              </w:tc>
              <w:tc>
                <w:tcPr>
                  <w:tcW w:w="412" w:type="pct"/>
                  <w:tcBorders>
                    <w:tl2br w:val="nil"/>
                    <w:tr2bl w:val="nil"/>
                  </w:tcBorders>
                  <w:vAlign w:val="center"/>
                </w:tcPr>
                <w:p w14:paraId="1A434598">
                  <w:pPr>
                    <w:keepNext w:val="0"/>
                    <w:keepLines w:val="0"/>
                    <w:suppressLineNumbers w:val="0"/>
                    <w:spacing w:before="0" w:beforeAutospacing="0" w:after="0" w:afterAutospacing="0" w:line="240" w:lineRule="auto"/>
                    <w:ind w:left="0" w:leftChars="0" w:right="0" w:rightChars="0"/>
                    <w:jc w:val="center"/>
                    <w:rPr>
                      <w:rFonts w:hint="default" w:eastAsia="宋体"/>
                      <w:bCs/>
                      <w:color w:val="auto"/>
                      <w:sz w:val="21"/>
                      <w:szCs w:val="21"/>
                      <w:highlight w:val="no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1126" w:type="pct"/>
                  <w:tcBorders>
                    <w:tl2br w:val="nil"/>
                    <w:tr2bl w:val="nil"/>
                  </w:tcBorders>
                  <w:vAlign w:val="center"/>
                </w:tcPr>
                <w:p w14:paraId="3E3BACA8">
                  <w:pPr>
                    <w:keepNext w:val="0"/>
                    <w:keepLines w:val="0"/>
                    <w:suppressLineNumbers w:val="0"/>
                    <w:spacing w:before="0" w:beforeAutospacing="0" w:after="0" w:afterAutospacing="0" w:line="240" w:lineRule="auto"/>
                    <w:ind w:left="0" w:leftChars="0" w:right="0" w:rightChars="0"/>
                    <w:jc w:val="center"/>
                    <w:rPr>
                      <w:rFonts w:hint="default"/>
                      <w:bCs/>
                      <w:color w:val="auto"/>
                      <w:sz w:val="21"/>
                      <w:szCs w:val="21"/>
                      <w:highlight w:val="none"/>
                    </w:rPr>
                  </w:pPr>
                  <w:r>
                    <w:rPr>
                      <w:rFonts w:hint="default" w:ascii="Times New Roman" w:hAnsi="Times New Roman" w:eastAsia="宋体" w:cs="Times New Roman"/>
                      <w:color w:val="auto"/>
                      <w:sz w:val="21"/>
                      <w:szCs w:val="21"/>
                      <w:vertAlign w:val="baseline"/>
                      <w:lang w:val="en-US" w:eastAsia="zh-CN"/>
                    </w:rPr>
                    <w:t>75</w:t>
                  </w:r>
                </w:p>
              </w:tc>
              <w:tc>
                <w:tcPr>
                  <w:tcW w:w="525" w:type="pct"/>
                  <w:vMerge w:val="continue"/>
                  <w:tcBorders>
                    <w:tl2br w:val="nil"/>
                    <w:tr2bl w:val="nil"/>
                  </w:tcBorders>
                  <w:vAlign w:val="center"/>
                </w:tcPr>
                <w:p w14:paraId="07926447">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c>
                <w:tcPr>
                  <w:tcW w:w="506" w:type="pct"/>
                  <w:vMerge w:val="continue"/>
                  <w:tcBorders>
                    <w:tl2br w:val="nil"/>
                    <w:tr2bl w:val="nil"/>
                  </w:tcBorders>
                  <w:vAlign w:val="center"/>
                </w:tcPr>
                <w:p w14:paraId="27C1EBB3">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r>
            <w:tr w14:paraId="110DFA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327" w:type="pct"/>
                  <w:tcBorders>
                    <w:tl2br w:val="nil"/>
                    <w:tr2bl w:val="nil"/>
                  </w:tcBorders>
                  <w:vAlign w:val="center"/>
                </w:tcPr>
                <w:p w14:paraId="3939D3CE">
                  <w:pPr>
                    <w:pStyle w:val="162"/>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9</w:t>
                  </w:r>
                </w:p>
              </w:tc>
              <w:tc>
                <w:tcPr>
                  <w:tcW w:w="805" w:type="pct"/>
                  <w:tcBorders>
                    <w:tl2br w:val="nil"/>
                    <w:tr2bl w:val="nil"/>
                  </w:tcBorders>
                  <w:vAlign w:val="center"/>
                </w:tcPr>
                <w:p w14:paraId="04932F4E">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带式输送机</w:t>
                  </w:r>
                </w:p>
              </w:tc>
              <w:tc>
                <w:tcPr>
                  <w:tcW w:w="300" w:type="pct"/>
                  <w:tcBorders>
                    <w:tl2br w:val="nil"/>
                    <w:tr2bl w:val="nil"/>
                  </w:tcBorders>
                  <w:vAlign w:val="center"/>
                </w:tcPr>
                <w:p w14:paraId="2EAD0B1D">
                  <w:pPr>
                    <w:pStyle w:val="162"/>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 w:val="21"/>
                      <w:szCs w:val="21"/>
                      <w:highlight w:val="none"/>
                    </w:rPr>
                    <w:t>/</w:t>
                  </w:r>
                </w:p>
              </w:tc>
              <w:tc>
                <w:tcPr>
                  <w:tcW w:w="487" w:type="pct"/>
                  <w:tcBorders>
                    <w:tl2br w:val="nil"/>
                    <w:tr2bl w:val="nil"/>
                  </w:tcBorders>
                  <w:vAlign w:val="center"/>
                </w:tcPr>
                <w:p w14:paraId="20CAB358">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color w:val="000000"/>
                      <w:kern w:val="0"/>
                      <w:sz w:val="21"/>
                      <w:szCs w:val="21"/>
                      <w:highlight w:val="none"/>
                      <w:lang w:val="en-US" w:eastAsia="zh-CN"/>
                    </w:rPr>
                    <w:t>-4.5</w:t>
                  </w:r>
                </w:p>
              </w:tc>
              <w:tc>
                <w:tcPr>
                  <w:tcW w:w="506" w:type="pct"/>
                  <w:tcBorders>
                    <w:tl2br w:val="nil"/>
                    <w:tr2bl w:val="nil"/>
                  </w:tcBorders>
                  <w:vAlign w:val="center"/>
                </w:tcPr>
                <w:p w14:paraId="5205C89B">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color w:val="000000"/>
                      <w:kern w:val="0"/>
                      <w:sz w:val="21"/>
                      <w:szCs w:val="21"/>
                      <w:highlight w:val="none"/>
                      <w:lang w:val="en-US" w:eastAsia="zh-CN"/>
                    </w:rPr>
                    <w:t>109</w:t>
                  </w:r>
                </w:p>
              </w:tc>
              <w:tc>
                <w:tcPr>
                  <w:tcW w:w="412" w:type="pct"/>
                  <w:tcBorders>
                    <w:tl2br w:val="nil"/>
                    <w:tr2bl w:val="nil"/>
                  </w:tcBorders>
                  <w:vAlign w:val="center"/>
                </w:tcPr>
                <w:p w14:paraId="3B32B038">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rPr>
                    <w:t>1</w:t>
                  </w:r>
                </w:p>
              </w:tc>
              <w:tc>
                <w:tcPr>
                  <w:tcW w:w="1126" w:type="pct"/>
                  <w:tcBorders>
                    <w:tl2br w:val="nil"/>
                    <w:tr2bl w:val="nil"/>
                  </w:tcBorders>
                  <w:vAlign w:val="center"/>
                </w:tcPr>
                <w:p w14:paraId="532F3D79">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75</w:t>
                  </w:r>
                </w:p>
              </w:tc>
              <w:tc>
                <w:tcPr>
                  <w:tcW w:w="525" w:type="pct"/>
                  <w:vMerge w:val="continue"/>
                  <w:tcBorders>
                    <w:tl2br w:val="nil"/>
                    <w:tr2bl w:val="nil"/>
                  </w:tcBorders>
                  <w:vAlign w:val="center"/>
                </w:tcPr>
                <w:p w14:paraId="61CC081B">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c>
                <w:tcPr>
                  <w:tcW w:w="506" w:type="pct"/>
                  <w:vMerge w:val="continue"/>
                  <w:tcBorders>
                    <w:tl2br w:val="nil"/>
                    <w:tr2bl w:val="nil"/>
                  </w:tcBorders>
                  <w:vAlign w:val="center"/>
                </w:tcPr>
                <w:p w14:paraId="429D0A88">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r>
            <w:tr w14:paraId="09D56B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327" w:type="pct"/>
                  <w:tcBorders>
                    <w:tl2br w:val="nil"/>
                    <w:tr2bl w:val="nil"/>
                  </w:tcBorders>
                  <w:vAlign w:val="center"/>
                </w:tcPr>
                <w:p w14:paraId="0459A311">
                  <w:pPr>
                    <w:pStyle w:val="162"/>
                    <w:keepNext w:val="0"/>
                    <w:keepLines w:val="0"/>
                    <w:suppressLineNumbers w:val="0"/>
                    <w:spacing w:before="0" w:beforeAutospacing="0" w:after="0" w:afterAutospacing="0" w:line="240" w:lineRule="auto"/>
                    <w:ind w:left="0" w:right="0" w:firstLine="0" w:firstLineChars="0"/>
                    <w:jc w:val="center"/>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10</w:t>
                  </w:r>
                </w:p>
              </w:tc>
              <w:tc>
                <w:tcPr>
                  <w:tcW w:w="805" w:type="pct"/>
                  <w:tcBorders>
                    <w:tl2br w:val="nil"/>
                    <w:tr2bl w:val="nil"/>
                  </w:tcBorders>
                  <w:vAlign w:val="center"/>
                </w:tcPr>
                <w:p w14:paraId="027DB2FB">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cs="Times New Roman"/>
                      <w:snapToGrid w:val="0"/>
                      <w:color w:val="auto"/>
                      <w:sz w:val="21"/>
                      <w:szCs w:val="21"/>
                      <w:highlight w:val="none"/>
                    </w:rPr>
                  </w:pPr>
                  <w:r>
                    <w:rPr>
                      <w:rFonts w:hint="default" w:ascii="Times New Roman" w:hAnsi="Times New Roman" w:eastAsia="宋体" w:cs="Times New Roman"/>
                      <w:color w:val="auto"/>
                      <w:sz w:val="21"/>
                      <w:szCs w:val="21"/>
                      <w:highlight w:val="none"/>
                      <w:lang w:val="en-US" w:eastAsia="zh-CN"/>
                    </w:rPr>
                    <w:t>带式输送机</w:t>
                  </w:r>
                </w:p>
              </w:tc>
              <w:tc>
                <w:tcPr>
                  <w:tcW w:w="300" w:type="pct"/>
                  <w:tcBorders>
                    <w:tl2br w:val="nil"/>
                    <w:tr2bl w:val="nil"/>
                  </w:tcBorders>
                  <w:vAlign w:val="center"/>
                </w:tcPr>
                <w:p w14:paraId="249A63F9">
                  <w:pPr>
                    <w:pStyle w:val="162"/>
                    <w:keepNext w:val="0"/>
                    <w:keepLines w:val="0"/>
                    <w:suppressLineNumbers w:val="0"/>
                    <w:spacing w:before="0" w:beforeAutospacing="0" w:after="0" w:afterAutospacing="0" w:line="240" w:lineRule="auto"/>
                    <w:ind w:left="0" w:leftChars="0" w:right="0" w:rightChars="0" w:firstLine="0" w:firstLineChars="0"/>
                    <w:jc w:val="center"/>
                    <w:rPr>
                      <w:rFonts w:hint="eastAsia"/>
                      <w:bCs/>
                      <w:color w:val="auto"/>
                      <w:sz w:val="21"/>
                      <w:szCs w:val="21"/>
                      <w:highlight w:val="none"/>
                    </w:rPr>
                  </w:pPr>
                  <w:r>
                    <w:rPr>
                      <w:rFonts w:hint="eastAsia"/>
                      <w:bCs/>
                      <w:color w:val="auto"/>
                      <w:sz w:val="21"/>
                      <w:szCs w:val="21"/>
                      <w:highlight w:val="none"/>
                    </w:rPr>
                    <w:t>/</w:t>
                  </w:r>
                </w:p>
              </w:tc>
              <w:tc>
                <w:tcPr>
                  <w:tcW w:w="487" w:type="pct"/>
                  <w:tcBorders>
                    <w:tl2br w:val="nil"/>
                    <w:tr2bl w:val="nil"/>
                  </w:tcBorders>
                  <w:vAlign w:val="center"/>
                </w:tcPr>
                <w:p w14:paraId="38E46E84">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bCs/>
                      <w:color w:val="auto"/>
                      <w:sz w:val="21"/>
                      <w:szCs w:val="21"/>
                      <w:highlight w:val="none"/>
                      <w:lang w:val="en-US" w:eastAsia="zh-CN"/>
                    </w:rPr>
                  </w:pPr>
                  <w:r>
                    <w:rPr>
                      <w:rFonts w:hint="eastAsia" w:cs="Times New Roman"/>
                      <w:color w:val="000000"/>
                      <w:kern w:val="0"/>
                      <w:sz w:val="21"/>
                      <w:szCs w:val="21"/>
                      <w:highlight w:val="none"/>
                      <w:lang w:val="en-US" w:eastAsia="zh-CN"/>
                    </w:rPr>
                    <w:t>4</w:t>
                  </w:r>
                </w:p>
              </w:tc>
              <w:tc>
                <w:tcPr>
                  <w:tcW w:w="506" w:type="pct"/>
                  <w:tcBorders>
                    <w:tl2br w:val="nil"/>
                    <w:tr2bl w:val="nil"/>
                  </w:tcBorders>
                  <w:vAlign w:val="center"/>
                </w:tcPr>
                <w:p w14:paraId="4FF35953">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bCs/>
                      <w:color w:val="auto"/>
                      <w:sz w:val="21"/>
                      <w:szCs w:val="21"/>
                      <w:highlight w:val="none"/>
                      <w:lang w:val="en-US" w:eastAsia="zh-CN"/>
                    </w:rPr>
                  </w:pPr>
                  <w:r>
                    <w:rPr>
                      <w:rFonts w:hint="eastAsia" w:cs="Times New Roman"/>
                      <w:color w:val="000000"/>
                      <w:kern w:val="0"/>
                      <w:sz w:val="21"/>
                      <w:szCs w:val="21"/>
                      <w:highlight w:val="none"/>
                      <w:lang w:val="en-US" w:eastAsia="zh-CN"/>
                    </w:rPr>
                    <w:t>112</w:t>
                  </w:r>
                </w:p>
              </w:tc>
              <w:tc>
                <w:tcPr>
                  <w:tcW w:w="412" w:type="pct"/>
                  <w:tcBorders>
                    <w:tl2br w:val="nil"/>
                    <w:tr2bl w:val="nil"/>
                  </w:tcBorders>
                  <w:vAlign w:val="center"/>
                </w:tcPr>
                <w:p w14:paraId="1E69066A">
                  <w:pPr>
                    <w:keepNext w:val="0"/>
                    <w:keepLines w:val="0"/>
                    <w:widowControl/>
                    <w:suppressLineNumbers w:val="0"/>
                    <w:spacing w:before="0" w:beforeAutospacing="0" w:after="0" w:afterAutospacing="0"/>
                    <w:ind w:left="0" w:leftChars="0" w:right="0" w:rightChars="0"/>
                    <w:jc w:val="center"/>
                    <w:rPr>
                      <w:rFonts w:hint="eastAsia" w:cs="Times New Roman"/>
                      <w:bCs/>
                      <w:color w:val="auto"/>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rPr>
                    <w:t>1</w:t>
                  </w:r>
                </w:p>
              </w:tc>
              <w:tc>
                <w:tcPr>
                  <w:tcW w:w="1126" w:type="pct"/>
                  <w:tcBorders>
                    <w:tl2br w:val="nil"/>
                    <w:tr2bl w:val="nil"/>
                  </w:tcBorders>
                  <w:vAlign w:val="center"/>
                </w:tcPr>
                <w:p w14:paraId="535C87D6">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highlight w:val="none"/>
                    </w:rPr>
                  </w:pPr>
                  <w:r>
                    <w:rPr>
                      <w:rFonts w:hint="default" w:ascii="Times New Roman" w:hAnsi="Times New Roman" w:eastAsia="宋体" w:cs="Times New Roman"/>
                      <w:color w:val="auto"/>
                      <w:sz w:val="21"/>
                      <w:szCs w:val="21"/>
                      <w:vertAlign w:val="baseline"/>
                      <w:lang w:val="en-US" w:eastAsia="zh-CN"/>
                    </w:rPr>
                    <w:t>75</w:t>
                  </w:r>
                </w:p>
              </w:tc>
              <w:tc>
                <w:tcPr>
                  <w:tcW w:w="525" w:type="pct"/>
                  <w:vMerge w:val="continue"/>
                  <w:tcBorders>
                    <w:tl2br w:val="nil"/>
                    <w:tr2bl w:val="nil"/>
                  </w:tcBorders>
                  <w:vAlign w:val="center"/>
                </w:tcPr>
                <w:p w14:paraId="6EAE9709">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c>
                <w:tcPr>
                  <w:tcW w:w="506" w:type="pct"/>
                  <w:vMerge w:val="continue"/>
                  <w:tcBorders>
                    <w:tl2br w:val="nil"/>
                    <w:tr2bl w:val="nil"/>
                  </w:tcBorders>
                  <w:vAlign w:val="center"/>
                </w:tcPr>
                <w:p w14:paraId="6DCE95B1">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r>
            <w:tr w14:paraId="5AB3FA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327" w:type="pct"/>
                  <w:tcBorders>
                    <w:tl2br w:val="nil"/>
                    <w:tr2bl w:val="nil"/>
                  </w:tcBorders>
                  <w:vAlign w:val="center"/>
                </w:tcPr>
                <w:p w14:paraId="43280E17">
                  <w:pPr>
                    <w:keepNext w:val="0"/>
                    <w:keepLines w:val="0"/>
                    <w:suppressLineNumbers w:val="0"/>
                    <w:spacing w:before="0" w:beforeAutospacing="0" w:after="0" w:afterAutospacing="0" w:line="240" w:lineRule="auto"/>
                    <w:ind w:left="0" w:leftChars="0" w:right="0" w:rightChars="0"/>
                    <w:jc w:val="center"/>
                    <w:rPr>
                      <w:rFonts w:hint="eastAsia" w:cs="Times New Roman"/>
                      <w:bCs/>
                      <w:color w:val="auto"/>
                      <w:kern w:val="2"/>
                      <w:sz w:val="21"/>
                      <w:szCs w:val="21"/>
                      <w:highlight w:val="none"/>
                      <w:lang w:val="en-US" w:eastAsia="zh-CN" w:bidi="ar-SA"/>
                    </w:rPr>
                  </w:pPr>
                  <w:r>
                    <w:rPr>
                      <w:rFonts w:hint="eastAsia" w:ascii="Times New Roman" w:hAnsi="Times New Roman" w:eastAsia="宋体" w:cs="Times New Roman"/>
                      <w:color w:val="auto"/>
                      <w:sz w:val="21"/>
                      <w:szCs w:val="21"/>
                      <w:vertAlign w:val="baseline"/>
                      <w:lang w:val="en-US" w:eastAsia="zh-CN"/>
                    </w:rPr>
                    <w:t>11</w:t>
                  </w:r>
                </w:p>
              </w:tc>
              <w:tc>
                <w:tcPr>
                  <w:tcW w:w="805" w:type="pct"/>
                  <w:tcBorders>
                    <w:tl2br w:val="nil"/>
                    <w:tr2bl w:val="nil"/>
                  </w:tcBorders>
                  <w:vAlign w:val="center"/>
                </w:tcPr>
                <w:p w14:paraId="11A491EF">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cs="Times New Roman"/>
                      <w:snapToGrid w:val="0"/>
                      <w:color w:val="auto"/>
                      <w:sz w:val="21"/>
                      <w:szCs w:val="21"/>
                      <w:highlight w:val="none"/>
                    </w:rPr>
                  </w:pPr>
                  <w:r>
                    <w:rPr>
                      <w:rFonts w:hint="default" w:ascii="Times New Roman" w:hAnsi="Times New Roman" w:eastAsia="宋体" w:cs="Times New Roman"/>
                      <w:color w:val="auto"/>
                      <w:sz w:val="21"/>
                      <w:szCs w:val="21"/>
                      <w:highlight w:val="none"/>
                      <w:lang w:val="en-US" w:eastAsia="zh-CN"/>
                    </w:rPr>
                    <w:t>斗式提升机</w:t>
                  </w:r>
                </w:p>
              </w:tc>
              <w:tc>
                <w:tcPr>
                  <w:tcW w:w="300" w:type="pct"/>
                  <w:tcBorders>
                    <w:tl2br w:val="nil"/>
                    <w:tr2bl w:val="nil"/>
                  </w:tcBorders>
                  <w:vAlign w:val="center"/>
                </w:tcPr>
                <w:p w14:paraId="020B6E15">
                  <w:pPr>
                    <w:pStyle w:val="162"/>
                    <w:keepNext w:val="0"/>
                    <w:keepLines w:val="0"/>
                    <w:suppressLineNumbers w:val="0"/>
                    <w:spacing w:before="0" w:beforeAutospacing="0" w:after="0" w:afterAutospacing="0" w:line="240" w:lineRule="auto"/>
                    <w:ind w:left="0" w:leftChars="0" w:right="0" w:rightChars="0" w:firstLine="0" w:firstLineChars="0"/>
                    <w:jc w:val="center"/>
                    <w:rPr>
                      <w:rFonts w:hint="eastAsia"/>
                      <w:bCs/>
                      <w:color w:val="auto"/>
                      <w:sz w:val="21"/>
                      <w:szCs w:val="21"/>
                      <w:highlight w:val="none"/>
                    </w:rPr>
                  </w:pPr>
                  <w:r>
                    <w:rPr>
                      <w:rFonts w:hint="eastAsia"/>
                      <w:bCs/>
                      <w:color w:val="auto"/>
                      <w:sz w:val="21"/>
                      <w:szCs w:val="21"/>
                      <w:highlight w:val="none"/>
                    </w:rPr>
                    <w:t>/</w:t>
                  </w:r>
                </w:p>
              </w:tc>
              <w:tc>
                <w:tcPr>
                  <w:tcW w:w="487" w:type="pct"/>
                  <w:tcBorders>
                    <w:tl2br w:val="nil"/>
                    <w:tr2bl w:val="nil"/>
                  </w:tcBorders>
                  <w:vAlign w:val="center"/>
                </w:tcPr>
                <w:p w14:paraId="66EDEA1A">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bCs/>
                      <w:color w:val="auto"/>
                      <w:sz w:val="21"/>
                      <w:szCs w:val="21"/>
                      <w:highlight w:val="none"/>
                      <w:lang w:val="en-US" w:eastAsia="zh-CN"/>
                    </w:rPr>
                  </w:pPr>
                  <w:r>
                    <w:rPr>
                      <w:rFonts w:hint="eastAsia" w:cs="Times New Roman"/>
                      <w:color w:val="000000"/>
                      <w:kern w:val="0"/>
                      <w:sz w:val="21"/>
                      <w:szCs w:val="21"/>
                      <w:highlight w:val="none"/>
                      <w:lang w:val="en-US" w:eastAsia="zh-CN"/>
                    </w:rPr>
                    <w:t>12</w:t>
                  </w:r>
                </w:p>
              </w:tc>
              <w:tc>
                <w:tcPr>
                  <w:tcW w:w="506" w:type="pct"/>
                  <w:tcBorders>
                    <w:tl2br w:val="nil"/>
                    <w:tr2bl w:val="nil"/>
                  </w:tcBorders>
                  <w:vAlign w:val="center"/>
                </w:tcPr>
                <w:p w14:paraId="491A4477">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bCs/>
                      <w:color w:val="auto"/>
                      <w:sz w:val="21"/>
                      <w:szCs w:val="21"/>
                      <w:highlight w:val="none"/>
                      <w:lang w:val="en-US" w:eastAsia="zh-CN"/>
                    </w:rPr>
                  </w:pPr>
                  <w:r>
                    <w:rPr>
                      <w:rFonts w:hint="eastAsia" w:cs="Times New Roman"/>
                      <w:color w:val="000000"/>
                      <w:kern w:val="0"/>
                      <w:sz w:val="21"/>
                      <w:szCs w:val="21"/>
                      <w:highlight w:val="none"/>
                      <w:lang w:val="en-US" w:eastAsia="zh-CN"/>
                    </w:rPr>
                    <w:t>114</w:t>
                  </w:r>
                </w:p>
              </w:tc>
              <w:tc>
                <w:tcPr>
                  <w:tcW w:w="412" w:type="pct"/>
                  <w:tcBorders>
                    <w:tl2br w:val="nil"/>
                    <w:tr2bl w:val="nil"/>
                  </w:tcBorders>
                  <w:vAlign w:val="center"/>
                </w:tcPr>
                <w:p w14:paraId="34F767C0">
                  <w:pPr>
                    <w:keepNext w:val="0"/>
                    <w:keepLines w:val="0"/>
                    <w:widowControl/>
                    <w:suppressLineNumbers w:val="0"/>
                    <w:spacing w:before="0" w:beforeAutospacing="0" w:after="0" w:afterAutospacing="0"/>
                    <w:ind w:left="0" w:leftChars="0" w:right="0" w:rightChars="0"/>
                    <w:jc w:val="center"/>
                    <w:rPr>
                      <w:rFonts w:hint="eastAsia" w:cs="Times New Roman"/>
                      <w:bCs/>
                      <w:color w:val="auto"/>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rPr>
                    <w:t>1</w:t>
                  </w:r>
                </w:p>
              </w:tc>
              <w:tc>
                <w:tcPr>
                  <w:tcW w:w="1126" w:type="pct"/>
                  <w:tcBorders>
                    <w:tl2br w:val="nil"/>
                    <w:tr2bl w:val="nil"/>
                  </w:tcBorders>
                  <w:vAlign w:val="center"/>
                </w:tcPr>
                <w:p w14:paraId="33CFD907">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highlight w:val="none"/>
                    </w:rPr>
                  </w:pPr>
                  <w:r>
                    <w:rPr>
                      <w:rFonts w:hint="eastAsia" w:ascii="Times New Roman" w:hAnsi="Times New Roman" w:eastAsia="宋体" w:cs="Times New Roman"/>
                      <w:color w:val="auto"/>
                      <w:sz w:val="21"/>
                      <w:szCs w:val="21"/>
                      <w:vertAlign w:val="baseline"/>
                      <w:lang w:val="en-US" w:eastAsia="zh-CN"/>
                    </w:rPr>
                    <w:t>80</w:t>
                  </w:r>
                </w:p>
              </w:tc>
              <w:tc>
                <w:tcPr>
                  <w:tcW w:w="525" w:type="pct"/>
                  <w:vMerge w:val="continue"/>
                  <w:tcBorders>
                    <w:tl2br w:val="nil"/>
                    <w:tr2bl w:val="nil"/>
                  </w:tcBorders>
                  <w:vAlign w:val="center"/>
                </w:tcPr>
                <w:p w14:paraId="528635FB">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c>
                <w:tcPr>
                  <w:tcW w:w="506" w:type="pct"/>
                  <w:vMerge w:val="continue"/>
                  <w:tcBorders>
                    <w:tl2br w:val="nil"/>
                    <w:tr2bl w:val="nil"/>
                  </w:tcBorders>
                  <w:vAlign w:val="center"/>
                </w:tcPr>
                <w:p w14:paraId="1DC757DA">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r>
            <w:tr w14:paraId="5B5B23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327" w:type="pct"/>
                  <w:tcBorders>
                    <w:tl2br w:val="nil"/>
                    <w:tr2bl w:val="nil"/>
                  </w:tcBorders>
                  <w:vAlign w:val="center"/>
                </w:tcPr>
                <w:p w14:paraId="44EFC58B">
                  <w:pPr>
                    <w:keepNext w:val="0"/>
                    <w:keepLines w:val="0"/>
                    <w:suppressLineNumbers w:val="0"/>
                    <w:spacing w:before="0" w:beforeAutospacing="0" w:after="0" w:afterAutospacing="0" w:line="240" w:lineRule="auto"/>
                    <w:ind w:left="0" w:leftChars="0" w:right="0" w:rightChars="0"/>
                    <w:jc w:val="center"/>
                    <w:rPr>
                      <w:rFonts w:hint="eastAsia" w:cs="Times New Roman"/>
                      <w:bCs/>
                      <w:color w:val="auto"/>
                      <w:kern w:val="2"/>
                      <w:sz w:val="21"/>
                      <w:szCs w:val="21"/>
                      <w:highlight w:val="none"/>
                      <w:lang w:val="en-US" w:eastAsia="zh-CN" w:bidi="ar-SA"/>
                    </w:rPr>
                  </w:pPr>
                  <w:r>
                    <w:rPr>
                      <w:rFonts w:hint="eastAsia" w:ascii="Times New Roman" w:hAnsi="Times New Roman" w:eastAsia="宋体" w:cs="Times New Roman"/>
                      <w:color w:val="auto"/>
                      <w:sz w:val="21"/>
                      <w:szCs w:val="21"/>
                      <w:vertAlign w:val="baseline"/>
                      <w:lang w:val="en-US" w:eastAsia="zh-CN"/>
                    </w:rPr>
                    <w:t>12</w:t>
                  </w:r>
                </w:p>
              </w:tc>
              <w:tc>
                <w:tcPr>
                  <w:tcW w:w="805" w:type="pct"/>
                  <w:tcBorders>
                    <w:tl2br w:val="nil"/>
                    <w:tr2bl w:val="nil"/>
                  </w:tcBorders>
                  <w:vAlign w:val="center"/>
                </w:tcPr>
                <w:p w14:paraId="6297C4BA">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cs="Times New Roman"/>
                      <w:snapToGrid w:val="0"/>
                      <w:color w:val="auto"/>
                      <w:sz w:val="21"/>
                      <w:szCs w:val="21"/>
                      <w:highlight w:val="none"/>
                    </w:rPr>
                  </w:pPr>
                  <w:r>
                    <w:rPr>
                      <w:rFonts w:hint="default" w:ascii="Times New Roman" w:hAnsi="Times New Roman" w:eastAsia="宋体" w:cs="Times New Roman"/>
                      <w:color w:val="auto"/>
                      <w:sz w:val="21"/>
                      <w:szCs w:val="21"/>
                      <w:highlight w:val="none"/>
                      <w:lang w:val="en-US" w:eastAsia="zh-CN"/>
                    </w:rPr>
                    <w:t>斗式提升机</w:t>
                  </w:r>
                </w:p>
              </w:tc>
              <w:tc>
                <w:tcPr>
                  <w:tcW w:w="300" w:type="pct"/>
                  <w:tcBorders>
                    <w:tl2br w:val="nil"/>
                    <w:tr2bl w:val="nil"/>
                  </w:tcBorders>
                  <w:vAlign w:val="center"/>
                </w:tcPr>
                <w:p w14:paraId="6BB5FC0C">
                  <w:pPr>
                    <w:pStyle w:val="162"/>
                    <w:keepNext w:val="0"/>
                    <w:keepLines w:val="0"/>
                    <w:suppressLineNumbers w:val="0"/>
                    <w:spacing w:before="0" w:beforeAutospacing="0" w:after="0" w:afterAutospacing="0" w:line="240" w:lineRule="auto"/>
                    <w:ind w:left="0" w:leftChars="0" w:right="0" w:rightChars="0" w:firstLine="0" w:firstLineChars="0"/>
                    <w:jc w:val="center"/>
                    <w:rPr>
                      <w:rFonts w:hint="eastAsia"/>
                      <w:bCs/>
                      <w:color w:val="auto"/>
                      <w:sz w:val="21"/>
                      <w:szCs w:val="21"/>
                      <w:highlight w:val="none"/>
                    </w:rPr>
                  </w:pPr>
                  <w:r>
                    <w:rPr>
                      <w:rFonts w:hint="eastAsia"/>
                      <w:bCs/>
                      <w:color w:val="auto"/>
                      <w:sz w:val="21"/>
                      <w:szCs w:val="21"/>
                      <w:highlight w:val="none"/>
                    </w:rPr>
                    <w:t>/</w:t>
                  </w:r>
                </w:p>
              </w:tc>
              <w:tc>
                <w:tcPr>
                  <w:tcW w:w="487" w:type="pct"/>
                  <w:tcBorders>
                    <w:tl2br w:val="nil"/>
                    <w:tr2bl w:val="nil"/>
                  </w:tcBorders>
                  <w:vAlign w:val="center"/>
                </w:tcPr>
                <w:p w14:paraId="3F4FC79F">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bCs/>
                      <w:color w:val="auto"/>
                      <w:sz w:val="21"/>
                      <w:szCs w:val="21"/>
                      <w:highlight w:val="none"/>
                      <w:lang w:val="en-US" w:eastAsia="zh-CN"/>
                    </w:rPr>
                  </w:pPr>
                  <w:r>
                    <w:rPr>
                      <w:rFonts w:hint="eastAsia" w:cs="Times New Roman"/>
                      <w:color w:val="000000"/>
                      <w:kern w:val="0"/>
                      <w:sz w:val="21"/>
                      <w:szCs w:val="21"/>
                      <w:highlight w:val="none"/>
                      <w:lang w:val="en-US" w:eastAsia="zh-CN"/>
                    </w:rPr>
                    <w:t>20</w:t>
                  </w:r>
                </w:p>
              </w:tc>
              <w:tc>
                <w:tcPr>
                  <w:tcW w:w="506" w:type="pct"/>
                  <w:tcBorders>
                    <w:tl2br w:val="nil"/>
                    <w:tr2bl w:val="nil"/>
                  </w:tcBorders>
                  <w:vAlign w:val="center"/>
                </w:tcPr>
                <w:p w14:paraId="063ADBD0">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bCs/>
                      <w:color w:val="auto"/>
                      <w:sz w:val="21"/>
                      <w:szCs w:val="21"/>
                      <w:highlight w:val="none"/>
                      <w:lang w:val="en-US" w:eastAsia="zh-CN"/>
                    </w:rPr>
                  </w:pPr>
                  <w:r>
                    <w:rPr>
                      <w:rFonts w:hint="eastAsia" w:cs="Times New Roman"/>
                      <w:color w:val="000000"/>
                      <w:kern w:val="0"/>
                      <w:sz w:val="21"/>
                      <w:szCs w:val="21"/>
                      <w:highlight w:val="none"/>
                      <w:lang w:val="en-US" w:eastAsia="zh-CN"/>
                    </w:rPr>
                    <w:t>117</w:t>
                  </w:r>
                </w:p>
              </w:tc>
              <w:tc>
                <w:tcPr>
                  <w:tcW w:w="412" w:type="pct"/>
                  <w:tcBorders>
                    <w:tl2br w:val="nil"/>
                    <w:tr2bl w:val="nil"/>
                  </w:tcBorders>
                  <w:vAlign w:val="center"/>
                </w:tcPr>
                <w:p w14:paraId="16C8F84A">
                  <w:pPr>
                    <w:keepNext w:val="0"/>
                    <w:keepLines w:val="0"/>
                    <w:widowControl/>
                    <w:suppressLineNumbers w:val="0"/>
                    <w:spacing w:before="0" w:beforeAutospacing="0" w:after="0" w:afterAutospacing="0"/>
                    <w:ind w:left="0" w:leftChars="0" w:right="0" w:rightChars="0"/>
                    <w:jc w:val="center"/>
                    <w:rPr>
                      <w:rFonts w:hint="eastAsia" w:cs="Times New Roman"/>
                      <w:bCs/>
                      <w:color w:val="auto"/>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rPr>
                    <w:t>1</w:t>
                  </w:r>
                </w:p>
              </w:tc>
              <w:tc>
                <w:tcPr>
                  <w:tcW w:w="1126" w:type="pct"/>
                  <w:tcBorders>
                    <w:tl2br w:val="nil"/>
                    <w:tr2bl w:val="nil"/>
                  </w:tcBorders>
                  <w:vAlign w:val="center"/>
                </w:tcPr>
                <w:p w14:paraId="2B14E2A8">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highlight w:val="none"/>
                    </w:rPr>
                  </w:pPr>
                  <w:r>
                    <w:rPr>
                      <w:rFonts w:hint="eastAsia" w:ascii="Times New Roman" w:hAnsi="Times New Roman" w:eastAsia="宋体" w:cs="Times New Roman"/>
                      <w:color w:val="auto"/>
                      <w:sz w:val="21"/>
                      <w:szCs w:val="21"/>
                      <w:vertAlign w:val="baseline"/>
                      <w:lang w:val="en-US" w:eastAsia="zh-CN"/>
                    </w:rPr>
                    <w:t>80</w:t>
                  </w:r>
                </w:p>
              </w:tc>
              <w:tc>
                <w:tcPr>
                  <w:tcW w:w="525" w:type="pct"/>
                  <w:vMerge w:val="continue"/>
                  <w:tcBorders>
                    <w:tl2br w:val="nil"/>
                    <w:tr2bl w:val="nil"/>
                  </w:tcBorders>
                  <w:vAlign w:val="center"/>
                </w:tcPr>
                <w:p w14:paraId="226D9D56">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c>
                <w:tcPr>
                  <w:tcW w:w="506" w:type="pct"/>
                  <w:vMerge w:val="continue"/>
                  <w:tcBorders>
                    <w:tl2br w:val="nil"/>
                    <w:tr2bl w:val="nil"/>
                  </w:tcBorders>
                  <w:vAlign w:val="center"/>
                </w:tcPr>
                <w:p w14:paraId="73463763">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r>
            <w:tr w14:paraId="1EE652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327" w:type="pct"/>
                  <w:tcBorders>
                    <w:tl2br w:val="nil"/>
                    <w:tr2bl w:val="nil"/>
                  </w:tcBorders>
                  <w:vAlign w:val="center"/>
                </w:tcPr>
                <w:p w14:paraId="0556AC8A">
                  <w:pPr>
                    <w:keepNext w:val="0"/>
                    <w:keepLines w:val="0"/>
                    <w:suppressLineNumbers w:val="0"/>
                    <w:spacing w:before="0" w:beforeAutospacing="0" w:after="0" w:afterAutospacing="0" w:line="240" w:lineRule="auto"/>
                    <w:ind w:left="0" w:leftChars="0" w:right="0" w:rightChars="0"/>
                    <w:jc w:val="center"/>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13</w:t>
                  </w:r>
                </w:p>
              </w:tc>
              <w:tc>
                <w:tcPr>
                  <w:tcW w:w="805" w:type="pct"/>
                  <w:tcBorders>
                    <w:tl2br w:val="nil"/>
                    <w:tr2bl w:val="nil"/>
                  </w:tcBorders>
                  <w:vAlign w:val="center"/>
                </w:tcPr>
                <w:p w14:paraId="2AC1EF30">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cs="Times New Roman"/>
                      <w:snapToGrid w:val="0"/>
                      <w:color w:val="auto"/>
                      <w:sz w:val="21"/>
                      <w:szCs w:val="21"/>
                      <w:highlight w:val="none"/>
                    </w:rPr>
                  </w:pPr>
                  <w:r>
                    <w:rPr>
                      <w:rFonts w:hint="eastAsia" w:ascii="Times New Roman" w:hAnsi="Times New Roman" w:eastAsia="宋体" w:cs="Times New Roman"/>
                      <w:color w:val="auto"/>
                      <w:sz w:val="21"/>
                      <w:szCs w:val="21"/>
                      <w:highlight w:val="none"/>
                      <w:lang w:val="en-US" w:eastAsia="zh-CN"/>
                    </w:rPr>
                    <w:t>粉碎机</w:t>
                  </w:r>
                </w:p>
              </w:tc>
              <w:tc>
                <w:tcPr>
                  <w:tcW w:w="300" w:type="pct"/>
                  <w:tcBorders>
                    <w:tl2br w:val="nil"/>
                    <w:tr2bl w:val="nil"/>
                  </w:tcBorders>
                  <w:vAlign w:val="center"/>
                </w:tcPr>
                <w:p w14:paraId="17EBCA34">
                  <w:pPr>
                    <w:pStyle w:val="162"/>
                    <w:keepNext w:val="0"/>
                    <w:keepLines w:val="0"/>
                    <w:suppressLineNumbers w:val="0"/>
                    <w:spacing w:before="0" w:beforeAutospacing="0" w:after="0" w:afterAutospacing="0" w:line="240" w:lineRule="auto"/>
                    <w:ind w:left="0" w:leftChars="0" w:right="0" w:rightChars="0" w:firstLine="0" w:firstLineChars="0"/>
                    <w:jc w:val="center"/>
                    <w:rPr>
                      <w:rFonts w:hint="eastAsia"/>
                      <w:bCs/>
                      <w:color w:val="auto"/>
                      <w:sz w:val="21"/>
                      <w:szCs w:val="21"/>
                      <w:highlight w:val="none"/>
                    </w:rPr>
                  </w:pPr>
                  <w:r>
                    <w:rPr>
                      <w:rFonts w:hint="eastAsia"/>
                      <w:bCs/>
                      <w:color w:val="auto"/>
                      <w:sz w:val="21"/>
                      <w:szCs w:val="21"/>
                      <w:highlight w:val="none"/>
                    </w:rPr>
                    <w:t>/</w:t>
                  </w:r>
                </w:p>
              </w:tc>
              <w:tc>
                <w:tcPr>
                  <w:tcW w:w="487" w:type="pct"/>
                  <w:tcBorders>
                    <w:tl2br w:val="nil"/>
                    <w:tr2bl w:val="nil"/>
                  </w:tcBorders>
                  <w:vAlign w:val="center"/>
                </w:tcPr>
                <w:p w14:paraId="5E353845">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bCs/>
                      <w:color w:val="auto"/>
                      <w:sz w:val="21"/>
                      <w:szCs w:val="21"/>
                      <w:highlight w:val="none"/>
                      <w:lang w:val="en-US" w:eastAsia="zh-CN"/>
                    </w:rPr>
                  </w:pPr>
                  <w:r>
                    <w:rPr>
                      <w:rFonts w:hint="eastAsia" w:cs="Times New Roman"/>
                      <w:color w:val="000000"/>
                      <w:kern w:val="0"/>
                      <w:sz w:val="21"/>
                      <w:szCs w:val="21"/>
                      <w:highlight w:val="none"/>
                      <w:lang w:val="en-US" w:eastAsia="zh-CN"/>
                    </w:rPr>
                    <w:t>26</w:t>
                  </w:r>
                </w:p>
              </w:tc>
              <w:tc>
                <w:tcPr>
                  <w:tcW w:w="506" w:type="pct"/>
                  <w:tcBorders>
                    <w:tl2br w:val="nil"/>
                    <w:tr2bl w:val="nil"/>
                  </w:tcBorders>
                  <w:vAlign w:val="center"/>
                </w:tcPr>
                <w:p w14:paraId="5CAD420C">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bCs/>
                      <w:color w:val="auto"/>
                      <w:sz w:val="21"/>
                      <w:szCs w:val="21"/>
                      <w:highlight w:val="none"/>
                      <w:lang w:val="en-US" w:eastAsia="zh-CN"/>
                    </w:rPr>
                  </w:pPr>
                  <w:r>
                    <w:rPr>
                      <w:rFonts w:hint="eastAsia" w:cs="Times New Roman"/>
                      <w:color w:val="000000"/>
                      <w:kern w:val="0"/>
                      <w:sz w:val="21"/>
                      <w:szCs w:val="21"/>
                      <w:highlight w:val="none"/>
                      <w:lang w:val="en-US" w:eastAsia="zh-CN"/>
                    </w:rPr>
                    <w:t>100</w:t>
                  </w:r>
                </w:p>
              </w:tc>
              <w:tc>
                <w:tcPr>
                  <w:tcW w:w="412" w:type="pct"/>
                  <w:tcBorders>
                    <w:tl2br w:val="nil"/>
                    <w:tr2bl w:val="nil"/>
                  </w:tcBorders>
                  <w:vAlign w:val="center"/>
                </w:tcPr>
                <w:p w14:paraId="58A30D09">
                  <w:pPr>
                    <w:keepNext w:val="0"/>
                    <w:keepLines w:val="0"/>
                    <w:widowControl/>
                    <w:suppressLineNumbers w:val="0"/>
                    <w:spacing w:before="0" w:beforeAutospacing="0" w:after="0" w:afterAutospacing="0"/>
                    <w:ind w:left="0" w:leftChars="0" w:right="0" w:rightChars="0"/>
                    <w:jc w:val="center"/>
                    <w:rPr>
                      <w:rFonts w:hint="eastAsia" w:cs="Times New Roman"/>
                      <w:bCs/>
                      <w:color w:val="auto"/>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rPr>
                    <w:t>1</w:t>
                  </w:r>
                </w:p>
              </w:tc>
              <w:tc>
                <w:tcPr>
                  <w:tcW w:w="1126" w:type="pct"/>
                  <w:tcBorders>
                    <w:tl2br w:val="nil"/>
                    <w:tr2bl w:val="nil"/>
                  </w:tcBorders>
                  <w:vAlign w:val="center"/>
                </w:tcPr>
                <w:p w14:paraId="02F9A469">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highlight w:val="none"/>
                    </w:rPr>
                  </w:pPr>
                  <w:r>
                    <w:rPr>
                      <w:rFonts w:hint="eastAsia" w:ascii="Times New Roman" w:hAnsi="Times New Roman" w:eastAsia="宋体" w:cs="Times New Roman"/>
                      <w:color w:val="auto"/>
                      <w:sz w:val="21"/>
                      <w:szCs w:val="21"/>
                      <w:vertAlign w:val="baseline"/>
                      <w:lang w:val="en-US" w:eastAsia="zh-CN"/>
                    </w:rPr>
                    <w:t>80</w:t>
                  </w:r>
                </w:p>
              </w:tc>
              <w:tc>
                <w:tcPr>
                  <w:tcW w:w="525" w:type="pct"/>
                  <w:vMerge w:val="continue"/>
                  <w:tcBorders>
                    <w:tl2br w:val="nil"/>
                    <w:tr2bl w:val="nil"/>
                  </w:tcBorders>
                  <w:vAlign w:val="center"/>
                </w:tcPr>
                <w:p w14:paraId="6A02CBFE">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c>
                <w:tcPr>
                  <w:tcW w:w="506" w:type="pct"/>
                  <w:vMerge w:val="continue"/>
                  <w:tcBorders>
                    <w:tl2br w:val="nil"/>
                    <w:tr2bl w:val="nil"/>
                  </w:tcBorders>
                  <w:vAlign w:val="center"/>
                </w:tcPr>
                <w:p w14:paraId="271E1227">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r>
            <w:tr w14:paraId="1A01C0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327" w:type="pct"/>
                  <w:tcBorders>
                    <w:tl2br w:val="nil"/>
                    <w:tr2bl w:val="nil"/>
                  </w:tcBorders>
                  <w:vAlign w:val="center"/>
                </w:tcPr>
                <w:p w14:paraId="51919F31">
                  <w:pPr>
                    <w:keepNext w:val="0"/>
                    <w:keepLines w:val="0"/>
                    <w:suppressLineNumbers w:val="0"/>
                    <w:spacing w:before="0" w:beforeAutospacing="0" w:after="0" w:afterAutospacing="0" w:line="240" w:lineRule="auto"/>
                    <w:ind w:left="0" w:leftChars="0" w:right="0" w:rightChars="0"/>
                    <w:jc w:val="center"/>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14</w:t>
                  </w:r>
                </w:p>
              </w:tc>
              <w:tc>
                <w:tcPr>
                  <w:tcW w:w="805" w:type="pct"/>
                  <w:tcBorders>
                    <w:tl2br w:val="nil"/>
                    <w:tr2bl w:val="nil"/>
                  </w:tcBorders>
                  <w:vAlign w:val="center"/>
                </w:tcPr>
                <w:p w14:paraId="5D47E280">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烘干塔</w:t>
                  </w:r>
                </w:p>
              </w:tc>
              <w:tc>
                <w:tcPr>
                  <w:tcW w:w="300" w:type="pct"/>
                  <w:tcBorders>
                    <w:tl2br w:val="nil"/>
                    <w:tr2bl w:val="nil"/>
                  </w:tcBorders>
                  <w:vAlign w:val="center"/>
                </w:tcPr>
                <w:p w14:paraId="258B3AF4">
                  <w:pPr>
                    <w:pStyle w:val="162"/>
                    <w:keepNext w:val="0"/>
                    <w:keepLines w:val="0"/>
                    <w:suppressLineNumbers w:val="0"/>
                    <w:spacing w:before="0" w:beforeAutospacing="0" w:after="0" w:afterAutospacing="0" w:line="240" w:lineRule="auto"/>
                    <w:ind w:left="0" w:leftChars="0" w:right="0" w:rightChars="0" w:firstLine="0" w:firstLineChars="0"/>
                    <w:jc w:val="center"/>
                    <w:rPr>
                      <w:rFonts w:hint="eastAsia"/>
                      <w:bCs/>
                      <w:color w:val="auto"/>
                      <w:sz w:val="21"/>
                      <w:szCs w:val="21"/>
                      <w:highlight w:val="none"/>
                    </w:rPr>
                  </w:pPr>
                  <w:r>
                    <w:rPr>
                      <w:rFonts w:hint="eastAsia"/>
                      <w:bCs/>
                      <w:color w:val="auto"/>
                      <w:sz w:val="21"/>
                      <w:szCs w:val="21"/>
                      <w:highlight w:val="none"/>
                    </w:rPr>
                    <w:t>/</w:t>
                  </w:r>
                </w:p>
              </w:tc>
              <w:tc>
                <w:tcPr>
                  <w:tcW w:w="487" w:type="pct"/>
                  <w:tcBorders>
                    <w:tl2br w:val="nil"/>
                    <w:tr2bl w:val="nil"/>
                  </w:tcBorders>
                  <w:vAlign w:val="center"/>
                </w:tcPr>
                <w:p w14:paraId="2E991D68">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bCs/>
                      <w:color w:val="auto"/>
                      <w:sz w:val="21"/>
                      <w:szCs w:val="21"/>
                      <w:highlight w:val="none"/>
                      <w:lang w:val="en-US" w:eastAsia="zh-CN"/>
                    </w:rPr>
                  </w:pPr>
                  <w:r>
                    <w:rPr>
                      <w:rFonts w:hint="eastAsia" w:cs="Times New Roman"/>
                      <w:color w:val="000000"/>
                      <w:kern w:val="0"/>
                      <w:sz w:val="21"/>
                      <w:szCs w:val="21"/>
                      <w:highlight w:val="none"/>
                      <w:lang w:val="en-US" w:eastAsia="zh-CN"/>
                    </w:rPr>
                    <w:t>17.8</w:t>
                  </w:r>
                </w:p>
              </w:tc>
              <w:tc>
                <w:tcPr>
                  <w:tcW w:w="506" w:type="pct"/>
                  <w:tcBorders>
                    <w:tl2br w:val="nil"/>
                    <w:tr2bl w:val="nil"/>
                  </w:tcBorders>
                  <w:vAlign w:val="center"/>
                </w:tcPr>
                <w:p w14:paraId="268180D7">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bCs/>
                      <w:color w:val="auto"/>
                      <w:sz w:val="21"/>
                      <w:szCs w:val="21"/>
                      <w:highlight w:val="none"/>
                      <w:lang w:val="en-US" w:eastAsia="zh-CN"/>
                    </w:rPr>
                  </w:pPr>
                  <w:r>
                    <w:rPr>
                      <w:rFonts w:hint="eastAsia" w:cs="Times New Roman"/>
                      <w:color w:val="000000"/>
                      <w:kern w:val="0"/>
                      <w:sz w:val="21"/>
                      <w:szCs w:val="21"/>
                      <w:highlight w:val="none"/>
                      <w:lang w:val="en-US" w:eastAsia="zh-CN"/>
                    </w:rPr>
                    <w:t>97</w:t>
                  </w:r>
                </w:p>
              </w:tc>
              <w:tc>
                <w:tcPr>
                  <w:tcW w:w="412" w:type="pct"/>
                  <w:tcBorders>
                    <w:tl2br w:val="nil"/>
                    <w:tr2bl w:val="nil"/>
                  </w:tcBorders>
                  <w:vAlign w:val="center"/>
                </w:tcPr>
                <w:p w14:paraId="787DD15A">
                  <w:pPr>
                    <w:keepNext w:val="0"/>
                    <w:keepLines w:val="0"/>
                    <w:widowControl/>
                    <w:suppressLineNumbers w:val="0"/>
                    <w:spacing w:before="0" w:beforeAutospacing="0" w:after="0" w:afterAutospacing="0"/>
                    <w:ind w:left="0" w:leftChars="0" w:right="0" w:rightChars="0"/>
                    <w:jc w:val="center"/>
                    <w:rPr>
                      <w:rFonts w:hint="eastAsia" w:cs="Times New Roman"/>
                      <w:bCs/>
                      <w:color w:val="auto"/>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rPr>
                    <w:t>1</w:t>
                  </w:r>
                </w:p>
              </w:tc>
              <w:tc>
                <w:tcPr>
                  <w:tcW w:w="1126" w:type="pct"/>
                  <w:tcBorders>
                    <w:tl2br w:val="nil"/>
                    <w:tr2bl w:val="nil"/>
                  </w:tcBorders>
                  <w:vAlign w:val="center"/>
                </w:tcPr>
                <w:p w14:paraId="14316FFC">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highlight w:val="none"/>
                    </w:rPr>
                  </w:pPr>
                  <w:r>
                    <w:rPr>
                      <w:rFonts w:hint="eastAsia" w:ascii="Times New Roman" w:hAnsi="Times New Roman" w:eastAsia="宋体" w:cs="Times New Roman"/>
                      <w:color w:val="auto"/>
                      <w:sz w:val="21"/>
                      <w:szCs w:val="21"/>
                      <w:vertAlign w:val="baseline"/>
                      <w:lang w:val="en-US" w:eastAsia="zh-CN"/>
                    </w:rPr>
                    <w:t>80</w:t>
                  </w:r>
                </w:p>
              </w:tc>
              <w:tc>
                <w:tcPr>
                  <w:tcW w:w="525" w:type="pct"/>
                  <w:vMerge w:val="continue"/>
                  <w:tcBorders>
                    <w:tl2br w:val="nil"/>
                    <w:tr2bl w:val="nil"/>
                  </w:tcBorders>
                  <w:vAlign w:val="center"/>
                </w:tcPr>
                <w:p w14:paraId="6C34D7E6">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c>
                <w:tcPr>
                  <w:tcW w:w="506" w:type="pct"/>
                  <w:vMerge w:val="continue"/>
                  <w:tcBorders>
                    <w:tl2br w:val="nil"/>
                    <w:tr2bl w:val="nil"/>
                  </w:tcBorders>
                  <w:vAlign w:val="center"/>
                </w:tcPr>
                <w:p w14:paraId="20884A90">
                  <w:pPr>
                    <w:pStyle w:val="162"/>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highlight w:val="none"/>
                    </w:rPr>
                  </w:pPr>
                </w:p>
              </w:tc>
            </w:tr>
          </w:tbl>
          <w:p w14:paraId="2A51B004">
            <w:pPr>
              <w:keepNext w:val="0"/>
              <w:keepLines w:val="0"/>
              <w:suppressLineNumbers w:val="0"/>
              <w:spacing w:before="0" w:beforeAutospacing="0" w:after="0" w:afterAutospacing="0"/>
              <w:ind w:left="0" w:right="0"/>
              <w:jc w:val="center"/>
              <w:textAlignment w:val="center"/>
              <w:rPr>
                <w:rFonts w:hint="default" w:ascii="Times New Roman" w:hAnsi="Times New Roman" w:eastAsia="宋体" w:cs="Times New Roman"/>
                <w:b/>
                <w:color w:val="auto"/>
                <w:sz w:val="24"/>
                <w:szCs w:val="24"/>
                <w:highlight w:val="none"/>
                <w:u w:val="none"/>
                <w:lang w:val="en-US" w:eastAsia="zh-CN"/>
              </w:rPr>
            </w:pPr>
            <w:r>
              <w:rPr>
                <w:rFonts w:hint="default" w:ascii="Times New Roman" w:hAnsi="Times New Roman" w:eastAsia="宋体" w:cs="Times New Roman"/>
                <w:b/>
                <w:color w:val="auto"/>
                <w:sz w:val="24"/>
                <w:szCs w:val="24"/>
                <w:highlight w:val="none"/>
                <w:u w:val="none"/>
              </w:rPr>
              <w:t>表4-</w:t>
            </w:r>
            <w:r>
              <w:rPr>
                <w:rFonts w:hint="eastAsia" w:ascii="Times New Roman" w:hAnsi="Times New Roman" w:eastAsia="宋体" w:cs="Times New Roman"/>
                <w:b/>
                <w:color w:val="auto"/>
                <w:sz w:val="24"/>
                <w:szCs w:val="24"/>
                <w:highlight w:val="none"/>
                <w:u w:val="none"/>
                <w:lang w:val="en-US" w:eastAsia="zh-CN"/>
              </w:rPr>
              <w:t>8</w:t>
            </w:r>
            <w:r>
              <w:rPr>
                <w:rFonts w:hint="default" w:ascii="Times New Roman" w:hAnsi="Times New Roman" w:eastAsia="宋体" w:cs="Times New Roman"/>
                <w:b/>
                <w:color w:val="auto"/>
                <w:sz w:val="24"/>
                <w:szCs w:val="24"/>
                <w:highlight w:val="none"/>
                <w:u w:val="none"/>
              </w:rPr>
              <w:t xml:space="preserve"> 工业企业噪声源强调查清单</w:t>
            </w:r>
            <w:r>
              <w:rPr>
                <w:rFonts w:hint="eastAsia" w:ascii="Times New Roman" w:hAnsi="Times New Roman" w:eastAsia="宋体" w:cs="Times New Roman"/>
                <w:b/>
                <w:color w:val="auto"/>
                <w:sz w:val="24"/>
                <w:szCs w:val="24"/>
                <w:highlight w:val="none"/>
                <w:u w:val="none"/>
                <w:lang w:eastAsia="zh-CN"/>
              </w:rPr>
              <w:t>（</w:t>
            </w:r>
            <w:r>
              <w:rPr>
                <w:rFonts w:hint="eastAsia" w:ascii="Times New Roman" w:hAnsi="Times New Roman" w:eastAsia="宋体" w:cs="Times New Roman"/>
                <w:b/>
                <w:color w:val="auto"/>
                <w:sz w:val="24"/>
                <w:szCs w:val="24"/>
                <w:highlight w:val="none"/>
                <w:u w:val="none"/>
                <w:lang w:val="en-US" w:eastAsia="zh-CN"/>
              </w:rPr>
              <w:t xml:space="preserve">室内声源） </w:t>
            </w:r>
            <w:r>
              <w:rPr>
                <w:rFonts w:hint="default" w:ascii="Times New Roman" w:hAnsi="Times New Roman" w:eastAsia="宋体" w:cs="Times New Roman"/>
                <w:b/>
                <w:color w:val="auto"/>
                <w:sz w:val="24"/>
                <w:szCs w:val="24"/>
                <w:highlight w:val="none"/>
                <w:u w:val="none"/>
              </w:rPr>
              <w:t>单位：dB（A）</w:t>
            </w:r>
          </w:p>
          <w:tbl>
            <w:tblPr>
              <w:tblStyle w:val="38"/>
              <w:tblW w:w="7994" w:type="dxa"/>
              <w:jc w:val="center"/>
              <w:tblBorders>
                <w:top w:val="single" w:color="auto" w:sz="12" w:space="0"/>
                <w:left w:val="none" w:color="auto" w:sz="0" w:space="0"/>
                <w:bottom w:val="single" w:color="auto" w:sz="12" w:space="0"/>
                <w:right w:val="none" w:color="auto" w:sz="0" w:space="0"/>
                <w:insideH w:val="single" w:color="auto" w:sz="8" w:space="0"/>
                <w:insideV w:val="single" w:color="auto" w:sz="2" w:space="0"/>
              </w:tblBorders>
              <w:tblLayout w:type="fixed"/>
              <w:tblCellMar>
                <w:top w:w="0" w:type="dxa"/>
                <w:left w:w="57" w:type="dxa"/>
                <w:bottom w:w="0" w:type="dxa"/>
                <w:right w:w="57" w:type="dxa"/>
              </w:tblCellMar>
            </w:tblPr>
            <w:tblGrid>
              <w:gridCol w:w="383"/>
              <w:gridCol w:w="645"/>
              <w:gridCol w:w="1205"/>
              <w:gridCol w:w="726"/>
              <w:gridCol w:w="404"/>
              <w:gridCol w:w="403"/>
              <w:gridCol w:w="391"/>
              <w:gridCol w:w="602"/>
              <w:gridCol w:w="585"/>
              <w:gridCol w:w="570"/>
              <w:gridCol w:w="795"/>
              <w:gridCol w:w="675"/>
              <w:gridCol w:w="610"/>
            </w:tblGrid>
            <w:tr w14:paraId="2A9ABA75">
              <w:tblPrEx>
                <w:tblBorders>
                  <w:top w:val="single" w:color="auto" w:sz="12" w:space="0"/>
                  <w:left w:val="none" w:color="auto" w:sz="0" w:space="0"/>
                  <w:bottom w:val="single" w:color="auto" w:sz="12" w:space="0"/>
                  <w:right w:val="none" w:color="auto" w:sz="0" w:space="0"/>
                  <w:insideH w:val="single" w:color="auto" w:sz="8" w:space="0"/>
                  <w:insideV w:val="single" w:color="auto" w:sz="2" w:space="0"/>
                </w:tblBorders>
                <w:tblCellMar>
                  <w:top w:w="0" w:type="dxa"/>
                  <w:left w:w="57" w:type="dxa"/>
                  <w:bottom w:w="0" w:type="dxa"/>
                  <w:right w:w="57" w:type="dxa"/>
                </w:tblCellMar>
              </w:tblPrEx>
              <w:trPr>
                <w:trHeight w:val="320" w:hRule="atLeast"/>
                <w:jc w:val="center"/>
              </w:trPr>
              <w:tc>
                <w:tcPr>
                  <w:tcW w:w="239" w:type="pct"/>
                  <w:vMerge w:val="restart"/>
                  <w:tcBorders>
                    <w:tl2br w:val="nil"/>
                    <w:tr2bl w:val="nil"/>
                  </w:tcBorders>
                  <w:noWrap w:val="0"/>
                  <w:vAlign w:val="center"/>
                </w:tcPr>
                <w:p w14:paraId="060F226A">
                  <w:pPr>
                    <w:pStyle w:val="17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建筑物名称</w:t>
                  </w:r>
                </w:p>
              </w:tc>
              <w:tc>
                <w:tcPr>
                  <w:tcW w:w="403" w:type="pct"/>
                  <w:vMerge w:val="restart"/>
                  <w:tcBorders>
                    <w:tl2br w:val="nil"/>
                    <w:tr2bl w:val="nil"/>
                  </w:tcBorders>
                  <w:noWrap w:val="0"/>
                  <w:vAlign w:val="center"/>
                </w:tcPr>
                <w:p w14:paraId="49E2F930">
                  <w:pPr>
                    <w:pStyle w:val="17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声源名称</w:t>
                  </w:r>
                </w:p>
              </w:tc>
              <w:tc>
                <w:tcPr>
                  <w:tcW w:w="753" w:type="pct"/>
                  <w:vMerge w:val="restart"/>
                  <w:tcBorders>
                    <w:tl2br w:val="nil"/>
                    <w:tr2bl w:val="nil"/>
                  </w:tcBorders>
                  <w:noWrap w:val="0"/>
                  <w:vAlign w:val="center"/>
                </w:tcPr>
                <w:p w14:paraId="35AEFBFE">
                  <w:pPr>
                    <w:pStyle w:val="17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声压级/距声源距离）</w:t>
                  </w:r>
                </w:p>
                <w:p w14:paraId="4F45955E">
                  <w:pPr>
                    <w:pStyle w:val="17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dB(A)/m</w:t>
                  </w:r>
                </w:p>
              </w:tc>
              <w:tc>
                <w:tcPr>
                  <w:tcW w:w="454" w:type="pct"/>
                  <w:vMerge w:val="restart"/>
                  <w:tcBorders>
                    <w:tl2br w:val="nil"/>
                    <w:tr2bl w:val="nil"/>
                  </w:tcBorders>
                  <w:noWrap w:val="0"/>
                  <w:vAlign w:val="center"/>
                </w:tcPr>
                <w:p w14:paraId="5F12FB38">
                  <w:pPr>
                    <w:pStyle w:val="17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声源控制措施</w:t>
                  </w:r>
                </w:p>
              </w:tc>
              <w:tc>
                <w:tcPr>
                  <w:tcW w:w="749" w:type="pct"/>
                  <w:gridSpan w:val="3"/>
                  <w:tcBorders>
                    <w:tl2br w:val="nil"/>
                    <w:tr2bl w:val="nil"/>
                  </w:tcBorders>
                  <w:noWrap w:val="0"/>
                  <w:vAlign w:val="center"/>
                </w:tcPr>
                <w:p w14:paraId="0E82DE0C">
                  <w:pPr>
                    <w:pStyle w:val="17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空间相对</w:t>
                  </w:r>
                </w:p>
                <w:p w14:paraId="22BCFE8F">
                  <w:pPr>
                    <w:pStyle w:val="17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位置</w:t>
                  </w:r>
                </w:p>
              </w:tc>
              <w:tc>
                <w:tcPr>
                  <w:tcW w:w="376" w:type="pct"/>
                  <w:vMerge w:val="restart"/>
                  <w:tcBorders>
                    <w:tl2br w:val="nil"/>
                    <w:tr2bl w:val="nil"/>
                  </w:tcBorders>
                  <w:noWrap w:val="0"/>
                  <w:vAlign w:val="center"/>
                </w:tcPr>
                <w:p w14:paraId="6BB8C465">
                  <w:pPr>
                    <w:pStyle w:val="17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距室内边界距离/m</w:t>
                  </w:r>
                </w:p>
              </w:tc>
              <w:tc>
                <w:tcPr>
                  <w:tcW w:w="365" w:type="pct"/>
                  <w:vMerge w:val="restart"/>
                  <w:tcBorders>
                    <w:tl2br w:val="nil"/>
                    <w:tr2bl w:val="nil"/>
                  </w:tcBorders>
                  <w:noWrap w:val="0"/>
                  <w:vAlign w:val="center"/>
                </w:tcPr>
                <w:p w14:paraId="4AD721C5">
                  <w:pPr>
                    <w:pStyle w:val="17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室内边界声级/dB(A)</w:t>
                  </w:r>
                </w:p>
              </w:tc>
              <w:tc>
                <w:tcPr>
                  <w:tcW w:w="356" w:type="pct"/>
                  <w:vMerge w:val="restart"/>
                  <w:tcBorders>
                    <w:tl2br w:val="nil"/>
                    <w:tr2bl w:val="nil"/>
                  </w:tcBorders>
                  <w:noWrap w:val="0"/>
                  <w:vAlign w:val="center"/>
                </w:tcPr>
                <w:p w14:paraId="480EDDEE">
                  <w:pPr>
                    <w:pStyle w:val="17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运行时段</w:t>
                  </w:r>
                </w:p>
              </w:tc>
              <w:tc>
                <w:tcPr>
                  <w:tcW w:w="497" w:type="pct"/>
                  <w:vMerge w:val="restart"/>
                  <w:tcBorders>
                    <w:tl2br w:val="nil"/>
                    <w:tr2bl w:val="nil"/>
                  </w:tcBorders>
                  <w:noWrap w:val="0"/>
                  <w:vAlign w:val="center"/>
                </w:tcPr>
                <w:p w14:paraId="297D518E">
                  <w:pPr>
                    <w:pStyle w:val="17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建筑物插入损失dB(A)</w:t>
                  </w:r>
                </w:p>
              </w:tc>
              <w:tc>
                <w:tcPr>
                  <w:tcW w:w="803" w:type="pct"/>
                  <w:gridSpan w:val="2"/>
                  <w:tcBorders>
                    <w:tl2br w:val="nil"/>
                    <w:tr2bl w:val="nil"/>
                  </w:tcBorders>
                  <w:noWrap w:val="0"/>
                  <w:vAlign w:val="center"/>
                </w:tcPr>
                <w:p w14:paraId="52D4F9F4">
                  <w:pPr>
                    <w:pStyle w:val="17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建筑物外</w:t>
                  </w:r>
                </w:p>
                <w:p w14:paraId="29B90DE4">
                  <w:pPr>
                    <w:pStyle w:val="17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r>
            <w:tr w14:paraId="4F5A6C80">
              <w:tblPrEx>
                <w:tblBorders>
                  <w:top w:val="single" w:color="auto" w:sz="12" w:space="0"/>
                  <w:left w:val="none" w:color="auto" w:sz="0" w:space="0"/>
                  <w:bottom w:val="single" w:color="auto" w:sz="12" w:space="0"/>
                  <w:right w:val="none" w:color="auto" w:sz="0" w:space="0"/>
                  <w:insideH w:val="single" w:color="auto" w:sz="8" w:space="0"/>
                  <w:insideV w:val="single" w:color="auto" w:sz="2" w:space="0"/>
                </w:tblBorders>
                <w:tblCellMar>
                  <w:top w:w="0" w:type="dxa"/>
                  <w:left w:w="57" w:type="dxa"/>
                  <w:bottom w:w="0" w:type="dxa"/>
                  <w:right w:w="57" w:type="dxa"/>
                </w:tblCellMar>
              </w:tblPrEx>
              <w:trPr>
                <w:trHeight w:val="320" w:hRule="atLeast"/>
                <w:jc w:val="center"/>
              </w:trPr>
              <w:tc>
                <w:tcPr>
                  <w:tcW w:w="239" w:type="pct"/>
                  <w:vMerge w:val="continue"/>
                  <w:tcBorders>
                    <w:tl2br w:val="nil"/>
                    <w:tr2bl w:val="nil"/>
                  </w:tcBorders>
                  <w:noWrap w:val="0"/>
                  <w:vAlign w:val="center"/>
                </w:tcPr>
                <w:p w14:paraId="2050B495">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403" w:type="pct"/>
                  <w:vMerge w:val="continue"/>
                  <w:tcBorders>
                    <w:tl2br w:val="nil"/>
                    <w:tr2bl w:val="nil"/>
                  </w:tcBorders>
                  <w:noWrap w:val="0"/>
                  <w:vAlign w:val="center"/>
                </w:tcPr>
                <w:p w14:paraId="173D877B">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753" w:type="pct"/>
                  <w:vMerge w:val="continue"/>
                  <w:tcBorders>
                    <w:tl2br w:val="nil"/>
                    <w:tr2bl w:val="nil"/>
                  </w:tcBorders>
                  <w:noWrap w:val="0"/>
                  <w:vAlign w:val="center"/>
                </w:tcPr>
                <w:p w14:paraId="7012D16A">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454" w:type="pct"/>
                  <w:vMerge w:val="continue"/>
                  <w:tcBorders>
                    <w:tl2br w:val="nil"/>
                    <w:tr2bl w:val="nil"/>
                  </w:tcBorders>
                  <w:noWrap w:val="0"/>
                  <w:vAlign w:val="center"/>
                </w:tcPr>
                <w:p w14:paraId="594318E1">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252" w:type="pct"/>
                  <w:tcBorders>
                    <w:tl2br w:val="nil"/>
                    <w:tr2bl w:val="nil"/>
                  </w:tcBorders>
                  <w:noWrap w:val="0"/>
                  <w:vAlign w:val="center"/>
                </w:tcPr>
                <w:p w14:paraId="29FABF43">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w:t>
                  </w:r>
                </w:p>
              </w:tc>
              <w:tc>
                <w:tcPr>
                  <w:tcW w:w="252" w:type="pct"/>
                  <w:tcBorders>
                    <w:tl2br w:val="nil"/>
                    <w:tr2bl w:val="nil"/>
                  </w:tcBorders>
                  <w:noWrap w:val="0"/>
                  <w:vAlign w:val="center"/>
                </w:tcPr>
                <w:p w14:paraId="0ABD7450">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w:t>
                  </w:r>
                </w:p>
              </w:tc>
              <w:tc>
                <w:tcPr>
                  <w:tcW w:w="244" w:type="pct"/>
                  <w:tcBorders>
                    <w:tl2br w:val="nil"/>
                    <w:tr2bl w:val="nil"/>
                  </w:tcBorders>
                  <w:noWrap w:val="0"/>
                  <w:vAlign w:val="center"/>
                </w:tcPr>
                <w:p w14:paraId="50D0C20A">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w:t>
                  </w:r>
                </w:p>
              </w:tc>
              <w:tc>
                <w:tcPr>
                  <w:tcW w:w="376" w:type="pct"/>
                  <w:vMerge w:val="continue"/>
                  <w:tcBorders>
                    <w:tl2br w:val="nil"/>
                    <w:tr2bl w:val="nil"/>
                  </w:tcBorders>
                  <w:noWrap w:val="0"/>
                  <w:vAlign w:val="center"/>
                </w:tcPr>
                <w:p w14:paraId="41B92C10">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365" w:type="pct"/>
                  <w:vMerge w:val="continue"/>
                  <w:tcBorders>
                    <w:tl2br w:val="nil"/>
                    <w:tr2bl w:val="nil"/>
                  </w:tcBorders>
                  <w:noWrap w:val="0"/>
                  <w:vAlign w:val="center"/>
                </w:tcPr>
                <w:p w14:paraId="6B330826">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356" w:type="pct"/>
                  <w:vMerge w:val="continue"/>
                  <w:tcBorders>
                    <w:tl2br w:val="nil"/>
                    <w:tr2bl w:val="nil"/>
                  </w:tcBorders>
                  <w:noWrap w:val="0"/>
                  <w:vAlign w:val="center"/>
                </w:tcPr>
                <w:p w14:paraId="2C219805">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497" w:type="pct"/>
                  <w:vMerge w:val="continue"/>
                  <w:tcBorders>
                    <w:tl2br w:val="nil"/>
                    <w:tr2bl w:val="nil"/>
                  </w:tcBorders>
                  <w:noWrap w:val="0"/>
                  <w:vAlign w:val="center"/>
                </w:tcPr>
                <w:p w14:paraId="718CA00E">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422" w:type="pct"/>
                  <w:tcBorders>
                    <w:tl2br w:val="nil"/>
                    <w:tr2bl w:val="nil"/>
                  </w:tcBorders>
                  <w:noWrap w:val="0"/>
                  <w:vAlign w:val="center"/>
                </w:tcPr>
                <w:p w14:paraId="0CD75B33">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声压级dB(A)</w:t>
                  </w:r>
                </w:p>
              </w:tc>
              <w:tc>
                <w:tcPr>
                  <w:tcW w:w="381" w:type="pct"/>
                  <w:tcBorders>
                    <w:tl2br w:val="nil"/>
                    <w:tr2bl w:val="nil"/>
                  </w:tcBorders>
                  <w:noWrap w:val="0"/>
                  <w:vAlign w:val="center"/>
                </w:tcPr>
                <w:p w14:paraId="327DE9F2">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建筑物外距离</w:t>
                  </w:r>
                </w:p>
              </w:tc>
            </w:tr>
            <w:tr w14:paraId="0766416C">
              <w:tblPrEx>
                <w:tblBorders>
                  <w:top w:val="single" w:color="auto" w:sz="12" w:space="0"/>
                  <w:left w:val="none" w:color="auto" w:sz="0" w:space="0"/>
                  <w:bottom w:val="single" w:color="auto" w:sz="12" w:space="0"/>
                  <w:right w:val="none" w:color="auto" w:sz="0" w:space="0"/>
                  <w:insideH w:val="single" w:color="auto" w:sz="8" w:space="0"/>
                  <w:insideV w:val="single" w:color="auto" w:sz="2" w:space="0"/>
                </w:tblBorders>
                <w:tblCellMar>
                  <w:top w:w="0" w:type="dxa"/>
                  <w:left w:w="57" w:type="dxa"/>
                  <w:bottom w:w="0" w:type="dxa"/>
                  <w:right w:w="57" w:type="dxa"/>
                </w:tblCellMar>
              </w:tblPrEx>
              <w:trPr>
                <w:trHeight w:val="320" w:hRule="atLeast"/>
                <w:jc w:val="center"/>
              </w:trPr>
              <w:tc>
                <w:tcPr>
                  <w:tcW w:w="239" w:type="pct"/>
                  <w:vMerge w:val="restart"/>
                  <w:tcBorders>
                    <w:tl2br w:val="nil"/>
                    <w:tr2bl w:val="nil"/>
                  </w:tcBorders>
                  <w:noWrap w:val="0"/>
                  <w:vAlign w:val="center"/>
                </w:tcPr>
                <w:p w14:paraId="13D21F9E">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lang w:eastAsia="zh-CN"/>
                    </w:rPr>
                  </w:pPr>
                  <w:r>
                    <w:rPr>
                      <w:rFonts w:hint="eastAsia" w:cs="Times New Roman"/>
                      <w:color w:val="auto"/>
                      <w:sz w:val="21"/>
                      <w:szCs w:val="21"/>
                      <w:lang w:val="en-US" w:eastAsia="zh-CN"/>
                    </w:rPr>
                    <w:t>热风炉房</w:t>
                  </w:r>
                </w:p>
              </w:tc>
              <w:tc>
                <w:tcPr>
                  <w:tcW w:w="403" w:type="pct"/>
                  <w:tcBorders>
                    <w:tl2br w:val="nil"/>
                    <w:tr2bl w:val="nil"/>
                  </w:tcBorders>
                  <w:noWrap w:val="0"/>
                  <w:vAlign w:val="center"/>
                </w:tcPr>
                <w:p w14:paraId="7D2B1FB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风机</w:t>
                  </w:r>
                </w:p>
              </w:tc>
              <w:tc>
                <w:tcPr>
                  <w:tcW w:w="753" w:type="pct"/>
                  <w:tcBorders>
                    <w:tl2br w:val="nil"/>
                    <w:tr2bl w:val="nil"/>
                  </w:tcBorders>
                  <w:noWrap w:val="0"/>
                  <w:vAlign w:val="center"/>
                </w:tcPr>
                <w:p w14:paraId="7E92D834">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85</w:t>
                  </w:r>
                  <w:r>
                    <w:rPr>
                      <w:rFonts w:hint="default" w:ascii="Times New Roman" w:hAnsi="Times New Roman" w:eastAsia="宋体" w:cs="Times New Roman"/>
                      <w:color w:val="auto"/>
                      <w:sz w:val="21"/>
                      <w:szCs w:val="21"/>
                    </w:rPr>
                    <w:t>dB(A)/1m</w:t>
                  </w:r>
                </w:p>
              </w:tc>
              <w:tc>
                <w:tcPr>
                  <w:tcW w:w="454" w:type="pct"/>
                  <w:vMerge w:val="restart"/>
                  <w:tcBorders>
                    <w:tl2br w:val="nil"/>
                    <w:tr2bl w:val="nil"/>
                  </w:tcBorders>
                  <w:noWrap w:val="0"/>
                  <w:vAlign w:val="center"/>
                </w:tcPr>
                <w:p w14:paraId="73F54393">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val="0"/>
                      <w:bCs/>
                      <w:color w:val="auto"/>
                      <w:sz w:val="21"/>
                      <w:szCs w:val="21"/>
                      <w:highlight w:val="none"/>
                      <w:vertAlign w:val="baseline"/>
                    </w:rPr>
                    <w:t>选低噪音设备</w:t>
                  </w:r>
                  <w:r>
                    <w:rPr>
                      <w:rFonts w:hint="eastAsia" w:ascii="Times New Roman" w:hAnsi="Times New Roman" w:eastAsia="宋体" w:cs="Times New Roman"/>
                      <w:b w:val="0"/>
                      <w:bCs/>
                      <w:color w:val="auto"/>
                      <w:sz w:val="21"/>
                      <w:szCs w:val="21"/>
                      <w:highlight w:val="none"/>
                      <w:vertAlign w:val="baseline"/>
                      <w:lang w:eastAsia="zh-CN"/>
                    </w:rPr>
                    <w:t>；</w:t>
                  </w:r>
                  <w:r>
                    <w:rPr>
                      <w:rFonts w:hint="eastAsia" w:cs="Times New Roman"/>
                      <w:b w:val="0"/>
                      <w:bCs/>
                      <w:color w:val="auto"/>
                      <w:sz w:val="21"/>
                      <w:szCs w:val="21"/>
                      <w:highlight w:val="none"/>
                      <w:vertAlign w:val="baseline"/>
                      <w:lang w:eastAsia="zh-CN"/>
                    </w:rPr>
                    <w:t>建筑物隔声</w:t>
                  </w:r>
                  <w:r>
                    <w:rPr>
                      <w:rFonts w:hint="eastAsia" w:ascii="Times New Roman" w:hAnsi="Times New Roman" w:eastAsia="宋体" w:cs="Times New Roman"/>
                      <w:b w:val="0"/>
                      <w:bCs/>
                      <w:color w:val="auto"/>
                      <w:sz w:val="21"/>
                      <w:szCs w:val="21"/>
                      <w:highlight w:val="none"/>
                      <w:vertAlign w:val="baseline"/>
                      <w:lang w:eastAsia="zh-CN"/>
                    </w:rPr>
                    <w:t>；</w:t>
                  </w:r>
                  <w:r>
                    <w:rPr>
                      <w:rFonts w:hint="eastAsia" w:cs="Times New Roman"/>
                      <w:color w:val="auto"/>
                      <w:sz w:val="21"/>
                      <w:szCs w:val="21"/>
                      <w:lang w:eastAsia="zh-CN"/>
                    </w:rPr>
                    <w:t>基础减振</w:t>
                  </w:r>
                </w:p>
              </w:tc>
              <w:tc>
                <w:tcPr>
                  <w:tcW w:w="404" w:type="dxa"/>
                  <w:tcBorders>
                    <w:tl2br w:val="nil"/>
                    <w:tr2bl w:val="nil"/>
                  </w:tcBorders>
                  <w:noWrap w:val="0"/>
                  <w:vAlign w:val="center"/>
                </w:tcPr>
                <w:p w14:paraId="121A2D37">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rPr>
                  </w:pPr>
                  <w:r>
                    <w:rPr>
                      <w:rFonts w:hint="eastAsia" w:ascii="Times New Roman" w:hAnsi="Times New Roman" w:eastAsia="宋体" w:cs="Times New Roman"/>
                      <w:color w:val="auto"/>
                      <w:lang w:val="en-US" w:eastAsia="zh-CN"/>
                    </w:rPr>
                    <w:t>50</w:t>
                  </w:r>
                </w:p>
              </w:tc>
              <w:tc>
                <w:tcPr>
                  <w:tcW w:w="403" w:type="dxa"/>
                  <w:tcBorders>
                    <w:tl2br w:val="nil"/>
                    <w:tr2bl w:val="nil"/>
                  </w:tcBorders>
                  <w:noWrap w:val="0"/>
                  <w:vAlign w:val="center"/>
                </w:tcPr>
                <w:p w14:paraId="1B67BE91">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rPr>
                  </w:pPr>
                  <w:r>
                    <w:rPr>
                      <w:rFonts w:hint="eastAsia" w:ascii="Times New Roman" w:hAnsi="Times New Roman" w:eastAsia="宋体" w:cs="Times New Roman"/>
                      <w:color w:val="auto"/>
                      <w:lang w:val="en-US" w:eastAsia="zh-CN"/>
                    </w:rPr>
                    <w:t>30</w:t>
                  </w:r>
                </w:p>
              </w:tc>
              <w:tc>
                <w:tcPr>
                  <w:tcW w:w="244" w:type="pct"/>
                  <w:tcBorders>
                    <w:tl2br w:val="nil"/>
                    <w:tr2bl w:val="nil"/>
                  </w:tcBorders>
                  <w:noWrap w:val="0"/>
                  <w:vAlign w:val="center"/>
                </w:tcPr>
                <w:p w14:paraId="4D4D2332">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w:t>
                  </w:r>
                </w:p>
              </w:tc>
              <w:tc>
                <w:tcPr>
                  <w:tcW w:w="376" w:type="pct"/>
                  <w:tcBorders>
                    <w:tl2br w:val="nil"/>
                    <w:tr2bl w:val="nil"/>
                  </w:tcBorders>
                  <w:noWrap w:val="0"/>
                  <w:vAlign w:val="center"/>
                </w:tcPr>
                <w:p w14:paraId="25880713">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4</w:t>
                  </w:r>
                </w:p>
              </w:tc>
              <w:tc>
                <w:tcPr>
                  <w:tcW w:w="365" w:type="pct"/>
                  <w:tcBorders>
                    <w:tl2br w:val="nil"/>
                    <w:tr2bl w:val="nil"/>
                  </w:tcBorders>
                  <w:noWrap w:val="0"/>
                  <w:vAlign w:val="center"/>
                </w:tcPr>
                <w:p w14:paraId="52ABCD3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r>
                    <w:rPr>
                      <w:rFonts w:hint="eastAsia" w:cs="Times New Roman"/>
                      <w:color w:val="auto"/>
                      <w:sz w:val="21"/>
                      <w:szCs w:val="21"/>
                      <w:lang w:val="en-US" w:eastAsia="zh-CN"/>
                    </w:rPr>
                    <w:t>3</w:t>
                  </w:r>
                </w:p>
              </w:tc>
              <w:tc>
                <w:tcPr>
                  <w:tcW w:w="356" w:type="pct"/>
                  <w:vMerge w:val="restart"/>
                  <w:tcBorders>
                    <w:tl2br w:val="nil"/>
                    <w:tr2bl w:val="nil"/>
                  </w:tcBorders>
                  <w:noWrap w:val="0"/>
                  <w:vAlign w:val="center"/>
                </w:tcPr>
                <w:p w14:paraId="20E4BC22">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1200</w:t>
                  </w:r>
                  <w:r>
                    <w:rPr>
                      <w:rFonts w:hint="default" w:ascii="Times New Roman" w:hAnsi="Times New Roman" w:eastAsia="宋体" w:cs="Times New Roman"/>
                      <w:color w:val="auto"/>
                      <w:sz w:val="21"/>
                      <w:szCs w:val="21"/>
                      <w:lang w:val="en-US" w:eastAsia="zh-CN"/>
                    </w:rPr>
                    <w:t>h</w:t>
                  </w:r>
                </w:p>
              </w:tc>
              <w:tc>
                <w:tcPr>
                  <w:tcW w:w="497" w:type="pct"/>
                  <w:tcBorders>
                    <w:tl2br w:val="nil"/>
                    <w:tr2bl w:val="nil"/>
                  </w:tcBorders>
                  <w:noWrap w:val="0"/>
                  <w:vAlign w:val="center"/>
                </w:tcPr>
                <w:p w14:paraId="29C1CABE">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lang w:val="en-US" w:eastAsia="zh-CN"/>
                    </w:rPr>
                  </w:pPr>
                  <w:r>
                    <w:rPr>
                      <w:rFonts w:hint="eastAsia" w:cs="Times New Roman"/>
                      <w:color w:val="auto"/>
                      <w:lang w:val="en-US" w:eastAsia="zh-CN"/>
                    </w:rPr>
                    <w:t>20</w:t>
                  </w:r>
                </w:p>
              </w:tc>
              <w:tc>
                <w:tcPr>
                  <w:tcW w:w="422" w:type="pct"/>
                  <w:tcBorders>
                    <w:tl2br w:val="nil"/>
                    <w:tr2bl w:val="nil"/>
                  </w:tcBorders>
                  <w:noWrap w:val="0"/>
                  <w:vAlign w:val="center"/>
                </w:tcPr>
                <w:p w14:paraId="28CC2E2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r>
                    <w:rPr>
                      <w:rFonts w:hint="eastAsia" w:cs="Times New Roman"/>
                      <w:color w:val="auto"/>
                      <w:sz w:val="21"/>
                      <w:szCs w:val="21"/>
                      <w:lang w:val="en-US" w:eastAsia="zh-CN"/>
                    </w:rPr>
                    <w:t>3</w:t>
                  </w:r>
                </w:p>
              </w:tc>
              <w:tc>
                <w:tcPr>
                  <w:tcW w:w="381" w:type="pct"/>
                  <w:tcBorders>
                    <w:tl2br w:val="nil"/>
                    <w:tr2bl w:val="nil"/>
                  </w:tcBorders>
                  <w:noWrap w:val="0"/>
                  <w:vAlign w:val="center"/>
                </w:tcPr>
                <w:p w14:paraId="0988D889">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w:t>
                  </w:r>
                </w:p>
              </w:tc>
            </w:tr>
            <w:tr w14:paraId="2A55E88F">
              <w:tblPrEx>
                <w:tblBorders>
                  <w:top w:val="single" w:color="auto" w:sz="12" w:space="0"/>
                  <w:left w:val="none" w:color="auto" w:sz="0" w:space="0"/>
                  <w:bottom w:val="single" w:color="auto" w:sz="12" w:space="0"/>
                  <w:right w:val="none" w:color="auto" w:sz="0" w:space="0"/>
                  <w:insideH w:val="single" w:color="auto" w:sz="8" w:space="0"/>
                  <w:insideV w:val="single" w:color="auto" w:sz="2" w:space="0"/>
                </w:tblBorders>
                <w:tblCellMar>
                  <w:top w:w="0" w:type="dxa"/>
                  <w:left w:w="57" w:type="dxa"/>
                  <w:bottom w:w="0" w:type="dxa"/>
                  <w:right w:w="57" w:type="dxa"/>
                </w:tblCellMar>
              </w:tblPrEx>
              <w:trPr>
                <w:trHeight w:val="320" w:hRule="atLeast"/>
                <w:jc w:val="center"/>
              </w:trPr>
              <w:tc>
                <w:tcPr>
                  <w:tcW w:w="239" w:type="pct"/>
                  <w:vMerge w:val="continue"/>
                  <w:tcBorders>
                    <w:tl2br w:val="nil"/>
                    <w:tr2bl w:val="nil"/>
                  </w:tcBorders>
                  <w:noWrap w:val="0"/>
                  <w:vAlign w:val="center"/>
                </w:tcPr>
                <w:p w14:paraId="6827B833">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lang w:eastAsia="zh-CN"/>
                    </w:rPr>
                  </w:pPr>
                </w:p>
              </w:tc>
              <w:tc>
                <w:tcPr>
                  <w:tcW w:w="403" w:type="pct"/>
                  <w:tcBorders>
                    <w:tl2br w:val="nil"/>
                    <w:tr2bl w:val="nil"/>
                  </w:tcBorders>
                  <w:noWrap w:val="0"/>
                  <w:vAlign w:val="center"/>
                </w:tcPr>
                <w:p w14:paraId="4CDA977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风机</w:t>
                  </w:r>
                </w:p>
              </w:tc>
              <w:tc>
                <w:tcPr>
                  <w:tcW w:w="753" w:type="pct"/>
                  <w:tcBorders>
                    <w:tl2br w:val="nil"/>
                    <w:tr2bl w:val="nil"/>
                  </w:tcBorders>
                  <w:noWrap w:val="0"/>
                  <w:vAlign w:val="center"/>
                </w:tcPr>
                <w:p w14:paraId="4BF00C9E">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85</w:t>
                  </w:r>
                  <w:r>
                    <w:rPr>
                      <w:rFonts w:hint="default" w:ascii="Times New Roman" w:hAnsi="Times New Roman" w:eastAsia="宋体" w:cs="Times New Roman"/>
                      <w:color w:val="auto"/>
                      <w:sz w:val="21"/>
                      <w:szCs w:val="21"/>
                    </w:rPr>
                    <w:t>dB(A)/1m</w:t>
                  </w:r>
                </w:p>
              </w:tc>
              <w:tc>
                <w:tcPr>
                  <w:tcW w:w="454" w:type="pct"/>
                  <w:vMerge w:val="continue"/>
                  <w:tcBorders>
                    <w:tl2br w:val="nil"/>
                    <w:tr2bl w:val="nil"/>
                  </w:tcBorders>
                  <w:noWrap w:val="0"/>
                  <w:vAlign w:val="center"/>
                </w:tcPr>
                <w:p w14:paraId="5AB9E453">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404" w:type="dxa"/>
                  <w:tcBorders>
                    <w:tl2br w:val="nil"/>
                    <w:tr2bl w:val="nil"/>
                  </w:tcBorders>
                  <w:noWrap w:val="0"/>
                  <w:vAlign w:val="center"/>
                </w:tcPr>
                <w:p w14:paraId="508261E2">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rPr>
                  </w:pPr>
                  <w:r>
                    <w:rPr>
                      <w:rFonts w:hint="eastAsia" w:ascii="Times New Roman" w:hAnsi="Times New Roman" w:eastAsia="宋体" w:cs="Times New Roman"/>
                      <w:color w:val="auto"/>
                      <w:lang w:val="en-US" w:eastAsia="zh-CN"/>
                    </w:rPr>
                    <w:t>55</w:t>
                  </w:r>
                </w:p>
              </w:tc>
              <w:tc>
                <w:tcPr>
                  <w:tcW w:w="403" w:type="dxa"/>
                  <w:tcBorders>
                    <w:tl2br w:val="nil"/>
                    <w:tr2bl w:val="nil"/>
                  </w:tcBorders>
                  <w:noWrap w:val="0"/>
                  <w:vAlign w:val="center"/>
                </w:tcPr>
                <w:p w14:paraId="567A19F2">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rPr>
                  </w:pPr>
                  <w:r>
                    <w:rPr>
                      <w:rFonts w:hint="eastAsia" w:ascii="Times New Roman" w:hAnsi="Times New Roman" w:eastAsia="宋体" w:cs="Times New Roman"/>
                      <w:color w:val="auto"/>
                      <w:lang w:val="en-US" w:eastAsia="zh-CN"/>
                    </w:rPr>
                    <w:t>30</w:t>
                  </w:r>
                </w:p>
              </w:tc>
              <w:tc>
                <w:tcPr>
                  <w:tcW w:w="244" w:type="pct"/>
                  <w:tcBorders>
                    <w:tl2br w:val="nil"/>
                    <w:tr2bl w:val="nil"/>
                  </w:tcBorders>
                  <w:noWrap w:val="0"/>
                  <w:vAlign w:val="center"/>
                </w:tcPr>
                <w:p w14:paraId="076A9AF8">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w:t>
                  </w:r>
                </w:p>
              </w:tc>
              <w:tc>
                <w:tcPr>
                  <w:tcW w:w="376" w:type="pct"/>
                  <w:tcBorders>
                    <w:tl2br w:val="nil"/>
                    <w:tr2bl w:val="nil"/>
                  </w:tcBorders>
                  <w:noWrap w:val="0"/>
                  <w:vAlign w:val="center"/>
                </w:tcPr>
                <w:p w14:paraId="3967F299">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4</w:t>
                  </w:r>
                </w:p>
              </w:tc>
              <w:tc>
                <w:tcPr>
                  <w:tcW w:w="365" w:type="pct"/>
                  <w:tcBorders>
                    <w:tl2br w:val="nil"/>
                    <w:tr2bl w:val="nil"/>
                  </w:tcBorders>
                  <w:noWrap w:val="0"/>
                  <w:vAlign w:val="center"/>
                </w:tcPr>
                <w:p w14:paraId="366652A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r>
                    <w:rPr>
                      <w:rFonts w:hint="eastAsia" w:cs="Times New Roman"/>
                      <w:color w:val="auto"/>
                      <w:sz w:val="21"/>
                      <w:szCs w:val="21"/>
                      <w:lang w:val="en-US" w:eastAsia="zh-CN"/>
                    </w:rPr>
                    <w:t>3</w:t>
                  </w:r>
                </w:p>
              </w:tc>
              <w:tc>
                <w:tcPr>
                  <w:tcW w:w="356" w:type="pct"/>
                  <w:vMerge w:val="continue"/>
                  <w:tcBorders>
                    <w:tl2br w:val="nil"/>
                    <w:tr2bl w:val="nil"/>
                  </w:tcBorders>
                  <w:noWrap w:val="0"/>
                  <w:vAlign w:val="center"/>
                </w:tcPr>
                <w:p w14:paraId="4AFCCA67">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497" w:type="pct"/>
                  <w:tcBorders>
                    <w:tl2br w:val="nil"/>
                    <w:tr2bl w:val="nil"/>
                  </w:tcBorders>
                  <w:noWrap w:val="0"/>
                  <w:vAlign w:val="center"/>
                </w:tcPr>
                <w:p w14:paraId="6BCB8C34">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eastAsia" w:cs="Times New Roman"/>
                      <w:color w:val="auto"/>
                      <w:lang w:val="en-US" w:eastAsia="zh-CN"/>
                    </w:rPr>
                    <w:t>20</w:t>
                  </w:r>
                </w:p>
              </w:tc>
              <w:tc>
                <w:tcPr>
                  <w:tcW w:w="422" w:type="pct"/>
                  <w:tcBorders>
                    <w:tl2br w:val="nil"/>
                    <w:tr2bl w:val="nil"/>
                  </w:tcBorders>
                  <w:noWrap w:val="0"/>
                  <w:vAlign w:val="center"/>
                </w:tcPr>
                <w:p w14:paraId="3C42166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w:t>
                  </w:r>
                  <w:r>
                    <w:rPr>
                      <w:rFonts w:hint="eastAsia" w:cs="Times New Roman"/>
                      <w:color w:val="auto"/>
                      <w:sz w:val="21"/>
                      <w:szCs w:val="21"/>
                      <w:lang w:val="en-US" w:eastAsia="zh-CN"/>
                    </w:rPr>
                    <w:t>3</w:t>
                  </w:r>
                </w:p>
              </w:tc>
              <w:tc>
                <w:tcPr>
                  <w:tcW w:w="381" w:type="pct"/>
                  <w:tcBorders>
                    <w:tl2br w:val="nil"/>
                    <w:tr2bl w:val="nil"/>
                  </w:tcBorders>
                  <w:noWrap w:val="0"/>
                  <w:vAlign w:val="center"/>
                </w:tcPr>
                <w:p w14:paraId="0BC858E7">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w:t>
                  </w:r>
                </w:p>
              </w:tc>
            </w:tr>
            <w:tr w14:paraId="2F996A4F">
              <w:tblPrEx>
                <w:tblBorders>
                  <w:top w:val="single" w:color="auto" w:sz="12" w:space="0"/>
                  <w:left w:val="none" w:color="auto" w:sz="0" w:space="0"/>
                  <w:bottom w:val="single" w:color="auto" w:sz="12" w:space="0"/>
                  <w:right w:val="none" w:color="auto" w:sz="0" w:space="0"/>
                  <w:insideH w:val="single" w:color="auto" w:sz="8" w:space="0"/>
                  <w:insideV w:val="single" w:color="auto" w:sz="2" w:space="0"/>
                </w:tblBorders>
                <w:tblCellMar>
                  <w:top w:w="0" w:type="dxa"/>
                  <w:left w:w="57" w:type="dxa"/>
                  <w:bottom w:w="0" w:type="dxa"/>
                  <w:right w:w="57" w:type="dxa"/>
                </w:tblCellMar>
              </w:tblPrEx>
              <w:trPr>
                <w:trHeight w:val="320" w:hRule="atLeast"/>
                <w:jc w:val="center"/>
              </w:trPr>
              <w:tc>
                <w:tcPr>
                  <w:tcW w:w="239" w:type="pct"/>
                  <w:vMerge w:val="continue"/>
                  <w:tcBorders>
                    <w:tl2br w:val="nil"/>
                    <w:tr2bl w:val="nil"/>
                  </w:tcBorders>
                  <w:noWrap w:val="0"/>
                  <w:vAlign w:val="center"/>
                </w:tcPr>
                <w:p w14:paraId="11D19F6A">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lang w:eastAsia="zh-CN"/>
                    </w:rPr>
                  </w:pPr>
                </w:p>
              </w:tc>
              <w:tc>
                <w:tcPr>
                  <w:tcW w:w="403" w:type="pct"/>
                  <w:tcBorders>
                    <w:tl2br w:val="nil"/>
                    <w:tr2bl w:val="nil"/>
                  </w:tcBorders>
                  <w:noWrap w:val="0"/>
                  <w:vAlign w:val="center"/>
                </w:tcPr>
                <w:p w14:paraId="05355C4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风机</w:t>
                  </w:r>
                </w:p>
              </w:tc>
              <w:tc>
                <w:tcPr>
                  <w:tcW w:w="753" w:type="pct"/>
                  <w:tcBorders>
                    <w:tl2br w:val="nil"/>
                    <w:tr2bl w:val="nil"/>
                  </w:tcBorders>
                  <w:noWrap w:val="0"/>
                  <w:vAlign w:val="center"/>
                </w:tcPr>
                <w:p w14:paraId="2B652A6B">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85</w:t>
                  </w:r>
                  <w:r>
                    <w:rPr>
                      <w:rFonts w:hint="default" w:ascii="Times New Roman" w:hAnsi="Times New Roman" w:eastAsia="宋体" w:cs="Times New Roman"/>
                      <w:color w:val="auto"/>
                      <w:sz w:val="21"/>
                      <w:szCs w:val="21"/>
                    </w:rPr>
                    <w:t>dB(A)/1m</w:t>
                  </w:r>
                </w:p>
              </w:tc>
              <w:tc>
                <w:tcPr>
                  <w:tcW w:w="454" w:type="pct"/>
                  <w:vMerge w:val="continue"/>
                  <w:tcBorders>
                    <w:tl2br w:val="nil"/>
                    <w:tr2bl w:val="nil"/>
                  </w:tcBorders>
                  <w:noWrap w:val="0"/>
                  <w:vAlign w:val="center"/>
                </w:tcPr>
                <w:p w14:paraId="144AF28D">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252" w:type="pct"/>
                  <w:tcBorders>
                    <w:tl2br w:val="nil"/>
                    <w:tr2bl w:val="nil"/>
                  </w:tcBorders>
                  <w:noWrap w:val="0"/>
                  <w:vAlign w:val="center"/>
                </w:tcPr>
                <w:p w14:paraId="39623808">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35</w:t>
                  </w:r>
                </w:p>
              </w:tc>
              <w:tc>
                <w:tcPr>
                  <w:tcW w:w="252" w:type="pct"/>
                  <w:tcBorders>
                    <w:tl2br w:val="nil"/>
                    <w:tr2bl w:val="nil"/>
                  </w:tcBorders>
                  <w:noWrap w:val="0"/>
                  <w:vAlign w:val="center"/>
                </w:tcPr>
                <w:p w14:paraId="7B19DF00">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30</w:t>
                  </w:r>
                </w:p>
              </w:tc>
              <w:tc>
                <w:tcPr>
                  <w:tcW w:w="244" w:type="pct"/>
                  <w:tcBorders>
                    <w:tl2br w:val="nil"/>
                    <w:tr2bl w:val="nil"/>
                  </w:tcBorders>
                  <w:noWrap w:val="0"/>
                  <w:vAlign w:val="center"/>
                </w:tcPr>
                <w:p w14:paraId="71BA593F">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w:t>
                  </w:r>
                </w:p>
              </w:tc>
              <w:tc>
                <w:tcPr>
                  <w:tcW w:w="376" w:type="pct"/>
                  <w:tcBorders>
                    <w:tl2br w:val="nil"/>
                    <w:tr2bl w:val="nil"/>
                  </w:tcBorders>
                  <w:noWrap w:val="0"/>
                  <w:vAlign w:val="center"/>
                </w:tcPr>
                <w:p w14:paraId="75D0200B">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4</w:t>
                  </w:r>
                </w:p>
              </w:tc>
              <w:tc>
                <w:tcPr>
                  <w:tcW w:w="365" w:type="pct"/>
                  <w:tcBorders>
                    <w:tl2br w:val="nil"/>
                    <w:tr2bl w:val="nil"/>
                  </w:tcBorders>
                  <w:noWrap w:val="0"/>
                  <w:vAlign w:val="center"/>
                </w:tcPr>
                <w:p w14:paraId="463986E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r>
                    <w:rPr>
                      <w:rFonts w:hint="eastAsia" w:cs="Times New Roman"/>
                      <w:color w:val="auto"/>
                      <w:sz w:val="21"/>
                      <w:szCs w:val="21"/>
                      <w:lang w:val="en-US" w:eastAsia="zh-CN"/>
                    </w:rPr>
                    <w:t>3</w:t>
                  </w:r>
                </w:p>
              </w:tc>
              <w:tc>
                <w:tcPr>
                  <w:tcW w:w="356" w:type="pct"/>
                  <w:vMerge w:val="continue"/>
                  <w:tcBorders>
                    <w:tl2br w:val="nil"/>
                    <w:tr2bl w:val="nil"/>
                  </w:tcBorders>
                  <w:noWrap w:val="0"/>
                  <w:vAlign w:val="center"/>
                </w:tcPr>
                <w:p w14:paraId="4C1272CB">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497" w:type="pct"/>
                  <w:tcBorders>
                    <w:tl2br w:val="nil"/>
                    <w:tr2bl w:val="nil"/>
                  </w:tcBorders>
                  <w:noWrap w:val="0"/>
                  <w:vAlign w:val="center"/>
                </w:tcPr>
                <w:p w14:paraId="780351D2">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eastAsia" w:cs="Times New Roman"/>
                      <w:color w:val="auto"/>
                      <w:lang w:val="en-US" w:eastAsia="zh-CN"/>
                    </w:rPr>
                    <w:t>20</w:t>
                  </w:r>
                </w:p>
              </w:tc>
              <w:tc>
                <w:tcPr>
                  <w:tcW w:w="422" w:type="pct"/>
                  <w:tcBorders>
                    <w:tl2br w:val="nil"/>
                    <w:tr2bl w:val="nil"/>
                  </w:tcBorders>
                  <w:noWrap w:val="0"/>
                  <w:vAlign w:val="center"/>
                </w:tcPr>
                <w:p w14:paraId="5501876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w:t>
                  </w:r>
                  <w:r>
                    <w:rPr>
                      <w:rFonts w:hint="eastAsia" w:cs="Times New Roman"/>
                      <w:color w:val="auto"/>
                      <w:sz w:val="21"/>
                      <w:szCs w:val="21"/>
                      <w:lang w:val="en-US" w:eastAsia="zh-CN"/>
                    </w:rPr>
                    <w:t>3</w:t>
                  </w:r>
                </w:p>
              </w:tc>
              <w:tc>
                <w:tcPr>
                  <w:tcW w:w="381" w:type="pct"/>
                  <w:tcBorders>
                    <w:tl2br w:val="nil"/>
                    <w:tr2bl w:val="nil"/>
                  </w:tcBorders>
                  <w:noWrap w:val="0"/>
                  <w:vAlign w:val="center"/>
                </w:tcPr>
                <w:p w14:paraId="52EAE823">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w:t>
                  </w:r>
                </w:p>
              </w:tc>
            </w:tr>
            <w:tr w14:paraId="1227A0F6">
              <w:tblPrEx>
                <w:tblBorders>
                  <w:top w:val="single" w:color="auto" w:sz="12" w:space="0"/>
                  <w:left w:val="none" w:color="auto" w:sz="0" w:space="0"/>
                  <w:bottom w:val="single" w:color="auto" w:sz="12" w:space="0"/>
                  <w:right w:val="none" w:color="auto" w:sz="0" w:space="0"/>
                  <w:insideH w:val="single" w:color="auto" w:sz="8" w:space="0"/>
                  <w:insideV w:val="single" w:color="auto" w:sz="2" w:space="0"/>
                </w:tblBorders>
                <w:tblCellMar>
                  <w:top w:w="0" w:type="dxa"/>
                  <w:left w:w="57" w:type="dxa"/>
                  <w:bottom w:w="0" w:type="dxa"/>
                  <w:right w:w="57" w:type="dxa"/>
                </w:tblCellMar>
              </w:tblPrEx>
              <w:trPr>
                <w:trHeight w:val="320" w:hRule="atLeast"/>
                <w:jc w:val="center"/>
              </w:trPr>
              <w:tc>
                <w:tcPr>
                  <w:tcW w:w="239" w:type="pct"/>
                  <w:vMerge w:val="continue"/>
                  <w:tcBorders>
                    <w:tl2br w:val="nil"/>
                    <w:tr2bl w:val="nil"/>
                  </w:tcBorders>
                  <w:noWrap w:val="0"/>
                  <w:vAlign w:val="center"/>
                </w:tcPr>
                <w:p w14:paraId="139E0ABC">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lang w:eastAsia="zh-CN"/>
                    </w:rPr>
                  </w:pPr>
                </w:p>
              </w:tc>
              <w:tc>
                <w:tcPr>
                  <w:tcW w:w="403" w:type="pct"/>
                  <w:tcBorders>
                    <w:tl2br w:val="nil"/>
                    <w:tr2bl w:val="nil"/>
                  </w:tcBorders>
                  <w:noWrap w:val="0"/>
                  <w:vAlign w:val="center"/>
                </w:tcPr>
                <w:p w14:paraId="1EC0386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风机</w:t>
                  </w:r>
                </w:p>
              </w:tc>
              <w:tc>
                <w:tcPr>
                  <w:tcW w:w="753" w:type="pct"/>
                  <w:tcBorders>
                    <w:tl2br w:val="nil"/>
                    <w:tr2bl w:val="nil"/>
                  </w:tcBorders>
                  <w:noWrap w:val="0"/>
                  <w:vAlign w:val="center"/>
                </w:tcPr>
                <w:p w14:paraId="4ECC4233">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85</w:t>
                  </w:r>
                  <w:r>
                    <w:rPr>
                      <w:rFonts w:hint="default" w:ascii="Times New Roman" w:hAnsi="Times New Roman" w:eastAsia="宋体" w:cs="Times New Roman"/>
                      <w:color w:val="auto"/>
                      <w:sz w:val="21"/>
                      <w:szCs w:val="21"/>
                    </w:rPr>
                    <w:t>dB(A)/1m</w:t>
                  </w:r>
                </w:p>
              </w:tc>
              <w:tc>
                <w:tcPr>
                  <w:tcW w:w="454" w:type="pct"/>
                  <w:vMerge w:val="continue"/>
                  <w:tcBorders>
                    <w:tl2br w:val="nil"/>
                    <w:tr2bl w:val="nil"/>
                  </w:tcBorders>
                  <w:noWrap w:val="0"/>
                  <w:vAlign w:val="center"/>
                </w:tcPr>
                <w:p w14:paraId="7E07A59C">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252" w:type="pct"/>
                  <w:tcBorders>
                    <w:tl2br w:val="nil"/>
                    <w:tr2bl w:val="nil"/>
                  </w:tcBorders>
                  <w:noWrap w:val="0"/>
                  <w:vAlign w:val="center"/>
                </w:tcPr>
                <w:p w14:paraId="6652DA61">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45</w:t>
                  </w:r>
                </w:p>
              </w:tc>
              <w:tc>
                <w:tcPr>
                  <w:tcW w:w="252" w:type="pct"/>
                  <w:tcBorders>
                    <w:tl2br w:val="nil"/>
                    <w:tr2bl w:val="nil"/>
                  </w:tcBorders>
                  <w:noWrap w:val="0"/>
                  <w:vAlign w:val="center"/>
                </w:tcPr>
                <w:p w14:paraId="7C24936B">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38</w:t>
                  </w:r>
                </w:p>
              </w:tc>
              <w:tc>
                <w:tcPr>
                  <w:tcW w:w="244" w:type="pct"/>
                  <w:tcBorders>
                    <w:tl2br w:val="nil"/>
                    <w:tr2bl w:val="nil"/>
                  </w:tcBorders>
                  <w:noWrap w:val="0"/>
                  <w:vAlign w:val="center"/>
                </w:tcPr>
                <w:p w14:paraId="64754021">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lang w:val="en-US" w:eastAsia="zh-CN"/>
                    </w:rPr>
                    <w:t>1</w:t>
                  </w:r>
                </w:p>
              </w:tc>
              <w:tc>
                <w:tcPr>
                  <w:tcW w:w="376" w:type="pct"/>
                  <w:tcBorders>
                    <w:tl2br w:val="nil"/>
                    <w:tr2bl w:val="nil"/>
                  </w:tcBorders>
                  <w:noWrap w:val="0"/>
                  <w:vAlign w:val="center"/>
                </w:tcPr>
                <w:p w14:paraId="325529F3">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lang w:eastAsia="zh-CN"/>
                    </w:rPr>
                    <w:t>4</w:t>
                  </w:r>
                </w:p>
              </w:tc>
              <w:tc>
                <w:tcPr>
                  <w:tcW w:w="365" w:type="pct"/>
                  <w:tcBorders>
                    <w:tl2br w:val="nil"/>
                    <w:tr2bl w:val="nil"/>
                  </w:tcBorders>
                  <w:noWrap w:val="0"/>
                  <w:vAlign w:val="center"/>
                </w:tcPr>
                <w:p w14:paraId="2BC8DC6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r>
                    <w:rPr>
                      <w:rFonts w:hint="eastAsia" w:cs="Times New Roman"/>
                      <w:color w:val="auto"/>
                      <w:sz w:val="21"/>
                      <w:szCs w:val="21"/>
                      <w:lang w:val="en-US" w:eastAsia="zh-CN"/>
                    </w:rPr>
                    <w:t>3</w:t>
                  </w:r>
                </w:p>
              </w:tc>
              <w:tc>
                <w:tcPr>
                  <w:tcW w:w="356" w:type="pct"/>
                  <w:vMerge w:val="continue"/>
                  <w:tcBorders>
                    <w:tl2br w:val="nil"/>
                    <w:tr2bl w:val="nil"/>
                  </w:tcBorders>
                  <w:noWrap w:val="0"/>
                  <w:vAlign w:val="center"/>
                </w:tcPr>
                <w:p w14:paraId="5188B5ED">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497" w:type="pct"/>
                  <w:tcBorders>
                    <w:tl2br w:val="nil"/>
                    <w:tr2bl w:val="nil"/>
                  </w:tcBorders>
                  <w:noWrap w:val="0"/>
                  <w:vAlign w:val="center"/>
                </w:tcPr>
                <w:p w14:paraId="1EEABB9F">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eastAsia" w:cs="Times New Roman"/>
                      <w:color w:val="auto"/>
                      <w:lang w:val="en-US" w:eastAsia="zh-CN"/>
                    </w:rPr>
                    <w:t>20</w:t>
                  </w:r>
                </w:p>
              </w:tc>
              <w:tc>
                <w:tcPr>
                  <w:tcW w:w="422" w:type="pct"/>
                  <w:tcBorders>
                    <w:tl2br w:val="nil"/>
                    <w:tr2bl w:val="nil"/>
                  </w:tcBorders>
                  <w:noWrap w:val="0"/>
                  <w:vAlign w:val="center"/>
                </w:tcPr>
                <w:p w14:paraId="5C1EEBC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w:t>
                  </w:r>
                  <w:r>
                    <w:rPr>
                      <w:rFonts w:hint="eastAsia" w:cs="Times New Roman"/>
                      <w:color w:val="auto"/>
                      <w:sz w:val="21"/>
                      <w:szCs w:val="21"/>
                      <w:lang w:val="en-US" w:eastAsia="zh-CN"/>
                    </w:rPr>
                    <w:t>3</w:t>
                  </w:r>
                </w:p>
              </w:tc>
              <w:tc>
                <w:tcPr>
                  <w:tcW w:w="381" w:type="pct"/>
                  <w:tcBorders>
                    <w:tl2br w:val="nil"/>
                    <w:tr2bl w:val="nil"/>
                  </w:tcBorders>
                  <w:noWrap w:val="0"/>
                  <w:vAlign w:val="center"/>
                </w:tcPr>
                <w:p w14:paraId="290D5CE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w:t>
                  </w:r>
                </w:p>
              </w:tc>
            </w:tr>
            <w:tr w14:paraId="32D01B8B">
              <w:tblPrEx>
                <w:tblBorders>
                  <w:top w:val="single" w:color="auto" w:sz="12" w:space="0"/>
                  <w:left w:val="none" w:color="auto" w:sz="0" w:space="0"/>
                  <w:bottom w:val="single" w:color="auto" w:sz="12" w:space="0"/>
                  <w:right w:val="none" w:color="auto" w:sz="0" w:space="0"/>
                  <w:insideH w:val="single" w:color="auto" w:sz="8" w:space="0"/>
                  <w:insideV w:val="single" w:color="auto" w:sz="2" w:space="0"/>
                </w:tblBorders>
                <w:tblCellMar>
                  <w:top w:w="0" w:type="dxa"/>
                  <w:left w:w="57" w:type="dxa"/>
                  <w:bottom w:w="0" w:type="dxa"/>
                  <w:right w:w="57" w:type="dxa"/>
                </w:tblCellMar>
              </w:tblPrEx>
              <w:trPr>
                <w:trHeight w:val="320" w:hRule="atLeast"/>
                <w:jc w:val="center"/>
              </w:trPr>
              <w:tc>
                <w:tcPr>
                  <w:tcW w:w="239" w:type="pct"/>
                  <w:vMerge w:val="continue"/>
                  <w:tcBorders>
                    <w:tl2br w:val="nil"/>
                    <w:tr2bl w:val="nil"/>
                  </w:tcBorders>
                  <w:noWrap w:val="0"/>
                  <w:vAlign w:val="center"/>
                </w:tcPr>
                <w:p w14:paraId="7ADD8A78">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403" w:type="pct"/>
                  <w:tcBorders>
                    <w:tl2br w:val="nil"/>
                    <w:tr2bl w:val="nil"/>
                  </w:tcBorders>
                  <w:noWrap w:val="0"/>
                  <w:vAlign w:val="center"/>
                </w:tcPr>
                <w:p w14:paraId="6BD92EF0">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firstLine="0" w:firstLineChars="0"/>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highlight w:val="none"/>
                      <w:lang w:val="en-US" w:eastAsia="zh-CN"/>
                    </w:rPr>
                    <w:t>风机</w:t>
                  </w:r>
                </w:p>
              </w:tc>
              <w:tc>
                <w:tcPr>
                  <w:tcW w:w="753" w:type="pct"/>
                  <w:tcBorders>
                    <w:tl2br w:val="nil"/>
                    <w:tr2bl w:val="nil"/>
                  </w:tcBorders>
                  <w:noWrap w:val="0"/>
                  <w:vAlign w:val="center"/>
                </w:tcPr>
                <w:p w14:paraId="241F6C50">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85</w:t>
                  </w:r>
                  <w:r>
                    <w:rPr>
                      <w:rFonts w:hint="default" w:ascii="Times New Roman" w:hAnsi="Times New Roman" w:eastAsia="宋体" w:cs="Times New Roman"/>
                      <w:color w:val="auto"/>
                      <w:sz w:val="21"/>
                      <w:szCs w:val="21"/>
                    </w:rPr>
                    <w:t>dB(A)/1m</w:t>
                  </w:r>
                </w:p>
              </w:tc>
              <w:tc>
                <w:tcPr>
                  <w:tcW w:w="454" w:type="pct"/>
                  <w:vMerge w:val="continue"/>
                  <w:tcBorders>
                    <w:tl2br w:val="nil"/>
                    <w:tr2bl w:val="nil"/>
                  </w:tcBorders>
                  <w:noWrap w:val="0"/>
                  <w:vAlign w:val="center"/>
                </w:tcPr>
                <w:p w14:paraId="7885A7D9">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252" w:type="pct"/>
                  <w:tcBorders>
                    <w:tl2br w:val="nil"/>
                    <w:tr2bl w:val="nil"/>
                  </w:tcBorders>
                  <w:noWrap w:val="0"/>
                  <w:vAlign w:val="center"/>
                </w:tcPr>
                <w:p w14:paraId="5861A43C">
                  <w:pPr>
                    <w:keepNext w:val="0"/>
                    <w:keepLines w:val="0"/>
                    <w:pageBreakBefore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47</w:t>
                  </w:r>
                </w:p>
              </w:tc>
              <w:tc>
                <w:tcPr>
                  <w:tcW w:w="252" w:type="pct"/>
                  <w:tcBorders>
                    <w:tl2br w:val="nil"/>
                    <w:tr2bl w:val="nil"/>
                  </w:tcBorders>
                  <w:noWrap w:val="0"/>
                  <w:vAlign w:val="center"/>
                </w:tcPr>
                <w:p w14:paraId="2F28A24A">
                  <w:pPr>
                    <w:keepNext w:val="0"/>
                    <w:keepLines w:val="0"/>
                    <w:pageBreakBefore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42</w:t>
                  </w:r>
                </w:p>
              </w:tc>
              <w:tc>
                <w:tcPr>
                  <w:tcW w:w="244" w:type="pct"/>
                  <w:tcBorders>
                    <w:tl2br w:val="nil"/>
                    <w:tr2bl w:val="nil"/>
                  </w:tcBorders>
                  <w:noWrap w:val="0"/>
                  <w:vAlign w:val="center"/>
                </w:tcPr>
                <w:p w14:paraId="18C2DDD4">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lang w:val="en-US" w:eastAsia="zh-CN"/>
                    </w:rPr>
                    <w:t>1</w:t>
                  </w:r>
                </w:p>
              </w:tc>
              <w:tc>
                <w:tcPr>
                  <w:tcW w:w="376" w:type="pct"/>
                  <w:tcBorders>
                    <w:tl2br w:val="nil"/>
                    <w:tr2bl w:val="nil"/>
                  </w:tcBorders>
                  <w:noWrap w:val="0"/>
                  <w:vAlign w:val="center"/>
                </w:tcPr>
                <w:p w14:paraId="0F5C950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lang w:eastAsia="zh-CN"/>
                    </w:rPr>
                    <w:t>4</w:t>
                  </w:r>
                </w:p>
              </w:tc>
              <w:tc>
                <w:tcPr>
                  <w:tcW w:w="365" w:type="pct"/>
                  <w:tcBorders>
                    <w:tl2br w:val="nil"/>
                    <w:tr2bl w:val="nil"/>
                  </w:tcBorders>
                  <w:noWrap w:val="0"/>
                  <w:vAlign w:val="center"/>
                </w:tcPr>
                <w:p w14:paraId="36AD196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r>
                    <w:rPr>
                      <w:rFonts w:hint="eastAsia" w:cs="Times New Roman"/>
                      <w:color w:val="auto"/>
                      <w:sz w:val="21"/>
                      <w:szCs w:val="21"/>
                      <w:lang w:val="en-US" w:eastAsia="zh-CN"/>
                    </w:rPr>
                    <w:t>3</w:t>
                  </w:r>
                </w:p>
              </w:tc>
              <w:tc>
                <w:tcPr>
                  <w:tcW w:w="356" w:type="pct"/>
                  <w:vMerge w:val="continue"/>
                  <w:tcBorders>
                    <w:tl2br w:val="nil"/>
                    <w:tr2bl w:val="nil"/>
                  </w:tcBorders>
                  <w:noWrap w:val="0"/>
                  <w:vAlign w:val="center"/>
                </w:tcPr>
                <w:p w14:paraId="44DD2140">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lang w:val="en-US" w:eastAsia="zh-CN"/>
                    </w:rPr>
                  </w:pPr>
                </w:p>
              </w:tc>
              <w:tc>
                <w:tcPr>
                  <w:tcW w:w="497" w:type="pct"/>
                  <w:tcBorders>
                    <w:tl2br w:val="nil"/>
                    <w:tr2bl w:val="nil"/>
                  </w:tcBorders>
                  <w:noWrap w:val="0"/>
                  <w:vAlign w:val="center"/>
                </w:tcPr>
                <w:p w14:paraId="328CECDD">
                  <w:pPr>
                    <w:pStyle w:val="17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eastAsia" w:cs="Times New Roman"/>
                      <w:color w:val="auto"/>
                      <w:lang w:val="en-US" w:eastAsia="zh-CN"/>
                    </w:rPr>
                    <w:t>20</w:t>
                  </w:r>
                </w:p>
              </w:tc>
              <w:tc>
                <w:tcPr>
                  <w:tcW w:w="422" w:type="pct"/>
                  <w:tcBorders>
                    <w:tl2br w:val="nil"/>
                    <w:tr2bl w:val="nil"/>
                  </w:tcBorders>
                  <w:noWrap w:val="0"/>
                  <w:vAlign w:val="center"/>
                </w:tcPr>
                <w:p w14:paraId="065389C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r>
                    <w:rPr>
                      <w:rFonts w:hint="eastAsia" w:cs="Times New Roman"/>
                      <w:color w:val="auto"/>
                      <w:sz w:val="21"/>
                      <w:szCs w:val="21"/>
                      <w:lang w:val="en-US" w:eastAsia="zh-CN"/>
                    </w:rPr>
                    <w:t>3</w:t>
                  </w:r>
                </w:p>
              </w:tc>
              <w:tc>
                <w:tcPr>
                  <w:tcW w:w="381" w:type="pct"/>
                  <w:tcBorders>
                    <w:tl2br w:val="nil"/>
                    <w:tr2bl w:val="nil"/>
                  </w:tcBorders>
                  <w:noWrap w:val="0"/>
                  <w:vAlign w:val="center"/>
                </w:tcPr>
                <w:p w14:paraId="4086565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w:t>
                  </w:r>
                </w:p>
              </w:tc>
            </w:tr>
          </w:tbl>
          <w:p w14:paraId="257BE7D0">
            <w:pPr>
              <w:keepNext w:val="0"/>
              <w:keepLines w:val="0"/>
              <w:suppressLineNumbers w:val="0"/>
              <w:spacing w:before="0" w:beforeAutospacing="0" w:after="0" w:afterAutospacing="0" w:line="360" w:lineRule="auto"/>
              <w:ind w:left="0" w:right="0" w:firstLine="480" w:firstLineChars="200"/>
              <w:rPr>
                <w:rFonts w:hint="eastAsia"/>
                <w:b w:val="0"/>
                <w:bCs w:val="0"/>
                <w:color w:val="auto"/>
                <w:sz w:val="24"/>
                <w:szCs w:val="24"/>
                <w:lang w:eastAsia="zh-CN"/>
              </w:rPr>
            </w:pPr>
            <w:r>
              <w:rPr>
                <w:rFonts w:hint="eastAsia"/>
                <w:b w:val="0"/>
                <w:bCs w:val="0"/>
                <w:color w:val="auto"/>
                <w:kern w:val="0"/>
                <w:sz w:val="24"/>
                <w:lang w:eastAsia="zh-CN"/>
              </w:rPr>
              <w:t>（</w:t>
            </w:r>
            <w:r>
              <w:rPr>
                <w:rFonts w:hint="eastAsia"/>
                <w:b w:val="0"/>
                <w:bCs w:val="0"/>
                <w:color w:val="auto"/>
                <w:kern w:val="0"/>
                <w:sz w:val="24"/>
                <w:lang w:val="en-US" w:eastAsia="zh-CN"/>
              </w:rPr>
              <w:t>2</w:t>
            </w:r>
            <w:r>
              <w:rPr>
                <w:rFonts w:hint="eastAsia"/>
                <w:b w:val="0"/>
                <w:bCs w:val="0"/>
                <w:color w:val="auto"/>
                <w:kern w:val="0"/>
                <w:sz w:val="24"/>
                <w:lang w:eastAsia="zh-CN"/>
              </w:rPr>
              <w:t>）</w:t>
            </w:r>
            <w:r>
              <w:rPr>
                <w:rFonts w:hint="eastAsia"/>
                <w:b w:val="0"/>
                <w:bCs w:val="0"/>
                <w:color w:val="auto"/>
                <w:sz w:val="24"/>
                <w:szCs w:val="24"/>
                <w:lang w:eastAsia="zh-CN"/>
              </w:rPr>
              <w:t>噪声影响分析</w:t>
            </w:r>
          </w:p>
          <w:p w14:paraId="0DEB2EB0">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预测模式选用《环境影响评价技术导则—声环境》（HJ2.4-20</w:t>
            </w:r>
            <w:r>
              <w:rPr>
                <w:rFonts w:hint="default" w:ascii="Times New Roman" w:hAnsi="Times New Roman" w:cs="Times New Roman"/>
                <w:color w:val="auto"/>
                <w:sz w:val="24"/>
                <w:lang w:val="en-US" w:eastAsia="zh-CN"/>
              </w:rPr>
              <w:t>21</w:t>
            </w:r>
            <w:r>
              <w:rPr>
                <w:rFonts w:hint="default" w:ascii="Times New Roman" w:hAnsi="Times New Roman" w:cs="Times New Roman"/>
                <w:color w:val="auto"/>
                <w:sz w:val="24"/>
              </w:rPr>
              <w:t>）推荐的模式，其数学表达式如下：</w:t>
            </w:r>
          </w:p>
          <w:p w14:paraId="30E18F85">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①建设项目声源在预测点产生的等效声级贡献值(L</w:t>
            </w:r>
            <w:r>
              <w:rPr>
                <w:rFonts w:hint="default" w:ascii="Times New Roman" w:hAnsi="Times New Roman" w:cs="Times New Roman"/>
                <w:color w:val="auto"/>
                <w:sz w:val="24"/>
                <w:vertAlign w:val="subscript"/>
              </w:rPr>
              <w:t>eqg</w:t>
            </w:r>
            <w:r>
              <w:rPr>
                <w:rFonts w:hint="default" w:ascii="Times New Roman" w:hAnsi="Times New Roman" w:cs="Times New Roman"/>
                <w:color w:val="auto"/>
                <w:sz w:val="24"/>
              </w:rPr>
              <w:t>)计算公式：</w:t>
            </w:r>
          </w:p>
          <w:p w14:paraId="1EA115C7">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drawing>
                <wp:inline distT="0" distB="0" distL="114300" distR="114300">
                  <wp:extent cx="1840865" cy="462915"/>
                  <wp:effectExtent l="0" t="0" r="3175" b="10160"/>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23"/>
                          <a:stretch>
                            <a:fillRect/>
                          </a:stretch>
                        </pic:blipFill>
                        <pic:spPr>
                          <a:xfrm>
                            <a:off x="0" y="0"/>
                            <a:ext cx="1840865" cy="462915"/>
                          </a:xfrm>
                          <a:prstGeom prst="rect">
                            <a:avLst/>
                          </a:prstGeom>
                          <a:noFill/>
                          <a:ln>
                            <a:noFill/>
                          </a:ln>
                        </pic:spPr>
                      </pic:pic>
                    </a:graphicData>
                  </a:graphic>
                </wp:inline>
              </w:drawing>
            </w:r>
          </w:p>
          <w:p w14:paraId="73F5DB45">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式中：</w:t>
            </w:r>
            <w:r>
              <w:rPr>
                <w:rFonts w:hint="default" w:ascii="Times New Roman" w:hAnsi="Times New Roman" w:cs="Times New Roman"/>
                <w:color w:val="auto"/>
                <w:sz w:val="24"/>
              </w:rPr>
              <w:t>L</w:t>
            </w:r>
            <w:r>
              <w:rPr>
                <w:rFonts w:hint="default" w:ascii="Times New Roman" w:hAnsi="Times New Roman" w:cs="Times New Roman"/>
                <w:color w:val="auto"/>
                <w:sz w:val="24"/>
                <w:vertAlign w:val="subscript"/>
              </w:rPr>
              <w:t>eqg</w:t>
            </w:r>
            <w:r>
              <w:rPr>
                <w:rFonts w:hint="default" w:ascii="Times New Roman" w:hAnsi="Times New Roman" w:cs="Times New Roman"/>
                <w:color w:val="auto"/>
                <w:sz w:val="24"/>
              </w:rPr>
              <w:t>—建设项目声源在预测点的等效声级贡献值，dB</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A</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w:t>
            </w:r>
          </w:p>
          <w:p w14:paraId="5EEEA545">
            <w:pPr>
              <w:keepNext w:val="0"/>
              <w:keepLines w:val="0"/>
              <w:suppressLineNumbers w:val="0"/>
              <w:spacing w:before="0" w:beforeAutospacing="0" w:after="0" w:afterAutospacing="0" w:line="360" w:lineRule="auto"/>
              <w:ind w:left="0" w:right="0"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L</w:t>
            </w:r>
            <w:r>
              <w:rPr>
                <w:rFonts w:hint="default" w:ascii="Times New Roman" w:hAnsi="Times New Roman" w:cs="Times New Roman"/>
                <w:color w:val="auto"/>
                <w:sz w:val="24"/>
                <w:vertAlign w:val="subscript"/>
              </w:rPr>
              <w:t>Ai</w:t>
            </w:r>
            <w:r>
              <w:rPr>
                <w:rFonts w:hint="default" w:ascii="Times New Roman" w:hAnsi="Times New Roman" w:cs="Times New Roman"/>
                <w:color w:val="auto"/>
                <w:sz w:val="24"/>
              </w:rPr>
              <w:t>—i声源在预测点产生的A声级dB</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A</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w:t>
            </w:r>
          </w:p>
          <w:p w14:paraId="1B05E23E">
            <w:pPr>
              <w:keepNext w:val="0"/>
              <w:keepLines w:val="0"/>
              <w:suppressLineNumbers w:val="0"/>
              <w:spacing w:before="0" w:beforeAutospacing="0" w:after="0" w:afterAutospacing="0" w:line="360" w:lineRule="auto"/>
              <w:ind w:left="0" w:right="0"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T—预测计算的时间段，s；</w:t>
            </w:r>
          </w:p>
          <w:p w14:paraId="022B5D91">
            <w:pPr>
              <w:keepNext w:val="0"/>
              <w:keepLines w:val="0"/>
              <w:suppressLineNumbers w:val="0"/>
              <w:spacing w:before="0" w:beforeAutospacing="0" w:after="0" w:afterAutospacing="0" w:line="360" w:lineRule="auto"/>
              <w:ind w:left="0" w:right="0"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t</w:t>
            </w:r>
            <w:r>
              <w:rPr>
                <w:rFonts w:hint="default" w:ascii="Times New Roman" w:hAnsi="Times New Roman" w:cs="Times New Roman"/>
                <w:color w:val="auto"/>
                <w:sz w:val="24"/>
                <w:vertAlign w:val="subscript"/>
              </w:rPr>
              <w:t>i</w:t>
            </w:r>
            <w:r>
              <w:rPr>
                <w:rFonts w:hint="default" w:ascii="Times New Roman" w:hAnsi="Times New Roman" w:cs="Times New Roman"/>
                <w:color w:val="auto"/>
                <w:sz w:val="24"/>
              </w:rPr>
              <w:t>—i声源在T时段内的运行时间，s。</w:t>
            </w:r>
          </w:p>
          <w:p w14:paraId="1E379155">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eastAsia="宋体" w:cs="Times New Roman"/>
                <w:color w:val="auto"/>
                <w:sz w:val="24"/>
              </w:rPr>
              <w:t>②</w:t>
            </w:r>
            <w:r>
              <w:rPr>
                <w:rFonts w:hint="default" w:ascii="Times New Roman" w:hAnsi="Times New Roman" w:cs="Times New Roman"/>
                <w:color w:val="auto"/>
                <w:sz w:val="24"/>
              </w:rPr>
              <w:t>预测点的预测等效声级</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L</w:t>
            </w:r>
            <w:r>
              <w:rPr>
                <w:rFonts w:hint="default" w:ascii="Times New Roman" w:hAnsi="Times New Roman" w:cs="Times New Roman"/>
                <w:color w:val="auto"/>
                <w:sz w:val="24"/>
                <w:vertAlign w:val="subscript"/>
              </w:rPr>
              <w:t>eq</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计算公式：</w:t>
            </w:r>
          </w:p>
          <w:p w14:paraId="3C62D8DC">
            <w:pPr>
              <w:keepNext w:val="0"/>
              <w:keepLines w:val="0"/>
              <w:suppressLineNumbers w:val="0"/>
              <w:spacing w:before="0" w:beforeAutospacing="0" w:after="0" w:afterAutospacing="0" w:line="360" w:lineRule="auto"/>
              <w:ind w:left="0" w:right="0" w:firstLine="480" w:firstLineChars="200"/>
              <w:jc w:val="center"/>
              <w:rPr>
                <w:rFonts w:hint="default" w:ascii="Times New Roman" w:hAnsi="Times New Roman" w:cs="Times New Roman"/>
                <w:color w:val="auto"/>
                <w:sz w:val="24"/>
              </w:rPr>
            </w:pPr>
            <w:r>
              <w:rPr>
                <w:rFonts w:hint="default" w:ascii="Times New Roman" w:hAnsi="Times New Roman" w:cs="Times New Roman"/>
                <w:color w:val="auto"/>
                <w:sz w:val="24"/>
              </w:rPr>
              <w:drawing>
                <wp:inline distT="0" distB="0" distL="114300" distR="114300">
                  <wp:extent cx="2089785" cy="285115"/>
                  <wp:effectExtent l="0" t="0" r="0" b="3810"/>
                  <wp:docPr id="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7"/>
                          <pic:cNvPicPr>
                            <a:picLocks noChangeAspect="1"/>
                          </pic:cNvPicPr>
                        </pic:nvPicPr>
                        <pic:blipFill>
                          <a:blip r:embed="rId24"/>
                          <a:stretch>
                            <a:fillRect/>
                          </a:stretch>
                        </pic:blipFill>
                        <pic:spPr>
                          <a:xfrm>
                            <a:off x="0" y="0"/>
                            <a:ext cx="2089785" cy="285115"/>
                          </a:xfrm>
                          <a:prstGeom prst="rect">
                            <a:avLst/>
                          </a:prstGeom>
                          <a:noFill/>
                          <a:ln>
                            <a:noFill/>
                          </a:ln>
                        </pic:spPr>
                      </pic:pic>
                    </a:graphicData>
                  </a:graphic>
                </wp:inline>
              </w:drawing>
            </w:r>
          </w:p>
          <w:p w14:paraId="2DDE7459">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式中：L</w:t>
            </w:r>
            <w:r>
              <w:rPr>
                <w:rFonts w:hint="default" w:ascii="Times New Roman" w:hAnsi="Times New Roman" w:cs="Times New Roman"/>
                <w:color w:val="auto"/>
                <w:sz w:val="24"/>
                <w:vertAlign w:val="subscript"/>
              </w:rPr>
              <w:t>eqg</w:t>
            </w:r>
            <w:r>
              <w:rPr>
                <w:rFonts w:hint="default" w:ascii="Times New Roman" w:hAnsi="Times New Roman" w:cs="Times New Roman"/>
                <w:color w:val="auto"/>
                <w:sz w:val="24"/>
              </w:rPr>
              <w:t>—建设项目声源在预测点的等效声级贡献值，dB</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A</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w:t>
            </w:r>
          </w:p>
          <w:p w14:paraId="326AD0E7">
            <w:pPr>
              <w:keepNext w:val="0"/>
              <w:keepLines w:val="0"/>
              <w:suppressLineNumbers w:val="0"/>
              <w:spacing w:before="0" w:beforeAutospacing="0" w:after="0" w:afterAutospacing="0" w:line="360" w:lineRule="auto"/>
              <w:ind w:left="0" w:right="0"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L</w:t>
            </w:r>
            <w:r>
              <w:rPr>
                <w:rFonts w:hint="default" w:ascii="Times New Roman" w:hAnsi="Times New Roman" w:cs="Times New Roman"/>
                <w:color w:val="auto"/>
                <w:sz w:val="24"/>
                <w:vertAlign w:val="subscript"/>
              </w:rPr>
              <w:t>eqb</w:t>
            </w:r>
            <w:r>
              <w:rPr>
                <w:rFonts w:hint="default" w:ascii="Times New Roman" w:hAnsi="Times New Roman" w:cs="Times New Roman"/>
                <w:color w:val="auto"/>
                <w:sz w:val="24"/>
              </w:rPr>
              <w:t>—预测点的背景值，dB</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A</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w:t>
            </w:r>
          </w:p>
          <w:p w14:paraId="4178B26C">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eastAsia="宋体" w:cs="Times New Roman"/>
                <w:color w:val="auto"/>
                <w:sz w:val="24"/>
              </w:rPr>
              <w:t>③</w:t>
            </w:r>
            <w:r>
              <w:rPr>
                <w:rFonts w:hint="default" w:ascii="Times New Roman" w:hAnsi="Times New Roman" w:cs="Times New Roman"/>
                <w:color w:val="auto"/>
                <w:sz w:val="24"/>
              </w:rPr>
              <w:t>户外声传播衰减计算</w:t>
            </w:r>
          </w:p>
          <w:p w14:paraId="7387FE46">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ascii="Times New Roman" w:hAnsi="Times New Roman" w:cs="Times New Roman"/>
                <w:color w:val="auto"/>
                <w:sz w:val="24"/>
              </w:rPr>
              <w:t>户外声传播衰减包括几何发散（A</w:t>
            </w:r>
            <w:r>
              <w:rPr>
                <w:rFonts w:hint="default" w:ascii="Times New Roman" w:hAnsi="Times New Roman" w:cs="Times New Roman"/>
                <w:color w:val="auto"/>
                <w:sz w:val="24"/>
                <w:vertAlign w:val="subscript"/>
              </w:rPr>
              <w:t>div</w:t>
            </w:r>
            <w:r>
              <w:rPr>
                <w:rFonts w:hint="default" w:ascii="Times New Roman" w:hAnsi="Times New Roman" w:cs="Times New Roman"/>
                <w:color w:val="auto"/>
                <w:sz w:val="24"/>
              </w:rPr>
              <w:t>）、大气吸收（A</w:t>
            </w:r>
            <w:r>
              <w:rPr>
                <w:rFonts w:hint="default" w:ascii="Times New Roman" w:hAnsi="Times New Roman" w:cs="Times New Roman"/>
                <w:color w:val="auto"/>
                <w:sz w:val="24"/>
                <w:vertAlign w:val="subscript"/>
              </w:rPr>
              <w:t>atm</w:t>
            </w:r>
            <w:r>
              <w:rPr>
                <w:rFonts w:hint="default" w:ascii="Times New Roman" w:hAnsi="Times New Roman" w:cs="Times New Roman"/>
                <w:color w:val="auto"/>
                <w:sz w:val="24"/>
              </w:rPr>
              <w:t>）、地面效应（A</w:t>
            </w:r>
            <w:r>
              <w:rPr>
                <w:rFonts w:hint="default" w:ascii="Times New Roman" w:hAnsi="Times New Roman" w:cs="Times New Roman"/>
                <w:color w:val="auto"/>
                <w:sz w:val="24"/>
                <w:vertAlign w:val="subscript"/>
              </w:rPr>
              <w:t>gr</w:t>
            </w:r>
            <w:r>
              <w:rPr>
                <w:rFonts w:hint="default" w:ascii="Times New Roman" w:hAnsi="Times New Roman" w:cs="Times New Roman"/>
                <w:color w:val="auto"/>
                <w:sz w:val="24"/>
              </w:rPr>
              <w:t>）、屏障屏蔽</w:t>
            </w:r>
            <w:r>
              <w:rPr>
                <w:rFonts w:hint="default"/>
                <w:color w:val="auto"/>
                <w:sz w:val="24"/>
              </w:rPr>
              <w:t>（A</w:t>
            </w:r>
            <w:r>
              <w:rPr>
                <w:rFonts w:hint="default"/>
                <w:color w:val="auto"/>
                <w:sz w:val="24"/>
                <w:vertAlign w:val="subscript"/>
              </w:rPr>
              <w:t>bar</w:t>
            </w:r>
            <w:r>
              <w:rPr>
                <w:rFonts w:hint="default"/>
                <w:color w:val="auto"/>
                <w:sz w:val="24"/>
              </w:rPr>
              <w:t>）、其他多方面效应（A</w:t>
            </w:r>
            <w:r>
              <w:rPr>
                <w:rFonts w:hint="default"/>
                <w:color w:val="auto"/>
                <w:sz w:val="24"/>
                <w:vertAlign w:val="subscript"/>
              </w:rPr>
              <w:t>misc</w:t>
            </w:r>
            <w:r>
              <w:rPr>
                <w:rFonts w:hint="default"/>
                <w:color w:val="auto"/>
                <w:sz w:val="24"/>
              </w:rPr>
              <w:t>）引起的衰减。</w:t>
            </w:r>
          </w:p>
          <w:p w14:paraId="67612494">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color w:val="auto"/>
                <w:sz w:val="24"/>
              </w:rPr>
              <w:t>距声源点r处的A声级按下式计算：</w:t>
            </w:r>
          </w:p>
          <w:p w14:paraId="7CD078FE">
            <w:pPr>
              <w:keepNext w:val="0"/>
              <w:keepLines w:val="0"/>
              <w:suppressLineNumbers w:val="0"/>
              <w:spacing w:before="0" w:beforeAutospacing="0" w:after="0" w:afterAutospacing="0" w:line="360" w:lineRule="auto"/>
              <w:ind w:left="0" w:right="0"/>
              <w:jc w:val="center"/>
              <w:rPr>
                <w:rFonts w:hint="default"/>
                <w:color w:val="auto"/>
                <w:sz w:val="24"/>
              </w:rPr>
            </w:pPr>
            <w:r>
              <w:rPr>
                <w:rFonts w:hint="default"/>
                <w:color w:val="auto"/>
                <w:sz w:val="24"/>
              </w:rPr>
              <w:drawing>
                <wp:inline distT="0" distB="0" distL="114300" distR="114300">
                  <wp:extent cx="3930650" cy="332740"/>
                  <wp:effectExtent l="0" t="0" r="1270" b="2540"/>
                  <wp:docPr id="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pic:cNvPicPr>
                            <a:picLocks noChangeAspect="1"/>
                          </pic:cNvPicPr>
                        </pic:nvPicPr>
                        <pic:blipFill>
                          <a:blip r:embed="rId25"/>
                          <a:stretch>
                            <a:fillRect/>
                          </a:stretch>
                        </pic:blipFill>
                        <pic:spPr>
                          <a:xfrm>
                            <a:off x="0" y="0"/>
                            <a:ext cx="3930650" cy="332740"/>
                          </a:xfrm>
                          <a:prstGeom prst="rect">
                            <a:avLst/>
                          </a:prstGeom>
                          <a:noFill/>
                          <a:ln>
                            <a:noFill/>
                          </a:ln>
                        </pic:spPr>
                      </pic:pic>
                    </a:graphicData>
                  </a:graphic>
                </wp:inline>
              </w:drawing>
            </w:r>
          </w:p>
          <w:p w14:paraId="6ECEC4A9">
            <w:pPr>
              <w:keepNext w:val="0"/>
              <w:keepLines w:val="0"/>
              <w:suppressLineNumbers w:val="0"/>
              <w:spacing w:before="0" w:beforeAutospacing="0" w:after="0" w:afterAutospacing="0" w:line="360" w:lineRule="auto"/>
              <w:ind w:left="0" w:right="0" w:firstLine="480" w:firstLineChars="200"/>
              <w:rPr>
                <w:rFonts w:hint="eastAsia"/>
                <w:color w:val="auto"/>
                <w:sz w:val="24"/>
                <w:lang w:val="en-US" w:eastAsia="zh-CN"/>
              </w:rPr>
            </w:pPr>
            <w:r>
              <w:rPr>
                <w:rFonts w:hint="default"/>
                <w:color w:val="auto"/>
                <w:sz w:val="24"/>
              </w:rPr>
              <w:t>在预测中考虑反射引起的修正、屏障引起的衰减、双绕射、室内声源等效室外声源等影响和计算方法</w:t>
            </w:r>
            <w:r>
              <w:rPr>
                <w:rFonts w:hint="eastAsia"/>
                <w:color w:val="auto"/>
                <w:sz w:val="24"/>
                <w:lang w:val="en-US" w:eastAsia="zh-CN"/>
              </w:rPr>
              <w:t>。</w:t>
            </w:r>
          </w:p>
          <w:p w14:paraId="39A8C7F2">
            <w:pPr>
              <w:pStyle w:val="2"/>
              <w:keepNext w:val="0"/>
              <w:keepLines w:val="0"/>
              <w:suppressLineNumbers w:val="0"/>
              <w:spacing w:before="0" w:beforeAutospacing="0" w:after="0" w:afterAutospacing="0"/>
              <w:ind w:left="0" w:right="0"/>
              <w:rPr>
                <w:rFonts w:hint="eastAsia"/>
                <w:szCs w:val="20"/>
                <w:lang w:val="en-US" w:eastAsia="zh-CN"/>
              </w:rPr>
            </w:pPr>
            <w:r>
              <w:rPr>
                <w:rFonts w:hint="default"/>
                <w:color w:val="auto"/>
                <w:sz w:val="21"/>
                <w:szCs w:val="20"/>
              </w:rPr>
              <mc:AlternateContent>
                <mc:Choice Requires="wps">
                  <w:drawing>
                    <wp:anchor distT="0" distB="0" distL="114300" distR="114300" simplePos="0" relativeHeight="251700224" behindDoc="0" locked="0" layoutInCell="1" allowOverlap="1">
                      <wp:simplePos x="0" y="0"/>
                      <wp:positionH relativeFrom="column">
                        <wp:posOffset>506730</wp:posOffset>
                      </wp:positionH>
                      <wp:positionV relativeFrom="paragraph">
                        <wp:posOffset>2403475</wp:posOffset>
                      </wp:positionV>
                      <wp:extent cx="257175" cy="75565"/>
                      <wp:effectExtent l="12700" t="12700" r="15875" b="26035"/>
                      <wp:wrapNone/>
                      <wp:docPr id="88" name="矩形 88"/>
                      <wp:cNvGraphicFramePr/>
                      <a:graphic xmlns:a="http://schemas.openxmlformats.org/drawingml/2006/main">
                        <a:graphicData uri="http://schemas.microsoft.com/office/word/2010/wordprocessingShape">
                          <wps:wsp>
                            <wps:cNvSpPr/>
                            <wps:spPr>
                              <a:xfrm>
                                <a:off x="0" y="0"/>
                                <a:ext cx="257175" cy="7556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9pt;margin-top:189.25pt;height:5.95pt;width:20.25pt;z-index:251700224;v-text-anchor:middle;mso-width-relative:page;mso-height-relative:page;" filled="f" stroked="t" coordsize="21600,21600" o:gfxdata="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A&#10;bNjD2QAAAAoBAAAPAAAAAAAAAAEAIAAAACIAAABkcnMvZG93bnJldi54bWxQSwECFAAUAAAACACH&#10;TuJAugkccFwCAAC0BAAADgAAAAAAAAABACAAAAAoAQAAZHJzL2Uyb0RvYy54bWxQSwUGAAAAAAYA&#10;BgBZAQAA9gUAAAAA&#10;">
                      <v:fill on="f" focussize="0,0"/>
                      <v:stroke weight="2pt" color="#FF0000 [2404]" joinstyle="round"/>
                      <v:imagedata o:title=""/>
                      <o:lock v:ext="edit" aspectratio="f"/>
                    </v:rect>
                  </w:pict>
                </mc:Fallback>
              </mc:AlternateContent>
            </w:r>
            <w:r>
              <w:rPr>
                <w:rFonts w:hint="default"/>
                <w:color w:val="auto"/>
                <w:sz w:val="21"/>
                <w:szCs w:val="20"/>
              </w:rPr>
              <mc:AlternateContent>
                <mc:Choice Requires="wps">
                  <w:drawing>
                    <wp:anchor distT="0" distB="0" distL="114300" distR="114300" simplePos="0" relativeHeight="251699200" behindDoc="0" locked="0" layoutInCell="1" allowOverlap="1">
                      <wp:simplePos x="0" y="0"/>
                      <wp:positionH relativeFrom="column">
                        <wp:posOffset>456565</wp:posOffset>
                      </wp:positionH>
                      <wp:positionV relativeFrom="paragraph">
                        <wp:posOffset>2091690</wp:posOffset>
                      </wp:positionV>
                      <wp:extent cx="957580" cy="502285"/>
                      <wp:effectExtent l="4445" t="4445" r="9525" b="7620"/>
                      <wp:wrapNone/>
                      <wp:docPr id="86" name="文本框 86"/>
                      <wp:cNvGraphicFramePr/>
                      <a:graphic xmlns:a="http://schemas.openxmlformats.org/drawingml/2006/main">
                        <a:graphicData uri="http://schemas.microsoft.com/office/word/2010/wordprocessingShape">
                          <wps:wsp>
                            <wps:cNvSpPr txBox="1"/>
                            <wps:spPr>
                              <a:xfrm>
                                <a:off x="0" y="0"/>
                                <a:ext cx="957580" cy="50228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0345CA5">
                                  <w:pPr>
                                    <w:jc w:val="center"/>
                                    <w:rPr>
                                      <w:rFonts w:hint="eastAsia"/>
                                      <w:b/>
                                      <w:bCs/>
                                      <w:color w:val="auto"/>
                                      <w:sz w:val="18"/>
                                      <w:szCs w:val="18"/>
                                      <w:lang w:val="en-US" w:eastAsia="zh-CN"/>
                                    </w:rPr>
                                  </w:pPr>
                                  <w:r>
                                    <w:rPr>
                                      <w:rFonts w:hint="eastAsia"/>
                                      <w:b/>
                                      <w:bCs/>
                                      <w:color w:val="auto"/>
                                      <w:sz w:val="18"/>
                                      <w:szCs w:val="18"/>
                                      <w:lang w:val="en-US" w:eastAsia="zh-CN"/>
                                    </w:rPr>
                                    <w:t>图例</w:t>
                                  </w:r>
                                </w:p>
                                <w:p w14:paraId="30D6FA91">
                                  <w:pPr>
                                    <w:pStyle w:val="47"/>
                                    <w:ind w:left="0" w:leftChars="0" w:firstLine="450" w:firstLineChars="300"/>
                                    <w:rPr>
                                      <w:rFonts w:hint="default"/>
                                      <w:sz w:val="15"/>
                                      <w:szCs w:val="15"/>
                                      <w:lang w:val="en-US" w:eastAsia="zh-CN"/>
                                    </w:rPr>
                                  </w:pPr>
                                  <w:r>
                                    <w:rPr>
                                      <w:rFonts w:hint="eastAsia"/>
                                      <w:sz w:val="15"/>
                                      <w:szCs w:val="15"/>
                                      <w:lang w:val="en-US"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95pt;margin-top:164.7pt;height:39.55pt;width:75.4pt;z-index:251699200;mso-width-relative:page;mso-height-relative:page;" fillcolor="#FFFFFF [3201]" filled="t" stroked="t" coordsize="21600,21600" o:gfxdata="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BOlqMNgA&#10;AAAKAQAADwAAAAAAAAABACAAAAAiAAAAZHJzL2Rvd25yZXYueG1sUEsBAhQAFAAAAAgAh07iQHfv&#10;oOhYAgAAuAQAAA4AAAAAAAAAAQAgAAAAJwEAAGRycy9lMm9Eb2MueG1sUEsFBgAAAAAGAAYAWQEA&#10;APEFAAAAAA==&#10;">
                      <v:fill on="t" focussize="0,0"/>
                      <v:stroke weight="0.5pt" color="#000000 [3204]" joinstyle="round"/>
                      <v:imagedata o:title=""/>
                      <o:lock v:ext="edit" aspectratio="f"/>
                      <v:textbox>
                        <w:txbxContent>
                          <w:p w14:paraId="10345CA5">
                            <w:pPr>
                              <w:jc w:val="center"/>
                              <w:rPr>
                                <w:rFonts w:hint="eastAsia"/>
                                <w:b/>
                                <w:bCs/>
                                <w:color w:val="auto"/>
                                <w:sz w:val="18"/>
                                <w:szCs w:val="18"/>
                                <w:lang w:val="en-US" w:eastAsia="zh-CN"/>
                              </w:rPr>
                            </w:pPr>
                            <w:r>
                              <w:rPr>
                                <w:rFonts w:hint="eastAsia"/>
                                <w:b/>
                                <w:bCs/>
                                <w:color w:val="auto"/>
                                <w:sz w:val="18"/>
                                <w:szCs w:val="18"/>
                                <w:lang w:val="en-US" w:eastAsia="zh-CN"/>
                              </w:rPr>
                              <w:t>图例</w:t>
                            </w:r>
                          </w:p>
                          <w:p w14:paraId="30D6FA91">
                            <w:pPr>
                              <w:pStyle w:val="47"/>
                              <w:ind w:left="0" w:leftChars="0" w:firstLine="450" w:firstLineChars="300"/>
                              <w:rPr>
                                <w:rFonts w:hint="default"/>
                                <w:sz w:val="15"/>
                                <w:szCs w:val="15"/>
                                <w:lang w:val="en-US" w:eastAsia="zh-CN"/>
                              </w:rPr>
                            </w:pPr>
                            <w:r>
                              <w:rPr>
                                <w:rFonts w:hint="eastAsia"/>
                                <w:sz w:val="15"/>
                                <w:szCs w:val="15"/>
                                <w:lang w:val="en-US" w:eastAsia="zh-CN"/>
                              </w:rPr>
                              <w:t>项目位置</w:t>
                            </w:r>
                          </w:p>
                        </w:txbxContent>
                      </v:textbox>
                    </v:shape>
                  </w:pict>
                </mc:Fallback>
              </mc:AlternateContent>
            </w:r>
            <w:r>
              <w:rPr>
                <w:rFonts w:hint="default"/>
                <w:szCs w:val="20"/>
              </w:rPr>
              <w:drawing>
                <wp:inline distT="0" distB="0" distL="114300" distR="114300">
                  <wp:extent cx="4575810" cy="2656840"/>
                  <wp:effectExtent l="0" t="0" r="15240" b="10160"/>
                  <wp:docPr id="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7"/>
                          <pic:cNvPicPr>
                            <a:picLocks noChangeAspect="1"/>
                          </pic:cNvPicPr>
                        </pic:nvPicPr>
                        <pic:blipFill>
                          <a:blip r:embed="rId26"/>
                          <a:stretch>
                            <a:fillRect/>
                          </a:stretch>
                        </pic:blipFill>
                        <pic:spPr>
                          <a:xfrm>
                            <a:off x="0" y="0"/>
                            <a:ext cx="4575810" cy="2656840"/>
                          </a:xfrm>
                          <a:prstGeom prst="rect">
                            <a:avLst/>
                          </a:prstGeom>
                          <a:noFill/>
                          <a:ln>
                            <a:noFill/>
                          </a:ln>
                        </pic:spPr>
                      </pic:pic>
                    </a:graphicData>
                  </a:graphic>
                </wp:inline>
              </w:drawing>
            </w:r>
          </w:p>
          <w:p w14:paraId="162828A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snapToGrid w:val="0"/>
                <w:color w:val="auto"/>
                <w:kern w:val="0"/>
                <w:sz w:val="24"/>
                <w:szCs w:val="24"/>
                <w:lang w:val="en-US" w:eastAsia="zh-CN" w:bidi="ar-SA"/>
              </w:rPr>
              <w:t>图4-1</w:t>
            </w:r>
            <w:r>
              <w:rPr>
                <w:rFonts w:hint="eastAsia" w:ascii="Times New Roman" w:hAnsi="Times New Roman" w:eastAsia="宋体" w:cs="Times New Roman"/>
                <w:b/>
                <w:bCs/>
                <w:snapToGrid w:val="0"/>
                <w:color w:val="auto"/>
                <w:kern w:val="0"/>
                <w:sz w:val="24"/>
                <w:szCs w:val="24"/>
                <w:lang w:val="en-US" w:eastAsia="zh-CN" w:bidi="ar-SA"/>
              </w:rPr>
              <w:t xml:space="preserve"> </w:t>
            </w:r>
            <w:r>
              <w:rPr>
                <w:rFonts w:hint="default" w:ascii="Times New Roman" w:hAnsi="Times New Roman" w:eastAsia="宋体" w:cs="Times New Roman"/>
                <w:b/>
                <w:bCs/>
                <w:snapToGrid w:val="0"/>
                <w:color w:val="auto"/>
                <w:kern w:val="0"/>
                <w:sz w:val="24"/>
                <w:szCs w:val="24"/>
                <w:lang w:val="en-US" w:eastAsia="zh-CN" w:bidi="ar-SA"/>
              </w:rPr>
              <w:t>本项目噪声预测结果图</w:t>
            </w:r>
          </w:p>
          <w:p w14:paraId="008226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表4-</w:t>
            </w:r>
            <w:r>
              <w:rPr>
                <w:rFonts w:hint="eastAsia" w:cs="Times New Roman"/>
                <w:b/>
                <w:bCs/>
                <w:color w:val="auto"/>
                <w:sz w:val="24"/>
                <w:szCs w:val="24"/>
                <w:lang w:val="en-US" w:eastAsia="zh-CN"/>
              </w:rPr>
              <w:t>9</w:t>
            </w:r>
            <w:r>
              <w:rPr>
                <w:rFonts w:hint="default" w:ascii="Times New Roman" w:hAnsi="Times New Roman" w:eastAsia="宋体" w:cs="Times New Roman"/>
                <w:b/>
                <w:bCs/>
                <w:color w:val="auto"/>
                <w:sz w:val="24"/>
                <w:szCs w:val="24"/>
                <w:lang w:val="en-US" w:eastAsia="zh-CN"/>
              </w:rPr>
              <w:t xml:space="preserve"> 噪声预测结果  单位：dB（A）</w:t>
            </w:r>
          </w:p>
          <w:tbl>
            <w:tblPr>
              <w:tblStyle w:val="39"/>
              <w:tblW w:w="793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0"/>
              <w:gridCol w:w="1356"/>
              <w:gridCol w:w="1524"/>
              <w:gridCol w:w="2730"/>
              <w:gridCol w:w="1148"/>
            </w:tblGrid>
            <w:tr w14:paraId="3C2E33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743" w:type="pct"/>
                  <w:vMerge w:val="restart"/>
                  <w:tcBorders>
                    <w:tl2br w:val="nil"/>
                    <w:tr2bl w:val="nil"/>
                  </w:tcBorders>
                  <w:noWrap w:val="0"/>
                  <w:vAlign w:val="center"/>
                </w:tcPr>
                <w:p w14:paraId="302A63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rPr>
                    <w:t>厂界方位</w:t>
                  </w:r>
                </w:p>
              </w:tc>
              <w:tc>
                <w:tcPr>
                  <w:tcW w:w="1814" w:type="pct"/>
                  <w:gridSpan w:val="2"/>
                  <w:tcBorders>
                    <w:tl2br w:val="nil"/>
                    <w:tr2bl w:val="nil"/>
                  </w:tcBorders>
                  <w:noWrap w:val="0"/>
                  <w:vAlign w:val="center"/>
                </w:tcPr>
                <w:p w14:paraId="6B2DC1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val="0"/>
                      <w:color w:val="auto"/>
                      <w:sz w:val="21"/>
                    </w:rPr>
                  </w:pPr>
                  <w:r>
                    <w:rPr>
                      <w:rFonts w:hint="default"/>
                      <w:b w:val="0"/>
                      <w:bCs w:val="0"/>
                      <w:color w:val="auto"/>
                      <w:sz w:val="21"/>
                    </w:rPr>
                    <w:t>噪声贡献值</w:t>
                  </w:r>
                </w:p>
              </w:tc>
              <w:tc>
                <w:tcPr>
                  <w:tcW w:w="1719" w:type="pct"/>
                  <w:vMerge w:val="restart"/>
                  <w:tcBorders>
                    <w:tl2br w:val="nil"/>
                    <w:tr2bl w:val="nil"/>
                  </w:tcBorders>
                  <w:noWrap w:val="0"/>
                  <w:vAlign w:val="center"/>
                </w:tcPr>
                <w:p w14:paraId="072BE1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rPr>
                    <w:t>执行标准</w:t>
                  </w:r>
                </w:p>
              </w:tc>
              <w:tc>
                <w:tcPr>
                  <w:tcW w:w="723" w:type="pct"/>
                  <w:vMerge w:val="restart"/>
                  <w:tcBorders>
                    <w:tl2br w:val="nil"/>
                    <w:tr2bl w:val="nil"/>
                  </w:tcBorders>
                  <w:noWrap w:val="0"/>
                  <w:vAlign w:val="center"/>
                </w:tcPr>
                <w:p w14:paraId="532B0A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rPr>
                    <w:t>达标情况</w:t>
                  </w:r>
                </w:p>
              </w:tc>
            </w:tr>
            <w:tr w14:paraId="7A2F1F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743" w:type="pct"/>
                  <w:vMerge w:val="continue"/>
                  <w:tcBorders>
                    <w:tl2br w:val="nil"/>
                    <w:tr2bl w:val="nil"/>
                  </w:tcBorders>
                  <w:noWrap w:val="0"/>
                  <w:vAlign w:val="center"/>
                </w:tcPr>
                <w:p w14:paraId="74DCC9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rPr>
                  </w:pPr>
                </w:p>
              </w:tc>
              <w:tc>
                <w:tcPr>
                  <w:tcW w:w="854" w:type="pct"/>
                  <w:tcBorders>
                    <w:tl2br w:val="nil"/>
                    <w:tr2bl w:val="nil"/>
                  </w:tcBorders>
                  <w:noWrap w:val="0"/>
                  <w:vAlign w:val="center"/>
                </w:tcPr>
                <w:p w14:paraId="1ABDDFFF">
                  <w:pPr>
                    <w:pStyle w:val="148"/>
                    <w:keepNext w:val="0"/>
                    <w:keepLines w:val="0"/>
                    <w:suppressLineNumbers w:val="0"/>
                    <w:shd w:val="clear" w:color="auto" w:fill="auto"/>
                    <w:bidi w:val="0"/>
                    <w:spacing w:before="0" w:beforeAutospacing="0" w:after="0" w:afterAutospacing="0" w:line="240" w:lineRule="auto"/>
                    <w:ind w:left="0" w:right="0"/>
                    <w:rPr>
                      <w:rFonts w:hint="default"/>
                      <w:b w:val="0"/>
                      <w:bCs w:val="0"/>
                      <w:color w:val="auto"/>
                      <w:sz w:val="21"/>
                    </w:rPr>
                  </w:pPr>
                  <w:r>
                    <w:rPr>
                      <w:rFonts w:hint="default"/>
                      <w:b w:val="0"/>
                      <w:bCs w:val="0"/>
                      <w:color w:val="auto"/>
                      <w:sz w:val="18"/>
                      <w:szCs w:val="18"/>
                      <w:lang w:val="en-US" w:eastAsia="zh-CN"/>
                    </w:rPr>
                    <w:t>昼间</w:t>
                  </w:r>
                </w:p>
              </w:tc>
              <w:tc>
                <w:tcPr>
                  <w:tcW w:w="959" w:type="pct"/>
                  <w:tcBorders>
                    <w:tl2br w:val="nil"/>
                    <w:tr2bl w:val="nil"/>
                  </w:tcBorders>
                  <w:noWrap w:val="0"/>
                  <w:vAlign w:val="center"/>
                </w:tcPr>
                <w:p w14:paraId="3A761DA6">
                  <w:pPr>
                    <w:pStyle w:val="148"/>
                    <w:keepNext w:val="0"/>
                    <w:keepLines w:val="0"/>
                    <w:suppressLineNumbers w:val="0"/>
                    <w:shd w:val="clear" w:color="auto" w:fill="auto"/>
                    <w:bidi w:val="0"/>
                    <w:spacing w:before="0" w:beforeAutospacing="0" w:after="0" w:afterAutospacing="0" w:line="240" w:lineRule="auto"/>
                    <w:ind w:left="0" w:right="0"/>
                    <w:rPr>
                      <w:rFonts w:hint="default"/>
                      <w:b w:val="0"/>
                      <w:bCs w:val="0"/>
                      <w:color w:val="auto"/>
                      <w:sz w:val="21"/>
                    </w:rPr>
                  </w:pPr>
                  <w:r>
                    <w:rPr>
                      <w:rFonts w:hint="default"/>
                      <w:b w:val="0"/>
                      <w:bCs w:val="0"/>
                      <w:color w:val="auto"/>
                      <w:sz w:val="18"/>
                      <w:szCs w:val="18"/>
                      <w:lang w:val="en-US" w:eastAsia="zh-CN"/>
                    </w:rPr>
                    <w:t>夜间</w:t>
                  </w:r>
                </w:p>
              </w:tc>
              <w:tc>
                <w:tcPr>
                  <w:tcW w:w="1719" w:type="pct"/>
                  <w:vMerge w:val="continue"/>
                  <w:tcBorders>
                    <w:tl2br w:val="nil"/>
                    <w:tr2bl w:val="nil"/>
                  </w:tcBorders>
                  <w:noWrap w:val="0"/>
                  <w:vAlign w:val="center"/>
                </w:tcPr>
                <w:p w14:paraId="2367B7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rPr>
                  </w:pPr>
                </w:p>
              </w:tc>
              <w:tc>
                <w:tcPr>
                  <w:tcW w:w="723" w:type="pct"/>
                  <w:vMerge w:val="continue"/>
                  <w:tcBorders>
                    <w:tl2br w:val="nil"/>
                    <w:tr2bl w:val="nil"/>
                  </w:tcBorders>
                  <w:noWrap w:val="0"/>
                  <w:vAlign w:val="center"/>
                </w:tcPr>
                <w:p w14:paraId="7ABE87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rPr>
                  </w:pPr>
                </w:p>
              </w:tc>
            </w:tr>
            <w:tr w14:paraId="3B00D1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743" w:type="pct"/>
                  <w:tcBorders>
                    <w:tl2br w:val="nil"/>
                    <w:tr2bl w:val="nil"/>
                  </w:tcBorders>
                  <w:noWrap w:val="0"/>
                  <w:vAlign w:val="center"/>
                </w:tcPr>
                <w:p w14:paraId="0EE09EB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rPr>
                    <w:t>东侧厂界</w:t>
                  </w:r>
                </w:p>
              </w:tc>
              <w:tc>
                <w:tcPr>
                  <w:tcW w:w="854" w:type="pct"/>
                  <w:tcBorders>
                    <w:tl2br w:val="nil"/>
                    <w:tr2bl w:val="nil"/>
                  </w:tcBorders>
                  <w:noWrap w:val="0"/>
                  <w:vAlign w:val="center"/>
                </w:tcPr>
                <w:p w14:paraId="7D69F860">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eastAsia="宋体"/>
                      <w:color w:val="auto"/>
                      <w:sz w:val="21"/>
                      <w:szCs w:val="21"/>
                      <w:lang w:val="en-US" w:eastAsia="zh-CN"/>
                    </w:rPr>
                    <w:t>51</w:t>
                  </w:r>
                </w:p>
              </w:tc>
              <w:tc>
                <w:tcPr>
                  <w:tcW w:w="959" w:type="pct"/>
                  <w:tcBorders>
                    <w:tl2br w:val="nil"/>
                    <w:tr2bl w:val="nil"/>
                  </w:tcBorders>
                  <w:noWrap w:val="0"/>
                  <w:vAlign w:val="center"/>
                </w:tcPr>
                <w:p w14:paraId="2BDF0EF8">
                  <w:pPr>
                    <w:keepNext w:val="0"/>
                    <w:keepLines w:val="0"/>
                    <w:suppressLineNumbers w:val="0"/>
                    <w:spacing w:before="0" w:beforeAutospacing="0" w:after="0" w:afterAutospacing="0" w:line="240" w:lineRule="auto"/>
                    <w:ind w:left="0" w:leftChars="0" w:right="0" w:rightChars="0" w:firstLine="0" w:firstLineChars="0"/>
                    <w:jc w:val="center"/>
                    <w:rPr>
                      <w:rFonts w:hint="eastAsia" w:eastAsia="宋体"/>
                      <w:color w:val="auto"/>
                      <w:sz w:val="21"/>
                      <w:szCs w:val="21"/>
                      <w:lang w:val="en-US" w:eastAsia="zh-CN"/>
                    </w:rPr>
                  </w:pPr>
                  <w:r>
                    <w:rPr>
                      <w:rFonts w:hint="eastAsia" w:eastAsia="宋体"/>
                      <w:color w:val="auto"/>
                      <w:sz w:val="21"/>
                      <w:szCs w:val="21"/>
                      <w:lang w:val="en-US" w:eastAsia="zh-CN"/>
                    </w:rPr>
                    <w:t>51</w:t>
                  </w:r>
                </w:p>
              </w:tc>
              <w:tc>
                <w:tcPr>
                  <w:tcW w:w="1719" w:type="pct"/>
                  <w:tcBorders>
                    <w:tl2br w:val="nil"/>
                    <w:tr2bl w:val="nil"/>
                  </w:tcBorders>
                  <w:noWrap w:val="0"/>
                  <w:vAlign w:val="center"/>
                </w:tcPr>
                <w:p w14:paraId="7803A125">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default"/>
                      <w:color w:val="auto"/>
                      <w:sz w:val="21"/>
                    </w:rPr>
                    <w:t>《工业企业厂界环境噪声排放标准》</w:t>
                  </w:r>
                  <w:r>
                    <w:rPr>
                      <w:rFonts w:hint="eastAsia"/>
                      <w:color w:val="auto"/>
                      <w:sz w:val="21"/>
                      <w:lang w:eastAsia="zh-CN"/>
                    </w:rPr>
                    <w:t>（</w:t>
                  </w:r>
                  <w:r>
                    <w:rPr>
                      <w:rFonts w:hint="default"/>
                      <w:color w:val="auto"/>
                      <w:sz w:val="21"/>
                    </w:rPr>
                    <w:t>GB12348-2008</w:t>
                  </w:r>
                  <w:r>
                    <w:rPr>
                      <w:rFonts w:hint="eastAsia"/>
                      <w:color w:val="auto"/>
                      <w:sz w:val="21"/>
                      <w:lang w:eastAsia="zh-CN"/>
                    </w:rPr>
                    <w:t>）</w:t>
                  </w:r>
                  <w:r>
                    <w:rPr>
                      <w:rFonts w:hint="default"/>
                      <w:color w:val="auto"/>
                      <w:sz w:val="21"/>
                    </w:rPr>
                    <w:t>中</w:t>
                  </w:r>
                  <w:r>
                    <w:rPr>
                      <w:rFonts w:hint="eastAsia"/>
                      <w:color w:val="auto"/>
                      <w:sz w:val="21"/>
                      <w:lang w:val="en-US" w:eastAsia="zh-CN"/>
                    </w:rPr>
                    <w:t>4</w:t>
                  </w:r>
                  <w:r>
                    <w:rPr>
                      <w:rFonts w:hint="default"/>
                      <w:color w:val="auto"/>
                      <w:sz w:val="21"/>
                    </w:rPr>
                    <w:t>类标准，即昼间</w:t>
                  </w:r>
                  <w:r>
                    <w:rPr>
                      <w:rFonts w:hint="eastAsia"/>
                      <w:color w:val="auto"/>
                      <w:sz w:val="21"/>
                      <w:lang w:val="en-US" w:eastAsia="zh-CN"/>
                    </w:rPr>
                    <w:t>70</w:t>
                  </w:r>
                  <w:r>
                    <w:rPr>
                      <w:rFonts w:hint="default"/>
                      <w:color w:val="auto"/>
                      <w:sz w:val="21"/>
                    </w:rPr>
                    <w:t>dB（A）、夜间</w:t>
                  </w:r>
                  <w:r>
                    <w:rPr>
                      <w:rFonts w:hint="eastAsia"/>
                      <w:color w:val="auto"/>
                      <w:sz w:val="21"/>
                      <w:lang w:val="en-US" w:eastAsia="zh-CN"/>
                    </w:rPr>
                    <w:t>55</w:t>
                  </w:r>
                  <w:r>
                    <w:rPr>
                      <w:rFonts w:hint="default"/>
                      <w:color w:val="auto"/>
                      <w:sz w:val="21"/>
                    </w:rPr>
                    <w:t>dB（A）</w:t>
                  </w:r>
                </w:p>
              </w:tc>
              <w:tc>
                <w:tcPr>
                  <w:tcW w:w="723" w:type="pct"/>
                  <w:tcBorders>
                    <w:tl2br w:val="nil"/>
                    <w:tr2bl w:val="nil"/>
                  </w:tcBorders>
                  <w:noWrap w:val="0"/>
                  <w:vAlign w:val="center"/>
                </w:tcPr>
                <w:p w14:paraId="5792F0E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rPr>
                    <w:t>达标</w:t>
                  </w:r>
                </w:p>
              </w:tc>
            </w:tr>
            <w:tr w14:paraId="0D48E3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743" w:type="pct"/>
                  <w:tcBorders>
                    <w:tl2br w:val="nil"/>
                    <w:tr2bl w:val="nil"/>
                  </w:tcBorders>
                  <w:noWrap w:val="0"/>
                  <w:vAlign w:val="center"/>
                </w:tcPr>
                <w:p w14:paraId="237D21E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rPr>
                    <w:t>南侧厂界</w:t>
                  </w:r>
                </w:p>
              </w:tc>
              <w:tc>
                <w:tcPr>
                  <w:tcW w:w="854" w:type="pct"/>
                  <w:tcBorders>
                    <w:tl2br w:val="nil"/>
                    <w:tr2bl w:val="nil"/>
                  </w:tcBorders>
                  <w:noWrap w:val="0"/>
                  <w:vAlign w:val="center"/>
                </w:tcPr>
                <w:p w14:paraId="3FDDEA95">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eastAsia="宋体"/>
                      <w:color w:val="auto"/>
                      <w:sz w:val="21"/>
                      <w:szCs w:val="21"/>
                      <w:lang w:val="en-US" w:eastAsia="zh-CN"/>
                    </w:rPr>
                    <w:t>51</w:t>
                  </w:r>
                </w:p>
              </w:tc>
              <w:tc>
                <w:tcPr>
                  <w:tcW w:w="959" w:type="pct"/>
                  <w:tcBorders>
                    <w:tl2br w:val="nil"/>
                    <w:tr2bl w:val="nil"/>
                  </w:tcBorders>
                  <w:noWrap w:val="0"/>
                  <w:vAlign w:val="center"/>
                </w:tcPr>
                <w:p w14:paraId="672AF510">
                  <w:pPr>
                    <w:keepNext w:val="0"/>
                    <w:keepLines w:val="0"/>
                    <w:suppressLineNumbers w:val="0"/>
                    <w:spacing w:before="0" w:beforeAutospacing="0" w:after="0" w:afterAutospacing="0" w:line="240" w:lineRule="auto"/>
                    <w:ind w:left="0" w:leftChars="0" w:right="0" w:rightChars="0" w:firstLine="0" w:firstLineChars="0"/>
                    <w:jc w:val="center"/>
                    <w:rPr>
                      <w:rFonts w:hint="eastAsia" w:eastAsia="宋体"/>
                      <w:color w:val="auto"/>
                      <w:sz w:val="21"/>
                      <w:szCs w:val="21"/>
                      <w:lang w:val="en-US" w:eastAsia="zh-CN"/>
                    </w:rPr>
                  </w:pPr>
                  <w:r>
                    <w:rPr>
                      <w:rFonts w:hint="eastAsia" w:eastAsia="宋体"/>
                      <w:color w:val="auto"/>
                      <w:sz w:val="21"/>
                      <w:szCs w:val="21"/>
                      <w:lang w:val="en-US" w:eastAsia="zh-CN"/>
                    </w:rPr>
                    <w:t>51</w:t>
                  </w:r>
                </w:p>
              </w:tc>
              <w:tc>
                <w:tcPr>
                  <w:tcW w:w="2730" w:type="dxa"/>
                  <w:vMerge w:val="restart"/>
                  <w:tcBorders>
                    <w:tl2br w:val="nil"/>
                    <w:tr2bl w:val="nil"/>
                  </w:tcBorders>
                  <w:noWrap w:val="0"/>
                  <w:vAlign w:val="center"/>
                </w:tcPr>
                <w:p w14:paraId="1DE6894C">
                  <w:pPr>
                    <w:keepNext w:val="0"/>
                    <w:keepLines w:val="0"/>
                    <w:suppressLineNumbers w:val="0"/>
                    <w:spacing w:before="0" w:beforeAutospacing="0" w:after="0" w:afterAutospacing="0" w:line="240" w:lineRule="auto"/>
                    <w:ind w:left="0" w:leftChars="0" w:right="0" w:rightChars="0" w:firstLine="0" w:firstLineChars="0"/>
                    <w:jc w:val="center"/>
                    <w:rPr>
                      <w:rFonts w:hint="default"/>
                      <w:color w:val="auto"/>
                      <w:sz w:val="21"/>
                      <w:szCs w:val="21"/>
                    </w:rPr>
                  </w:pPr>
                  <w:r>
                    <w:rPr>
                      <w:rFonts w:hint="default"/>
                      <w:color w:val="auto"/>
                      <w:sz w:val="21"/>
                    </w:rPr>
                    <w:t>《工业企业厂界环境噪声排放标准》</w:t>
                  </w:r>
                  <w:r>
                    <w:rPr>
                      <w:rFonts w:hint="eastAsia"/>
                      <w:color w:val="auto"/>
                      <w:sz w:val="21"/>
                      <w:lang w:eastAsia="zh-CN"/>
                    </w:rPr>
                    <w:t>（</w:t>
                  </w:r>
                  <w:r>
                    <w:rPr>
                      <w:rFonts w:hint="default"/>
                      <w:color w:val="auto"/>
                      <w:sz w:val="21"/>
                    </w:rPr>
                    <w:t>GB12348-2008</w:t>
                  </w:r>
                  <w:r>
                    <w:rPr>
                      <w:rFonts w:hint="eastAsia"/>
                      <w:color w:val="auto"/>
                      <w:sz w:val="21"/>
                      <w:lang w:eastAsia="zh-CN"/>
                    </w:rPr>
                    <w:t>）</w:t>
                  </w:r>
                  <w:r>
                    <w:rPr>
                      <w:rFonts w:hint="default"/>
                      <w:color w:val="auto"/>
                      <w:sz w:val="21"/>
                    </w:rPr>
                    <w:t>中</w:t>
                  </w:r>
                  <w:r>
                    <w:rPr>
                      <w:rFonts w:hint="eastAsia"/>
                      <w:color w:val="auto"/>
                      <w:sz w:val="21"/>
                      <w:lang w:val="en-US" w:eastAsia="zh-CN"/>
                    </w:rPr>
                    <w:t>2</w:t>
                  </w:r>
                  <w:r>
                    <w:rPr>
                      <w:rFonts w:hint="default"/>
                      <w:color w:val="auto"/>
                      <w:sz w:val="21"/>
                    </w:rPr>
                    <w:t>类标准，即昼间</w:t>
                  </w:r>
                  <w:r>
                    <w:rPr>
                      <w:rFonts w:hint="eastAsia"/>
                      <w:color w:val="auto"/>
                      <w:sz w:val="21"/>
                      <w:lang w:val="en-US" w:eastAsia="zh-CN"/>
                    </w:rPr>
                    <w:t>60</w:t>
                  </w:r>
                  <w:r>
                    <w:rPr>
                      <w:rFonts w:hint="default"/>
                      <w:color w:val="auto"/>
                      <w:sz w:val="21"/>
                    </w:rPr>
                    <w:t>dB（A）、夜间</w:t>
                  </w:r>
                  <w:r>
                    <w:rPr>
                      <w:rFonts w:hint="eastAsia"/>
                      <w:color w:val="auto"/>
                      <w:sz w:val="21"/>
                      <w:lang w:val="en-US" w:eastAsia="zh-CN"/>
                    </w:rPr>
                    <w:t>50</w:t>
                  </w:r>
                  <w:r>
                    <w:rPr>
                      <w:rFonts w:hint="default"/>
                      <w:color w:val="auto"/>
                      <w:sz w:val="21"/>
                    </w:rPr>
                    <w:t>dB（A）</w:t>
                  </w:r>
                </w:p>
              </w:tc>
              <w:tc>
                <w:tcPr>
                  <w:tcW w:w="723" w:type="pct"/>
                  <w:tcBorders>
                    <w:tl2br w:val="nil"/>
                    <w:tr2bl w:val="nil"/>
                  </w:tcBorders>
                  <w:noWrap w:val="0"/>
                  <w:vAlign w:val="center"/>
                </w:tcPr>
                <w:p w14:paraId="16B1E3A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rPr>
                    <w:t>达标</w:t>
                  </w:r>
                </w:p>
              </w:tc>
            </w:tr>
            <w:tr w14:paraId="371818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743" w:type="pct"/>
                  <w:tcBorders>
                    <w:tl2br w:val="nil"/>
                    <w:tr2bl w:val="nil"/>
                  </w:tcBorders>
                  <w:noWrap w:val="0"/>
                  <w:vAlign w:val="center"/>
                </w:tcPr>
                <w:p w14:paraId="31830EC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rPr>
                    <w:t>西侧厂界</w:t>
                  </w:r>
                </w:p>
              </w:tc>
              <w:tc>
                <w:tcPr>
                  <w:tcW w:w="854" w:type="pct"/>
                  <w:tcBorders>
                    <w:tl2br w:val="nil"/>
                    <w:tr2bl w:val="nil"/>
                  </w:tcBorders>
                  <w:noWrap w:val="0"/>
                  <w:vAlign w:val="center"/>
                </w:tcPr>
                <w:p w14:paraId="667BA3CC">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eastAsia="宋体"/>
                      <w:color w:val="auto"/>
                      <w:sz w:val="21"/>
                      <w:szCs w:val="21"/>
                      <w:lang w:val="en-US" w:eastAsia="zh-CN"/>
                    </w:rPr>
                    <w:t>50</w:t>
                  </w:r>
                </w:p>
              </w:tc>
              <w:tc>
                <w:tcPr>
                  <w:tcW w:w="959" w:type="pct"/>
                  <w:tcBorders>
                    <w:tl2br w:val="nil"/>
                    <w:tr2bl w:val="nil"/>
                  </w:tcBorders>
                  <w:noWrap w:val="0"/>
                  <w:vAlign w:val="center"/>
                </w:tcPr>
                <w:p w14:paraId="2436D2EE">
                  <w:pPr>
                    <w:keepNext w:val="0"/>
                    <w:keepLines w:val="0"/>
                    <w:suppressLineNumbers w:val="0"/>
                    <w:spacing w:before="0" w:beforeAutospacing="0" w:after="0" w:afterAutospacing="0" w:line="240" w:lineRule="auto"/>
                    <w:ind w:left="0" w:leftChars="0" w:right="0" w:rightChars="0" w:firstLine="0" w:firstLineChars="0"/>
                    <w:jc w:val="center"/>
                    <w:rPr>
                      <w:rFonts w:hint="eastAsia" w:eastAsia="宋体"/>
                      <w:color w:val="auto"/>
                      <w:sz w:val="21"/>
                      <w:szCs w:val="21"/>
                      <w:lang w:val="en-US" w:eastAsia="zh-CN"/>
                    </w:rPr>
                  </w:pPr>
                  <w:r>
                    <w:rPr>
                      <w:rFonts w:hint="eastAsia" w:eastAsia="宋体"/>
                      <w:color w:val="auto"/>
                      <w:sz w:val="21"/>
                      <w:szCs w:val="21"/>
                      <w:lang w:val="en-US" w:eastAsia="zh-CN"/>
                    </w:rPr>
                    <w:t>50</w:t>
                  </w:r>
                </w:p>
              </w:tc>
              <w:tc>
                <w:tcPr>
                  <w:tcW w:w="1719" w:type="pct"/>
                  <w:vMerge w:val="continue"/>
                  <w:tcBorders>
                    <w:tl2br w:val="nil"/>
                    <w:tr2bl w:val="nil"/>
                  </w:tcBorders>
                  <w:noWrap w:val="0"/>
                  <w:vAlign w:val="center"/>
                </w:tcPr>
                <w:p w14:paraId="6A4F8D42">
                  <w:pPr>
                    <w:keepNext w:val="0"/>
                    <w:keepLines w:val="0"/>
                    <w:widowControl/>
                    <w:suppressLineNumbers w:val="0"/>
                    <w:spacing w:before="0" w:beforeAutospacing="0" w:after="0" w:afterAutospacing="0" w:line="240" w:lineRule="auto"/>
                    <w:ind w:left="0" w:right="0" w:firstLine="0" w:firstLineChars="0"/>
                    <w:jc w:val="left"/>
                    <w:rPr>
                      <w:rFonts w:hint="default"/>
                      <w:color w:val="auto"/>
                      <w:sz w:val="21"/>
                      <w:szCs w:val="21"/>
                    </w:rPr>
                  </w:pPr>
                </w:p>
              </w:tc>
              <w:tc>
                <w:tcPr>
                  <w:tcW w:w="723" w:type="pct"/>
                  <w:tcBorders>
                    <w:tl2br w:val="nil"/>
                    <w:tr2bl w:val="nil"/>
                  </w:tcBorders>
                  <w:noWrap w:val="0"/>
                  <w:vAlign w:val="center"/>
                </w:tcPr>
                <w:p w14:paraId="2ADBF19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rPr>
                    <w:t>达标</w:t>
                  </w:r>
                </w:p>
              </w:tc>
            </w:tr>
            <w:tr w14:paraId="22C303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743" w:type="pct"/>
                  <w:tcBorders>
                    <w:tl2br w:val="nil"/>
                    <w:tr2bl w:val="nil"/>
                  </w:tcBorders>
                  <w:noWrap w:val="0"/>
                  <w:vAlign w:val="center"/>
                </w:tcPr>
                <w:p w14:paraId="65210E7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rPr>
                    <w:t>北侧厂界</w:t>
                  </w:r>
                </w:p>
              </w:tc>
              <w:tc>
                <w:tcPr>
                  <w:tcW w:w="854" w:type="pct"/>
                  <w:tcBorders>
                    <w:tl2br w:val="nil"/>
                    <w:tr2bl w:val="nil"/>
                  </w:tcBorders>
                  <w:noWrap w:val="0"/>
                  <w:vAlign w:val="center"/>
                </w:tcPr>
                <w:p w14:paraId="1930F334">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eastAsia="宋体"/>
                      <w:color w:val="auto"/>
                      <w:sz w:val="21"/>
                      <w:szCs w:val="21"/>
                      <w:lang w:val="en-US" w:eastAsia="zh-CN"/>
                    </w:rPr>
                    <w:t>5</w:t>
                  </w:r>
                  <w:r>
                    <w:rPr>
                      <w:rFonts w:hint="eastAsia"/>
                      <w:color w:val="auto"/>
                      <w:sz w:val="21"/>
                      <w:szCs w:val="21"/>
                      <w:lang w:val="en-US" w:eastAsia="zh-CN"/>
                    </w:rPr>
                    <w:t>2</w:t>
                  </w:r>
                </w:p>
              </w:tc>
              <w:tc>
                <w:tcPr>
                  <w:tcW w:w="959" w:type="pct"/>
                  <w:tcBorders>
                    <w:tl2br w:val="nil"/>
                    <w:tr2bl w:val="nil"/>
                  </w:tcBorders>
                  <w:noWrap w:val="0"/>
                  <w:vAlign w:val="center"/>
                </w:tcPr>
                <w:p w14:paraId="071D1802">
                  <w:pPr>
                    <w:keepNext w:val="0"/>
                    <w:keepLines w:val="0"/>
                    <w:suppressLineNumbers w:val="0"/>
                    <w:spacing w:before="0" w:beforeAutospacing="0" w:after="0" w:afterAutospacing="0" w:line="240" w:lineRule="auto"/>
                    <w:ind w:left="0" w:leftChars="0" w:right="0" w:rightChars="0" w:firstLine="0" w:firstLineChars="0"/>
                    <w:jc w:val="center"/>
                    <w:rPr>
                      <w:rFonts w:hint="eastAsia" w:eastAsia="宋体"/>
                      <w:color w:val="auto"/>
                      <w:sz w:val="21"/>
                      <w:szCs w:val="21"/>
                      <w:lang w:val="en-US" w:eastAsia="zh-CN"/>
                    </w:rPr>
                  </w:pPr>
                  <w:r>
                    <w:rPr>
                      <w:rFonts w:hint="eastAsia" w:eastAsia="宋体"/>
                      <w:color w:val="auto"/>
                      <w:sz w:val="21"/>
                      <w:szCs w:val="21"/>
                      <w:lang w:val="en-US" w:eastAsia="zh-CN"/>
                    </w:rPr>
                    <w:t>5</w:t>
                  </w:r>
                  <w:r>
                    <w:rPr>
                      <w:rFonts w:hint="eastAsia"/>
                      <w:color w:val="auto"/>
                      <w:sz w:val="21"/>
                      <w:szCs w:val="21"/>
                      <w:lang w:val="en-US" w:eastAsia="zh-CN"/>
                    </w:rPr>
                    <w:t>2</w:t>
                  </w:r>
                </w:p>
              </w:tc>
              <w:tc>
                <w:tcPr>
                  <w:tcW w:w="1719" w:type="pct"/>
                  <w:vMerge w:val="continue"/>
                  <w:tcBorders>
                    <w:tl2br w:val="nil"/>
                    <w:tr2bl w:val="nil"/>
                  </w:tcBorders>
                  <w:noWrap w:val="0"/>
                  <w:vAlign w:val="center"/>
                </w:tcPr>
                <w:p w14:paraId="64D4688A">
                  <w:pPr>
                    <w:keepNext w:val="0"/>
                    <w:keepLines w:val="0"/>
                    <w:widowControl/>
                    <w:suppressLineNumbers w:val="0"/>
                    <w:spacing w:before="0" w:beforeAutospacing="0" w:after="0" w:afterAutospacing="0" w:line="240" w:lineRule="auto"/>
                    <w:ind w:left="0" w:right="0" w:firstLine="0" w:firstLineChars="0"/>
                    <w:jc w:val="left"/>
                    <w:rPr>
                      <w:rFonts w:hint="default"/>
                      <w:color w:val="auto"/>
                      <w:sz w:val="21"/>
                      <w:szCs w:val="21"/>
                    </w:rPr>
                  </w:pPr>
                </w:p>
              </w:tc>
              <w:tc>
                <w:tcPr>
                  <w:tcW w:w="723" w:type="pct"/>
                  <w:tcBorders>
                    <w:tl2br w:val="nil"/>
                    <w:tr2bl w:val="nil"/>
                  </w:tcBorders>
                  <w:noWrap w:val="0"/>
                  <w:vAlign w:val="center"/>
                </w:tcPr>
                <w:p w14:paraId="3E23668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rPr>
                    <w:t>达标</w:t>
                  </w:r>
                </w:p>
              </w:tc>
            </w:tr>
          </w:tbl>
          <w:p w14:paraId="307CAD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w:t>
            </w:r>
            <w:r>
              <w:rPr>
                <w:rFonts w:hint="default" w:ascii="Times New Roman" w:hAnsi="Times New Roman" w:eastAsia="宋体" w:cs="Times New Roman"/>
                <w:b/>
                <w:bCs/>
                <w:color w:val="auto"/>
                <w:sz w:val="24"/>
                <w:szCs w:val="24"/>
                <w:lang w:val="en-US" w:eastAsia="zh-CN"/>
              </w:rPr>
              <w:t>4</w:t>
            </w:r>
            <w:r>
              <w:rPr>
                <w:rFonts w:hint="eastAsia" w:ascii="Times New Roman" w:hAnsi="Times New Roman" w:eastAsia="宋体" w:cs="Times New Roman"/>
                <w:b/>
                <w:bCs/>
                <w:color w:val="auto"/>
                <w:sz w:val="24"/>
                <w:szCs w:val="24"/>
                <w:lang w:val="en-US" w:eastAsia="zh-CN"/>
              </w:rPr>
              <w:t>-</w:t>
            </w:r>
            <w:r>
              <w:rPr>
                <w:rFonts w:hint="eastAsia" w:cs="Times New Roman"/>
                <w:b/>
                <w:bCs/>
                <w:color w:val="auto"/>
                <w:sz w:val="24"/>
                <w:szCs w:val="24"/>
                <w:lang w:val="en-US" w:eastAsia="zh-CN"/>
              </w:rPr>
              <w:t>10</w:t>
            </w:r>
            <w:r>
              <w:rPr>
                <w:rFonts w:hint="eastAsia" w:ascii="Times New Roman" w:hAnsi="Times New Roman" w:eastAsia="宋体" w:cs="Times New Roman"/>
                <w:b/>
                <w:bCs/>
                <w:color w:val="auto"/>
                <w:sz w:val="24"/>
                <w:szCs w:val="24"/>
                <w:lang w:val="en-US" w:eastAsia="zh-CN"/>
              </w:rPr>
              <w:t xml:space="preserve"> 工业企业声环境保护目标噪声预测结果与达标分析表 </w:t>
            </w:r>
            <w:r>
              <w:rPr>
                <w:rFonts w:hint="default" w:ascii="Times New Roman" w:hAnsi="Times New Roman" w:eastAsia="宋体" w:cs="Times New Roman"/>
                <w:b/>
                <w:bCs/>
                <w:color w:val="auto"/>
                <w:sz w:val="24"/>
                <w:szCs w:val="24"/>
                <w:lang w:val="en-US" w:eastAsia="zh-CN"/>
              </w:rPr>
              <w:t>单位：dB（A）</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7"/>
              <w:gridCol w:w="846"/>
              <w:gridCol w:w="480"/>
              <w:gridCol w:w="564"/>
              <w:gridCol w:w="564"/>
              <w:gridCol w:w="490"/>
              <w:gridCol w:w="546"/>
              <w:gridCol w:w="493"/>
              <w:gridCol w:w="729"/>
              <w:gridCol w:w="561"/>
              <w:gridCol w:w="569"/>
              <w:gridCol w:w="650"/>
              <w:gridCol w:w="546"/>
              <w:gridCol w:w="481"/>
            </w:tblGrid>
            <w:tr w14:paraId="460A78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dxa"/>
                  <w:vMerge w:val="restart"/>
                  <w:tcBorders>
                    <w:tl2br w:val="nil"/>
                    <w:tr2bl w:val="nil"/>
                  </w:tcBorders>
                  <w:vAlign w:val="center"/>
                </w:tcPr>
                <w:p w14:paraId="64D43568">
                  <w:pPr>
                    <w:pStyle w:val="167"/>
                    <w:keepNext w:val="0"/>
                    <w:keepLines w:val="0"/>
                    <w:suppressLineNumbers w:val="0"/>
                    <w:bidi w:val="0"/>
                    <w:spacing w:before="0" w:beforeAutospacing="0" w:after="0" w:afterAutospacing="0"/>
                    <w:ind w:right="0"/>
                    <w:rPr>
                      <w:rFonts w:hint="default"/>
                      <w:color w:val="auto"/>
                      <w:sz w:val="21"/>
                      <w:szCs w:val="21"/>
                      <w:lang w:val="en-US" w:eastAsia="zh-CN"/>
                    </w:rPr>
                  </w:pPr>
                  <w:r>
                    <w:rPr>
                      <w:rFonts w:hint="default"/>
                      <w:color w:val="auto"/>
                      <w:sz w:val="21"/>
                      <w:szCs w:val="21"/>
                      <w:lang w:val="en-US" w:eastAsia="zh-CN"/>
                    </w:rPr>
                    <w:t>序号</w:t>
                  </w:r>
                </w:p>
              </w:tc>
              <w:tc>
                <w:tcPr>
                  <w:tcW w:w="846" w:type="dxa"/>
                  <w:vMerge w:val="restart"/>
                  <w:tcBorders>
                    <w:tl2br w:val="nil"/>
                    <w:tr2bl w:val="nil"/>
                  </w:tcBorders>
                  <w:vAlign w:val="center"/>
                </w:tcPr>
                <w:p w14:paraId="5C1B2483">
                  <w:pPr>
                    <w:pStyle w:val="167"/>
                    <w:keepNext w:val="0"/>
                    <w:keepLines w:val="0"/>
                    <w:suppressLineNumbers w:val="0"/>
                    <w:bidi w:val="0"/>
                    <w:spacing w:before="0" w:beforeAutospacing="0" w:after="0" w:afterAutospacing="0"/>
                    <w:ind w:right="0"/>
                    <w:rPr>
                      <w:rFonts w:hint="default"/>
                      <w:color w:val="auto"/>
                      <w:sz w:val="21"/>
                      <w:szCs w:val="21"/>
                      <w:lang w:val="en-US" w:eastAsia="zh-CN"/>
                    </w:rPr>
                  </w:pPr>
                  <w:r>
                    <w:rPr>
                      <w:rFonts w:hint="eastAsia"/>
                      <w:color w:val="auto"/>
                      <w:sz w:val="21"/>
                      <w:szCs w:val="21"/>
                      <w:lang w:val="en-US" w:eastAsia="zh-CN"/>
                    </w:rPr>
                    <w:t>声环境保护目标</w:t>
                  </w:r>
                </w:p>
              </w:tc>
              <w:tc>
                <w:tcPr>
                  <w:tcW w:w="1044" w:type="dxa"/>
                  <w:gridSpan w:val="2"/>
                  <w:tcBorders>
                    <w:tl2br w:val="nil"/>
                    <w:tr2bl w:val="nil"/>
                  </w:tcBorders>
                  <w:vAlign w:val="center"/>
                </w:tcPr>
                <w:p w14:paraId="19192D83">
                  <w:pPr>
                    <w:pStyle w:val="167"/>
                    <w:keepNext w:val="0"/>
                    <w:keepLines w:val="0"/>
                    <w:suppressLineNumbers w:val="0"/>
                    <w:bidi w:val="0"/>
                    <w:spacing w:before="0" w:beforeAutospacing="0" w:after="0" w:afterAutospacing="0"/>
                    <w:ind w:right="0"/>
                    <w:rPr>
                      <w:rFonts w:hint="default"/>
                      <w:color w:val="auto"/>
                      <w:sz w:val="21"/>
                      <w:szCs w:val="21"/>
                      <w:lang w:val="en-US" w:eastAsia="zh-CN"/>
                    </w:rPr>
                  </w:pPr>
                  <w:r>
                    <w:rPr>
                      <w:rFonts w:hint="eastAsia"/>
                      <w:color w:val="auto"/>
                      <w:sz w:val="21"/>
                      <w:szCs w:val="21"/>
                      <w:lang w:val="en-US" w:eastAsia="zh-CN"/>
                    </w:rPr>
                    <w:t>噪声背景值/dB（A）</w:t>
                  </w:r>
                </w:p>
              </w:tc>
              <w:tc>
                <w:tcPr>
                  <w:tcW w:w="1054" w:type="dxa"/>
                  <w:gridSpan w:val="2"/>
                  <w:tcBorders>
                    <w:tl2br w:val="nil"/>
                    <w:tr2bl w:val="nil"/>
                  </w:tcBorders>
                  <w:vAlign w:val="center"/>
                </w:tcPr>
                <w:p w14:paraId="3A50B20C">
                  <w:pPr>
                    <w:pStyle w:val="167"/>
                    <w:keepNext w:val="0"/>
                    <w:keepLines w:val="0"/>
                    <w:suppressLineNumbers w:val="0"/>
                    <w:bidi w:val="0"/>
                    <w:spacing w:before="0" w:beforeAutospacing="0" w:after="0" w:afterAutospacing="0"/>
                    <w:ind w:right="0"/>
                    <w:rPr>
                      <w:rFonts w:hint="default"/>
                      <w:color w:val="auto"/>
                      <w:sz w:val="21"/>
                      <w:szCs w:val="21"/>
                      <w:lang w:val="en-US" w:eastAsia="zh-CN"/>
                    </w:rPr>
                  </w:pPr>
                  <w:r>
                    <w:rPr>
                      <w:rFonts w:hint="eastAsia"/>
                      <w:color w:val="auto"/>
                      <w:sz w:val="21"/>
                      <w:szCs w:val="21"/>
                      <w:lang w:val="en-US" w:eastAsia="zh-CN"/>
                    </w:rPr>
                    <w:t>噪声现状值/dB（A）</w:t>
                  </w:r>
                </w:p>
              </w:tc>
              <w:tc>
                <w:tcPr>
                  <w:tcW w:w="1039" w:type="dxa"/>
                  <w:gridSpan w:val="2"/>
                  <w:tcBorders>
                    <w:tl2br w:val="nil"/>
                    <w:tr2bl w:val="nil"/>
                  </w:tcBorders>
                  <w:vAlign w:val="center"/>
                </w:tcPr>
                <w:p w14:paraId="22B35B32">
                  <w:pPr>
                    <w:pStyle w:val="167"/>
                    <w:keepNext w:val="0"/>
                    <w:keepLines w:val="0"/>
                    <w:suppressLineNumbers w:val="0"/>
                    <w:bidi w:val="0"/>
                    <w:spacing w:before="0" w:beforeAutospacing="0" w:after="0" w:afterAutospacing="0"/>
                    <w:ind w:right="0"/>
                    <w:rPr>
                      <w:rFonts w:hint="default"/>
                      <w:color w:val="auto"/>
                      <w:sz w:val="21"/>
                      <w:szCs w:val="21"/>
                      <w:lang w:val="en-US" w:eastAsia="zh-CN"/>
                    </w:rPr>
                  </w:pPr>
                  <w:r>
                    <w:rPr>
                      <w:rFonts w:hint="eastAsia"/>
                      <w:color w:val="auto"/>
                      <w:sz w:val="21"/>
                      <w:szCs w:val="21"/>
                      <w:lang w:val="en-US" w:eastAsia="zh-CN"/>
                    </w:rPr>
                    <w:t>噪声标准/dB（A）</w:t>
                  </w:r>
                </w:p>
              </w:tc>
              <w:tc>
                <w:tcPr>
                  <w:tcW w:w="1290" w:type="dxa"/>
                  <w:gridSpan w:val="2"/>
                  <w:tcBorders>
                    <w:tl2br w:val="nil"/>
                    <w:tr2bl w:val="nil"/>
                  </w:tcBorders>
                  <w:vAlign w:val="center"/>
                </w:tcPr>
                <w:p w14:paraId="56CF444D">
                  <w:pPr>
                    <w:pStyle w:val="167"/>
                    <w:keepNext w:val="0"/>
                    <w:keepLines w:val="0"/>
                    <w:suppressLineNumbers w:val="0"/>
                    <w:bidi w:val="0"/>
                    <w:spacing w:before="0" w:beforeAutospacing="0" w:after="0" w:afterAutospacing="0"/>
                    <w:ind w:right="0"/>
                    <w:rPr>
                      <w:rFonts w:hint="default"/>
                      <w:color w:val="auto"/>
                      <w:sz w:val="21"/>
                      <w:szCs w:val="21"/>
                      <w:lang w:val="en-US" w:eastAsia="zh-CN"/>
                    </w:rPr>
                  </w:pPr>
                  <w:r>
                    <w:rPr>
                      <w:rFonts w:hint="eastAsia"/>
                      <w:color w:val="auto"/>
                      <w:sz w:val="21"/>
                      <w:szCs w:val="21"/>
                      <w:lang w:val="en-US" w:eastAsia="zh-CN"/>
                    </w:rPr>
                    <w:t>噪声贡献值/dB（A）</w:t>
                  </w:r>
                </w:p>
              </w:tc>
              <w:tc>
                <w:tcPr>
                  <w:tcW w:w="1220" w:type="dxa"/>
                  <w:gridSpan w:val="2"/>
                  <w:tcBorders>
                    <w:tl2br w:val="nil"/>
                    <w:tr2bl w:val="nil"/>
                  </w:tcBorders>
                  <w:vAlign w:val="center"/>
                </w:tcPr>
                <w:p w14:paraId="5DA80287">
                  <w:pPr>
                    <w:pStyle w:val="167"/>
                    <w:keepNext w:val="0"/>
                    <w:keepLines w:val="0"/>
                    <w:suppressLineNumbers w:val="0"/>
                    <w:bidi w:val="0"/>
                    <w:spacing w:before="0" w:beforeAutospacing="0" w:after="0" w:afterAutospacing="0"/>
                    <w:ind w:right="0"/>
                    <w:rPr>
                      <w:rFonts w:hint="default"/>
                      <w:color w:val="auto"/>
                      <w:sz w:val="21"/>
                      <w:szCs w:val="21"/>
                      <w:lang w:val="en-US" w:eastAsia="zh-CN"/>
                    </w:rPr>
                  </w:pPr>
                  <w:r>
                    <w:rPr>
                      <w:rFonts w:hint="eastAsia"/>
                      <w:color w:val="auto"/>
                      <w:sz w:val="21"/>
                      <w:szCs w:val="21"/>
                      <w:lang w:val="en-US" w:eastAsia="zh-CN"/>
                    </w:rPr>
                    <w:t>噪声预测值/dB（A）</w:t>
                  </w:r>
                </w:p>
              </w:tc>
              <w:tc>
                <w:tcPr>
                  <w:tcW w:w="1027" w:type="dxa"/>
                  <w:gridSpan w:val="2"/>
                  <w:tcBorders>
                    <w:tl2br w:val="nil"/>
                    <w:tr2bl w:val="nil"/>
                  </w:tcBorders>
                  <w:vAlign w:val="center"/>
                </w:tcPr>
                <w:p w14:paraId="43F37D78">
                  <w:pPr>
                    <w:pStyle w:val="167"/>
                    <w:keepNext w:val="0"/>
                    <w:keepLines w:val="0"/>
                    <w:suppressLineNumbers w:val="0"/>
                    <w:bidi w:val="0"/>
                    <w:spacing w:before="0" w:beforeAutospacing="0" w:after="0" w:afterAutospacing="0"/>
                    <w:ind w:right="0"/>
                    <w:rPr>
                      <w:rFonts w:hint="default"/>
                      <w:color w:val="auto"/>
                      <w:sz w:val="21"/>
                      <w:szCs w:val="21"/>
                      <w:lang w:val="en-US" w:eastAsia="zh-CN"/>
                    </w:rPr>
                  </w:pPr>
                  <w:r>
                    <w:rPr>
                      <w:rFonts w:hint="eastAsia"/>
                      <w:color w:val="auto"/>
                      <w:sz w:val="21"/>
                      <w:szCs w:val="21"/>
                      <w:lang w:val="en-US" w:eastAsia="zh-CN"/>
                    </w:rPr>
                    <w:t>超标和达标情况</w:t>
                  </w:r>
                </w:p>
              </w:tc>
            </w:tr>
            <w:tr w14:paraId="3067FF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dxa"/>
                  <w:vMerge w:val="continue"/>
                  <w:tcBorders>
                    <w:tl2br w:val="nil"/>
                    <w:tr2bl w:val="nil"/>
                  </w:tcBorders>
                  <w:vAlign w:val="center"/>
                </w:tcPr>
                <w:p w14:paraId="06AB923E">
                  <w:pPr>
                    <w:pStyle w:val="167"/>
                    <w:keepNext w:val="0"/>
                    <w:keepLines w:val="0"/>
                    <w:suppressLineNumbers w:val="0"/>
                    <w:bidi w:val="0"/>
                    <w:spacing w:before="0" w:beforeAutospacing="0" w:after="0" w:afterAutospacing="0"/>
                    <w:ind w:right="0"/>
                    <w:rPr>
                      <w:rFonts w:hint="eastAsia"/>
                      <w:color w:val="auto"/>
                      <w:sz w:val="21"/>
                      <w:szCs w:val="21"/>
                      <w:lang w:val="en-US" w:eastAsia="zh-CN"/>
                    </w:rPr>
                  </w:pPr>
                </w:p>
              </w:tc>
              <w:tc>
                <w:tcPr>
                  <w:tcW w:w="846" w:type="dxa"/>
                  <w:vMerge w:val="continue"/>
                  <w:tcBorders>
                    <w:tl2br w:val="nil"/>
                    <w:tr2bl w:val="nil"/>
                  </w:tcBorders>
                  <w:vAlign w:val="center"/>
                </w:tcPr>
                <w:p w14:paraId="23359DE1">
                  <w:pPr>
                    <w:pStyle w:val="167"/>
                    <w:keepNext w:val="0"/>
                    <w:keepLines w:val="0"/>
                    <w:suppressLineNumbers w:val="0"/>
                    <w:bidi w:val="0"/>
                    <w:spacing w:before="0" w:beforeAutospacing="0" w:after="0" w:afterAutospacing="0"/>
                    <w:ind w:right="0"/>
                    <w:rPr>
                      <w:rFonts w:hint="eastAsia"/>
                      <w:color w:val="auto"/>
                      <w:sz w:val="21"/>
                      <w:szCs w:val="21"/>
                      <w:lang w:val="en-US" w:eastAsia="zh-CN"/>
                    </w:rPr>
                  </w:pPr>
                </w:p>
              </w:tc>
              <w:tc>
                <w:tcPr>
                  <w:tcW w:w="480" w:type="dxa"/>
                  <w:tcBorders>
                    <w:tl2br w:val="nil"/>
                    <w:tr2bl w:val="nil"/>
                  </w:tcBorders>
                  <w:vAlign w:val="center"/>
                </w:tcPr>
                <w:p w14:paraId="716BFDE4">
                  <w:pPr>
                    <w:pStyle w:val="167"/>
                    <w:keepNext w:val="0"/>
                    <w:keepLines w:val="0"/>
                    <w:suppressLineNumbers w:val="0"/>
                    <w:bidi w:val="0"/>
                    <w:spacing w:before="0" w:beforeAutospacing="0" w:after="0" w:afterAutospacing="0"/>
                    <w:ind w:right="0"/>
                    <w:rPr>
                      <w:rFonts w:hint="default"/>
                      <w:color w:val="auto"/>
                      <w:sz w:val="21"/>
                      <w:szCs w:val="21"/>
                      <w:lang w:val="en-US" w:eastAsia="zh-CN"/>
                    </w:rPr>
                  </w:pPr>
                  <w:r>
                    <w:rPr>
                      <w:rFonts w:hint="eastAsia"/>
                      <w:color w:val="auto"/>
                      <w:sz w:val="21"/>
                      <w:szCs w:val="21"/>
                      <w:lang w:val="en-US" w:eastAsia="zh-CN"/>
                    </w:rPr>
                    <w:t>昼间</w:t>
                  </w:r>
                </w:p>
              </w:tc>
              <w:tc>
                <w:tcPr>
                  <w:tcW w:w="564" w:type="dxa"/>
                  <w:tcBorders>
                    <w:tl2br w:val="nil"/>
                    <w:tr2bl w:val="nil"/>
                  </w:tcBorders>
                  <w:vAlign w:val="center"/>
                </w:tcPr>
                <w:p w14:paraId="21AC7424">
                  <w:pPr>
                    <w:pStyle w:val="167"/>
                    <w:keepNext w:val="0"/>
                    <w:keepLines w:val="0"/>
                    <w:suppressLineNumbers w:val="0"/>
                    <w:bidi w:val="0"/>
                    <w:spacing w:before="0" w:beforeAutospacing="0" w:after="0" w:afterAutospacing="0"/>
                    <w:ind w:right="0"/>
                    <w:rPr>
                      <w:rFonts w:hint="default"/>
                      <w:color w:val="auto"/>
                      <w:sz w:val="21"/>
                      <w:szCs w:val="21"/>
                      <w:lang w:val="en-US" w:eastAsia="zh-CN"/>
                    </w:rPr>
                  </w:pPr>
                  <w:r>
                    <w:rPr>
                      <w:rFonts w:hint="eastAsia"/>
                      <w:color w:val="auto"/>
                      <w:sz w:val="21"/>
                      <w:szCs w:val="21"/>
                      <w:lang w:val="en-US" w:eastAsia="zh-CN"/>
                    </w:rPr>
                    <w:t>夜间</w:t>
                  </w:r>
                </w:p>
              </w:tc>
              <w:tc>
                <w:tcPr>
                  <w:tcW w:w="564" w:type="dxa"/>
                  <w:tcBorders>
                    <w:tl2br w:val="nil"/>
                    <w:tr2bl w:val="nil"/>
                  </w:tcBorders>
                  <w:vAlign w:val="center"/>
                </w:tcPr>
                <w:p w14:paraId="53B9F002">
                  <w:pPr>
                    <w:pStyle w:val="167"/>
                    <w:keepNext w:val="0"/>
                    <w:keepLines w:val="0"/>
                    <w:suppressLineNumbers w:val="0"/>
                    <w:bidi w:val="0"/>
                    <w:spacing w:before="0" w:beforeAutospacing="0" w:after="0" w:afterAutospacing="0"/>
                    <w:ind w:right="0"/>
                    <w:rPr>
                      <w:rFonts w:hint="eastAsia"/>
                      <w:color w:val="auto"/>
                      <w:sz w:val="21"/>
                      <w:szCs w:val="21"/>
                      <w:lang w:val="en-US" w:eastAsia="zh-CN"/>
                    </w:rPr>
                  </w:pPr>
                  <w:r>
                    <w:rPr>
                      <w:rFonts w:hint="eastAsia"/>
                      <w:color w:val="auto"/>
                      <w:sz w:val="21"/>
                      <w:szCs w:val="21"/>
                      <w:lang w:val="en-US" w:eastAsia="zh-CN"/>
                    </w:rPr>
                    <w:t>昼间</w:t>
                  </w:r>
                </w:p>
              </w:tc>
              <w:tc>
                <w:tcPr>
                  <w:tcW w:w="490" w:type="dxa"/>
                  <w:tcBorders>
                    <w:tl2br w:val="nil"/>
                    <w:tr2bl w:val="nil"/>
                  </w:tcBorders>
                  <w:vAlign w:val="center"/>
                </w:tcPr>
                <w:p w14:paraId="0A623B93">
                  <w:pPr>
                    <w:pStyle w:val="167"/>
                    <w:keepNext w:val="0"/>
                    <w:keepLines w:val="0"/>
                    <w:suppressLineNumbers w:val="0"/>
                    <w:bidi w:val="0"/>
                    <w:spacing w:before="0" w:beforeAutospacing="0" w:after="0" w:afterAutospacing="0"/>
                    <w:ind w:right="0"/>
                    <w:rPr>
                      <w:rFonts w:hint="eastAsia"/>
                      <w:color w:val="auto"/>
                      <w:sz w:val="21"/>
                      <w:szCs w:val="21"/>
                      <w:lang w:val="en-US" w:eastAsia="zh-CN"/>
                    </w:rPr>
                  </w:pPr>
                  <w:r>
                    <w:rPr>
                      <w:rFonts w:hint="eastAsia"/>
                      <w:color w:val="auto"/>
                      <w:sz w:val="21"/>
                      <w:szCs w:val="21"/>
                      <w:lang w:val="en-US" w:eastAsia="zh-CN"/>
                    </w:rPr>
                    <w:t>夜间</w:t>
                  </w:r>
                </w:p>
              </w:tc>
              <w:tc>
                <w:tcPr>
                  <w:tcW w:w="546" w:type="dxa"/>
                  <w:tcBorders>
                    <w:tl2br w:val="nil"/>
                    <w:tr2bl w:val="nil"/>
                  </w:tcBorders>
                  <w:vAlign w:val="center"/>
                </w:tcPr>
                <w:p w14:paraId="7F096609">
                  <w:pPr>
                    <w:pStyle w:val="167"/>
                    <w:keepNext w:val="0"/>
                    <w:keepLines w:val="0"/>
                    <w:suppressLineNumbers w:val="0"/>
                    <w:bidi w:val="0"/>
                    <w:spacing w:before="0" w:beforeAutospacing="0" w:after="0" w:afterAutospacing="0"/>
                    <w:ind w:right="0"/>
                    <w:rPr>
                      <w:rFonts w:hint="eastAsia"/>
                      <w:color w:val="auto"/>
                      <w:sz w:val="21"/>
                      <w:szCs w:val="21"/>
                      <w:lang w:val="en-US" w:eastAsia="zh-CN"/>
                    </w:rPr>
                  </w:pPr>
                  <w:r>
                    <w:rPr>
                      <w:rFonts w:hint="eastAsia"/>
                      <w:color w:val="auto"/>
                      <w:sz w:val="21"/>
                      <w:szCs w:val="21"/>
                      <w:lang w:val="en-US" w:eastAsia="zh-CN"/>
                    </w:rPr>
                    <w:t>昼间</w:t>
                  </w:r>
                </w:p>
              </w:tc>
              <w:tc>
                <w:tcPr>
                  <w:tcW w:w="493" w:type="dxa"/>
                  <w:tcBorders>
                    <w:tl2br w:val="nil"/>
                    <w:tr2bl w:val="nil"/>
                  </w:tcBorders>
                  <w:vAlign w:val="center"/>
                </w:tcPr>
                <w:p w14:paraId="6B2ED38A">
                  <w:pPr>
                    <w:pStyle w:val="167"/>
                    <w:keepNext w:val="0"/>
                    <w:keepLines w:val="0"/>
                    <w:suppressLineNumbers w:val="0"/>
                    <w:bidi w:val="0"/>
                    <w:spacing w:before="0" w:beforeAutospacing="0" w:after="0" w:afterAutospacing="0"/>
                    <w:ind w:right="0"/>
                    <w:rPr>
                      <w:rFonts w:hint="eastAsia"/>
                      <w:color w:val="auto"/>
                      <w:sz w:val="21"/>
                      <w:szCs w:val="21"/>
                      <w:lang w:val="en-US" w:eastAsia="zh-CN"/>
                    </w:rPr>
                  </w:pPr>
                  <w:r>
                    <w:rPr>
                      <w:rFonts w:hint="eastAsia"/>
                      <w:color w:val="auto"/>
                      <w:sz w:val="21"/>
                      <w:szCs w:val="21"/>
                      <w:lang w:val="en-US" w:eastAsia="zh-CN"/>
                    </w:rPr>
                    <w:t>夜间</w:t>
                  </w:r>
                </w:p>
              </w:tc>
              <w:tc>
                <w:tcPr>
                  <w:tcW w:w="729" w:type="dxa"/>
                  <w:tcBorders>
                    <w:tl2br w:val="nil"/>
                    <w:tr2bl w:val="nil"/>
                  </w:tcBorders>
                  <w:vAlign w:val="center"/>
                </w:tcPr>
                <w:p w14:paraId="406C3E7F">
                  <w:pPr>
                    <w:pStyle w:val="167"/>
                    <w:keepNext w:val="0"/>
                    <w:keepLines w:val="0"/>
                    <w:suppressLineNumbers w:val="0"/>
                    <w:bidi w:val="0"/>
                    <w:spacing w:before="0" w:beforeAutospacing="0" w:after="0" w:afterAutospacing="0"/>
                    <w:ind w:right="0"/>
                    <w:rPr>
                      <w:rFonts w:hint="default"/>
                      <w:color w:val="auto"/>
                      <w:sz w:val="21"/>
                      <w:szCs w:val="21"/>
                      <w:lang w:val="en-US" w:eastAsia="zh-CN"/>
                    </w:rPr>
                  </w:pPr>
                  <w:r>
                    <w:rPr>
                      <w:rFonts w:hint="eastAsia"/>
                      <w:color w:val="auto"/>
                      <w:sz w:val="21"/>
                      <w:szCs w:val="21"/>
                      <w:lang w:val="en-US" w:eastAsia="zh-CN"/>
                    </w:rPr>
                    <w:t>昼间</w:t>
                  </w:r>
                </w:p>
              </w:tc>
              <w:tc>
                <w:tcPr>
                  <w:tcW w:w="561" w:type="dxa"/>
                  <w:tcBorders>
                    <w:tl2br w:val="nil"/>
                    <w:tr2bl w:val="nil"/>
                  </w:tcBorders>
                  <w:vAlign w:val="center"/>
                </w:tcPr>
                <w:p w14:paraId="6EE63F3D">
                  <w:pPr>
                    <w:pStyle w:val="167"/>
                    <w:keepNext w:val="0"/>
                    <w:keepLines w:val="0"/>
                    <w:suppressLineNumbers w:val="0"/>
                    <w:bidi w:val="0"/>
                    <w:spacing w:before="0" w:beforeAutospacing="0" w:after="0" w:afterAutospacing="0"/>
                    <w:ind w:right="0"/>
                    <w:rPr>
                      <w:rFonts w:hint="default"/>
                      <w:color w:val="auto"/>
                      <w:sz w:val="21"/>
                      <w:szCs w:val="21"/>
                      <w:lang w:val="en-US" w:eastAsia="zh-CN"/>
                    </w:rPr>
                  </w:pPr>
                  <w:r>
                    <w:rPr>
                      <w:rFonts w:hint="eastAsia"/>
                      <w:color w:val="auto"/>
                      <w:sz w:val="21"/>
                      <w:szCs w:val="21"/>
                      <w:lang w:val="en-US" w:eastAsia="zh-CN"/>
                    </w:rPr>
                    <w:t>夜间</w:t>
                  </w:r>
                </w:p>
              </w:tc>
              <w:tc>
                <w:tcPr>
                  <w:tcW w:w="570" w:type="dxa"/>
                  <w:tcBorders>
                    <w:tl2br w:val="nil"/>
                    <w:tr2bl w:val="nil"/>
                  </w:tcBorders>
                  <w:vAlign w:val="center"/>
                </w:tcPr>
                <w:p w14:paraId="6BED0EE4">
                  <w:pPr>
                    <w:pStyle w:val="167"/>
                    <w:keepNext w:val="0"/>
                    <w:keepLines w:val="0"/>
                    <w:suppressLineNumbers w:val="0"/>
                    <w:bidi w:val="0"/>
                    <w:spacing w:before="0" w:beforeAutospacing="0" w:after="0" w:afterAutospacing="0"/>
                    <w:ind w:right="0"/>
                    <w:rPr>
                      <w:rFonts w:hint="default"/>
                      <w:color w:val="auto"/>
                      <w:sz w:val="21"/>
                      <w:szCs w:val="21"/>
                      <w:lang w:val="en-US" w:eastAsia="zh-CN"/>
                    </w:rPr>
                  </w:pPr>
                  <w:r>
                    <w:rPr>
                      <w:rFonts w:hint="eastAsia"/>
                      <w:color w:val="auto"/>
                      <w:sz w:val="21"/>
                      <w:szCs w:val="21"/>
                      <w:lang w:val="en-US" w:eastAsia="zh-CN"/>
                    </w:rPr>
                    <w:t>昼间</w:t>
                  </w:r>
                </w:p>
              </w:tc>
              <w:tc>
                <w:tcPr>
                  <w:tcW w:w="650" w:type="dxa"/>
                  <w:tcBorders>
                    <w:tl2br w:val="nil"/>
                    <w:tr2bl w:val="nil"/>
                  </w:tcBorders>
                  <w:vAlign w:val="center"/>
                </w:tcPr>
                <w:p w14:paraId="79DA4D03">
                  <w:pPr>
                    <w:pStyle w:val="167"/>
                    <w:keepNext w:val="0"/>
                    <w:keepLines w:val="0"/>
                    <w:suppressLineNumbers w:val="0"/>
                    <w:bidi w:val="0"/>
                    <w:spacing w:before="0" w:beforeAutospacing="0" w:after="0" w:afterAutospacing="0"/>
                    <w:ind w:right="0"/>
                    <w:rPr>
                      <w:rFonts w:hint="default"/>
                      <w:color w:val="auto"/>
                      <w:sz w:val="21"/>
                      <w:szCs w:val="21"/>
                      <w:lang w:val="en-US" w:eastAsia="zh-CN"/>
                    </w:rPr>
                  </w:pPr>
                  <w:r>
                    <w:rPr>
                      <w:rFonts w:hint="eastAsia"/>
                      <w:color w:val="auto"/>
                      <w:sz w:val="21"/>
                      <w:szCs w:val="21"/>
                      <w:lang w:val="en-US" w:eastAsia="zh-CN"/>
                    </w:rPr>
                    <w:t>夜间</w:t>
                  </w:r>
                </w:p>
              </w:tc>
              <w:tc>
                <w:tcPr>
                  <w:tcW w:w="546" w:type="dxa"/>
                  <w:tcBorders>
                    <w:tl2br w:val="nil"/>
                    <w:tr2bl w:val="nil"/>
                  </w:tcBorders>
                  <w:vAlign w:val="center"/>
                </w:tcPr>
                <w:p w14:paraId="2F8F7E5A">
                  <w:pPr>
                    <w:pStyle w:val="167"/>
                    <w:keepNext w:val="0"/>
                    <w:keepLines w:val="0"/>
                    <w:suppressLineNumbers w:val="0"/>
                    <w:bidi w:val="0"/>
                    <w:spacing w:before="0" w:beforeAutospacing="0" w:after="0" w:afterAutospacing="0"/>
                    <w:ind w:right="0"/>
                    <w:rPr>
                      <w:rFonts w:hint="default"/>
                      <w:color w:val="auto"/>
                      <w:sz w:val="21"/>
                      <w:szCs w:val="21"/>
                      <w:lang w:val="en-US" w:eastAsia="zh-CN"/>
                    </w:rPr>
                  </w:pPr>
                  <w:r>
                    <w:rPr>
                      <w:rFonts w:hint="eastAsia"/>
                      <w:color w:val="auto"/>
                      <w:sz w:val="21"/>
                      <w:szCs w:val="21"/>
                      <w:lang w:val="en-US" w:eastAsia="zh-CN"/>
                    </w:rPr>
                    <w:t>昼间</w:t>
                  </w:r>
                </w:p>
              </w:tc>
              <w:tc>
                <w:tcPr>
                  <w:tcW w:w="481" w:type="dxa"/>
                  <w:tcBorders>
                    <w:tl2br w:val="nil"/>
                    <w:tr2bl w:val="nil"/>
                  </w:tcBorders>
                  <w:vAlign w:val="center"/>
                </w:tcPr>
                <w:p w14:paraId="3804E8F3">
                  <w:pPr>
                    <w:pStyle w:val="167"/>
                    <w:keepNext w:val="0"/>
                    <w:keepLines w:val="0"/>
                    <w:suppressLineNumbers w:val="0"/>
                    <w:bidi w:val="0"/>
                    <w:spacing w:before="0" w:beforeAutospacing="0" w:after="0" w:afterAutospacing="0"/>
                    <w:ind w:right="0"/>
                    <w:rPr>
                      <w:rFonts w:hint="default"/>
                      <w:color w:val="auto"/>
                      <w:sz w:val="21"/>
                      <w:szCs w:val="21"/>
                      <w:lang w:val="en-US" w:eastAsia="zh-CN"/>
                    </w:rPr>
                  </w:pPr>
                  <w:r>
                    <w:rPr>
                      <w:rFonts w:hint="eastAsia"/>
                      <w:color w:val="auto"/>
                      <w:sz w:val="21"/>
                      <w:szCs w:val="21"/>
                      <w:lang w:val="en-US" w:eastAsia="zh-CN"/>
                    </w:rPr>
                    <w:t>夜间</w:t>
                  </w:r>
                </w:p>
              </w:tc>
            </w:tr>
            <w:tr w14:paraId="610205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dxa"/>
                  <w:tcBorders>
                    <w:tl2br w:val="nil"/>
                    <w:tr2bl w:val="nil"/>
                  </w:tcBorders>
                  <w:vAlign w:val="center"/>
                </w:tcPr>
                <w:p w14:paraId="2F8C79E5">
                  <w:pPr>
                    <w:pStyle w:val="167"/>
                    <w:keepNext w:val="0"/>
                    <w:keepLines w:val="0"/>
                    <w:suppressLineNumbers w:val="0"/>
                    <w:bidi w:val="0"/>
                    <w:spacing w:before="0" w:beforeAutospacing="0" w:after="0" w:afterAutospacing="0"/>
                    <w:ind w:right="0"/>
                    <w:rPr>
                      <w:rFonts w:hint="default"/>
                      <w:color w:val="auto"/>
                      <w:sz w:val="21"/>
                      <w:szCs w:val="21"/>
                      <w:lang w:val="en-US" w:eastAsia="zh-CN"/>
                    </w:rPr>
                  </w:pPr>
                  <w:r>
                    <w:rPr>
                      <w:rFonts w:hint="eastAsia"/>
                      <w:color w:val="auto"/>
                      <w:sz w:val="21"/>
                      <w:szCs w:val="21"/>
                      <w:lang w:val="en-US" w:eastAsia="zh-CN"/>
                    </w:rPr>
                    <w:t>1</w:t>
                  </w:r>
                </w:p>
              </w:tc>
              <w:tc>
                <w:tcPr>
                  <w:tcW w:w="846" w:type="dxa"/>
                  <w:tcBorders>
                    <w:tl2br w:val="nil"/>
                    <w:tr2bl w:val="nil"/>
                  </w:tcBorders>
                  <w:shd w:val="clear" w:color="auto" w:fill="auto"/>
                  <w:vAlign w:val="center"/>
                </w:tcPr>
                <w:p w14:paraId="18340383">
                  <w:pPr>
                    <w:pStyle w:val="167"/>
                    <w:keepNext w:val="0"/>
                    <w:keepLines w:val="0"/>
                    <w:suppressLineNumbers w:val="0"/>
                    <w:bidi w:val="0"/>
                    <w:spacing w:before="0" w:beforeAutospacing="0" w:after="0" w:afterAutospacing="0"/>
                    <w:ind w:right="0"/>
                    <w:rPr>
                      <w:rFonts w:hint="default"/>
                      <w:color w:val="auto"/>
                      <w:sz w:val="21"/>
                      <w:szCs w:val="21"/>
                      <w:highlight w:val="none"/>
                      <w:lang w:val="en-US" w:eastAsia="zh-CN"/>
                    </w:rPr>
                  </w:pPr>
                  <w:r>
                    <w:rPr>
                      <w:rFonts w:hint="eastAsia" w:ascii="Times New Roman" w:hAnsi="Times New Roman" w:eastAsia="宋体" w:cs="Times New Roman"/>
                      <w:color w:val="auto"/>
                      <w:kern w:val="0"/>
                      <w:sz w:val="21"/>
                      <w:szCs w:val="21"/>
                      <w:lang w:val="en-US" w:eastAsia="zh-CN"/>
                    </w:rPr>
                    <w:t>耕农村</w:t>
                  </w:r>
                </w:p>
              </w:tc>
              <w:tc>
                <w:tcPr>
                  <w:tcW w:w="480" w:type="dxa"/>
                  <w:tcBorders>
                    <w:tl2br w:val="nil"/>
                    <w:tr2bl w:val="nil"/>
                  </w:tcBorders>
                  <w:vAlign w:val="center"/>
                </w:tcPr>
                <w:p w14:paraId="35B7B8C0">
                  <w:pPr>
                    <w:pStyle w:val="167"/>
                    <w:keepNext w:val="0"/>
                    <w:keepLines w:val="0"/>
                    <w:suppressLineNumbers w:val="0"/>
                    <w:bidi w:val="0"/>
                    <w:spacing w:before="0" w:beforeAutospacing="0" w:after="0" w:afterAutospacing="0"/>
                    <w:ind w:left="0" w:leftChars="0" w:right="0"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564" w:type="dxa"/>
                  <w:tcBorders>
                    <w:tl2br w:val="nil"/>
                    <w:tr2bl w:val="nil"/>
                  </w:tcBorders>
                  <w:vAlign w:val="center"/>
                </w:tcPr>
                <w:p w14:paraId="0DDF5F1A">
                  <w:pPr>
                    <w:pStyle w:val="167"/>
                    <w:keepNext w:val="0"/>
                    <w:keepLines w:val="0"/>
                    <w:suppressLineNumbers w:val="0"/>
                    <w:bidi w:val="0"/>
                    <w:spacing w:before="0" w:beforeAutospacing="0" w:after="0" w:afterAutospacing="0"/>
                    <w:ind w:left="0" w:leftChars="0" w:right="0"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564" w:type="dxa"/>
                  <w:tcBorders>
                    <w:tl2br w:val="nil"/>
                    <w:tr2bl w:val="nil"/>
                  </w:tcBorders>
                  <w:vAlign w:val="center"/>
                </w:tcPr>
                <w:p w14:paraId="5F144339">
                  <w:pPr>
                    <w:pStyle w:val="167"/>
                    <w:keepNext w:val="0"/>
                    <w:keepLines w:val="0"/>
                    <w:suppressLineNumbers w:val="0"/>
                    <w:bidi w:val="0"/>
                    <w:spacing w:before="0" w:beforeAutospacing="0" w:after="0" w:afterAutospacing="0"/>
                    <w:ind w:right="0"/>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490" w:type="dxa"/>
                  <w:tcBorders>
                    <w:tl2br w:val="nil"/>
                    <w:tr2bl w:val="nil"/>
                  </w:tcBorders>
                  <w:vAlign w:val="center"/>
                </w:tcPr>
                <w:p w14:paraId="4A5ED703">
                  <w:pPr>
                    <w:pStyle w:val="167"/>
                    <w:keepNext w:val="0"/>
                    <w:keepLines w:val="0"/>
                    <w:suppressLineNumbers w:val="0"/>
                    <w:bidi w:val="0"/>
                    <w:spacing w:before="0" w:beforeAutospacing="0" w:after="0" w:afterAutospacing="0"/>
                    <w:ind w:right="0"/>
                    <w:rPr>
                      <w:rFonts w:hint="default"/>
                      <w:color w:val="auto"/>
                      <w:sz w:val="21"/>
                      <w:szCs w:val="21"/>
                      <w:highlight w:val="none"/>
                      <w:lang w:val="en-US" w:eastAsia="zh-CN"/>
                    </w:rPr>
                  </w:pPr>
                  <w:r>
                    <w:rPr>
                      <w:rFonts w:hint="eastAsia"/>
                      <w:color w:val="auto"/>
                      <w:sz w:val="21"/>
                      <w:szCs w:val="21"/>
                      <w:highlight w:val="none"/>
                      <w:lang w:val="en-US" w:eastAsia="zh-CN"/>
                    </w:rPr>
                    <w:t>46</w:t>
                  </w:r>
                </w:p>
              </w:tc>
              <w:tc>
                <w:tcPr>
                  <w:tcW w:w="546" w:type="dxa"/>
                  <w:tcBorders>
                    <w:tl2br w:val="nil"/>
                    <w:tr2bl w:val="nil"/>
                  </w:tcBorders>
                  <w:vAlign w:val="center"/>
                </w:tcPr>
                <w:p w14:paraId="491D8FCF">
                  <w:pPr>
                    <w:pStyle w:val="167"/>
                    <w:keepNext w:val="0"/>
                    <w:keepLines w:val="0"/>
                    <w:suppressLineNumbers w:val="0"/>
                    <w:bidi w:val="0"/>
                    <w:spacing w:before="0" w:beforeAutospacing="0" w:after="0" w:afterAutospacing="0"/>
                    <w:ind w:left="0" w:leftChars="0" w:right="0"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60</w:t>
                  </w:r>
                </w:p>
              </w:tc>
              <w:tc>
                <w:tcPr>
                  <w:tcW w:w="493" w:type="dxa"/>
                  <w:tcBorders>
                    <w:tl2br w:val="nil"/>
                    <w:tr2bl w:val="nil"/>
                  </w:tcBorders>
                  <w:vAlign w:val="center"/>
                </w:tcPr>
                <w:p w14:paraId="6859241B">
                  <w:pPr>
                    <w:pStyle w:val="167"/>
                    <w:keepNext w:val="0"/>
                    <w:keepLines w:val="0"/>
                    <w:suppressLineNumbers w:val="0"/>
                    <w:bidi w:val="0"/>
                    <w:spacing w:before="0" w:beforeAutospacing="0" w:after="0" w:afterAutospacing="0"/>
                    <w:ind w:left="0" w:leftChars="0" w:right="0"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50</w:t>
                  </w:r>
                </w:p>
              </w:tc>
              <w:tc>
                <w:tcPr>
                  <w:tcW w:w="729" w:type="dxa"/>
                  <w:tcBorders>
                    <w:tl2br w:val="nil"/>
                    <w:tr2bl w:val="nil"/>
                  </w:tcBorders>
                  <w:vAlign w:val="center"/>
                </w:tcPr>
                <w:p w14:paraId="60B4EFB6">
                  <w:pPr>
                    <w:pStyle w:val="148"/>
                    <w:keepNext w:val="0"/>
                    <w:keepLines w:val="0"/>
                    <w:suppressLineNumbers w:val="0"/>
                    <w:bidi w:val="0"/>
                    <w:spacing w:before="0" w:beforeAutospacing="0" w:after="0" w:afterAutospacing="0" w:line="240" w:lineRule="auto"/>
                    <w:ind w:left="0" w:right="0"/>
                    <w:rPr>
                      <w:rFonts w:hint="default"/>
                      <w:color w:val="auto"/>
                      <w:sz w:val="21"/>
                      <w:szCs w:val="21"/>
                      <w:highlight w:val="none"/>
                      <w:lang w:val="en-US" w:eastAsia="zh-CN"/>
                    </w:rPr>
                  </w:pPr>
                  <w:r>
                    <w:rPr>
                      <w:rFonts w:hint="eastAsia" w:ascii="Times New Roman" w:hAnsi="Times New Roman" w:cs="Times New Roman"/>
                      <w:color w:val="auto"/>
                      <w:sz w:val="21"/>
                      <w:szCs w:val="21"/>
                      <w:lang w:val="en-US" w:eastAsia="zh-CN"/>
                    </w:rPr>
                    <w:t>43</w:t>
                  </w:r>
                </w:p>
              </w:tc>
              <w:tc>
                <w:tcPr>
                  <w:tcW w:w="561" w:type="dxa"/>
                  <w:tcBorders>
                    <w:tl2br w:val="nil"/>
                    <w:tr2bl w:val="nil"/>
                  </w:tcBorders>
                  <w:vAlign w:val="center"/>
                </w:tcPr>
                <w:p w14:paraId="500A85A5">
                  <w:pPr>
                    <w:pStyle w:val="148"/>
                    <w:keepNext w:val="0"/>
                    <w:keepLines w:val="0"/>
                    <w:suppressLineNumbers w:val="0"/>
                    <w:bidi w:val="0"/>
                    <w:spacing w:before="0" w:beforeAutospacing="0" w:after="0" w:afterAutospacing="0" w:line="240" w:lineRule="auto"/>
                    <w:ind w:left="0" w:right="0"/>
                    <w:rPr>
                      <w:rFonts w:hint="default"/>
                      <w:color w:val="auto"/>
                      <w:sz w:val="21"/>
                      <w:szCs w:val="21"/>
                      <w:highlight w:val="none"/>
                      <w:lang w:val="en-US" w:eastAsia="zh-CN"/>
                    </w:rPr>
                  </w:pPr>
                  <w:r>
                    <w:rPr>
                      <w:rFonts w:hint="eastAsia" w:ascii="Times New Roman" w:hAnsi="Times New Roman" w:cs="Times New Roman"/>
                      <w:color w:val="auto"/>
                      <w:sz w:val="21"/>
                      <w:szCs w:val="21"/>
                      <w:lang w:val="en-US" w:eastAsia="zh-CN"/>
                    </w:rPr>
                    <w:t>43</w:t>
                  </w:r>
                </w:p>
              </w:tc>
              <w:tc>
                <w:tcPr>
                  <w:tcW w:w="570" w:type="dxa"/>
                  <w:tcBorders>
                    <w:tl2br w:val="nil"/>
                    <w:tr2bl w:val="nil"/>
                  </w:tcBorders>
                  <w:vAlign w:val="center"/>
                </w:tcPr>
                <w:p w14:paraId="2E7F96C8">
                  <w:pPr>
                    <w:pStyle w:val="167"/>
                    <w:keepNext w:val="0"/>
                    <w:keepLines w:val="0"/>
                    <w:suppressLineNumbers w:val="0"/>
                    <w:bidi w:val="0"/>
                    <w:spacing w:before="0" w:beforeAutospacing="0" w:after="0" w:afterAutospacing="0"/>
                    <w:ind w:right="0"/>
                    <w:rPr>
                      <w:rFonts w:hint="default"/>
                      <w:color w:val="auto"/>
                      <w:sz w:val="21"/>
                      <w:szCs w:val="21"/>
                      <w:highlight w:val="none"/>
                      <w:lang w:val="en-US" w:eastAsia="zh-CN"/>
                    </w:rPr>
                  </w:pPr>
                  <w:r>
                    <w:rPr>
                      <w:rFonts w:hint="eastAsia"/>
                      <w:color w:val="auto"/>
                      <w:sz w:val="21"/>
                      <w:szCs w:val="21"/>
                      <w:highlight w:val="none"/>
                      <w:lang w:val="en-US" w:eastAsia="zh-CN"/>
                    </w:rPr>
                    <w:t>47.91</w:t>
                  </w:r>
                </w:p>
              </w:tc>
              <w:tc>
                <w:tcPr>
                  <w:tcW w:w="650" w:type="dxa"/>
                  <w:tcBorders>
                    <w:tl2br w:val="nil"/>
                    <w:tr2bl w:val="nil"/>
                  </w:tcBorders>
                  <w:vAlign w:val="center"/>
                </w:tcPr>
                <w:p w14:paraId="4A32DEEE">
                  <w:pPr>
                    <w:pStyle w:val="167"/>
                    <w:keepNext w:val="0"/>
                    <w:keepLines w:val="0"/>
                    <w:suppressLineNumbers w:val="0"/>
                    <w:bidi w:val="0"/>
                    <w:spacing w:before="0" w:beforeAutospacing="0" w:after="0" w:afterAutospacing="0"/>
                    <w:ind w:right="0"/>
                    <w:rPr>
                      <w:rFonts w:hint="default"/>
                      <w:color w:val="auto"/>
                      <w:sz w:val="21"/>
                      <w:szCs w:val="21"/>
                      <w:highlight w:val="none"/>
                      <w:lang w:val="en-US" w:eastAsia="zh-CN"/>
                    </w:rPr>
                  </w:pPr>
                  <w:r>
                    <w:rPr>
                      <w:rFonts w:hint="eastAsia"/>
                      <w:color w:val="auto"/>
                      <w:sz w:val="21"/>
                      <w:szCs w:val="21"/>
                      <w:highlight w:val="none"/>
                      <w:lang w:val="en-US" w:eastAsia="zh-CN"/>
                    </w:rPr>
                    <w:t>43.01</w:t>
                  </w:r>
                </w:p>
              </w:tc>
              <w:tc>
                <w:tcPr>
                  <w:tcW w:w="546" w:type="dxa"/>
                  <w:tcBorders>
                    <w:tl2br w:val="nil"/>
                    <w:tr2bl w:val="nil"/>
                  </w:tcBorders>
                  <w:vAlign w:val="center"/>
                </w:tcPr>
                <w:p w14:paraId="74B9AA2D">
                  <w:pPr>
                    <w:pStyle w:val="167"/>
                    <w:keepNext w:val="0"/>
                    <w:keepLines w:val="0"/>
                    <w:suppressLineNumbers w:val="0"/>
                    <w:bidi w:val="0"/>
                    <w:spacing w:before="0" w:beforeAutospacing="0" w:after="0" w:afterAutospacing="0"/>
                    <w:ind w:left="0" w:leftChars="0" w:right="0"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达标</w:t>
                  </w:r>
                </w:p>
              </w:tc>
              <w:tc>
                <w:tcPr>
                  <w:tcW w:w="481" w:type="dxa"/>
                  <w:tcBorders>
                    <w:tl2br w:val="nil"/>
                    <w:tr2bl w:val="nil"/>
                  </w:tcBorders>
                  <w:vAlign w:val="center"/>
                </w:tcPr>
                <w:p w14:paraId="69AC82D2">
                  <w:pPr>
                    <w:pStyle w:val="167"/>
                    <w:keepNext w:val="0"/>
                    <w:keepLines w:val="0"/>
                    <w:suppressLineNumbers w:val="0"/>
                    <w:bidi w:val="0"/>
                    <w:spacing w:before="0" w:beforeAutospacing="0" w:after="0" w:afterAutospacing="0"/>
                    <w:ind w:left="0" w:leftChars="0" w:right="0"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达标</w:t>
                  </w:r>
                </w:p>
              </w:tc>
            </w:tr>
          </w:tbl>
          <w:p w14:paraId="6EC0AC16">
            <w:pPr>
              <w:keepNext w:val="0"/>
              <w:keepLines w:val="0"/>
              <w:widowControl/>
              <w:suppressLineNumbers w:val="0"/>
              <w:snapToGrid w:val="0"/>
              <w:spacing w:before="0" w:beforeAutospacing="0" w:after="0" w:afterAutospacing="0" w:line="360" w:lineRule="auto"/>
              <w:ind w:left="0" w:right="0" w:firstLine="480" w:firstLineChars="200"/>
              <w:jc w:val="left"/>
              <w:rPr>
                <w:rFonts w:hint="default"/>
                <w:color w:val="auto"/>
                <w:sz w:val="24"/>
                <w:szCs w:val="24"/>
              </w:rPr>
            </w:pPr>
            <w:r>
              <w:rPr>
                <w:rFonts w:hint="eastAsia" w:ascii="Times New Roman" w:hAnsi="Times New Roman" w:eastAsia="宋体" w:cs="Times New Roman"/>
                <w:color w:val="auto"/>
                <w:sz w:val="24"/>
                <w:szCs w:val="24"/>
                <w:lang w:val="en-US" w:eastAsia="zh-CN"/>
              </w:rPr>
              <w:t>本项目</w:t>
            </w:r>
            <w:r>
              <w:rPr>
                <w:rFonts w:hint="eastAsia" w:ascii="Times New Roman" w:hAnsi="Times New Roman" w:eastAsia="宋体" w:cs="Times New Roman"/>
                <w:color w:val="auto"/>
                <w:sz w:val="24"/>
                <w:szCs w:val="24"/>
              </w:rPr>
              <w:t>采取选用低噪声设备，通过厂房隔声、基础减振等措施，限制噪声向外传播。生产中产生的噪声通过厂房、厂区距离衰减后对外环境影响较小，厂界</w:t>
            </w:r>
            <w:r>
              <w:rPr>
                <w:rFonts w:hint="eastAsia" w:cs="Times New Roman"/>
                <w:color w:val="auto"/>
                <w:sz w:val="24"/>
                <w:szCs w:val="24"/>
                <w:highlight w:val="none"/>
                <w:lang w:val="en-US" w:eastAsia="zh-CN"/>
              </w:rPr>
              <w:t>西</w:t>
            </w:r>
            <w:r>
              <w:rPr>
                <w:rFonts w:hint="eastAsia" w:ascii="Times New Roman" w:hAnsi="Times New Roman" w:cs="Times New Roman"/>
                <w:color w:val="auto"/>
                <w:sz w:val="24"/>
                <w:szCs w:val="24"/>
                <w:highlight w:val="none"/>
                <w:lang w:val="en-US" w:eastAsia="zh-CN"/>
              </w:rPr>
              <w:t>、南、北侧</w:t>
            </w:r>
            <w:r>
              <w:rPr>
                <w:rFonts w:hint="eastAsia" w:ascii="Times New Roman" w:hAnsi="Times New Roman" w:eastAsia="宋体" w:cs="Times New Roman"/>
                <w:color w:val="auto"/>
                <w:sz w:val="24"/>
                <w:szCs w:val="24"/>
              </w:rPr>
              <w:t>噪声执行《工业企业厂界环境噪声排放标准》（GB12348-2008）表1中</w:t>
            </w: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rPr>
              <w:t>类标准</w:t>
            </w:r>
            <w:r>
              <w:rPr>
                <w:rFonts w:hint="eastAsia" w:cs="Times New Roman"/>
                <w:color w:val="auto"/>
                <w:sz w:val="24"/>
                <w:szCs w:val="24"/>
                <w:lang w:eastAsia="zh-CN"/>
              </w:rPr>
              <w:t>，</w:t>
            </w:r>
            <w:r>
              <w:rPr>
                <w:rFonts w:hint="eastAsia" w:ascii="Times New Roman" w:hAnsi="Times New Roman" w:cs="Times New Roman"/>
                <w:color w:val="auto"/>
                <w:sz w:val="24"/>
                <w:szCs w:val="24"/>
                <w:highlight w:val="none"/>
                <w:lang w:val="en-US" w:eastAsia="zh-CN"/>
              </w:rPr>
              <w:t>厂界东侧执行《工业企业厂界环境噪声排放标准》（GB 12348-2008）表1中4类标准要求。</w:t>
            </w:r>
            <w:r>
              <w:rPr>
                <w:rFonts w:hint="eastAsia"/>
                <w:color w:val="auto"/>
                <w:sz w:val="24"/>
                <w:szCs w:val="24"/>
              </w:rPr>
              <w:t>项目对周边声环境影响较小，不</w:t>
            </w:r>
            <w:r>
              <w:rPr>
                <w:rFonts w:hint="default"/>
                <w:color w:val="auto"/>
                <w:sz w:val="24"/>
                <w:szCs w:val="24"/>
              </w:rPr>
              <w:t>会对周围居民的正常生活造成明显不利影响。</w:t>
            </w:r>
          </w:p>
          <w:p w14:paraId="68F114BD">
            <w:pPr>
              <w:keepNext w:val="0"/>
              <w:keepLines w:val="0"/>
              <w:widowControl/>
              <w:suppressLineNumbers w:val="0"/>
              <w:snapToGrid w:val="0"/>
              <w:spacing w:before="0" w:beforeAutospacing="0" w:after="0" w:afterAutospacing="0" w:line="360" w:lineRule="auto"/>
              <w:ind w:left="0" w:right="0" w:firstLine="480" w:firstLineChars="200"/>
              <w:jc w:val="left"/>
              <w:rPr>
                <w:rFonts w:hint="default"/>
                <w:color w:val="auto"/>
                <w:kern w:val="0"/>
                <w:sz w:val="24"/>
              </w:rPr>
            </w:pPr>
            <w:r>
              <w:rPr>
                <w:rFonts w:hint="eastAsia"/>
                <w:color w:val="auto"/>
                <w:kern w:val="0"/>
                <w:sz w:val="24"/>
                <w:lang w:val="en-US" w:eastAsia="zh-CN"/>
              </w:rPr>
              <w:t>（3）</w:t>
            </w:r>
            <w:r>
              <w:rPr>
                <w:rFonts w:hint="eastAsia"/>
                <w:color w:val="auto"/>
                <w:kern w:val="0"/>
                <w:sz w:val="24"/>
              </w:rPr>
              <w:t>项目采取降噪措施</w:t>
            </w:r>
          </w:p>
          <w:p w14:paraId="4C880440">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本评价针对其影响采取以下降噪措施，具体如下：</w:t>
            </w:r>
          </w:p>
          <w:p w14:paraId="71905B30">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①</w:t>
            </w:r>
            <w:r>
              <w:rPr>
                <w:rFonts w:hint="eastAsia" w:ascii="宋体" w:hAnsi="宋体" w:eastAsia="宋体" w:cs="宋体"/>
                <w:color w:val="auto"/>
                <w:kern w:val="0"/>
                <w:sz w:val="24"/>
                <w:szCs w:val="24"/>
                <w:highlight w:val="none"/>
              </w:rPr>
              <w:t>降低噪声源，</w:t>
            </w:r>
            <w:r>
              <w:rPr>
                <w:rFonts w:hint="eastAsia" w:ascii="宋体" w:hAnsi="宋体" w:eastAsia="宋体" w:cs="宋体"/>
                <w:color w:val="auto"/>
                <w:kern w:val="0"/>
                <w:sz w:val="24"/>
                <w:szCs w:val="24"/>
                <w:highlight w:val="none"/>
                <w:lang w:eastAsia="zh-CN"/>
              </w:rPr>
              <w:t>已</w:t>
            </w:r>
            <w:r>
              <w:rPr>
                <w:rFonts w:hint="eastAsia" w:ascii="宋体" w:hAnsi="宋体" w:eastAsia="宋体" w:cs="宋体"/>
                <w:color w:val="auto"/>
                <w:kern w:val="0"/>
                <w:sz w:val="24"/>
                <w:szCs w:val="24"/>
                <w:highlight w:val="none"/>
              </w:rPr>
              <w:t>选用低噪声设备；</w:t>
            </w:r>
          </w:p>
          <w:p w14:paraId="7679F20E">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②已</w:t>
            </w:r>
            <w:r>
              <w:rPr>
                <w:rFonts w:hint="eastAsia" w:ascii="宋体" w:hAnsi="宋体" w:eastAsia="宋体" w:cs="宋体"/>
                <w:color w:val="auto"/>
                <w:kern w:val="0"/>
                <w:sz w:val="24"/>
                <w:szCs w:val="24"/>
                <w:highlight w:val="none"/>
              </w:rPr>
              <w:t>做好设备间的隔声、吸声措施；</w:t>
            </w:r>
          </w:p>
          <w:p w14:paraId="0F938D3C">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③</w:t>
            </w:r>
            <w:r>
              <w:rPr>
                <w:rFonts w:hint="eastAsia" w:ascii="宋体" w:hAnsi="宋体" w:eastAsia="宋体" w:cs="宋体"/>
                <w:color w:val="auto"/>
                <w:kern w:val="0"/>
                <w:sz w:val="24"/>
                <w:szCs w:val="24"/>
                <w:highlight w:val="none"/>
              </w:rPr>
              <w:t>在泵的进出口接管</w:t>
            </w:r>
            <w:r>
              <w:rPr>
                <w:rFonts w:hint="eastAsia" w:ascii="宋体" w:hAnsi="宋体" w:eastAsia="宋体" w:cs="宋体"/>
                <w:color w:val="auto"/>
                <w:kern w:val="0"/>
                <w:sz w:val="24"/>
                <w:szCs w:val="24"/>
                <w:highlight w:val="none"/>
                <w:lang w:eastAsia="zh-CN"/>
              </w:rPr>
              <w:t>已</w:t>
            </w:r>
            <w:r>
              <w:rPr>
                <w:rFonts w:hint="eastAsia" w:ascii="宋体" w:hAnsi="宋体" w:eastAsia="宋体" w:cs="宋体"/>
                <w:color w:val="auto"/>
                <w:kern w:val="0"/>
                <w:sz w:val="24"/>
                <w:szCs w:val="24"/>
                <w:highlight w:val="none"/>
              </w:rPr>
              <w:t>采用挠性连接和弹性连接，减少噪声传递；泵机组</w:t>
            </w:r>
            <w:r>
              <w:rPr>
                <w:rFonts w:hint="eastAsia" w:ascii="宋体" w:hAnsi="宋体" w:eastAsia="宋体" w:cs="宋体"/>
                <w:color w:val="auto"/>
                <w:kern w:val="0"/>
                <w:sz w:val="24"/>
                <w:szCs w:val="24"/>
                <w:highlight w:val="none"/>
                <w:lang w:eastAsia="zh-CN"/>
              </w:rPr>
              <w:t>已</w:t>
            </w:r>
            <w:r>
              <w:rPr>
                <w:rFonts w:hint="eastAsia" w:ascii="宋体" w:hAnsi="宋体" w:eastAsia="宋体" w:cs="宋体"/>
                <w:color w:val="auto"/>
                <w:kern w:val="0"/>
                <w:sz w:val="24"/>
                <w:szCs w:val="24"/>
                <w:highlight w:val="none"/>
              </w:rPr>
              <w:t>采用金属弹簧、橡胶减振器等隔振、减振处理；</w:t>
            </w:r>
          </w:p>
          <w:p w14:paraId="3D400BCD">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④运行时</w:t>
            </w:r>
            <w:r>
              <w:rPr>
                <w:rFonts w:hint="eastAsia" w:ascii="宋体" w:hAnsi="宋体" w:eastAsia="宋体" w:cs="宋体"/>
                <w:color w:val="auto"/>
                <w:kern w:val="0"/>
                <w:sz w:val="24"/>
                <w:szCs w:val="24"/>
                <w:highlight w:val="none"/>
              </w:rPr>
              <w:t>加强设备维护，确保项目运行中设备处于良好的运转状态，杜绝因设备不正常运转时产生的高噪声现象发生。</w:t>
            </w:r>
          </w:p>
          <w:p w14:paraId="14B2147B">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⑤</w:t>
            </w:r>
            <w:r>
              <w:rPr>
                <w:rFonts w:hint="eastAsia" w:ascii="宋体" w:hAnsi="宋体" w:eastAsia="宋体" w:cs="宋体"/>
                <w:color w:val="auto"/>
                <w:kern w:val="0"/>
                <w:sz w:val="24"/>
                <w:szCs w:val="24"/>
                <w:highlight w:val="none"/>
              </w:rPr>
              <w:t>调好风机的动平衡，减少震动噪声的产生；同时风机采取减振降噪措施，减少噪声的产生。</w:t>
            </w:r>
          </w:p>
          <w:p w14:paraId="6B6580A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本工程选用低噪声设备，经减振、消声、隔声处理等降噪措施后，</w:t>
            </w:r>
            <w:r>
              <w:rPr>
                <w:rFonts w:hint="eastAsia" w:ascii="Times New Roman" w:hAnsi="Times New Roman" w:eastAsia="宋体" w:cs="Times New Roman"/>
                <w:color w:val="auto"/>
                <w:sz w:val="24"/>
                <w:szCs w:val="24"/>
              </w:rPr>
              <w:t>厂界</w:t>
            </w:r>
            <w:r>
              <w:rPr>
                <w:rFonts w:hint="eastAsia" w:cs="Times New Roman"/>
                <w:color w:val="auto"/>
                <w:sz w:val="24"/>
                <w:szCs w:val="24"/>
                <w:highlight w:val="none"/>
                <w:lang w:val="en-US" w:eastAsia="zh-CN"/>
              </w:rPr>
              <w:t>西</w:t>
            </w:r>
            <w:r>
              <w:rPr>
                <w:rFonts w:hint="eastAsia" w:ascii="Times New Roman" w:hAnsi="Times New Roman" w:cs="Times New Roman"/>
                <w:color w:val="auto"/>
                <w:sz w:val="24"/>
                <w:szCs w:val="24"/>
                <w:highlight w:val="none"/>
                <w:lang w:val="en-US" w:eastAsia="zh-CN"/>
              </w:rPr>
              <w:t>、南、北侧</w:t>
            </w:r>
            <w:r>
              <w:rPr>
                <w:rFonts w:hint="eastAsia" w:ascii="Times New Roman" w:hAnsi="Times New Roman" w:eastAsia="宋体" w:cs="Times New Roman"/>
                <w:color w:val="auto"/>
                <w:sz w:val="24"/>
                <w:szCs w:val="24"/>
              </w:rPr>
              <w:t>噪声执行《工业企业厂界环境噪声排放标准》（GB12348-2008）表1中</w:t>
            </w: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rPr>
              <w:t>类标准</w:t>
            </w:r>
            <w:r>
              <w:rPr>
                <w:rFonts w:hint="eastAsia" w:cs="Times New Roman"/>
                <w:color w:val="auto"/>
                <w:sz w:val="24"/>
                <w:szCs w:val="24"/>
                <w:lang w:eastAsia="zh-CN"/>
              </w:rPr>
              <w:t>，</w:t>
            </w:r>
            <w:r>
              <w:rPr>
                <w:rFonts w:hint="eastAsia" w:ascii="Times New Roman" w:hAnsi="Times New Roman" w:cs="Times New Roman"/>
                <w:color w:val="auto"/>
                <w:sz w:val="24"/>
                <w:szCs w:val="24"/>
                <w:highlight w:val="none"/>
                <w:lang w:val="en-US" w:eastAsia="zh-CN"/>
              </w:rPr>
              <w:t>厂界东侧执行《工业企业厂界环境噪声排放标准》（GB 12348-2008）表1中4类标准要求</w:t>
            </w:r>
            <w:r>
              <w:rPr>
                <w:rFonts w:hint="default" w:ascii="Times New Roman" w:hAnsi="Times New Roman" w:eastAsia="宋体" w:cs="Times New Roman"/>
                <w:color w:val="auto"/>
                <w:kern w:val="0"/>
                <w:sz w:val="24"/>
                <w:szCs w:val="24"/>
                <w:highlight w:val="none"/>
              </w:rPr>
              <w:t>。综上，本项目建设对周围声环境影响较小。</w:t>
            </w:r>
          </w:p>
          <w:p w14:paraId="5C1688CF">
            <w:pPr>
              <w:keepNext w:val="0"/>
              <w:keepLines w:val="0"/>
              <w:numPr>
                <w:ilvl w:val="0"/>
                <w:numId w:val="12"/>
              </w:numPr>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kern w:val="0"/>
                <w:sz w:val="24"/>
                <w:szCs w:val="24"/>
                <w:highlight w:val="none"/>
                <w:lang w:eastAsia="zh-CN"/>
              </w:rPr>
              <w:t>监测要求</w:t>
            </w:r>
          </w:p>
          <w:p w14:paraId="5E81371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auto"/>
                <w:sz w:val="24"/>
                <w:szCs w:val="24"/>
                <w:highlight w:val="none"/>
              </w:rPr>
            </w:pPr>
            <w:r>
              <w:rPr>
                <w:rFonts w:hint="default" w:ascii="Times New Roman" w:hAnsi="Times New Roman" w:eastAsia="宋体" w:cs="Times New Roman"/>
                <w:color w:val="auto"/>
                <w:kern w:val="0"/>
                <w:sz w:val="24"/>
                <w:szCs w:val="24"/>
                <w:highlight w:val="none"/>
              </w:rPr>
              <w:t>按照《排污单位自行监测技术指南 总则》（HJ849-2017）要求</w:t>
            </w:r>
            <w:r>
              <w:rPr>
                <w:rFonts w:hint="default" w:ascii="Times New Roman" w:hAnsi="Times New Roman" w:cs="Times New Roman"/>
                <w:bCs/>
                <w:color w:val="auto"/>
                <w:sz w:val="24"/>
                <w:szCs w:val="24"/>
                <w:highlight w:val="none"/>
                <w:lang w:val="en-US" w:eastAsia="zh-CN"/>
              </w:rPr>
              <w:t>、《排污许可证申请与核发技术规范 工业噪声》（HJ1301-2023）</w:t>
            </w:r>
            <w:r>
              <w:rPr>
                <w:rFonts w:hint="default" w:ascii="Times New Roman" w:hAnsi="Times New Roman" w:cs="Times New Roman"/>
                <w:bCs/>
                <w:color w:val="auto"/>
                <w:sz w:val="24"/>
                <w:szCs w:val="24"/>
                <w:highlight w:val="none"/>
              </w:rPr>
              <w:t>，本项目噪声监测计划如下：</w:t>
            </w:r>
          </w:p>
          <w:p w14:paraId="0E48E5C5">
            <w:pPr>
              <w:keepNext w:val="0"/>
              <w:keepLines w:val="0"/>
              <w:suppressLineNumbers w:val="0"/>
              <w:spacing w:before="0" w:beforeAutospacing="0" w:after="0" w:afterAutospacing="0"/>
              <w:ind w:left="0" w:right="0"/>
              <w:jc w:val="center"/>
              <w:rPr>
                <w:rFonts w:hint="eastAsia" w:hAnsi="宋体"/>
                <w:b/>
                <w:color w:val="auto"/>
                <w:sz w:val="24"/>
                <w:szCs w:val="24"/>
                <w:highlight w:val="none"/>
              </w:rPr>
            </w:pPr>
            <w:r>
              <w:rPr>
                <w:rFonts w:hint="default" w:ascii="Times New Roman" w:hAnsi="Times New Roman" w:cs="Times New Roman"/>
                <w:b/>
                <w:color w:val="auto"/>
                <w:sz w:val="24"/>
                <w:szCs w:val="24"/>
                <w:highlight w:val="none"/>
              </w:rPr>
              <w:t>表4</w:t>
            </w:r>
            <w:r>
              <w:rPr>
                <w:rFonts w:hint="eastAsia" w:cs="Times New Roman"/>
                <w:b/>
                <w:color w:val="auto"/>
                <w:sz w:val="24"/>
                <w:szCs w:val="24"/>
                <w:highlight w:val="none"/>
                <w:lang w:val="en-US" w:eastAsia="zh-CN"/>
              </w:rPr>
              <w:t xml:space="preserve">-11 </w:t>
            </w:r>
            <w:r>
              <w:rPr>
                <w:rFonts w:hint="eastAsia" w:hAnsi="宋体"/>
                <w:b/>
                <w:color w:val="auto"/>
                <w:sz w:val="24"/>
                <w:szCs w:val="24"/>
                <w:highlight w:val="none"/>
              </w:rPr>
              <w:t>项目噪声监测计划表</w:t>
            </w:r>
          </w:p>
          <w:tbl>
            <w:tblPr>
              <w:tblStyle w:val="38"/>
              <w:tblW w:w="4998"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658"/>
              <w:gridCol w:w="945"/>
              <w:gridCol w:w="1080"/>
              <w:gridCol w:w="1680"/>
              <w:gridCol w:w="1245"/>
              <w:gridCol w:w="2346"/>
            </w:tblGrid>
            <w:tr w14:paraId="139792E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20" w:hRule="atLeast"/>
                <w:jc w:val="center"/>
              </w:trPr>
              <w:tc>
                <w:tcPr>
                  <w:tcW w:w="413" w:type="pct"/>
                  <w:noWrap w:val="0"/>
                  <w:vAlign w:val="center"/>
                </w:tcPr>
                <w:p w14:paraId="1B8FC8FF">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序号</w:t>
                  </w:r>
                </w:p>
              </w:tc>
              <w:tc>
                <w:tcPr>
                  <w:tcW w:w="594" w:type="pct"/>
                  <w:noWrap w:val="0"/>
                  <w:vAlign w:val="center"/>
                </w:tcPr>
                <w:p w14:paraId="68DBF00D">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环境</w:t>
                  </w:r>
                </w:p>
                <w:p w14:paraId="611F024C">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要素</w:t>
                  </w:r>
                </w:p>
              </w:tc>
              <w:tc>
                <w:tcPr>
                  <w:tcW w:w="678" w:type="pct"/>
                  <w:noWrap w:val="0"/>
                  <w:vAlign w:val="center"/>
                </w:tcPr>
                <w:p w14:paraId="24A9C3E6">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监测点位</w:t>
                  </w:r>
                </w:p>
              </w:tc>
              <w:tc>
                <w:tcPr>
                  <w:tcW w:w="1056" w:type="pct"/>
                  <w:noWrap w:val="0"/>
                  <w:vAlign w:val="center"/>
                </w:tcPr>
                <w:p w14:paraId="393ECEA7">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监测指标</w:t>
                  </w:r>
                </w:p>
              </w:tc>
              <w:tc>
                <w:tcPr>
                  <w:tcW w:w="782" w:type="pct"/>
                  <w:noWrap w:val="0"/>
                  <w:vAlign w:val="center"/>
                </w:tcPr>
                <w:p w14:paraId="308F05CC">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监测频次</w:t>
                  </w:r>
                </w:p>
              </w:tc>
              <w:tc>
                <w:tcPr>
                  <w:tcW w:w="1474" w:type="pct"/>
                  <w:noWrap w:val="0"/>
                  <w:vAlign w:val="center"/>
                </w:tcPr>
                <w:p w14:paraId="2AD8C9FD">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执行标准</w:t>
                  </w:r>
                </w:p>
              </w:tc>
            </w:tr>
            <w:tr w14:paraId="30E110D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20" w:hRule="atLeast"/>
                <w:jc w:val="center"/>
              </w:trPr>
              <w:tc>
                <w:tcPr>
                  <w:tcW w:w="413" w:type="pct"/>
                  <w:noWrap w:val="0"/>
                  <w:vAlign w:val="center"/>
                </w:tcPr>
                <w:p w14:paraId="4DD8F19F">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1</w:t>
                  </w:r>
                </w:p>
              </w:tc>
              <w:tc>
                <w:tcPr>
                  <w:tcW w:w="594" w:type="pct"/>
                  <w:noWrap w:val="0"/>
                  <w:vAlign w:val="center"/>
                </w:tcPr>
                <w:p w14:paraId="0D429597">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声环境</w:t>
                  </w:r>
                </w:p>
              </w:tc>
              <w:tc>
                <w:tcPr>
                  <w:tcW w:w="678" w:type="pct"/>
                  <w:noWrap w:val="0"/>
                  <w:vAlign w:val="center"/>
                </w:tcPr>
                <w:p w14:paraId="6C9B2BC4">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厂界四周外1m布设4个点</w:t>
                  </w:r>
                </w:p>
              </w:tc>
              <w:tc>
                <w:tcPr>
                  <w:tcW w:w="1056" w:type="pct"/>
                  <w:noWrap w:val="0"/>
                  <w:vAlign w:val="center"/>
                </w:tcPr>
                <w:p w14:paraId="183029F6">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rPr>
                  </w:pPr>
                  <w:r>
                    <w:rPr>
                      <w:rFonts w:hint="default"/>
                      <w:sz w:val="21"/>
                      <w:szCs w:val="21"/>
                    </w:rPr>
                    <w:t>厂界昼间等效声级（Leq）、夜间等效声级（Leq）、夜间频发噪声最大声级（Lmax）及夜间偶发噪声最大声级（Lmax）</w:t>
                  </w:r>
                </w:p>
              </w:tc>
              <w:tc>
                <w:tcPr>
                  <w:tcW w:w="782" w:type="pct"/>
                  <w:noWrap w:val="0"/>
                  <w:vAlign w:val="center"/>
                </w:tcPr>
                <w:p w14:paraId="6D56CEF6">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每季度开展1次昼夜监测</w:t>
                  </w:r>
                </w:p>
              </w:tc>
              <w:tc>
                <w:tcPr>
                  <w:tcW w:w="1474" w:type="pct"/>
                  <w:noWrap w:val="0"/>
                  <w:vAlign w:val="center"/>
                </w:tcPr>
                <w:p w14:paraId="4B71B1DE">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kern w:val="0"/>
                      <w:sz w:val="21"/>
                      <w:szCs w:val="21"/>
                      <w:highlight w:val="none"/>
                      <w:lang w:eastAsia="zh-CN"/>
                    </w:rPr>
                  </w:pPr>
                  <w:r>
                    <w:rPr>
                      <w:rFonts w:hint="eastAsia" w:ascii="Times New Roman" w:hAnsi="Times New Roman" w:cs="Times New Roman"/>
                      <w:color w:val="auto"/>
                      <w:sz w:val="21"/>
                      <w:szCs w:val="21"/>
                      <w:highlight w:val="none"/>
                      <w:lang w:val="en-US" w:eastAsia="zh-CN"/>
                    </w:rPr>
                    <w:t>东、南、北侧</w:t>
                  </w:r>
                  <w:r>
                    <w:rPr>
                      <w:rFonts w:hint="eastAsia" w:cs="Times New Roman"/>
                      <w:color w:val="auto"/>
                      <w:sz w:val="21"/>
                      <w:szCs w:val="21"/>
                      <w:highlight w:val="none"/>
                      <w:lang w:val="en-US" w:eastAsia="zh-CN"/>
                    </w:rPr>
                    <w:t>厂界</w:t>
                  </w:r>
                  <w:r>
                    <w:rPr>
                      <w:rFonts w:hint="eastAsia" w:ascii="Times New Roman" w:hAnsi="Times New Roman" w:eastAsia="宋体" w:cs="Times New Roman"/>
                      <w:color w:val="auto"/>
                      <w:sz w:val="21"/>
                      <w:szCs w:val="21"/>
                    </w:rPr>
                    <w:t>噪声执行《工业企业厂界环境噪声排放标准》（GB12348-2008）表1中</w:t>
                  </w:r>
                  <w:r>
                    <w:rPr>
                      <w:rFonts w:hint="eastAsia" w:ascii="Times New Roman" w:hAnsi="Times New Roman" w:eastAsia="宋体" w:cs="Times New Roman"/>
                      <w:color w:val="auto"/>
                      <w:sz w:val="21"/>
                      <w:szCs w:val="21"/>
                      <w:lang w:val="en-US" w:eastAsia="zh-CN"/>
                    </w:rPr>
                    <w:t>2</w:t>
                  </w:r>
                  <w:r>
                    <w:rPr>
                      <w:rFonts w:hint="eastAsia" w:ascii="Times New Roman" w:hAnsi="Times New Roman" w:eastAsia="宋体" w:cs="Times New Roman"/>
                      <w:color w:val="auto"/>
                      <w:sz w:val="21"/>
                      <w:szCs w:val="21"/>
                    </w:rPr>
                    <w:t>类</w:t>
                  </w:r>
                  <w:r>
                    <w:rPr>
                      <w:rFonts w:hint="eastAsia" w:cs="Times New Roman"/>
                      <w:bCs/>
                      <w:color w:val="auto"/>
                      <w:kern w:val="0"/>
                      <w:sz w:val="21"/>
                      <w:szCs w:val="21"/>
                      <w:highlight w:val="none"/>
                      <w:lang w:val="en-US" w:eastAsia="zh-CN"/>
                    </w:rPr>
                    <w:t>标准</w:t>
                  </w:r>
                  <w:r>
                    <w:rPr>
                      <w:rFonts w:hint="eastAsia" w:cs="Times New Roman"/>
                      <w:color w:val="auto"/>
                      <w:sz w:val="21"/>
                      <w:szCs w:val="21"/>
                      <w:lang w:eastAsia="zh-CN"/>
                    </w:rPr>
                    <w:t>，</w:t>
                  </w:r>
                  <w:r>
                    <w:rPr>
                      <w:rFonts w:hint="eastAsia" w:ascii="Times New Roman" w:hAnsi="Times New Roman" w:cs="Times New Roman"/>
                      <w:color w:val="auto"/>
                      <w:sz w:val="21"/>
                      <w:szCs w:val="21"/>
                      <w:highlight w:val="none"/>
                      <w:lang w:val="en-US" w:eastAsia="zh-CN"/>
                    </w:rPr>
                    <w:t>东侧厂界</w:t>
                  </w:r>
                  <w:r>
                    <w:rPr>
                      <w:rFonts w:hint="eastAsia" w:cs="Times New Roman"/>
                      <w:color w:val="auto"/>
                      <w:sz w:val="21"/>
                      <w:szCs w:val="21"/>
                      <w:highlight w:val="none"/>
                      <w:lang w:val="en-US" w:eastAsia="zh-CN"/>
                    </w:rPr>
                    <w:t>噪声</w:t>
                  </w:r>
                  <w:r>
                    <w:rPr>
                      <w:rFonts w:hint="eastAsia" w:ascii="Times New Roman" w:hAnsi="Times New Roman" w:cs="Times New Roman"/>
                      <w:color w:val="auto"/>
                      <w:sz w:val="21"/>
                      <w:szCs w:val="21"/>
                      <w:highlight w:val="none"/>
                      <w:lang w:val="en-US" w:eastAsia="zh-CN"/>
                    </w:rPr>
                    <w:t>执行《工业企业厂界环境噪声排放标准》（GB 12348-2008）表1中4类</w:t>
                  </w:r>
                  <w:r>
                    <w:rPr>
                      <w:rFonts w:hint="eastAsia" w:cs="Times New Roman"/>
                      <w:bCs/>
                      <w:color w:val="auto"/>
                      <w:kern w:val="0"/>
                      <w:sz w:val="21"/>
                      <w:szCs w:val="21"/>
                      <w:highlight w:val="none"/>
                      <w:lang w:val="en-US" w:eastAsia="zh-CN"/>
                    </w:rPr>
                    <w:t>标准</w:t>
                  </w:r>
                </w:p>
              </w:tc>
            </w:tr>
          </w:tbl>
          <w:p w14:paraId="2593DE28">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4、固体废物</w:t>
            </w:r>
          </w:p>
          <w:p w14:paraId="4934C411">
            <w:pPr>
              <w:pStyle w:val="172"/>
              <w:keepNext/>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生活垃圾</w:t>
            </w:r>
          </w:p>
          <w:p w14:paraId="5594408F">
            <w:pPr>
              <w:pStyle w:val="172"/>
              <w:keepNext/>
              <w:keepLines w:val="0"/>
              <w:suppressLineNumbers w:val="0"/>
              <w:spacing w:before="0" w:beforeAutospacing="0" w:after="0" w:afterAutospacing="0"/>
              <w:ind w:left="0" w:right="0" w:firstLine="480"/>
              <w:rPr>
                <w:rFonts w:hint="default"/>
                <w:color w:val="auto"/>
                <w:highlight w:val="none"/>
              </w:rPr>
            </w:pPr>
            <w:r>
              <w:rPr>
                <w:rFonts w:hint="default" w:ascii="Times New Roman" w:hAnsi="Times New Roman" w:eastAsia="宋体" w:cs="Times New Roman"/>
                <w:color w:val="auto"/>
                <w:sz w:val="24"/>
                <w:szCs w:val="24"/>
                <w:highlight w:val="none"/>
              </w:rPr>
              <w:t>本项目劳动定员</w:t>
            </w:r>
            <w:r>
              <w:rPr>
                <w:rFonts w:hint="eastAsia"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人，生活垃圾按0.5kg/人·d计，</w:t>
            </w:r>
            <w:r>
              <w:rPr>
                <w:rFonts w:hint="default"/>
                <w:color w:val="auto"/>
                <w:highlight w:val="none"/>
              </w:rPr>
              <w:t>则项目运行期间生活垃圾产生量为</w:t>
            </w:r>
            <w:r>
              <w:rPr>
                <w:rFonts w:hint="eastAsia"/>
                <w:color w:val="auto"/>
                <w:highlight w:val="none"/>
                <w:lang w:val="en-US" w:eastAsia="zh-CN"/>
              </w:rPr>
              <w:t>4</w:t>
            </w:r>
            <w:r>
              <w:rPr>
                <w:rFonts w:hint="default"/>
                <w:color w:val="auto"/>
                <w:highlight w:val="none"/>
              </w:rPr>
              <w:t>kg/d、</w:t>
            </w:r>
            <w:r>
              <w:rPr>
                <w:rFonts w:hint="eastAsia"/>
                <w:color w:val="auto"/>
                <w:highlight w:val="none"/>
                <w:lang w:val="en-US" w:eastAsia="zh-CN"/>
              </w:rPr>
              <w:t>0.2t</w:t>
            </w:r>
            <w:r>
              <w:rPr>
                <w:rFonts w:hint="default"/>
                <w:color w:val="auto"/>
                <w:highlight w:val="none"/>
              </w:rPr>
              <w:t>/a，</w:t>
            </w:r>
            <w:r>
              <w:rPr>
                <w:rFonts w:hint="eastAsia"/>
                <w:color w:val="auto"/>
                <w:szCs w:val="21"/>
                <w:highlight w:val="none"/>
              </w:rPr>
              <w:t>集中收集，由市政环卫部门统一清运</w:t>
            </w:r>
            <w:r>
              <w:rPr>
                <w:rFonts w:hint="default"/>
                <w:color w:val="auto"/>
                <w:highlight w:val="none"/>
              </w:rPr>
              <w:t>。</w:t>
            </w:r>
          </w:p>
          <w:p w14:paraId="04775B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2）热风炉</w:t>
            </w:r>
            <w:r>
              <w:rPr>
                <w:rFonts w:hint="default" w:ascii="Times New Roman" w:hAnsi="Times New Roman" w:cs="Times New Roman"/>
                <w:color w:val="auto"/>
                <w:sz w:val="24"/>
                <w:szCs w:val="24"/>
                <w:highlight w:val="none"/>
              </w:rPr>
              <w:t>布袋除尘器收尘</w:t>
            </w:r>
          </w:p>
          <w:p w14:paraId="712191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w:t>
            </w:r>
            <w:r>
              <w:rPr>
                <w:rFonts w:hint="eastAsia" w:cs="Times New Roman"/>
                <w:color w:val="auto"/>
                <w:sz w:val="24"/>
                <w:szCs w:val="24"/>
                <w:highlight w:val="none"/>
                <w:lang w:val="en-US" w:eastAsia="zh-CN"/>
              </w:rPr>
              <w:t>热风炉</w:t>
            </w:r>
            <w:r>
              <w:rPr>
                <w:rFonts w:hint="default" w:ascii="Times New Roman" w:hAnsi="Times New Roman" w:cs="Times New Roman"/>
                <w:color w:val="auto"/>
                <w:sz w:val="24"/>
                <w:szCs w:val="24"/>
                <w:highlight w:val="none"/>
              </w:rPr>
              <w:t>布袋除尘器收尘的量为</w:t>
            </w:r>
            <w:r>
              <w:rPr>
                <w:rFonts w:hint="eastAsia" w:cs="Times New Roman"/>
                <w:color w:val="auto"/>
                <w:sz w:val="24"/>
                <w:szCs w:val="24"/>
                <w:highlight w:val="none"/>
                <w:lang w:val="en-US" w:eastAsia="zh-CN"/>
              </w:rPr>
              <w:t>65.272</w:t>
            </w:r>
            <w:r>
              <w:rPr>
                <w:rFonts w:hint="default" w:ascii="Times New Roman" w:hAnsi="Times New Roman" w:cs="Times New Roman"/>
                <w:color w:val="auto"/>
                <w:sz w:val="24"/>
                <w:szCs w:val="24"/>
                <w:highlight w:val="none"/>
              </w:rPr>
              <w:t>t/a，</w:t>
            </w:r>
            <w:r>
              <w:rPr>
                <w:rFonts w:hint="eastAsia" w:cs="Times New Roman"/>
                <w:color w:val="auto"/>
                <w:sz w:val="24"/>
                <w:szCs w:val="24"/>
                <w:highlight w:val="none"/>
                <w:lang w:val="en-US" w:eastAsia="zh-CN"/>
              </w:rPr>
              <w:t>袋装暂存于热风炉房内灰渣间，</w:t>
            </w:r>
            <w:r>
              <w:rPr>
                <w:rFonts w:hint="default" w:ascii="Times New Roman" w:hAnsi="Times New Roman" w:cs="Times New Roman"/>
                <w:color w:val="auto"/>
                <w:sz w:val="24"/>
                <w:szCs w:val="24"/>
                <w:highlight w:val="none"/>
              </w:rPr>
              <w:t>集中收集，外售</w:t>
            </w:r>
            <w:r>
              <w:rPr>
                <w:rFonts w:hint="eastAsia" w:cs="Times New Roman"/>
                <w:color w:val="auto"/>
                <w:sz w:val="24"/>
                <w:szCs w:val="24"/>
                <w:highlight w:val="none"/>
                <w:lang w:val="en-US" w:eastAsia="zh-CN"/>
              </w:rPr>
              <w:t>综合利用</w:t>
            </w:r>
            <w:r>
              <w:rPr>
                <w:rFonts w:hint="default" w:ascii="Times New Roman" w:hAnsi="Times New Roman" w:cs="Times New Roman"/>
                <w:color w:val="auto"/>
                <w:sz w:val="24"/>
                <w:szCs w:val="24"/>
                <w:highlight w:val="none"/>
              </w:rPr>
              <w:t>。</w:t>
            </w:r>
          </w:p>
          <w:p w14:paraId="3B4180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热风炉炉渣</w:t>
            </w:r>
          </w:p>
          <w:p w14:paraId="4EF50B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热风炉灰渣产生量参考《污染源源强核算技术指南 锅炉》（HJ 991-2018）中8.1生物质锅炉灰渣产生量计算方法进行核算。</w:t>
            </w:r>
          </w:p>
          <w:p w14:paraId="28D799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color w:val="auto"/>
                <w:sz w:val="24"/>
                <w:szCs w:val="24"/>
                <w:highlight w:val="none"/>
              </w:rPr>
            </w:pPr>
            <w:r>
              <w:rPr>
                <w:rFonts w:hint="default"/>
                <w:color w:val="auto"/>
                <w:position w:val="-30"/>
                <w:sz w:val="24"/>
                <w:szCs w:val="24"/>
                <w:highlight w:val="none"/>
              </w:rPr>
              <w:object>
                <v:shape id="_x0000_i1028" o:spt="75" type="#_x0000_t75" style="height:36pt;width:147pt;" o:ole="t" filled="f" o:preferrelative="t" stroked="f" coordsize="21600,21600">
                  <v:path/>
                  <v:fill on="f" focussize="0,0"/>
                  <v:stroke on="f"/>
                  <v:imagedata r:id="rId28" o:title=""/>
                  <o:lock v:ext="edit" aspectratio="t"/>
                  <w10:wrap type="none"/>
                  <w10:anchorlock/>
                </v:shape>
                <o:OLEObject Type="Embed" ProgID="Equation.KSEE3" ShapeID="_x0000_i1028" DrawAspect="Content" ObjectID="_1468075728" r:id="rId27">
                  <o:LockedField>false</o:LockedField>
                </o:OLEObject>
              </w:object>
            </w:r>
          </w:p>
          <w:p w14:paraId="7768F3C2">
            <w:pPr>
              <w:pStyle w:val="36"/>
              <w:keepNext w:val="0"/>
              <w:keepLines w:val="0"/>
              <w:suppressLineNumbers w:val="0"/>
              <w:spacing w:before="0" w:beforeAutospacing="0" w:after="0" w:afterAutospacing="0" w:line="360" w:lineRule="auto"/>
              <w:ind w:left="0" w:right="0" w:firstLineChars="20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式中：E</w:t>
            </w:r>
            <w:r>
              <w:rPr>
                <w:rFonts w:hint="default" w:ascii="Times New Roman" w:hAnsi="Times New Roman" w:cs="Times New Roman"/>
                <w:color w:val="auto"/>
                <w:sz w:val="24"/>
                <w:szCs w:val="24"/>
                <w:highlight w:val="none"/>
                <w:vertAlign w:val="subscript"/>
              </w:rPr>
              <w:t>hc</w:t>
            </w:r>
            <w:r>
              <w:rPr>
                <w:rFonts w:hint="default" w:ascii="Times New Roman" w:hAnsi="Times New Roman" w:cs="Times New Roman"/>
                <w:color w:val="auto"/>
                <w:sz w:val="24"/>
                <w:szCs w:val="24"/>
                <w:highlight w:val="none"/>
              </w:rPr>
              <w:t>----核算时段内灰渣产生量，t；</w:t>
            </w:r>
          </w:p>
          <w:p w14:paraId="4F4EE665">
            <w:pPr>
              <w:pStyle w:val="36"/>
              <w:keepNext w:val="0"/>
              <w:keepLines w:val="0"/>
              <w:suppressLineNumbers w:val="0"/>
              <w:spacing w:before="0" w:beforeAutospacing="0" w:after="0" w:afterAutospacing="0" w:line="360" w:lineRule="auto"/>
              <w:ind w:left="0" w:right="0" w:firstLine="1200" w:firstLineChars="50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R----核算时段内锅炉燃料耗量，</w:t>
            </w:r>
            <w:r>
              <w:rPr>
                <w:rFonts w:hint="eastAsia" w:cs="Times New Roman"/>
                <w:color w:val="FF0000"/>
                <w:sz w:val="24"/>
                <w:szCs w:val="24"/>
                <w:highlight w:val="none"/>
                <w:lang w:val="en-US" w:eastAsia="zh-CN"/>
              </w:rPr>
              <w:t>1383.49</w:t>
            </w:r>
            <w:r>
              <w:rPr>
                <w:rFonts w:hint="default" w:ascii="Times New Roman" w:hAnsi="Times New Roman" w:cs="Times New Roman"/>
                <w:color w:val="auto"/>
                <w:sz w:val="24"/>
                <w:szCs w:val="24"/>
                <w:highlight w:val="none"/>
              </w:rPr>
              <w:t>t；</w:t>
            </w:r>
          </w:p>
          <w:p w14:paraId="6EA5B128">
            <w:pPr>
              <w:pStyle w:val="36"/>
              <w:keepNext w:val="0"/>
              <w:keepLines w:val="0"/>
              <w:suppressLineNumbers w:val="0"/>
              <w:spacing w:before="0" w:beforeAutospacing="0" w:after="0" w:afterAutospacing="0" w:line="360" w:lineRule="auto"/>
              <w:ind w:left="0" w:right="0" w:firstLine="1200" w:firstLineChars="500"/>
              <w:jc w:val="both"/>
              <w:rPr>
                <w:rFonts w:hint="default" w:ascii="Times New Roman" w:hAnsi="Times New Roman" w:cs="Times New Roman"/>
                <w:b/>
                <w:color w:val="auto"/>
                <w:sz w:val="24"/>
                <w:szCs w:val="24"/>
                <w:highlight w:val="none"/>
              </w:rPr>
            </w:pP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vertAlign w:val="subscript"/>
              </w:rPr>
              <w:t>ar</w:t>
            </w:r>
            <w:r>
              <w:rPr>
                <w:rFonts w:hint="default" w:ascii="Times New Roman" w:hAnsi="Times New Roman" w:cs="Times New Roman"/>
                <w:color w:val="auto"/>
                <w:sz w:val="24"/>
                <w:szCs w:val="24"/>
                <w:highlight w:val="none"/>
              </w:rPr>
              <w:t>----收到基灰分的质量分数，%；取</w:t>
            </w:r>
            <w:r>
              <w:rPr>
                <w:rFonts w:hint="eastAsia"/>
                <w:bCs w:val="0"/>
                <w:color w:val="auto"/>
                <w:sz w:val="24"/>
                <w:szCs w:val="24"/>
                <w:highlight w:val="none"/>
                <w:lang w:val="en-US" w:eastAsia="zh-CN"/>
              </w:rPr>
              <w:t>16.33</w:t>
            </w:r>
            <w:r>
              <w:rPr>
                <w:rFonts w:hint="default"/>
                <w:bCs w:val="0"/>
                <w:color w:val="auto"/>
                <w:sz w:val="24"/>
                <w:szCs w:val="24"/>
                <w:highlight w:val="none"/>
                <w:lang w:val="en-US" w:eastAsia="zh-CN"/>
              </w:rPr>
              <w:t>%</w:t>
            </w:r>
            <w:r>
              <w:rPr>
                <w:rFonts w:hint="eastAsia"/>
                <w:bCs w:val="0"/>
                <w:color w:val="auto"/>
                <w:sz w:val="24"/>
                <w:szCs w:val="24"/>
                <w:highlight w:val="none"/>
                <w:lang w:val="en-US" w:eastAsia="zh-CN"/>
              </w:rPr>
              <w:t>；</w:t>
            </w:r>
          </w:p>
          <w:p w14:paraId="76E8FBAA">
            <w:pPr>
              <w:pStyle w:val="36"/>
              <w:keepNext w:val="0"/>
              <w:keepLines w:val="0"/>
              <w:suppressLineNumbers w:val="0"/>
              <w:spacing w:before="0" w:beforeAutospacing="0" w:after="0" w:afterAutospacing="0" w:line="360" w:lineRule="auto"/>
              <w:ind w:left="0" w:right="0" w:firstLine="1200" w:firstLineChars="500"/>
              <w:jc w:val="both"/>
              <w:rPr>
                <w:rFonts w:hint="default" w:ascii="Times New Roman" w:hAnsi="Times New Roman" w:cs="Times New Roman"/>
                <w:b/>
                <w:color w:val="auto"/>
                <w:sz w:val="24"/>
                <w:szCs w:val="24"/>
                <w:highlight w:val="none"/>
              </w:rPr>
            </w:pPr>
            <w:r>
              <w:rPr>
                <w:rFonts w:hint="default" w:ascii="Times New Roman" w:hAnsi="Times New Roman" w:cs="Times New Roman"/>
                <w:color w:val="auto"/>
                <w:sz w:val="24"/>
                <w:szCs w:val="24"/>
                <w:highlight w:val="none"/>
              </w:rPr>
              <w:t>q</w:t>
            </w:r>
            <w:r>
              <w:rPr>
                <w:rFonts w:hint="default" w:ascii="Times New Roman" w:hAnsi="Times New Roman" w:cs="Times New Roman"/>
                <w:color w:val="auto"/>
                <w:sz w:val="24"/>
                <w:szCs w:val="24"/>
                <w:highlight w:val="none"/>
                <w:vertAlign w:val="subscript"/>
              </w:rPr>
              <w:t>4</w:t>
            </w:r>
            <w:r>
              <w:rPr>
                <w:rFonts w:hint="default" w:ascii="Times New Roman" w:hAnsi="Times New Roman" w:cs="Times New Roman"/>
                <w:color w:val="auto"/>
                <w:sz w:val="24"/>
                <w:szCs w:val="24"/>
                <w:highlight w:val="none"/>
              </w:rPr>
              <w:t>----锅炉机械不完全燃烧热损失，%；取</w:t>
            </w:r>
            <w:r>
              <w:rPr>
                <w:rFonts w:hint="eastAsia"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2%，（</w:t>
            </w:r>
            <w:r>
              <w:rPr>
                <w:rFonts w:hint="eastAsia" w:cs="Times New Roman"/>
                <w:color w:val="auto"/>
                <w:sz w:val="24"/>
                <w:szCs w:val="24"/>
                <w:highlight w:val="none"/>
                <w:lang w:val="en-US" w:eastAsia="zh-CN"/>
              </w:rPr>
              <w:t>热风炉</w:t>
            </w:r>
            <w:r>
              <w:rPr>
                <w:rFonts w:hint="default" w:ascii="Times New Roman" w:hAnsi="Times New Roman" w:cs="Times New Roman"/>
                <w:color w:val="auto"/>
                <w:sz w:val="24"/>
                <w:szCs w:val="24"/>
                <w:highlight w:val="none"/>
              </w:rPr>
              <w:t>取</w:t>
            </w:r>
            <w:r>
              <w:rPr>
                <w:rFonts w:hint="eastAsia"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2）；</w:t>
            </w:r>
          </w:p>
          <w:p w14:paraId="7A2AC8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Q</w:t>
            </w:r>
            <w:r>
              <w:rPr>
                <w:rFonts w:hint="default" w:ascii="Times New Roman" w:hAnsi="Times New Roman" w:cs="Times New Roman"/>
                <w:color w:val="auto"/>
                <w:sz w:val="24"/>
                <w:szCs w:val="24"/>
                <w:highlight w:val="none"/>
                <w:vertAlign w:val="subscript"/>
              </w:rPr>
              <w:t>net，ar</w:t>
            </w:r>
            <w:r>
              <w:rPr>
                <w:rFonts w:hint="default" w:ascii="Times New Roman" w:hAnsi="Times New Roman" w:cs="Times New Roman"/>
                <w:color w:val="auto"/>
                <w:sz w:val="24"/>
                <w:szCs w:val="24"/>
                <w:highlight w:val="none"/>
              </w:rPr>
              <w:t>----收到基低位发热量，kJ/kg。</w:t>
            </w:r>
            <w:r>
              <w:rPr>
                <w:rFonts w:hint="default"/>
                <w:bCs w:val="0"/>
                <w:color w:val="auto"/>
                <w:sz w:val="24"/>
                <w:szCs w:val="24"/>
                <w:highlight w:val="none"/>
                <w:lang w:val="en-US" w:eastAsia="zh-CN"/>
              </w:rPr>
              <w:t>取</w:t>
            </w:r>
            <w:r>
              <w:rPr>
                <w:rFonts w:hint="eastAsia"/>
                <w:bCs w:val="0"/>
                <w:color w:val="auto"/>
                <w:sz w:val="24"/>
                <w:szCs w:val="24"/>
                <w:highlight w:val="none"/>
                <w:lang w:val="en-US" w:eastAsia="zh-CN"/>
              </w:rPr>
              <w:t>14132</w:t>
            </w:r>
            <w:r>
              <w:rPr>
                <w:rFonts w:hint="default" w:ascii="Times New Roman" w:hAnsi="Times New Roman" w:cs="Times New Roman"/>
                <w:color w:val="auto"/>
                <w:sz w:val="24"/>
                <w:szCs w:val="24"/>
                <w:highlight w:val="none"/>
              </w:rPr>
              <w:t>kJ/kg；</w:t>
            </w:r>
          </w:p>
          <w:p w14:paraId="4A7F66DF">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Ehc=</w:t>
            </w:r>
            <w:r>
              <w:rPr>
                <w:rFonts w:hint="eastAsia" w:cs="Times New Roman"/>
                <w:color w:val="FF0000"/>
                <w:sz w:val="24"/>
                <w:szCs w:val="24"/>
                <w:highlight w:val="none"/>
                <w:lang w:val="en-US" w:eastAsia="zh-CN"/>
              </w:rPr>
              <w:t>1383.49</w:t>
            </w:r>
            <w:r>
              <w:rPr>
                <w:rFonts w:hint="default" w:ascii="Times New Roman" w:hAnsi="Times New Roman" w:cs="Times New Roman"/>
                <w:color w:val="auto"/>
                <w:sz w:val="24"/>
                <w:szCs w:val="24"/>
                <w:highlight w:val="none"/>
              </w:rPr>
              <w:t>t×（</w:t>
            </w:r>
            <w:r>
              <w:rPr>
                <w:rFonts w:hint="eastAsia"/>
                <w:bCs w:val="0"/>
                <w:color w:val="auto"/>
                <w:sz w:val="24"/>
                <w:szCs w:val="24"/>
                <w:highlight w:val="none"/>
                <w:lang w:val="en-US" w:eastAsia="zh-CN"/>
              </w:rPr>
              <w:t>16.33</w:t>
            </w:r>
            <w:r>
              <w:rPr>
                <w:rFonts w:hint="default"/>
                <w:bCs w:val="0"/>
                <w:color w:val="auto"/>
                <w:sz w:val="24"/>
                <w:szCs w:val="24"/>
                <w:highlight w:val="none"/>
                <w:lang w:val="en-US" w:eastAsia="zh-CN"/>
              </w:rPr>
              <w:t>%</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2%×</w:t>
            </w:r>
            <w:r>
              <w:rPr>
                <w:rFonts w:hint="eastAsia"/>
                <w:bCs w:val="0"/>
                <w:color w:val="auto"/>
                <w:sz w:val="24"/>
                <w:szCs w:val="24"/>
                <w:highlight w:val="none"/>
                <w:lang w:val="en-US" w:eastAsia="zh-CN"/>
              </w:rPr>
              <w:t>14132</w:t>
            </w:r>
            <w:r>
              <w:rPr>
                <w:rFonts w:hint="default" w:ascii="Times New Roman" w:hAnsi="Times New Roman" w:cs="Times New Roman"/>
                <w:color w:val="auto"/>
                <w:sz w:val="24"/>
                <w:szCs w:val="24"/>
                <w:highlight w:val="none"/>
              </w:rPr>
              <w:t>/33870）=</w:t>
            </w:r>
            <w:r>
              <w:rPr>
                <w:rFonts w:hint="eastAsia" w:cs="Times New Roman"/>
                <w:color w:val="auto"/>
                <w:sz w:val="24"/>
                <w:szCs w:val="24"/>
                <w:highlight w:val="none"/>
                <w:lang w:val="en-US" w:eastAsia="zh-CN"/>
              </w:rPr>
              <w:t>295.19</w:t>
            </w:r>
            <w:r>
              <w:rPr>
                <w:rFonts w:hint="default" w:ascii="Times New Roman" w:hAnsi="Times New Roman" w:cs="Times New Roman"/>
                <w:color w:val="auto"/>
                <w:sz w:val="24"/>
                <w:szCs w:val="24"/>
                <w:highlight w:val="none"/>
              </w:rPr>
              <w:t>t/a</w:t>
            </w:r>
          </w:p>
          <w:p w14:paraId="5C791E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rPr>
              <w:t>经计算，</w:t>
            </w:r>
            <w:r>
              <w:rPr>
                <w:rFonts w:hint="default" w:ascii="Times New Roman" w:hAnsi="Times New Roman" w:eastAsia="宋体" w:cs="Times New Roman"/>
                <w:color w:val="auto"/>
                <w:sz w:val="24"/>
                <w:szCs w:val="24"/>
                <w:highlight w:val="none"/>
              </w:rPr>
              <w:t>本项目热风炉燃烧产生的</w:t>
            </w:r>
            <w:r>
              <w:rPr>
                <w:rFonts w:hint="eastAsia" w:ascii="Times New Roman" w:hAnsi="Times New Roman" w:eastAsia="宋体" w:cs="Times New Roman"/>
                <w:color w:val="auto"/>
                <w:sz w:val="24"/>
                <w:szCs w:val="24"/>
                <w:highlight w:val="none"/>
                <w:lang w:eastAsia="zh-CN"/>
              </w:rPr>
              <w:t>灰渣</w:t>
            </w:r>
            <w:r>
              <w:rPr>
                <w:rFonts w:hint="default" w:ascii="Times New Roman" w:hAnsi="Times New Roman" w:eastAsia="宋体" w:cs="Times New Roman"/>
                <w:color w:val="auto"/>
                <w:sz w:val="24"/>
                <w:szCs w:val="24"/>
                <w:highlight w:val="none"/>
              </w:rPr>
              <w:t>量为</w:t>
            </w:r>
            <w:r>
              <w:rPr>
                <w:rFonts w:hint="eastAsia" w:cs="Times New Roman"/>
                <w:color w:val="auto"/>
                <w:sz w:val="24"/>
                <w:szCs w:val="24"/>
                <w:highlight w:val="none"/>
                <w:lang w:val="en-US" w:eastAsia="zh-CN"/>
              </w:rPr>
              <w:t>295.19</w:t>
            </w:r>
            <w:r>
              <w:rPr>
                <w:rFonts w:hint="default" w:ascii="Times New Roman" w:hAnsi="Times New Roman" w:cs="Times New Roman"/>
                <w:bCs/>
                <w:color w:val="auto"/>
                <w:sz w:val="24"/>
                <w:szCs w:val="24"/>
                <w:highlight w:val="none"/>
              </w:rPr>
              <w:t>t/a</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排放到烟气中的量</w:t>
            </w:r>
            <w:r>
              <w:rPr>
                <w:rFonts w:hint="eastAsia"/>
                <w:color w:val="auto"/>
                <w:sz w:val="24"/>
                <w:szCs w:val="24"/>
                <w:highlight w:val="none"/>
                <w:lang w:val="en-US" w:eastAsia="zh-CN"/>
              </w:rPr>
              <w:t>0.328</w:t>
            </w:r>
            <w:r>
              <w:rPr>
                <w:rFonts w:hint="default" w:ascii="Times New Roman" w:hAnsi="Times New Roman" w:eastAsia="宋体" w:cs="Times New Roman"/>
                <w:color w:val="auto"/>
                <w:sz w:val="24"/>
                <w:szCs w:val="24"/>
                <w:highlight w:val="none"/>
              </w:rPr>
              <w:t>t/a，由布袋除尘器收集的飞灰为</w:t>
            </w:r>
            <w:r>
              <w:rPr>
                <w:rFonts w:hint="eastAsia" w:cs="Times New Roman"/>
                <w:color w:val="auto"/>
                <w:sz w:val="24"/>
                <w:szCs w:val="24"/>
                <w:highlight w:val="none"/>
                <w:lang w:val="en-US" w:eastAsia="zh-CN"/>
              </w:rPr>
              <w:t>65.272</w:t>
            </w:r>
            <w:r>
              <w:rPr>
                <w:rFonts w:hint="default" w:ascii="Times New Roman" w:hAnsi="Times New Roman" w:eastAsia="宋体" w:cs="Times New Roman"/>
                <w:color w:val="auto"/>
                <w:sz w:val="24"/>
                <w:szCs w:val="24"/>
                <w:highlight w:val="none"/>
              </w:rPr>
              <w:t>t/a，则热风炉炉</w:t>
            </w:r>
            <w:r>
              <w:rPr>
                <w:rFonts w:hint="eastAsia" w:ascii="Times New Roman" w:hAnsi="Times New Roman" w:eastAsia="宋体" w:cs="Times New Roman"/>
                <w:color w:val="auto"/>
                <w:sz w:val="24"/>
                <w:szCs w:val="24"/>
                <w:highlight w:val="none"/>
              </w:rPr>
              <w:t>渣</w:t>
            </w:r>
            <w:r>
              <w:rPr>
                <w:rFonts w:hint="default" w:ascii="Times New Roman" w:hAnsi="Times New Roman" w:eastAsia="宋体" w:cs="Times New Roman"/>
                <w:color w:val="auto"/>
                <w:sz w:val="24"/>
                <w:szCs w:val="24"/>
                <w:highlight w:val="none"/>
              </w:rPr>
              <w:t>量为</w:t>
            </w:r>
            <w:r>
              <w:rPr>
                <w:rFonts w:hint="eastAsia" w:cs="Times New Roman"/>
                <w:color w:val="auto"/>
                <w:sz w:val="24"/>
                <w:szCs w:val="24"/>
                <w:highlight w:val="none"/>
                <w:lang w:val="en-US" w:eastAsia="zh-CN"/>
              </w:rPr>
              <w:t>229.59</w:t>
            </w:r>
            <w:r>
              <w:rPr>
                <w:rFonts w:hint="default" w:ascii="Times New Roman" w:hAnsi="Times New Roman" w:eastAsia="宋体" w:cs="Times New Roman"/>
                <w:color w:val="auto"/>
                <w:sz w:val="24"/>
                <w:szCs w:val="24"/>
                <w:highlight w:val="none"/>
              </w:rPr>
              <w:t>t/a。</w:t>
            </w:r>
          </w:p>
          <w:p w14:paraId="66BD0D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4）</w:t>
            </w:r>
            <w:r>
              <w:rPr>
                <w:rFonts w:hint="eastAsia" w:ascii="Times New Roman" w:hAnsi="Times New Roman" w:cs="Times New Roman"/>
                <w:color w:val="auto"/>
                <w:sz w:val="24"/>
                <w:szCs w:val="24"/>
                <w:highlight w:val="none"/>
                <w:lang w:eastAsia="zh-CN"/>
              </w:rPr>
              <w:t>初清杂质及</w:t>
            </w:r>
            <w:r>
              <w:rPr>
                <w:rFonts w:hint="default" w:ascii="Times New Roman" w:hAnsi="Times New Roman" w:cs="Times New Roman"/>
                <w:color w:val="auto"/>
                <w:sz w:val="24"/>
                <w:szCs w:val="24"/>
                <w:highlight w:val="none"/>
              </w:rPr>
              <w:t>烘干、筛分、装卸</w:t>
            </w:r>
            <w:r>
              <w:rPr>
                <w:rFonts w:hint="eastAsia" w:cs="Times New Roman"/>
                <w:color w:val="auto"/>
                <w:sz w:val="24"/>
                <w:szCs w:val="24"/>
                <w:highlight w:val="none"/>
                <w:lang w:val="en-US" w:eastAsia="zh-CN"/>
              </w:rPr>
              <w:t>收集</w:t>
            </w:r>
            <w:r>
              <w:rPr>
                <w:rFonts w:hint="eastAsia"/>
                <w:color w:val="auto"/>
                <w:sz w:val="24"/>
                <w:szCs w:val="24"/>
                <w:highlight w:val="none"/>
                <w:lang w:eastAsia="zh-CN"/>
              </w:rPr>
              <w:t>粉尘</w:t>
            </w:r>
          </w:p>
          <w:p w14:paraId="7F1B64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rPr>
              <w:t>本项目</w:t>
            </w:r>
            <w:r>
              <w:rPr>
                <w:rFonts w:hint="eastAsia" w:ascii="Times New Roman" w:hAnsi="Times New Roman" w:cs="Times New Roman"/>
                <w:color w:val="auto"/>
                <w:sz w:val="24"/>
                <w:szCs w:val="24"/>
                <w:highlight w:val="none"/>
                <w:lang w:eastAsia="zh-CN"/>
              </w:rPr>
              <w:t>初清杂质</w:t>
            </w:r>
            <w:r>
              <w:rPr>
                <w:rFonts w:hint="eastAsia" w:cs="Times New Roman"/>
                <w:color w:val="auto"/>
                <w:sz w:val="24"/>
                <w:szCs w:val="24"/>
                <w:highlight w:val="none"/>
                <w:lang w:val="en-US" w:eastAsia="zh-CN"/>
              </w:rPr>
              <w:t>约为粮食原料量的1‰，产生量为25t/a，</w:t>
            </w:r>
            <w:r>
              <w:rPr>
                <w:rFonts w:hint="default" w:ascii="Times New Roman" w:hAnsi="Times New Roman" w:cs="Times New Roman"/>
                <w:color w:val="auto"/>
                <w:sz w:val="24"/>
                <w:szCs w:val="24"/>
                <w:highlight w:val="none"/>
              </w:rPr>
              <w:t>烘干、筛分、装卸</w:t>
            </w:r>
            <w:r>
              <w:rPr>
                <w:rFonts w:hint="eastAsia" w:ascii="Times New Roman" w:hAnsi="Times New Roman" w:cs="Times New Roman"/>
                <w:color w:val="auto"/>
                <w:sz w:val="24"/>
                <w:szCs w:val="24"/>
                <w:highlight w:val="none"/>
                <w:lang w:eastAsia="zh-CN"/>
              </w:rPr>
              <w:t>过程</w:t>
            </w:r>
            <w:r>
              <w:rPr>
                <w:rFonts w:hint="eastAsia" w:cs="Times New Roman"/>
                <w:color w:val="auto"/>
                <w:sz w:val="24"/>
                <w:szCs w:val="24"/>
                <w:highlight w:val="none"/>
                <w:lang w:val="en-US" w:eastAsia="zh-CN"/>
              </w:rPr>
              <w:t>产生量</w:t>
            </w:r>
            <w:r>
              <w:rPr>
                <w:rFonts w:hint="default" w:ascii="Times New Roman" w:hAnsi="Times New Roman" w:cs="Times New Roman"/>
                <w:color w:val="auto"/>
                <w:sz w:val="24"/>
                <w:szCs w:val="24"/>
                <w:highlight w:val="none"/>
              </w:rPr>
              <w:t>为</w:t>
            </w:r>
            <w:r>
              <w:rPr>
                <w:rFonts w:hint="eastAsia" w:cs="Times New Roman"/>
                <w:color w:val="auto"/>
                <w:sz w:val="24"/>
                <w:szCs w:val="24"/>
                <w:highlight w:val="none"/>
                <w:lang w:val="en-US" w:eastAsia="zh-CN"/>
              </w:rPr>
              <w:t>42.46</w:t>
            </w:r>
            <w:r>
              <w:rPr>
                <w:rFonts w:hint="default" w:ascii="Times New Roman" w:hAnsi="Times New Roman" w:cs="Times New Roman"/>
                <w:color w:val="auto"/>
                <w:sz w:val="24"/>
                <w:szCs w:val="24"/>
                <w:highlight w:val="none"/>
              </w:rPr>
              <w:t>t</w:t>
            </w:r>
            <w:r>
              <w:rPr>
                <w:rFonts w:hint="eastAsia" w:cs="Times New Roman"/>
                <w:color w:val="auto"/>
                <w:sz w:val="24"/>
                <w:szCs w:val="24"/>
                <w:highlight w:val="none"/>
                <w:lang w:val="en-US" w:eastAsia="zh-CN"/>
              </w:rPr>
              <w:t>/a</w:t>
            </w:r>
            <w:r>
              <w:rPr>
                <w:rFonts w:hint="default" w:ascii="Times New Roman" w:hAnsi="Times New Roman" w:cs="Times New Roman"/>
                <w:color w:val="auto"/>
                <w:sz w:val="24"/>
                <w:szCs w:val="24"/>
                <w:highlight w:val="none"/>
              </w:rPr>
              <w:t>，</w:t>
            </w:r>
            <w:r>
              <w:rPr>
                <w:rFonts w:hint="default" w:ascii="Times New Roman" w:hAnsi="Times New Roman" w:eastAsia="宋体" w:cs="Times New Roman"/>
                <w:color w:val="auto"/>
                <w:kern w:val="2"/>
                <w:sz w:val="24"/>
                <w:szCs w:val="24"/>
                <w:highlight w:val="none"/>
                <w:lang w:val="en-US" w:eastAsia="zh-CN" w:bidi="ar-SA"/>
              </w:rPr>
              <w:t>运至当地垃圾收集点，由市政部门收集转</w:t>
            </w:r>
            <w:r>
              <w:rPr>
                <w:rFonts w:hint="default" w:ascii="Times New Roman" w:hAnsi="Times New Roman" w:eastAsia="宋体" w:cs="Times New Roman"/>
                <w:color w:val="auto"/>
                <w:sz w:val="24"/>
                <w:szCs w:val="24"/>
                <w:highlight w:val="none"/>
                <w:lang w:val="en-US" w:eastAsia="zh-CN"/>
              </w:rPr>
              <w:t>运</w:t>
            </w:r>
            <w:r>
              <w:rPr>
                <w:rFonts w:hint="default" w:ascii="Times New Roman" w:hAnsi="Times New Roman" w:eastAsia="宋体" w:cs="Times New Roman"/>
                <w:color w:val="auto"/>
                <w:sz w:val="24"/>
                <w:szCs w:val="24"/>
                <w:highlight w:val="none"/>
              </w:rPr>
              <w:t>。</w:t>
            </w:r>
          </w:p>
          <w:p w14:paraId="3B8C51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s="Times New Roman"/>
                <w:color w:val="auto"/>
                <w:kern w:val="21"/>
                <w:sz w:val="24"/>
                <w:szCs w:val="24"/>
                <w:highlight w:val="none"/>
                <w:lang w:val="en-US" w:eastAsia="zh-CN"/>
              </w:rPr>
            </w:pPr>
            <w:r>
              <w:rPr>
                <w:rFonts w:hint="eastAsia"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US" w:eastAsia="zh-CN"/>
              </w:rPr>
              <w:t>废布</w:t>
            </w:r>
            <w:r>
              <w:rPr>
                <w:rFonts w:hint="eastAsia" w:cs="Times New Roman"/>
                <w:color w:val="auto"/>
                <w:kern w:val="21"/>
                <w:sz w:val="24"/>
                <w:szCs w:val="24"/>
                <w:highlight w:val="none"/>
                <w:lang w:val="en-US" w:eastAsia="zh-CN"/>
              </w:rPr>
              <w:t>袋：因粉尘的磨削力，除尘器内布袋逐渐磨损，需定时更换，本项目每年更换一次布袋，废布袋产生量约为0.5t/a，废布袋交由厂家回收处理。</w:t>
            </w:r>
          </w:p>
          <w:p w14:paraId="3327C58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 w:val="24"/>
                <w:szCs w:val="24"/>
                <w:highlight w:val="none"/>
              </w:rPr>
            </w:pPr>
          </w:p>
          <w:p w14:paraId="66DFF53D">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color w:val="auto"/>
                <w:sz w:val="24"/>
                <w:szCs w:val="24"/>
                <w:highlight w:val="none"/>
                <w:lang w:eastAsia="zh-CN"/>
              </w:rPr>
            </w:pPr>
            <w:r>
              <w:rPr>
                <w:rFonts w:hint="default" w:ascii="Times New Roman" w:hAnsi="Times New Roman" w:cs="Times New Roman"/>
                <w:b/>
                <w:color w:val="auto"/>
                <w:sz w:val="24"/>
                <w:szCs w:val="24"/>
                <w:highlight w:val="none"/>
              </w:rPr>
              <w:t>表4-</w:t>
            </w:r>
            <w:r>
              <w:rPr>
                <w:rFonts w:hint="eastAsia" w:cs="Times New Roman"/>
                <w:b/>
                <w:color w:val="auto"/>
                <w:sz w:val="24"/>
                <w:szCs w:val="24"/>
                <w:highlight w:val="none"/>
                <w:lang w:val="en-US" w:eastAsia="zh-CN"/>
              </w:rPr>
              <w:t xml:space="preserve">12 </w:t>
            </w:r>
            <w:r>
              <w:rPr>
                <w:rFonts w:hint="default" w:ascii="Times New Roman" w:hAnsi="Times New Roman" w:cs="Times New Roman"/>
                <w:b/>
                <w:color w:val="auto"/>
                <w:sz w:val="24"/>
                <w:szCs w:val="24"/>
                <w:highlight w:val="none"/>
              </w:rPr>
              <w:t>固体废物排放</w:t>
            </w:r>
            <w:r>
              <w:rPr>
                <w:rFonts w:hint="eastAsia" w:cs="Times New Roman"/>
                <w:b/>
                <w:color w:val="auto"/>
                <w:sz w:val="24"/>
                <w:szCs w:val="24"/>
                <w:highlight w:val="none"/>
                <w:lang w:val="en-US" w:eastAsia="zh-CN"/>
              </w:rPr>
              <w:t>一览表</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8"/>
              <w:gridCol w:w="1200"/>
              <w:gridCol w:w="1350"/>
              <w:gridCol w:w="930"/>
              <w:gridCol w:w="690"/>
              <w:gridCol w:w="1034"/>
              <w:gridCol w:w="900"/>
              <w:gridCol w:w="1042"/>
            </w:tblGrid>
            <w:tr w14:paraId="3F63BF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8" w:type="dxa"/>
                  <w:tcBorders>
                    <w:tl2br w:val="nil"/>
                    <w:tr2bl w:val="nil"/>
                  </w:tcBorders>
                  <w:noWrap w:val="0"/>
                  <w:vAlign w:val="center"/>
                </w:tcPr>
                <w:p w14:paraId="3FD1EED9">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产生环节</w:t>
                  </w:r>
                </w:p>
              </w:tc>
              <w:tc>
                <w:tcPr>
                  <w:tcW w:w="1200" w:type="dxa"/>
                  <w:tcBorders>
                    <w:tl2br w:val="nil"/>
                    <w:tr2bl w:val="nil"/>
                  </w:tcBorders>
                  <w:noWrap w:val="0"/>
                  <w:vAlign w:val="center"/>
                </w:tcPr>
                <w:p w14:paraId="48C7A310">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w:t>
                  </w:r>
                </w:p>
                <w:p w14:paraId="62A52B7F">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1350" w:type="dxa"/>
                  <w:tcBorders>
                    <w:tl2br w:val="nil"/>
                    <w:tr2bl w:val="nil"/>
                  </w:tcBorders>
                  <w:noWrap w:val="0"/>
                  <w:vAlign w:val="center"/>
                </w:tcPr>
                <w:p w14:paraId="0BC6620D">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w:t>
                  </w:r>
                </w:p>
                <w:p w14:paraId="68E35446">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属性</w:t>
                  </w:r>
                </w:p>
              </w:tc>
              <w:tc>
                <w:tcPr>
                  <w:tcW w:w="930" w:type="dxa"/>
                  <w:tcBorders>
                    <w:tl2br w:val="nil"/>
                    <w:tr2bl w:val="nil"/>
                  </w:tcBorders>
                  <w:noWrap w:val="0"/>
                  <w:vAlign w:val="center"/>
                </w:tcPr>
                <w:p w14:paraId="3DDF1619">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产生量t/a</w:t>
                  </w:r>
                </w:p>
              </w:tc>
              <w:tc>
                <w:tcPr>
                  <w:tcW w:w="690" w:type="dxa"/>
                  <w:tcBorders>
                    <w:tl2br w:val="nil"/>
                    <w:tr2bl w:val="nil"/>
                  </w:tcBorders>
                  <w:noWrap w:val="0"/>
                  <w:vAlign w:val="center"/>
                </w:tcPr>
                <w:p w14:paraId="3C05DF39">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物理</w:t>
                  </w:r>
                </w:p>
                <w:p w14:paraId="7DDCC9C6">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性状</w:t>
                  </w:r>
                </w:p>
              </w:tc>
              <w:tc>
                <w:tcPr>
                  <w:tcW w:w="1035" w:type="dxa"/>
                  <w:tcBorders>
                    <w:tl2br w:val="nil"/>
                    <w:tr2bl w:val="nil"/>
                  </w:tcBorders>
                  <w:noWrap w:val="0"/>
                  <w:vAlign w:val="center"/>
                </w:tcPr>
                <w:p w14:paraId="078B0EDE">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贮存方式</w:t>
                  </w:r>
                </w:p>
              </w:tc>
              <w:tc>
                <w:tcPr>
                  <w:tcW w:w="900" w:type="dxa"/>
                  <w:tcBorders>
                    <w:tl2br w:val="nil"/>
                    <w:tr2bl w:val="nil"/>
                  </w:tcBorders>
                  <w:noWrap w:val="0"/>
                  <w:vAlign w:val="center"/>
                </w:tcPr>
                <w:p w14:paraId="36F0F285">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处置量t/a</w:t>
                  </w:r>
                </w:p>
              </w:tc>
              <w:tc>
                <w:tcPr>
                  <w:tcW w:w="1042" w:type="dxa"/>
                  <w:tcBorders>
                    <w:tl2br w:val="nil"/>
                    <w:tr2bl w:val="nil"/>
                  </w:tcBorders>
                  <w:noWrap w:val="0"/>
                  <w:vAlign w:val="center"/>
                </w:tcPr>
                <w:p w14:paraId="2854EEA0">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最终去向</w:t>
                  </w:r>
                </w:p>
              </w:tc>
            </w:tr>
            <w:tr w14:paraId="0EA4FB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808" w:type="dxa"/>
                  <w:tcBorders>
                    <w:tl2br w:val="nil"/>
                    <w:tr2bl w:val="nil"/>
                  </w:tcBorders>
                  <w:noWrap w:val="0"/>
                  <w:vAlign w:val="center"/>
                </w:tcPr>
                <w:p w14:paraId="495A1D75">
                  <w:pPr>
                    <w:pStyle w:val="134"/>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bCs/>
                      <w:color w:val="auto"/>
                      <w:sz w:val="21"/>
                      <w:szCs w:val="21"/>
                      <w:highlight w:val="none"/>
                      <w:lang w:val="en-US" w:eastAsia="zh-CN"/>
                    </w:rPr>
                  </w:pPr>
                  <w:r>
                    <w:rPr>
                      <w:rFonts w:hint="eastAsia" w:cs="Times New Roman"/>
                      <w:color w:val="auto"/>
                      <w:spacing w:val="0"/>
                      <w:kern w:val="2"/>
                      <w:sz w:val="21"/>
                      <w:szCs w:val="21"/>
                      <w:highlight w:val="none"/>
                      <w:lang w:val="en-US" w:eastAsia="zh-CN" w:bidi="ar-SA"/>
                    </w:rPr>
                    <w:t>生活</w:t>
                  </w:r>
                </w:p>
              </w:tc>
              <w:tc>
                <w:tcPr>
                  <w:tcW w:w="1200" w:type="dxa"/>
                  <w:tcBorders>
                    <w:tl2br w:val="nil"/>
                    <w:tr2bl w:val="nil"/>
                  </w:tcBorders>
                  <w:noWrap w:val="0"/>
                  <w:vAlign w:val="center"/>
                </w:tcPr>
                <w:p w14:paraId="55AD3D56">
                  <w:pPr>
                    <w:pStyle w:val="134"/>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sz w:val="21"/>
                      <w:szCs w:val="21"/>
                      <w:highlight w:val="none"/>
                      <w:lang w:val="en-US" w:eastAsia="zh-CN"/>
                    </w:rPr>
                  </w:pPr>
                  <w:r>
                    <w:rPr>
                      <w:rFonts w:hint="eastAsia" w:cs="Times New Roman"/>
                      <w:color w:val="auto"/>
                      <w:spacing w:val="0"/>
                      <w:sz w:val="21"/>
                      <w:szCs w:val="21"/>
                      <w:highlight w:val="none"/>
                      <w:lang w:val="en-US" w:eastAsia="zh-CN"/>
                    </w:rPr>
                    <w:t>生活垃圾</w:t>
                  </w:r>
                </w:p>
              </w:tc>
              <w:tc>
                <w:tcPr>
                  <w:tcW w:w="1350" w:type="dxa"/>
                  <w:tcBorders>
                    <w:tl2br w:val="nil"/>
                    <w:tr2bl w:val="nil"/>
                  </w:tcBorders>
                  <w:noWrap w:val="0"/>
                  <w:vAlign w:val="center"/>
                </w:tcPr>
                <w:p w14:paraId="109C19EC">
                  <w:pPr>
                    <w:pStyle w:val="14"/>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生活垃圾</w:t>
                  </w:r>
                </w:p>
                <w:p w14:paraId="245AA245">
                  <w:pPr>
                    <w:pStyle w:val="15"/>
                    <w:keepNext w:val="0"/>
                    <w:keepLines w:val="0"/>
                    <w:pageBreakBefore w:val="0"/>
                    <w:widowControl/>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900-099-S64</w:t>
                  </w:r>
                </w:p>
              </w:tc>
              <w:tc>
                <w:tcPr>
                  <w:tcW w:w="930" w:type="dxa"/>
                  <w:tcBorders>
                    <w:tl2br w:val="nil"/>
                    <w:tr2bl w:val="nil"/>
                  </w:tcBorders>
                  <w:noWrap w:val="0"/>
                  <w:vAlign w:val="center"/>
                </w:tcPr>
                <w:p w14:paraId="47C5AB5D">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0.2</w:t>
                  </w:r>
                </w:p>
              </w:tc>
              <w:tc>
                <w:tcPr>
                  <w:tcW w:w="690" w:type="dxa"/>
                  <w:tcBorders>
                    <w:tl2br w:val="nil"/>
                    <w:tr2bl w:val="nil"/>
                  </w:tcBorders>
                  <w:noWrap w:val="0"/>
                  <w:vAlign w:val="center"/>
                </w:tcPr>
                <w:p w14:paraId="10F57D55">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固</w:t>
                  </w:r>
                  <w:r>
                    <w:rPr>
                      <w:rFonts w:hint="eastAsia" w:cs="Times New Roman"/>
                      <w:color w:val="auto"/>
                      <w:sz w:val="21"/>
                      <w:szCs w:val="21"/>
                      <w:highlight w:val="none"/>
                      <w:lang w:val="en-US" w:eastAsia="zh-CN"/>
                    </w:rPr>
                    <w:t>态</w:t>
                  </w:r>
                </w:p>
              </w:tc>
              <w:tc>
                <w:tcPr>
                  <w:tcW w:w="1035" w:type="dxa"/>
                  <w:tcBorders>
                    <w:tl2br w:val="nil"/>
                    <w:tr2bl w:val="nil"/>
                  </w:tcBorders>
                  <w:noWrap w:val="0"/>
                  <w:vAlign w:val="center"/>
                </w:tcPr>
                <w:p w14:paraId="5624B1CF">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垃圾桶</w:t>
                  </w:r>
                </w:p>
              </w:tc>
              <w:tc>
                <w:tcPr>
                  <w:tcW w:w="900" w:type="dxa"/>
                  <w:tcBorders>
                    <w:tl2br w:val="nil"/>
                    <w:tr2bl w:val="nil"/>
                  </w:tcBorders>
                  <w:noWrap w:val="0"/>
                  <w:vAlign w:val="center"/>
                </w:tcPr>
                <w:p w14:paraId="663F72B1">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0.2</w:t>
                  </w:r>
                </w:p>
              </w:tc>
              <w:tc>
                <w:tcPr>
                  <w:tcW w:w="1042" w:type="dxa"/>
                  <w:tcBorders>
                    <w:tl2br w:val="nil"/>
                    <w:tr2bl w:val="nil"/>
                  </w:tcBorders>
                  <w:noWrap w:val="0"/>
                  <w:vAlign w:val="center"/>
                </w:tcPr>
                <w:p w14:paraId="0A7F2BC9">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eastAsia"/>
                      <w:color w:val="auto"/>
                      <w:sz w:val="21"/>
                      <w:szCs w:val="21"/>
                      <w:highlight w:val="none"/>
                    </w:rPr>
                    <w:t>由市政环卫部门统一清运</w:t>
                  </w:r>
                </w:p>
              </w:tc>
            </w:tr>
            <w:tr w14:paraId="501A99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8" w:type="dxa"/>
                  <w:vMerge w:val="restart"/>
                  <w:tcBorders>
                    <w:tl2br w:val="nil"/>
                    <w:tr2bl w:val="nil"/>
                  </w:tcBorders>
                  <w:noWrap w:val="0"/>
                  <w:vAlign w:val="center"/>
                </w:tcPr>
                <w:p w14:paraId="64294C42">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color w:val="auto"/>
                      <w:sz w:val="21"/>
                      <w:szCs w:val="21"/>
                      <w:highlight w:val="none"/>
                      <w:lang w:eastAsia="zh-CN"/>
                    </w:rPr>
                    <w:t>热风炉</w:t>
                  </w:r>
                </w:p>
              </w:tc>
              <w:tc>
                <w:tcPr>
                  <w:tcW w:w="1200" w:type="dxa"/>
                  <w:tcBorders>
                    <w:tl2br w:val="nil"/>
                    <w:tr2bl w:val="nil"/>
                  </w:tcBorders>
                  <w:noWrap w:val="0"/>
                  <w:vAlign w:val="center"/>
                </w:tcPr>
                <w:p w14:paraId="3D77BE80">
                  <w:pPr>
                    <w:pStyle w:val="134"/>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热风炉炉渣</w:t>
                  </w:r>
                </w:p>
              </w:tc>
              <w:tc>
                <w:tcPr>
                  <w:tcW w:w="1350" w:type="dxa"/>
                  <w:tcBorders>
                    <w:tl2br w:val="nil"/>
                    <w:tr2bl w:val="nil"/>
                  </w:tcBorders>
                  <w:noWrap w:val="0"/>
                  <w:vAlign w:val="center"/>
                </w:tcPr>
                <w:p w14:paraId="465FDE65">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一般工业</w:t>
                  </w:r>
                </w:p>
                <w:p w14:paraId="43A99D01">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固体废物</w:t>
                  </w:r>
                  <w:r>
                    <w:rPr>
                      <w:rFonts w:hint="default" w:ascii="Times New Roman" w:hAnsi="Times New Roman" w:eastAsia="宋体" w:cs="Times New Roman"/>
                      <w:color w:val="auto"/>
                      <w:sz w:val="21"/>
                      <w:szCs w:val="21"/>
                      <w:highlight w:val="none"/>
                      <w:lang w:val="en-US" w:eastAsia="zh-CN"/>
                    </w:rPr>
                    <w:t>900-099-S03</w:t>
                  </w:r>
                </w:p>
              </w:tc>
              <w:tc>
                <w:tcPr>
                  <w:tcW w:w="930" w:type="dxa"/>
                  <w:tcBorders>
                    <w:tl2br w:val="nil"/>
                    <w:tr2bl w:val="nil"/>
                  </w:tcBorders>
                  <w:noWrap w:val="0"/>
                  <w:vAlign w:val="center"/>
                </w:tcPr>
                <w:p w14:paraId="4549AC24">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color w:val="auto"/>
                      <w:sz w:val="21"/>
                      <w:szCs w:val="21"/>
                      <w:highlight w:val="none"/>
                      <w:lang w:val="en-US" w:eastAsia="zh-CN"/>
                    </w:rPr>
                    <w:t>229.59</w:t>
                  </w:r>
                </w:p>
              </w:tc>
              <w:tc>
                <w:tcPr>
                  <w:tcW w:w="690" w:type="dxa"/>
                  <w:tcBorders>
                    <w:tl2br w:val="nil"/>
                    <w:tr2bl w:val="nil"/>
                  </w:tcBorders>
                  <w:noWrap w:val="0"/>
                  <w:vAlign w:val="center"/>
                </w:tcPr>
                <w:p w14:paraId="09E2F70F">
                  <w:pPr>
                    <w:keepNext w:val="0"/>
                    <w:keepLines w:val="0"/>
                    <w:pageBreakBefore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固</w:t>
                  </w:r>
                  <w:r>
                    <w:rPr>
                      <w:rFonts w:hint="eastAsia" w:cs="Times New Roman"/>
                      <w:color w:val="auto"/>
                      <w:sz w:val="21"/>
                      <w:szCs w:val="21"/>
                      <w:highlight w:val="none"/>
                      <w:lang w:val="en-US" w:eastAsia="zh-CN"/>
                    </w:rPr>
                    <w:t>态</w:t>
                  </w:r>
                </w:p>
              </w:tc>
              <w:tc>
                <w:tcPr>
                  <w:tcW w:w="1035" w:type="dxa"/>
                  <w:vMerge w:val="restart"/>
                  <w:tcBorders>
                    <w:tl2br w:val="nil"/>
                    <w:tr2bl w:val="nil"/>
                  </w:tcBorders>
                  <w:noWrap w:val="0"/>
                  <w:vAlign w:val="center"/>
                </w:tcPr>
                <w:p w14:paraId="4387132F">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袋装储存，暂存于热风炉房灰渣间内</w:t>
                  </w:r>
                </w:p>
              </w:tc>
              <w:tc>
                <w:tcPr>
                  <w:tcW w:w="900" w:type="dxa"/>
                  <w:tcBorders>
                    <w:tl2br w:val="nil"/>
                    <w:tr2bl w:val="nil"/>
                  </w:tcBorders>
                  <w:noWrap w:val="0"/>
                  <w:vAlign w:val="center"/>
                </w:tcPr>
                <w:p w14:paraId="0BA25C46">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1"/>
                      <w:szCs w:val="21"/>
                      <w:highlight w:val="none"/>
                      <w:lang w:val="en-US" w:eastAsia="zh-CN"/>
                    </w:rPr>
                    <w:t>229.59</w:t>
                  </w:r>
                </w:p>
              </w:tc>
              <w:tc>
                <w:tcPr>
                  <w:tcW w:w="1042" w:type="dxa"/>
                  <w:vMerge w:val="restart"/>
                  <w:tcBorders>
                    <w:tl2br w:val="nil"/>
                    <w:tr2bl w:val="nil"/>
                  </w:tcBorders>
                  <w:noWrap w:val="0"/>
                  <w:vAlign w:val="center"/>
                </w:tcPr>
                <w:p w14:paraId="5A9829C7">
                  <w:pPr>
                    <w:pStyle w:val="134"/>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eastAsia" w:ascii="Times New Roman" w:hAnsi="Times New Roman" w:cs="Times New Roman"/>
                      <w:color w:val="auto"/>
                      <w:sz w:val="21"/>
                      <w:szCs w:val="21"/>
                      <w:highlight w:val="none"/>
                      <w:lang w:eastAsia="zh-CN"/>
                    </w:rPr>
                    <w:t>集中收集</w:t>
                  </w:r>
                  <w:r>
                    <w:rPr>
                      <w:rFonts w:hint="eastAsia" w:cs="Times New Roman"/>
                      <w:color w:val="auto"/>
                      <w:sz w:val="21"/>
                      <w:szCs w:val="21"/>
                      <w:highlight w:val="none"/>
                      <w:lang w:eastAsia="zh-CN"/>
                    </w:rPr>
                    <w:t>，</w:t>
                  </w:r>
                  <w:r>
                    <w:rPr>
                      <w:rFonts w:hint="eastAsia" w:ascii="Times New Roman" w:hAnsi="Times New Roman" w:cs="Times New Roman"/>
                      <w:color w:val="auto"/>
                      <w:sz w:val="21"/>
                      <w:szCs w:val="21"/>
                      <w:highlight w:val="none"/>
                      <w:lang w:eastAsia="zh-CN"/>
                    </w:rPr>
                    <w:t>外售</w:t>
                  </w:r>
                </w:p>
              </w:tc>
            </w:tr>
            <w:tr w14:paraId="777507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8" w:type="dxa"/>
                  <w:vMerge w:val="continue"/>
                  <w:tcBorders>
                    <w:tl2br w:val="nil"/>
                    <w:tr2bl w:val="nil"/>
                  </w:tcBorders>
                  <w:noWrap w:val="0"/>
                  <w:vAlign w:val="center"/>
                </w:tcPr>
                <w:p w14:paraId="5D892D93">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leftChars="0" w:right="0" w:rightChars="0"/>
                    <w:contextualSpacing/>
                    <w:jc w:val="center"/>
                    <w:textAlignment w:val="auto"/>
                    <w:rPr>
                      <w:rFonts w:hint="default" w:ascii="Times New Roman" w:hAnsi="Times New Roman" w:eastAsia="宋体" w:cs="Times New Roman"/>
                      <w:color w:val="auto"/>
                      <w:sz w:val="21"/>
                      <w:szCs w:val="21"/>
                      <w:highlight w:val="none"/>
                    </w:rPr>
                  </w:pPr>
                </w:p>
              </w:tc>
              <w:tc>
                <w:tcPr>
                  <w:tcW w:w="1200" w:type="dxa"/>
                  <w:tcBorders>
                    <w:tl2br w:val="nil"/>
                    <w:tr2bl w:val="nil"/>
                  </w:tcBorders>
                  <w:noWrap w:val="0"/>
                  <w:vAlign w:val="center"/>
                </w:tcPr>
                <w:p w14:paraId="62FDCAF0">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leftChars="0" w:right="0" w:rightChars="0"/>
                    <w:contextualSpacing/>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热风炉</w:t>
                  </w:r>
                  <w:r>
                    <w:rPr>
                      <w:rFonts w:hint="default" w:ascii="Times New Roman" w:hAnsi="Times New Roman" w:cs="Times New Roman"/>
                      <w:color w:val="auto"/>
                      <w:sz w:val="21"/>
                      <w:szCs w:val="21"/>
                      <w:highlight w:val="none"/>
                      <w:lang w:eastAsia="zh-CN"/>
                    </w:rPr>
                    <w:t>除尘器回收粉尘</w:t>
                  </w:r>
                </w:p>
              </w:tc>
              <w:tc>
                <w:tcPr>
                  <w:tcW w:w="1350" w:type="dxa"/>
                  <w:tcBorders>
                    <w:tl2br w:val="nil"/>
                    <w:tr2bl w:val="nil"/>
                  </w:tcBorders>
                  <w:noWrap w:val="0"/>
                  <w:vAlign w:val="center"/>
                </w:tcPr>
                <w:p w14:paraId="387A3919">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一般工业</w:t>
                  </w:r>
                </w:p>
                <w:p w14:paraId="56673B23">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固体废物</w:t>
                  </w:r>
                  <w:r>
                    <w:rPr>
                      <w:rFonts w:hint="default" w:ascii="Times New Roman" w:hAnsi="Times New Roman" w:eastAsia="宋体" w:cs="Times New Roman"/>
                      <w:color w:val="auto"/>
                      <w:sz w:val="21"/>
                      <w:szCs w:val="21"/>
                      <w:highlight w:val="none"/>
                      <w:lang w:val="en-US" w:eastAsia="zh-CN"/>
                    </w:rPr>
                    <w:t>900-001-S02</w:t>
                  </w:r>
                </w:p>
              </w:tc>
              <w:tc>
                <w:tcPr>
                  <w:tcW w:w="930" w:type="dxa"/>
                  <w:tcBorders>
                    <w:tl2br w:val="nil"/>
                    <w:tr2bl w:val="nil"/>
                  </w:tcBorders>
                  <w:noWrap w:val="0"/>
                  <w:vAlign w:val="center"/>
                </w:tcPr>
                <w:p w14:paraId="28778BD4">
                  <w:pPr>
                    <w:pStyle w:val="134"/>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65.272</w:t>
                  </w:r>
                </w:p>
              </w:tc>
              <w:tc>
                <w:tcPr>
                  <w:tcW w:w="690" w:type="dxa"/>
                  <w:tcBorders>
                    <w:tl2br w:val="nil"/>
                    <w:tr2bl w:val="nil"/>
                  </w:tcBorders>
                  <w:noWrap w:val="0"/>
                  <w:vAlign w:val="center"/>
                </w:tcPr>
                <w:p w14:paraId="5428A570">
                  <w:pPr>
                    <w:pStyle w:val="134"/>
                    <w:keepNext w:val="0"/>
                    <w:keepLines w:val="0"/>
                    <w:pageBreakBefore w:val="0"/>
                    <w:suppressLineNumbers w:val="0"/>
                    <w:kinsoku/>
                    <w:wordWrap/>
                    <w:overflowPunct/>
                    <w:topLinePunct w:val="0"/>
                    <w:bidi w:val="0"/>
                    <w:spacing w:before="0" w:beforeAutospacing="0" w:after="0" w:afterAutospacing="0" w:line="240" w:lineRule="auto"/>
                    <w:ind w:left="0" w:right="0"/>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固态</w:t>
                  </w:r>
                </w:p>
              </w:tc>
              <w:tc>
                <w:tcPr>
                  <w:tcW w:w="1035" w:type="dxa"/>
                  <w:vMerge w:val="continue"/>
                  <w:tcBorders>
                    <w:tl2br w:val="nil"/>
                    <w:tr2bl w:val="nil"/>
                  </w:tcBorders>
                  <w:noWrap w:val="0"/>
                  <w:vAlign w:val="center"/>
                </w:tcPr>
                <w:p w14:paraId="3F558C65">
                  <w:pPr>
                    <w:pStyle w:val="134"/>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900" w:type="dxa"/>
                  <w:tcBorders>
                    <w:tl2br w:val="nil"/>
                    <w:tr2bl w:val="nil"/>
                  </w:tcBorders>
                  <w:noWrap w:val="0"/>
                  <w:vAlign w:val="center"/>
                </w:tcPr>
                <w:p w14:paraId="50BE8E99">
                  <w:pPr>
                    <w:pStyle w:val="134"/>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65.272</w:t>
                  </w:r>
                </w:p>
              </w:tc>
              <w:tc>
                <w:tcPr>
                  <w:tcW w:w="1042" w:type="dxa"/>
                  <w:vMerge w:val="continue"/>
                  <w:tcBorders>
                    <w:tl2br w:val="nil"/>
                    <w:tr2bl w:val="nil"/>
                  </w:tcBorders>
                  <w:noWrap w:val="0"/>
                  <w:vAlign w:val="center"/>
                </w:tcPr>
                <w:p w14:paraId="0A17A985">
                  <w:pPr>
                    <w:pStyle w:val="134"/>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r>
            <w:tr w14:paraId="62736F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8" w:type="dxa"/>
                  <w:tcBorders>
                    <w:tl2br w:val="nil"/>
                    <w:tr2bl w:val="nil"/>
                  </w:tcBorders>
                  <w:noWrap w:val="0"/>
                  <w:vAlign w:val="center"/>
                </w:tcPr>
                <w:p w14:paraId="1D8EC930">
                  <w:pPr>
                    <w:pStyle w:val="134"/>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bCs/>
                      <w:color w:val="auto"/>
                      <w:sz w:val="21"/>
                      <w:szCs w:val="21"/>
                      <w:highlight w:val="none"/>
                    </w:rPr>
                  </w:pPr>
                  <w:r>
                    <w:rPr>
                      <w:rFonts w:hint="eastAsia" w:cs="Times New Roman"/>
                      <w:color w:val="auto"/>
                      <w:sz w:val="21"/>
                      <w:szCs w:val="21"/>
                      <w:highlight w:val="none"/>
                      <w:lang w:val="en-US" w:eastAsia="zh-CN"/>
                    </w:rPr>
                    <w:t>工艺粉尘</w:t>
                  </w:r>
                </w:p>
              </w:tc>
              <w:tc>
                <w:tcPr>
                  <w:tcW w:w="1200" w:type="dxa"/>
                  <w:tcBorders>
                    <w:tl2br w:val="nil"/>
                    <w:tr2bl w:val="nil"/>
                  </w:tcBorders>
                  <w:noWrap w:val="0"/>
                  <w:vAlign w:val="center"/>
                </w:tcPr>
                <w:p w14:paraId="53E5024B">
                  <w:pPr>
                    <w:pStyle w:val="134"/>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eastAsia="zh-CN"/>
                    </w:rPr>
                    <w:t>初清杂质及</w:t>
                  </w:r>
                  <w:r>
                    <w:rPr>
                      <w:rFonts w:hint="default" w:ascii="Times New Roman" w:hAnsi="Times New Roman" w:eastAsia="宋体" w:cs="Times New Roman"/>
                      <w:bCs/>
                      <w:color w:val="auto"/>
                      <w:sz w:val="21"/>
                      <w:szCs w:val="21"/>
                      <w:highlight w:val="none"/>
                    </w:rPr>
                    <w:t>烘干、筛分、装卸</w:t>
                  </w:r>
                  <w:r>
                    <w:rPr>
                      <w:rFonts w:hint="default" w:ascii="Times New Roman" w:hAnsi="Times New Roman" w:eastAsia="宋体" w:cs="Times New Roman"/>
                      <w:bCs/>
                      <w:color w:val="auto"/>
                      <w:sz w:val="21"/>
                      <w:szCs w:val="21"/>
                      <w:highlight w:val="none"/>
                      <w:lang w:val="en-US" w:eastAsia="zh-CN"/>
                    </w:rPr>
                    <w:t>收集</w:t>
                  </w:r>
                  <w:r>
                    <w:rPr>
                      <w:rFonts w:hint="default" w:ascii="Times New Roman" w:hAnsi="Times New Roman" w:eastAsia="宋体" w:cs="Times New Roman"/>
                      <w:bCs/>
                      <w:color w:val="auto"/>
                      <w:sz w:val="21"/>
                      <w:szCs w:val="21"/>
                      <w:highlight w:val="none"/>
                      <w:lang w:eastAsia="zh-CN"/>
                    </w:rPr>
                    <w:t>粉尘</w:t>
                  </w:r>
                </w:p>
              </w:tc>
              <w:tc>
                <w:tcPr>
                  <w:tcW w:w="1350" w:type="dxa"/>
                  <w:tcBorders>
                    <w:tl2br w:val="nil"/>
                    <w:tr2bl w:val="nil"/>
                  </w:tcBorders>
                  <w:noWrap w:val="0"/>
                  <w:vAlign w:val="center"/>
                </w:tcPr>
                <w:p w14:paraId="3CBACA21">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一般工业</w:t>
                  </w:r>
                </w:p>
                <w:p w14:paraId="04F5DB97">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固体废物</w:t>
                  </w:r>
                </w:p>
                <w:p w14:paraId="71601FE2">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olor w:val="auto"/>
                      <w:sz w:val="21"/>
                      <w:szCs w:val="21"/>
                      <w:lang w:eastAsia="zh-CN"/>
                    </w:rPr>
                  </w:pPr>
                  <w:r>
                    <w:rPr>
                      <w:rFonts w:hint="default" w:ascii="Times New Roman" w:hAnsi="Times New Roman" w:eastAsia="宋体" w:cs="Times New Roman"/>
                      <w:color w:val="auto"/>
                      <w:sz w:val="21"/>
                      <w:szCs w:val="21"/>
                      <w:highlight w:val="none"/>
                      <w:lang w:val="en-US" w:eastAsia="zh-CN"/>
                    </w:rPr>
                    <w:t>900-099-S59</w:t>
                  </w:r>
                </w:p>
              </w:tc>
              <w:tc>
                <w:tcPr>
                  <w:tcW w:w="930" w:type="dxa"/>
                  <w:tcBorders>
                    <w:tl2br w:val="nil"/>
                    <w:tr2bl w:val="nil"/>
                  </w:tcBorders>
                  <w:noWrap w:val="0"/>
                  <w:vAlign w:val="center"/>
                </w:tcPr>
                <w:p w14:paraId="0DABF627">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42.46</w:t>
                  </w:r>
                </w:p>
              </w:tc>
              <w:tc>
                <w:tcPr>
                  <w:tcW w:w="690" w:type="dxa"/>
                  <w:tcBorders>
                    <w:tl2br w:val="nil"/>
                    <w:tr2bl w:val="nil"/>
                  </w:tcBorders>
                  <w:noWrap w:val="0"/>
                  <w:vAlign w:val="center"/>
                </w:tcPr>
                <w:p w14:paraId="31F19D9B">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固</w:t>
                  </w:r>
                  <w:r>
                    <w:rPr>
                      <w:rFonts w:hint="eastAsia" w:cs="Times New Roman"/>
                      <w:color w:val="auto"/>
                      <w:sz w:val="21"/>
                      <w:szCs w:val="21"/>
                      <w:highlight w:val="none"/>
                      <w:lang w:val="en-US" w:eastAsia="zh-CN"/>
                    </w:rPr>
                    <w:t>态</w:t>
                  </w:r>
                </w:p>
              </w:tc>
              <w:tc>
                <w:tcPr>
                  <w:tcW w:w="1035" w:type="dxa"/>
                  <w:tcBorders>
                    <w:tl2br w:val="nil"/>
                    <w:tr2bl w:val="nil"/>
                  </w:tcBorders>
                  <w:noWrap w:val="0"/>
                  <w:vAlign w:val="center"/>
                </w:tcPr>
                <w:p w14:paraId="7A226FC5">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color w:val="auto"/>
                      <w:sz w:val="21"/>
                      <w:szCs w:val="21"/>
                      <w:highlight w:val="none"/>
                      <w:lang w:val="en-US" w:eastAsia="zh-CN"/>
                    </w:rPr>
                    <w:t>垃圾桶</w:t>
                  </w:r>
                </w:p>
              </w:tc>
              <w:tc>
                <w:tcPr>
                  <w:tcW w:w="900" w:type="dxa"/>
                  <w:tcBorders>
                    <w:tl2br w:val="nil"/>
                    <w:tr2bl w:val="nil"/>
                  </w:tcBorders>
                  <w:shd w:val="clear" w:color="auto" w:fill="auto"/>
                  <w:noWrap w:val="0"/>
                  <w:vAlign w:val="center"/>
                </w:tcPr>
                <w:p w14:paraId="7C82EFDD">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42.46</w:t>
                  </w:r>
                </w:p>
              </w:tc>
              <w:tc>
                <w:tcPr>
                  <w:tcW w:w="1042" w:type="dxa"/>
                  <w:tcBorders>
                    <w:tl2br w:val="nil"/>
                    <w:tr2bl w:val="nil"/>
                  </w:tcBorders>
                  <w:noWrap w:val="0"/>
                  <w:vAlign w:val="center"/>
                </w:tcPr>
                <w:p w14:paraId="766334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运至当地垃圾收集点，由市政部门收集转运</w:t>
                  </w:r>
                </w:p>
              </w:tc>
            </w:tr>
            <w:tr w14:paraId="23FB21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8" w:type="dxa"/>
                  <w:tcBorders>
                    <w:tl2br w:val="nil"/>
                    <w:tr2bl w:val="nil"/>
                  </w:tcBorders>
                  <w:noWrap w:val="0"/>
                  <w:vAlign w:val="center"/>
                </w:tcPr>
                <w:p w14:paraId="3D1BA6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布袋除尘器</w:t>
                  </w:r>
                </w:p>
              </w:tc>
              <w:tc>
                <w:tcPr>
                  <w:tcW w:w="1200" w:type="dxa"/>
                  <w:tcBorders>
                    <w:tl2br w:val="nil"/>
                    <w:tr2bl w:val="nil"/>
                  </w:tcBorders>
                  <w:noWrap w:val="0"/>
                  <w:vAlign w:val="center"/>
                </w:tcPr>
                <w:p w14:paraId="01C54A94">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废布袋</w:t>
                  </w:r>
                </w:p>
              </w:tc>
              <w:tc>
                <w:tcPr>
                  <w:tcW w:w="1350" w:type="dxa"/>
                  <w:tcBorders>
                    <w:tl2br w:val="nil"/>
                    <w:tr2bl w:val="nil"/>
                  </w:tcBorders>
                  <w:noWrap w:val="0"/>
                  <w:vAlign w:val="center"/>
                </w:tcPr>
                <w:p w14:paraId="46026723">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一般工业</w:t>
                  </w:r>
                </w:p>
                <w:p w14:paraId="0A94C254">
                  <w:pPr>
                    <w:pStyle w:val="1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w:t>
                  </w:r>
                </w:p>
                <w:p w14:paraId="318A1760">
                  <w:pPr>
                    <w:pStyle w:val="15"/>
                    <w:keepNext w:val="0"/>
                    <w:keepLines w:val="0"/>
                    <w:suppressLineNumbers w:val="0"/>
                    <w:spacing w:before="0" w:beforeAutospacing="0" w:after="0" w:afterAutospacing="0"/>
                    <w:ind w:left="0" w:right="0"/>
                    <w:jc w:val="center"/>
                    <w:rPr>
                      <w:rFonts w:hint="default"/>
                      <w:color w:val="auto"/>
                      <w:sz w:val="21"/>
                      <w:szCs w:val="21"/>
                      <w:highlight w:val="none"/>
                    </w:rPr>
                  </w:pPr>
                  <w:r>
                    <w:rPr>
                      <w:rFonts w:hint="default" w:ascii="Times New Roman" w:hAnsi="Times New Roman" w:cs="Times New Roman"/>
                      <w:color w:val="auto"/>
                      <w:sz w:val="21"/>
                      <w:szCs w:val="21"/>
                      <w:highlight w:val="none"/>
                      <w:lang w:val="en-US" w:eastAsia="zh-CN"/>
                    </w:rPr>
                    <w:t>900-009-S59</w:t>
                  </w:r>
                </w:p>
              </w:tc>
              <w:tc>
                <w:tcPr>
                  <w:tcW w:w="930" w:type="dxa"/>
                  <w:tcBorders>
                    <w:tl2br w:val="nil"/>
                    <w:tr2bl w:val="nil"/>
                  </w:tcBorders>
                  <w:noWrap w:val="0"/>
                  <w:vAlign w:val="center"/>
                </w:tcPr>
                <w:p w14:paraId="05EE4E87">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0.5</w:t>
                  </w:r>
                </w:p>
              </w:tc>
              <w:tc>
                <w:tcPr>
                  <w:tcW w:w="690" w:type="dxa"/>
                  <w:tcBorders>
                    <w:tl2br w:val="nil"/>
                    <w:tr2bl w:val="nil"/>
                  </w:tcBorders>
                  <w:noWrap w:val="0"/>
                  <w:vAlign w:val="center"/>
                </w:tcPr>
                <w:p w14:paraId="1705637D">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w:t>
                  </w:r>
                  <w:r>
                    <w:rPr>
                      <w:rFonts w:hint="eastAsia" w:cs="Times New Roman"/>
                      <w:color w:val="auto"/>
                      <w:sz w:val="21"/>
                      <w:szCs w:val="21"/>
                      <w:highlight w:val="none"/>
                      <w:lang w:val="en-US" w:eastAsia="zh-CN"/>
                    </w:rPr>
                    <w:t>态</w:t>
                  </w:r>
                </w:p>
              </w:tc>
              <w:tc>
                <w:tcPr>
                  <w:tcW w:w="1035" w:type="dxa"/>
                  <w:tcBorders>
                    <w:tl2br w:val="nil"/>
                    <w:tr2bl w:val="nil"/>
                  </w:tcBorders>
                  <w:noWrap w:val="0"/>
                  <w:vAlign w:val="center"/>
                </w:tcPr>
                <w:p w14:paraId="2E226C27">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集中收集</w:t>
                  </w:r>
                </w:p>
              </w:tc>
              <w:tc>
                <w:tcPr>
                  <w:tcW w:w="900" w:type="dxa"/>
                  <w:tcBorders>
                    <w:tl2br w:val="nil"/>
                    <w:tr2bl w:val="nil"/>
                  </w:tcBorders>
                  <w:noWrap w:val="0"/>
                  <w:vAlign w:val="center"/>
                </w:tcPr>
                <w:p w14:paraId="2A2F861E">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0.5</w:t>
                  </w:r>
                </w:p>
              </w:tc>
              <w:tc>
                <w:tcPr>
                  <w:tcW w:w="1042" w:type="dxa"/>
                  <w:tcBorders>
                    <w:tl2br w:val="nil"/>
                    <w:tr2bl w:val="nil"/>
                  </w:tcBorders>
                  <w:noWrap w:val="0"/>
                  <w:vAlign w:val="center"/>
                </w:tcPr>
                <w:p w14:paraId="74581D2A">
                  <w:pPr>
                    <w:pStyle w:val="134"/>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由厂家回收处理</w:t>
                  </w:r>
                </w:p>
              </w:tc>
            </w:tr>
          </w:tbl>
          <w:p w14:paraId="6DE4BE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kern w:val="21"/>
                <w:sz w:val="24"/>
                <w:szCs w:val="24"/>
                <w:highlight w:val="none"/>
                <w:lang w:val="en-US" w:eastAsia="zh-CN"/>
              </w:rPr>
            </w:pPr>
            <w:r>
              <w:rPr>
                <w:rFonts w:hint="default" w:ascii="Times New Roman" w:hAnsi="Times New Roman" w:eastAsia="宋体" w:cs="Times New Roman"/>
                <w:color w:val="auto"/>
                <w:sz w:val="24"/>
                <w:szCs w:val="24"/>
                <w:highlight w:val="none"/>
              </w:rPr>
              <w:t>本项目运营期产生的固体废物主要为</w:t>
            </w:r>
            <w:r>
              <w:rPr>
                <w:rFonts w:hint="default" w:ascii="Times New Roman" w:hAnsi="Times New Roman" w:eastAsia="宋体" w:cs="Times New Roman"/>
                <w:color w:val="auto"/>
                <w:sz w:val="24"/>
                <w:szCs w:val="24"/>
                <w:highlight w:val="none"/>
                <w:lang w:val="en-US" w:eastAsia="zh-CN"/>
              </w:rPr>
              <w:t>员</w:t>
            </w:r>
            <w:r>
              <w:rPr>
                <w:rFonts w:hint="default" w:ascii="Times New Roman" w:hAnsi="Times New Roman" w:eastAsia="宋体" w:cs="Times New Roman"/>
                <w:color w:val="auto"/>
                <w:sz w:val="24"/>
                <w:szCs w:val="24"/>
                <w:highlight w:val="none"/>
              </w:rPr>
              <w:t>工生活垃圾</w:t>
            </w:r>
            <w:r>
              <w:rPr>
                <w:rFonts w:hint="eastAsia"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热风炉</w:t>
            </w:r>
            <w:r>
              <w:rPr>
                <w:rFonts w:hint="eastAsia" w:ascii="Times New Roman" w:hAnsi="Times New Roman" w:eastAsia="宋体" w:cs="Times New Roman"/>
                <w:color w:val="auto"/>
                <w:sz w:val="24"/>
                <w:szCs w:val="24"/>
                <w:highlight w:val="none"/>
              </w:rPr>
              <w:t>布袋除尘器收尘、热风炉炉渣</w:t>
            </w:r>
            <w:r>
              <w:rPr>
                <w:rFonts w:hint="eastAsia" w:ascii="Times New Roman" w:hAnsi="Times New Roman" w:eastAsia="宋体" w:cs="Times New Roman"/>
                <w:color w:val="auto"/>
                <w:sz w:val="24"/>
                <w:szCs w:val="24"/>
                <w:highlight w:val="none"/>
                <w:lang w:eastAsia="zh-CN"/>
              </w:rPr>
              <w:t>、初清杂质及</w:t>
            </w:r>
            <w:r>
              <w:rPr>
                <w:rFonts w:hint="default" w:ascii="Times New Roman" w:hAnsi="Times New Roman" w:eastAsia="宋体" w:cs="Times New Roman"/>
                <w:color w:val="auto"/>
                <w:sz w:val="24"/>
                <w:szCs w:val="24"/>
                <w:highlight w:val="none"/>
              </w:rPr>
              <w:t>烘干、筛分、装卸</w:t>
            </w:r>
            <w:r>
              <w:rPr>
                <w:rFonts w:hint="eastAsia" w:ascii="Times New Roman" w:hAnsi="Times New Roman" w:eastAsia="宋体" w:cs="Times New Roman"/>
                <w:color w:val="auto"/>
                <w:sz w:val="24"/>
                <w:szCs w:val="24"/>
                <w:highlight w:val="none"/>
                <w:lang w:val="en-US" w:eastAsia="zh-CN"/>
              </w:rPr>
              <w:t>收集</w:t>
            </w:r>
            <w:r>
              <w:rPr>
                <w:rFonts w:hint="eastAsia" w:ascii="Times New Roman" w:hAnsi="Times New Roman" w:eastAsia="宋体" w:cs="Times New Roman"/>
                <w:color w:val="auto"/>
                <w:sz w:val="24"/>
                <w:szCs w:val="24"/>
                <w:highlight w:val="none"/>
                <w:lang w:eastAsia="zh-CN"/>
              </w:rPr>
              <w:t>粉尘、</w:t>
            </w:r>
            <w:r>
              <w:rPr>
                <w:rFonts w:hint="eastAsia" w:ascii="Times New Roman" w:hAnsi="Times New Roman" w:eastAsia="宋体" w:cs="Times New Roman"/>
                <w:color w:val="auto"/>
                <w:sz w:val="24"/>
                <w:szCs w:val="24"/>
                <w:highlight w:val="none"/>
                <w:lang w:val="en-US" w:eastAsia="zh-CN"/>
              </w:rPr>
              <w:t>废布袋</w:t>
            </w:r>
            <w:r>
              <w:rPr>
                <w:rFonts w:hint="eastAsia"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厂区内不设置设备维修间，到专业的维修厂维修。因此无废油产生，无危险废物产生。</w:t>
            </w:r>
          </w:p>
          <w:p w14:paraId="4C49EA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bCs/>
                <w:color w:val="auto"/>
                <w:sz w:val="24"/>
                <w:szCs w:val="24"/>
                <w:highlight w:val="none"/>
              </w:rPr>
            </w:pPr>
            <w:r>
              <w:rPr>
                <w:rFonts w:hint="eastAsia" w:cs="Times New Roman"/>
                <w:color w:val="auto"/>
                <w:kern w:val="21"/>
                <w:sz w:val="24"/>
                <w:szCs w:val="24"/>
                <w:highlight w:val="none"/>
                <w:lang w:eastAsia="zh-CN"/>
              </w:rPr>
              <w:t>（</w:t>
            </w:r>
            <w:r>
              <w:rPr>
                <w:rFonts w:hint="default" w:ascii="Times New Roman" w:hAnsi="Times New Roman" w:eastAsia="宋体" w:cs="Times New Roman"/>
                <w:color w:val="auto"/>
                <w:kern w:val="21"/>
                <w:sz w:val="24"/>
                <w:szCs w:val="24"/>
                <w:highlight w:val="none"/>
              </w:rPr>
              <w:t>2）环境管理</w:t>
            </w:r>
            <w:r>
              <w:rPr>
                <w:rFonts w:hint="default" w:ascii="Times New Roman" w:hAnsi="Times New Roman" w:cs="Times New Roman"/>
                <w:bCs/>
                <w:color w:val="auto"/>
                <w:sz w:val="24"/>
                <w:szCs w:val="24"/>
                <w:highlight w:val="none"/>
              </w:rPr>
              <w:t>要求</w:t>
            </w:r>
          </w:p>
          <w:p w14:paraId="384503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auto"/>
                <w:sz w:val="24"/>
                <w:szCs w:val="24"/>
                <w:highlight w:val="none"/>
              </w:rPr>
            </w:pPr>
            <w:r>
              <w:rPr>
                <w:rFonts w:hint="default"/>
                <w:color w:val="auto"/>
                <w:sz w:val="24"/>
                <w:szCs w:val="24"/>
                <w:highlight w:val="none"/>
              </w:rPr>
              <w:t>本项目</w:t>
            </w:r>
            <w:r>
              <w:rPr>
                <w:rFonts w:hint="eastAsia"/>
                <w:color w:val="auto"/>
                <w:sz w:val="24"/>
                <w:szCs w:val="24"/>
                <w:highlight w:val="none"/>
                <w:lang w:val="en-US" w:eastAsia="zh-CN"/>
              </w:rPr>
              <w:t>生活垃圾</w:t>
            </w:r>
            <w:r>
              <w:rPr>
                <w:rFonts w:hint="eastAsia"/>
                <w:color w:val="auto"/>
                <w:sz w:val="24"/>
                <w:szCs w:val="24"/>
                <w:highlight w:val="none"/>
              </w:rPr>
              <w:t>集中收集，由市政环卫部门统一清运</w:t>
            </w:r>
            <w:r>
              <w:rPr>
                <w:rFonts w:hint="eastAsia"/>
                <w:color w:val="auto"/>
                <w:sz w:val="24"/>
                <w:szCs w:val="24"/>
                <w:highlight w:val="none"/>
                <w:lang w:val="en-US" w:eastAsia="zh-CN"/>
              </w:rPr>
              <w:t>；热风炉</w:t>
            </w:r>
            <w:r>
              <w:rPr>
                <w:rFonts w:hint="eastAsia"/>
                <w:color w:val="auto"/>
                <w:sz w:val="24"/>
                <w:szCs w:val="24"/>
                <w:highlight w:val="none"/>
              </w:rPr>
              <w:t>布袋除尘器收尘</w:t>
            </w:r>
            <w:r>
              <w:rPr>
                <w:rFonts w:hint="eastAsia"/>
                <w:color w:val="auto"/>
                <w:sz w:val="24"/>
                <w:szCs w:val="24"/>
                <w:highlight w:val="none"/>
                <w:lang w:val="en-US" w:eastAsia="zh-CN"/>
              </w:rPr>
              <w:t>及</w:t>
            </w:r>
            <w:r>
              <w:rPr>
                <w:rFonts w:hint="eastAsia"/>
                <w:color w:val="auto"/>
                <w:sz w:val="24"/>
                <w:szCs w:val="24"/>
                <w:highlight w:val="none"/>
              </w:rPr>
              <w:t>热风炉炉渣</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集中收集</w:t>
            </w:r>
            <w:r>
              <w:rPr>
                <w:rFonts w:hint="eastAsia" w:ascii="Times New Roman" w:hAnsi="Times New Roman" w:cs="Times New Roman"/>
                <w:color w:val="auto"/>
                <w:sz w:val="24"/>
                <w:szCs w:val="24"/>
                <w:highlight w:val="none"/>
                <w:lang w:val="en-US" w:eastAsia="zh-CN"/>
              </w:rPr>
              <w:t>后</w:t>
            </w:r>
            <w:r>
              <w:rPr>
                <w:rFonts w:hint="default" w:ascii="Times New Roman" w:hAnsi="Times New Roman" w:cs="Times New Roman"/>
                <w:color w:val="auto"/>
                <w:sz w:val="24"/>
                <w:szCs w:val="24"/>
                <w:highlight w:val="none"/>
              </w:rPr>
              <w:t>外售</w:t>
            </w:r>
            <w:r>
              <w:rPr>
                <w:rFonts w:hint="eastAsia" w:cs="Times New Roman"/>
                <w:color w:val="auto"/>
                <w:kern w:val="21"/>
                <w:sz w:val="24"/>
                <w:szCs w:val="24"/>
                <w:highlight w:val="none"/>
                <w:lang w:val="en-US" w:eastAsia="zh-CN"/>
              </w:rPr>
              <w:t>；</w:t>
            </w:r>
            <w:r>
              <w:rPr>
                <w:rFonts w:hint="eastAsia" w:ascii="Times New Roman" w:hAnsi="Times New Roman" w:cs="Times New Roman"/>
                <w:color w:val="auto"/>
                <w:sz w:val="24"/>
                <w:szCs w:val="24"/>
                <w:highlight w:val="none"/>
                <w:lang w:eastAsia="zh-CN"/>
              </w:rPr>
              <w:t>初清杂质及</w:t>
            </w:r>
            <w:r>
              <w:rPr>
                <w:rFonts w:hint="default" w:ascii="Times New Roman" w:hAnsi="Times New Roman" w:cs="Times New Roman"/>
                <w:color w:val="auto"/>
                <w:sz w:val="24"/>
                <w:szCs w:val="24"/>
                <w:highlight w:val="none"/>
              </w:rPr>
              <w:t>烘干、筛分、装卸</w:t>
            </w:r>
            <w:r>
              <w:rPr>
                <w:rFonts w:hint="eastAsia" w:cs="Times New Roman"/>
                <w:color w:val="auto"/>
                <w:sz w:val="24"/>
                <w:szCs w:val="24"/>
                <w:highlight w:val="none"/>
                <w:lang w:val="en-US" w:eastAsia="zh-CN"/>
              </w:rPr>
              <w:t>收集</w:t>
            </w:r>
            <w:r>
              <w:rPr>
                <w:rFonts w:hint="eastAsia"/>
                <w:color w:val="auto"/>
                <w:sz w:val="24"/>
                <w:szCs w:val="24"/>
                <w:highlight w:val="none"/>
                <w:lang w:eastAsia="zh-CN"/>
              </w:rPr>
              <w:t>粉尘</w:t>
            </w:r>
            <w:r>
              <w:rPr>
                <w:rFonts w:hint="default" w:ascii="Times New Roman" w:hAnsi="Times New Roman" w:eastAsia="宋体" w:cs="Times New Roman"/>
                <w:color w:val="auto"/>
                <w:kern w:val="2"/>
                <w:sz w:val="24"/>
                <w:szCs w:val="24"/>
                <w:highlight w:val="none"/>
                <w:lang w:val="en-US" w:eastAsia="zh-CN" w:bidi="ar-SA"/>
              </w:rPr>
              <w:t>运至当地垃圾收集点，由市政部门收集转运</w:t>
            </w:r>
            <w:r>
              <w:rPr>
                <w:rFonts w:hint="eastAsia" w:cs="Times New Roman"/>
                <w:color w:val="auto"/>
                <w:kern w:val="21"/>
                <w:sz w:val="24"/>
                <w:szCs w:val="24"/>
                <w:highlight w:val="none"/>
                <w:lang w:val="en-US" w:eastAsia="zh-CN"/>
              </w:rPr>
              <w:t>；</w:t>
            </w:r>
            <w:r>
              <w:rPr>
                <w:rFonts w:hint="eastAsia"/>
                <w:color w:val="auto"/>
                <w:sz w:val="24"/>
                <w:szCs w:val="24"/>
                <w:highlight w:val="none"/>
                <w:lang w:val="en-US" w:eastAsia="zh-CN"/>
              </w:rPr>
              <w:t>废布袋交由厂家回收处理。</w:t>
            </w:r>
          </w:p>
          <w:p w14:paraId="2A44C17C">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一般固体废物环境管理要求</w:t>
            </w:r>
          </w:p>
          <w:p w14:paraId="744F47E2">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0B0B1C8C">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2）禁止向生活垃圾收集设施中投放工业固体废物。</w:t>
            </w:r>
          </w:p>
          <w:p w14:paraId="45240BA5">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3）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14:paraId="53E19815">
            <w:pPr>
              <w:keepNext w:val="0"/>
              <w:keepLines w:val="0"/>
              <w:pageBreakBefore w:val="0"/>
              <w:widowControl w:val="0"/>
              <w:numPr>
                <w:ilvl w:val="0"/>
                <w:numId w:val="11"/>
              </w:numPr>
              <w:suppressLineNumbers w:val="0"/>
              <w:kinsoku/>
              <w:wordWrap/>
              <w:overflowPunct/>
              <w:topLinePunct w:val="0"/>
              <w:autoSpaceDE/>
              <w:autoSpaceDN/>
              <w:bidi w:val="0"/>
              <w:adjustRightIn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环境影响分析</w:t>
            </w:r>
          </w:p>
          <w:p w14:paraId="6A9D00A4">
            <w:pPr>
              <w:keepNext w:val="0"/>
              <w:keepLines w:val="0"/>
              <w:pageBreakBefore w:val="0"/>
              <w:widowControl w:val="0"/>
              <w:numPr>
                <w:ilvl w:val="0"/>
                <w:numId w:val="0"/>
              </w:numPr>
              <w:suppressLineNumbers w:val="0"/>
              <w:kinsoku/>
              <w:wordWrap/>
              <w:overflowPunct/>
              <w:topLinePunct w:val="0"/>
              <w:autoSpaceDE/>
              <w:autoSpaceDN/>
              <w:bidi w:val="0"/>
              <w:adjustRightInd/>
              <w:spacing w:before="0" w:beforeAutospacing="0" w:after="0" w:afterAutospacing="0" w:line="360" w:lineRule="auto"/>
              <w:ind w:left="0" w:right="0" w:rightChars="0" w:firstLine="480" w:firstLineChars="200"/>
              <w:textAlignment w:val="auto"/>
              <w:rPr>
                <w:rFonts w:hint="eastAsia"/>
                <w:color w:val="auto"/>
                <w:sz w:val="24"/>
                <w:szCs w:val="24"/>
                <w:highlight w:val="none"/>
                <w:lang w:val="en-US" w:eastAsia="zh-CN"/>
              </w:rPr>
            </w:pPr>
            <w:r>
              <w:rPr>
                <w:rFonts w:hint="default" w:ascii="Times New Roman" w:hAnsi="Times New Roman" w:cs="Times New Roman"/>
                <w:color w:val="auto"/>
                <w:sz w:val="24"/>
                <w:szCs w:val="24"/>
                <w:highlight w:val="none"/>
              </w:rPr>
              <w:t>本项目</w:t>
            </w:r>
            <w:r>
              <w:rPr>
                <w:rFonts w:hint="eastAsia"/>
                <w:color w:val="auto"/>
                <w:sz w:val="24"/>
                <w:szCs w:val="24"/>
                <w:highlight w:val="none"/>
                <w:lang w:val="en-US" w:eastAsia="zh-CN"/>
              </w:rPr>
              <w:t>生活垃圾</w:t>
            </w:r>
            <w:r>
              <w:rPr>
                <w:rFonts w:hint="eastAsia"/>
                <w:color w:val="auto"/>
                <w:sz w:val="24"/>
                <w:szCs w:val="24"/>
                <w:highlight w:val="none"/>
              </w:rPr>
              <w:t>集中收集，由市政环卫部门统一清运</w:t>
            </w:r>
            <w:r>
              <w:rPr>
                <w:rFonts w:hint="eastAsia"/>
                <w:color w:val="auto"/>
                <w:sz w:val="24"/>
                <w:szCs w:val="24"/>
                <w:highlight w:val="none"/>
                <w:lang w:val="en-US" w:eastAsia="zh-CN"/>
              </w:rPr>
              <w:t>；热风炉</w:t>
            </w:r>
            <w:r>
              <w:rPr>
                <w:rFonts w:hint="eastAsia"/>
                <w:color w:val="auto"/>
                <w:sz w:val="24"/>
                <w:szCs w:val="24"/>
                <w:highlight w:val="none"/>
              </w:rPr>
              <w:t>布袋除尘器收尘</w:t>
            </w:r>
            <w:r>
              <w:rPr>
                <w:rFonts w:hint="eastAsia"/>
                <w:color w:val="auto"/>
                <w:sz w:val="24"/>
                <w:szCs w:val="24"/>
                <w:highlight w:val="none"/>
                <w:lang w:val="en-US" w:eastAsia="zh-CN"/>
              </w:rPr>
              <w:t>及</w:t>
            </w:r>
            <w:r>
              <w:rPr>
                <w:rFonts w:hint="eastAsia"/>
                <w:color w:val="auto"/>
                <w:sz w:val="24"/>
                <w:szCs w:val="24"/>
                <w:highlight w:val="none"/>
              </w:rPr>
              <w:t>热风炉炉渣</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集中收集</w:t>
            </w:r>
            <w:r>
              <w:rPr>
                <w:rFonts w:hint="eastAsia" w:ascii="Times New Roman" w:hAnsi="Times New Roman" w:cs="Times New Roman"/>
                <w:color w:val="auto"/>
                <w:sz w:val="24"/>
                <w:szCs w:val="24"/>
                <w:highlight w:val="none"/>
                <w:lang w:val="en-US" w:eastAsia="zh-CN"/>
              </w:rPr>
              <w:t>后</w:t>
            </w:r>
            <w:r>
              <w:rPr>
                <w:rFonts w:hint="default" w:ascii="Times New Roman" w:hAnsi="Times New Roman" w:cs="Times New Roman"/>
                <w:color w:val="auto"/>
                <w:sz w:val="24"/>
                <w:szCs w:val="24"/>
                <w:highlight w:val="none"/>
              </w:rPr>
              <w:t>外售</w:t>
            </w:r>
            <w:r>
              <w:rPr>
                <w:rFonts w:hint="eastAsia" w:cs="Times New Roman"/>
                <w:color w:val="auto"/>
                <w:kern w:val="21"/>
                <w:sz w:val="24"/>
                <w:szCs w:val="24"/>
                <w:highlight w:val="none"/>
                <w:lang w:val="en-US" w:eastAsia="zh-CN"/>
              </w:rPr>
              <w:t>；</w:t>
            </w:r>
            <w:r>
              <w:rPr>
                <w:rFonts w:hint="eastAsia" w:ascii="Times New Roman" w:hAnsi="Times New Roman" w:cs="Times New Roman"/>
                <w:color w:val="auto"/>
                <w:sz w:val="24"/>
                <w:szCs w:val="24"/>
                <w:highlight w:val="none"/>
                <w:lang w:eastAsia="zh-CN"/>
              </w:rPr>
              <w:t>初清杂质及</w:t>
            </w:r>
            <w:r>
              <w:rPr>
                <w:rFonts w:hint="default" w:ascii="Times New Roman" w:hAnsi="Times New Roman" w:cs="Times New Roman"/>
                <w:color w:val="auto"/>
                <w:sz w:val="24"/>
                <w:szCs w:val="24"/>
                <w:highlight w:val="none"/>
              </w:rPr>
              <w:t>烘干、筛分、装卸</w:t>
            </w:r>
            <w:r>
              <w:rPr>
                <w:rFonts w:hint="eastAsia" w:cs="Times New Roman"/>
                <w:color w:val="auto"/>
                <w:sz w:val="24"/>
                <w:szCs w:val="24"/>
                <w:highlight w:val="none"/>
                <w:lang w:val="en-US" w:eastAsia="zh-CN"/>
              </w:rPr>
              <w:t>收集</w:t>
            </w:r>
            <w:r>
              <w:rPr>
                <w:rFonts w:hint="eastAsia"/>
                <w:color w:val="auto"/>
                <w:sz w:val="24"/>
                <w:szCs w:val="24"/>
                <w:highlight w:val="none"/>
                <w:lang w:eastAsia="zh-CN"/>
              </w:rPr>
              <w:t>粉尘</w:t>
            </w:r>
            <w:r>
              <w:rPr>
                <w:rFonts w:hint="default" w:ascii="Times New Roman" w:hAnsi="Times New Roman" w:eastAsia="宋体" w:cs="Times New Roman"/>
                <w:color w:val="auto"/>
                <w:kern w:val="2"/>
                <w:sz w:val="24"/>
                <w:szCs w:val="24"/>
                <w:highlight w:val="none"/>
                <w:lang w:val="en-US" w:eastAsia="zh-CN" w:bidi="ar-SA"/>
              </w:rPr>
              <w:t>运至当地垃圾收集点，由市政部门收集转运</w:t>
            </w:r>
            <w:r>
              <w:rPr>
                <w:rFonts w:hint="eastAsia" w:cs="Times New Roman"/>
                <w:color w:val="auto"/>
                <w:kern w:val="21"/>
                <w:sz w:val="24"/>
                <w:szCs w:val="24"/>
                <w:highlight w:val="none"/>
                <w:lang w:val="en-US" w:eastAsia="zh-CN"/>
              </w:rPr>
              <w:t>；</w:t>
            </w:r>
            <w:r>
              <w:rPr>
                <w:rFonts w:hint="eastAsia"/>
                <w:color w:val="auto"/>
                <w:sz w:val="24"/>
                <w:szCs w:val="24"/>
                <w:highlight w:val="none"/>
                <w:lang w:val="en-US" w:eastAsia="zh-CN"/>
              </w:rPr>
              <w:t>废布袋交由厂家回收处理。</w:t>
            </w:r>
            <w:r>
              <w:rPr>
                <w:rFonts w:hint="default" w:ascii="Times New Roman" w:hAnsi="Times New Roman" w:cs="Times New Roman"/>
                <w:color w:val="auto"/>
                <w:sz w:val="24"/>
                <w:szCs w:val="24"/>
                <w:highlight w:val="none"/>
              </w:rPr>
              <w:t>本项目一般固体废物满足《一般工业固体废物贮存和填埋污染控制标准》（GB18599-2020）</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本项目产生的固体废物经过妥善处理后，处置率达到100%不会影响周边环境。</w:t>
            </w:r>
          </w:p>
          <w:p w14:paraId="3E5FE8C6">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leftChars="0" w:right="0" w:firstLine="482" w:firstLineChars="200"/>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5、土壤和地下水</w:t>
            </w:r>
          </w:p>
          <w:p w14:paraId="2783F7F2">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textAlignment w:val="auto"/>
              <w:rPr>
                <w:rFonts w:hint="default"/>
                <w:snapToGrid w:val="0"/>
                <w:color w:val="auto"/>
                <w:kern w:val="0"/>
                <w:sz w:val="24"/>
                <w:szCs w:val="24"/>
                <w:highlight w:val="none"/>
              </w:rPr>
            </w:pPr>
            <w:r>
              <w:rPr>
                <w:rFonts w:hint="default" w:ascii="Times New Roman" w:hAnsi="Times New Roman" w:cs="Times New Roman"/>
                <w:b w:val="0"/>
                <w:bCs/>
                <w:color w:val="auto"/>
                <w:sz w:val="24"/>
                <w:szCs w:val="24"/>
                <w:highlight w:val="none"/>
                <w:lang w:val="en-US" w:eastAsia="zh-CN"/>
              </w:rPr>
              <w:t>本项目不存在土壤、地下水环境污染途径，运营期无地下水、土壤跟踪监测要求。</w:t>
            </w:r>
          </w:p>
          <w:p w14:paraId="40EE604F">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leftChars="0" w:right="0" w:firstLine="482" w:firstLineChars="200"/>
              <w:rPr>
                <w:rFonts w:hint="eastAsia" w:ascii="Times New Roman" w:hAnsi="Times New Roman" w:eastAsia="宋体" w:cs="Times New Roman"/>
                <w:b/>
                <w:color w:val="auto"/>
                <w:sz w:val="24"/>
                <w:szCs w:val="24"/>
                <w:highlight w:val="none"/>
                <w:lang w:eastAsia="zh-CN"/>
              </w:rPr>
            </w:pPr>
            <w:r>
              <w:rPr>
                <w:rFonts w:hint="default" w:ascii="Times New Roman" w:hAnsi="Times New Roman" w:cs="Times New Roman"/>
                <w:b/>
                <w:color w:val="auto"/>
                <w:sz w:val="24"/>
                <w:szCs w:val="24"/>
                <w:highlight w:val="none"/>
              </w:rPr>
              <w:t>6、环境风险</w:t>
            </w:r>
          </w:p>
          <w:p w14:paraId="6918B98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bCs/>
                <w:color w:val="auto"/>
                <w:sz w:val="24"/>
                <w:szCs w:val="24"/>
                <w:highlight w:val="none"/>
                <w:lang w:eastAsia="zh-CN"/>
              </w:rPr>
            </w:pPr>
            <w:r>
              <w:rPr>
                <w:rFonts w:hint="eastAsia"/>
                <w:bCs/>
                <w:color w:val="auto"/>
                <w:sz w:val="24"/>
                <w:szCs w:val="24"/>
                <w:highlight w:val="none"/>
              </w:rPr>
              <w:t>本项目不涉及环境风险物质，</w:t>
            </w:r>
            <w:r>
              <w:rPr>
                <w:rFonts w:hint="eastAsia"/>
                <w:bCs/>
                <w:color w:val="auto"/>
                <w:sz w:val="24"/>
                <w:szCs w:val="24"/>
                <w:highlight w:val="none"/>
                <w:lang w:eastAsia="zh-CN"/>
              </w:rPr>
              <w:t>本次评价仅考虑生物质燃料易燃可能产生的火灾事故风险。</w:t>
            </w:r>
          </w:p>
          <w:p w14:paraId="22A60F9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bCs/>
                <w:color w:val="auto"/>
                <w:sz w:val="24"/>
                <w:szCs w:val="24"/>
                <w:highlight w:val="none"/>
                <w:lang w:val="en-US" w:eastAsia="zh-CN"/>
              </w:rPr>
            </w:pPr>
            <w:r>
              <w:rPr>
                <w:rFonts w:hint="eastAsia"/>
                <w:bCs/>
                <w:color w:val="auto"/>
                <w:sz w:val="24"/>
                <w:szCs w:val="24"/>
                <w:highlight w:val="none"/>
              </w:rPr>
              <w:t>火灾风险防范措施</w:t>
            </w:r>
            <w:r>
              <w:rPr>
                <w:rFonts w:hint="eastAsia"/>
                <w:bCs/>
                <w:color w:val="auto"/>
                <w:sz w:val="24"/>
                <w:szCs w:val="24"/>
                <w:highlight w:val="none"/>
                <w:lang w:eastAsia="zh-CN"/>
              </w:rPr>
              <w:t>：</w:t>
            </w:r>
            <w:r>
              <w:rPr>
                <w:rFonts w:hint="eastAsia"/>
                <w:bCs/>
                <w:color w:val="auto"/>
                <w:sz w:val="24"/>
                <w:szCs w:val="24"/>
                <w:highlight w:val="none"/>
              </w:rPr>
              <w:t>在</w:t>
            </w:r>
            <w:r>
              <w:rPr>
                <w:rFonts w:hint="eastAsia"/>
                <w:bCs/>
                <w:color w:val="auto"/>
                <w:sz w:val="24"/>
                <w:szCs w:val="24"/>
                <w:highlight w:val="none"/>
                <w:lang w:eastAsia="zh-CN"/>
              </w:rPr>
              <w:t>库房内</w:t>
            </w:r>
            <w:r>
              <w:rPr>
                <w:rFonts w:hint="eastAsia"/>
                <w:bCs/>
                <w:color w:val="auto"/>
                <w:sz w:val="24"/>
                <w:szCs w:val="24"/>
                <w:highlight w:val="none"/>
              </w:rPr>
              <w:t>设置灭火器。</w:t>
            </w:r>
            <w:r>
              <w:rPr>
                <w:rFonts w:hint="eastAsia"/>
                <w:bCs/>
                <w:color w:val="auto"/>
                <w:sz w:val="24"/>
                <w:szCs w:val="24"/>
                <w:highlight w:val="none"/>
                <w:lang w:eastAsia="zh-CN"/>
              </w:rPr>
              <w:t>每日对</w:t>
            </w:r>
            <w:r>
              <w:rPr>
                <w:rFonts w:hint="eastAsia"/>
                <w:bCs/>
                <w:color w:val="auto"/>
                <w:sz w:val="24"/>
                <w:szCs w:val="24"/>
                <w:highlight w:val="none"/>
              </w:rPr>
              <w:t>燃料贮存间</w:t>
            </w:r>
            <w:r>
              <w:rPr>
                <w:rFonts w:hint="eastAsia"/>
                <w:bCs/>
                <w:color w:val="auto"/>
                <w:sz w:val="24"/>
                <w:szCs w:val="24"/>
                <w:highlight w:val="none"/>
                <w:lang w:eastAsia="zh-CN"/>
              </w:rPr>
              <w:t>进行查看，</w:t>
            </w:r>
            <w:r>
              <w:rPr>
                <w:rFonts w:hint="eastAsia"/>
                <w:bCs/>
                <w:color w:val="auto"/>
                <w:sz w:val="24"/>
                <w:szCs w:val="24"/>
                <w:highlight w:val="none"/>
              </w:rPr>
              <w:t>并做好防</w:t>
            </w:r>
            <w:r>
              <w:rPr>
                <w:rFonts w:hint="eastAsia" w:ascii="Times New Roman" w:hAnsi="Times New Roman" w:eastAsia="宋体" w:cs="Times New Roman"/>
                <w:bCs/>
                <w:color w:val="auto"/>
                <w:sz w:val="24"/>
                <w:szCs w:val="24"/>
                <w:highlight w:val="none"/>
              </w:rPr>
              <w:t>尘、防雨、防渗、防腐“四防”措施，避免火灾</w:t>
            </w:r>
            <w:r>
              <w:rPr>
                <w:rFonts w:hint="eastAsia" w:ascii="Times New Roman" w:hAnsi="Times New Roman" w:eastAsia="宋体" w:cs="Times New Roman"/>
                <w:bCs/>
                <w:color w:val="auto"/>
                <w:sz w:val="24"/>
                <w:szCs w:val="24"/>
                <w:highlight w:val="none"/>
                <w:lang w:eastAsia="zh-CN"/>
              </w:rPr>
              <w:t>的</w:t>
            </w:r>
            <w:r>
              <w:rPr>
                <w:rFonts w:hint="eastAsia" w:ascii="Times New Roman" w:hAnsi="Times New Roman" w:eastAsia="宋体" w:cs="Times New Roman"/>
                <w:bCs/>
                <w:color w:val="auto"/>
                <w:sz w:val="24"/>
                <w:szCs w:val="24"/>
                <w:highlight w:val="none"/>
              </w:rPr>
              <w:t>引发。</w:t>
            </w:r>
          </w:p>
          <w:p w14:paraId="017BB4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应急处置措施：</w:t>
            </w:r>
          </w:p>
          <w:p w14:paraId="22D75F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bCs/>
                <w:color w:val="auto"/>
                <w:sz w:val="24"/>
                <w:szCs w:val="24"/>
                <w:highlight w:val="none"/>
                <w:lang w:val="en-US" w:eastAsia="zh-CN"/>
              </w:rPr>
              <w:t>为了有效地</w:t>
            </w:r>
            <w:r>
              <w:rPr>
                <w:rFonts w:hint="eastAsia" w:ascii="Times New Roman" w:hAnsi="Times New Roman" w:eastAsia="宋体" w:cs="Times New Roman"/>
                <w:color w:val="auto"/>
                <w:kern w:val="2"/>
                <w:sz w:val="24"/>
                <w:szCs w:val="24"/>
                <w:highlight w:val="none"/>
                <w:lang w:val="en-US" w:eastAsia="zh-CN" w:bidi="ar-SA"/>
              </w:rPr>
              <w:t>处理风险事故，企业应组织编制突发环境事件应急预案，履行备案手续，建立完善的应急体系和管理组织机构，制定切实可行的处置措施，建立应急联动，与园区应急预案衔接。项目风险事故应急措施包括设备器材、事故现场指挥、救护、通讯等系统的建立、现场应急措施方案、事故危害监测队伍、现场撤离和善后措施方案等。</w:t>
            </w:r>
          </w:p>
          <w:p w14:paraId="47BC7D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（1）应急预案编制要求</w:t>
            </w:r>
          </w:p>
          <w:p w14:paraId="042DE0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环境风险应急预案是在安全预案的基础上，突出减少环境风险的预案。本项目应按照《企业事业单位突发环境事件应急预案备案管理办法（试行）》（环发[2015]4号）和《黑龙江省人民政府关于印发黑龙江省突发事件应急预案管理办法的通知》（黑政规﹝2018﹞2号），制订本项目的突发环境事件应急预案并上报当地政府有关部门备案。项目制定的突发环境事件应急预案应包括以下内容：</w:t>
            </w:r>
          </w:p>
          <w:p w14:paraId="221E79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1）总则。包括编制目的、编制依据、适用范围和工作原则等，做到目的明确、依据合法、范围明确、符合国家有关规定要求和本单位应急工作实际。</w:t>
            </w:r>
          </w:p>
          <w:p w14:paraId="496053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2）企业基本情况。本单位的概况、周边环境状况、环境敏感点等，明确有关设施、装置、设备、生产线以及重要目标场所的布局等情况。</w:t>
            </w:r>
          </w:p>
          <w:p w14:paraId="0EAC0E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3）本单位环境危险源情况。本单位的环境危险源情况分析，主要包括环境危险源的基本情况以及可能产生的危害后果及严重程度，能够客观分析本单位存在的危险源及危险程度，能够客观分析可能发生的事件特征、主要污染物种类，客观分析可能引发事故的诱因、影响范围及后果。</w:t>
            </w:r>
          </w:p>
          <w:p w14:paraId="1CAC1F7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4）应急物资储备情况。针对单位危险源数量和性质应储备的应急物资品名和基本储量等，明确对应急救援所需的物资和装备的要求，应急物资与装备保障符合单位实际，满足应急要求。</w:t>
            </w:r>
          </w:p>
          <w:p w14:paraId="0CA494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5）应急组织指挥体系与职责。包括领导机构、工作机构、地方机构或者现场指挥机构、环境应急专家组等，能够清晰描述本单位的应急组织体系，明确应急组织成员日常及应急状态下的工作职责，各应急救援小组设置合理，应急工作明确。</w:t>
            </w:r>
          </w:p>
          <w:p w14:paraId="5F0686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6）预防与预警机制。包括应急准备措施、环境风险隐患排查和整治措施、预警分级指标、预警发布或者解除程序、预警相应措施等，明确预防和管理措施，明确隐患排查和整治措施，明确预警信息发布的方式、内容和流程，预警级别与采取的预警措施科学合理。</w:t>
            </w:r>
          </w:p>
          <w:p w14:paraId="458798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7）应急处置。包括应急预案启动条件、信息报告、先期处置、分级响应、指挥与协调、信息发布、应急终止等程序和措施等。</w:t>
            </w:r>
          </w:p>
          <w:p w14:paraId="7132C4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8）后期处置。包括善后处置、调查与评估、恢复重建等，明确事故发生后，污染物处理、善后处置、应急处置能力评估及应急预案的修订等要求。</w:t>
            </w:r>
          </w:p>
          <w:p w14:paraId="1ED34DC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9）应急保障。包括人力资源保障、财力保障、物资保障、医疗卫生保障、交通运输保障、通信保障、科技支撑等，明确上述各类保障措施。</w:t>
            </w:r>
          </w:p>
          <w:p w14:paraId="0D67D2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10）监督管理。包括应急预案演练、宣教培训、责任与奖惩等，明确本单位开展应急管理培训的计划和方式方法；如果应急预案涉及周边社区和居民，应明确相应的应急宣传教育工作；明确应急演练的方式、频次、范围、内容、组织、评估、总结等内容；明确各类奖惩制度。</w:t>
            </w:r>
          </w:p>
          <w:p w14:paraId="2C5779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11）附则。包括名词术语、预案解释、修订情况和实施日期等，对预案中用到的术语进行解释，明确预案的解释单位，说明预案修订情况，明确实施日期。</w:t>
            </w:r>
          </w:p>
          <w:p w14:paraId="362CFC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12）附件。包括相关单位和人员通讯录、标准化格式文本、工作流程图、应急物资储备清单等，通讯录应列出所有参与应急指挥、协调人员姓名、所在部门、职务和联系电话，并保证准确有效；给出信息接报、处理、上报等规范化格式文本，要求规范、清晰、简洁；明确工作流程，关键的路线、标识和图纸等；以表格形式列出应急装备、设施和器材清单，清单应当包括种类、名称、数量以及存放位置、规格、性能、用途和用法等信息。</w:t>
            </w:r>
          </w:p>
          <w:p w14:paraId="42ABB5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2" w:firstLineChars="20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7</w:t>
            </w:r>
            <w:r>
              <w:rPr>
                <w:rFonts w:hint="default" w:ascii="Times New Roman" w:hAnsi="Times New Roman" w:eastAsia="宋体" w:cs="Times New Roman"/>
                <w:b/>
                <w:bCs/>
                <w:color w:val="auto"/>
                <w:kern w:val="2"/>
                <w:sz w:val="24"/>
                <w:szCs w:val="24"/>
                <w:highlight w:val="none"/>
                <w:lang w:val="en-US" w:eastAsia="zh-CN" w:bidi="ar-SA"/>
              </w:rPr>
              <w:t>、与排污许可证衔接</w:t>
            </w:r>
          </w:p>
          <w:p w14:paraId="2E3B7F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根据《国务院办公厅关于印发控制污染物排放许可制实施方案的通知》〔2016〕81号，（九）分步实现排污许可全覆盖，按行业分步实现对固定污染源的全覆盖，率先对火电、造纸行业企业核发排污许可证，2017年完成《大气污染防治行动计划》和《水污染防治行动计划》重点行业及产能过剩行业企业排污许可证核发，2020年全国基本完成排污许可证核发。</w:t>
            </w:r>
          </w:p>
          <w:p w14:paraId="73F947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根据《排污许可管理办法》（试行），第三条：环境保护部依法制定并公布固定污染源排污许可分类管理名录，明确纳入排污许可管理的范围和申领时限。纳入固定污染源排污许可分类管理名录的企业事业单位和其他生产经营者（以下简称排污单位）应当按照规定的时限申请并取得排污许可证；未纳入固定污染源排污许可分类管理名录的排污单位，暂不需申请排污许可证。第二十四条：在固定污染源排污许可分类管理名录规定的时限前已经建成并实际排污的排污单位，应当在名录规定时限申请排污许可证；在名录规定的时限后建成的排污单位，应当在启动生产设施或者在实际排污之前申请排污许可证。</w:t>
            </w:r>
          </w:p>
          <w:p w14:paraId="67B25E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根据《固定污染源排污许可分类管理名录》</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2019年版</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及《排污许可管理条例》（中华人民共和国国务院令 第736号），本项目属于“五十一、通用工序”中的“110 工业炉窑”中的“除纳入重点排污单位的，处以天然气或者电为能源的加热炉、热处理炉、干燥炉</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窑</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以外的其他工业炉窑”，属于简化管理范畴，本项目生产用热由</w:t>
            </w:r>
            <w:r>
              <w:rPr>
                <w:rFonts w:hint="eastAsia" w:ascii="Times New Roman" w:hAnsi="Times New Roman" w:eastAsia="宋体"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台</w:t>
            </w:r>
            <w:r>
              <w:rPr>
                <w:rFonts w:hint="eastAsia" w:ascii="Times New Roman" w:hAnsi="Times New Roman" w:eastAsia="宋体" w:cs="Times New Roman"/>
                <w:color w:val="auto"/>
                <w:kern w:val="2"/>
                <w:sz w:val="24"/>
                <w:szCs w:val="24"/>
                <w:highlight w:val="none"/>
                <w:lang w:val="en-US" w:eastAsia="zh-CN" w:bidi="ar-SA"/>
              </w:rPr>
              <w:t>600万kcal/h生物质</w:t>
            </w:r>
            <w:r>
              <w:rPr>
                <w:rFonts w:hint="default" w:ascii="Times New Roman" w:hAnsi="Times New Roman" w:eastAsia="宋体" w:cs="Times New Roman"/>
                <w:color w:val="auto"/>
                <w:kern w:val="2"/>
                <w:sz w:val="24"/>
                <w:szCs w:val="24"/>
                <w:highlight w:val="none"/>
                <w:lang w:val="en-US" w:eastAsia="zh-CN" w:bidi="ar-SA"/>
              </w:rPr>
              <w:t>热风炉提供，应在全国排污许可证管理信息平台进行排污许可证申请，填报相关信息。</w:t>
            </w:r>
          </w:p>
          <w:p w14:paraId="46F5C5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contextualSpacing/>
              <w:textAlignment w:val="auto"/>
              <w:rPr>
                <w:rFonts w:hint="eastAsia"/>
                <w:b w:val="0"/>
                <w:bCs w:val="0"/>
                <w:color w:val="auto"/>
                <w:sz w:val="24"/>
                <w:szCs w:val="24"/>
                <w:highlight w:val="none"/>
                <w:lang w:val="en-US" w:eastAsia="zh-CN"/>
              </w:rPr>
            </w:pPr>
          </w:p>
          <w:p w14:paraId="471F08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contextualSpacing/>
              <w:textAlignment w:val="auto"/>
              <w:rPr>
                <w:rFonts w:hint="eastAsia"/>
                <w:b w:val="0"/>
                <w:bCs w:val="0"/>
                <w:color w:val="auto"/>
                <w:sz w:val="24"/>
                <w:szCs w:val="24"/>
                <w:highlight w:val="none"/>
                <w:lang w:val="en-US" w:eastAsia="zh-CN"/>
              </w:rPr>
            </w:pPr>
          </w:p>
          <w:p w14:paraId="4D4D4D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contextualSpacing/>
              <w:textAlignment w:val="auto"/>
              <w:rPr>
                <w:rFonts w:hint="eastAsia"/>
                <w:b w:val="0"/>
                <w:bCs w:val="0"/>
                <w:color w:val="auto"/>
                <w:sz w:val="24"/>
                <w:szCs w:val="24"/>
                <w:highlight w:val="none"/>
                <w:lang w:val="en-US" w:eastAsia="zh-CN"/>
              </w:rPr>
            </w:pPr>
          </w:p>
          <w:p w14:paraId="554F653A">
            <w:pPr>
              <w:pStyle w:val="2"/>
              <w:keepNext w:val="0"/>
              <w:keepLines w:val="0"/>
              <w:suppressLineNumbers w:val="0"/>
              <w:spacing w:before="0" w:beforeAutospacing="0" w:after="0" w:afterAutospacing="0"/>
              <w:ind w:left="0" w:right="0"/>
              <w:rPr>
                <w:rFonts w:hint="eastAsia"/>
                <w:b w:val="0"/>
                <w:bCs w:val="0"/>
                <w:color w:val="auto"/>
                <w:sz w:val="24"/>
                <w:szCs w:val="24"/>
                <w:highlight w:val="none"/>
                <w:lang w:val="en-US" w:eastAsia="zh-CN"/>
              </w:rPr>
            </w:pPr>
          </w:p>
          <w:p w14:paraId="6B32519E">
            <w:pPr>
              <w:pStyle w:val="2"/>
              <w:keepNext w:val="0"/>
              <w:keepLines w:val="0"/>
              <w:suppressLineNumbers w:val="0"/>
              <w:spacing w:before="0" w:beforeAutospacing="0" w:after="0" w:afterAutospacing="0"/>
              <w:ind w:left="0" w:right="0"/>
              <w:rPr>
                <w:rFonts w:hint="eastAsia"/>
                <w:b w:val="0"/>
                <w:bCs w:val="0"/>
                <w:color w:val="auto"/>
                <w:sz w:val="24"/>
                <w:szCs w:val="24"/>
                <w:highlight w:val="none"/>
                <w:lang w:val="en-US" w:eastAsia="zh-CN"/>
              </w:rPr>
            </w:pPr>
          </w:p>
          <w:p w14:paraId="0EF49C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contextualSpacing/>
              <w:textAlignment w:val="auto"/>
              <w:rPr>
                <w:rFonts w:hint="default"/>
                <w:b w:val="0"/>
                <w:bCs w:val="0"/>
                <w:color w:val="auto"/>
                <w:sz w:val="24"/>
                <w:szCs w:val="24"/>
                <w:highlight w:val="none"/>
                <w:lang w:val="en-US" w:eastAsia="zh-CN"/>
              </w:rPr>
            </w:pPr>
          </w:p>
          <w:p w14:paraId="433F2373">
            <w:pPr>
              <w:pStyle w:val="47"/>
              <w:keepNext w:val="0"/>
              <w:keepLines w:val="0"/>
              <w:suppressLineNumbers w:val="0"/>
              <w:spacing w:before="0" w:beforeAutospacing="0" w:after="0" w:afterAutospacing="0"/>
              <w:ind w:left="0" w:right="0"/>
              <w:rPr>
                <w:rFonts w:hint="default"/>
                <w:b w:val="0"/>
                <w:bCs w:val="0"/>
                <w:color w:val="auto"/>
                <w:sz w:val="24"/>
                <w:szCs w:val="24"/>
                <w:highlight w:val="none"/>
                <w:lang w:val="en-US" w:eastAsia="zh-CN"/>
              </w:rPr>
            </w:pPr>
          </w:p>
          <w:p w14:paraId="51B3B51E">
            <w:pPr>
              <w:pStyle w:val="47"/>
              <w:keepNext w:val="0"/>
              <w:keepLines w:val="0"/>
              <w:suppressLineNumbers w:val="0"/>
              <w:spacing w:before="0" w:beforeAutospacing="0" w:after="0" w:afterAutospacing="0"/>
              <w:ind w:left="0" w:right="0"/>
              <w:rPr>
                <w:rFonts w:hint="default"/>
                <w:b w:val="0"/>
                <w:bCs w:val="0"/>
                <w:color w:val="auto"/>
                <w:sz w:val="24"/>
                <w:szCs w:val="24"/>
                <w:highlight w:val="none"/>
                <w:lang w:val="en-US" w:eastAsia="zh-CN"/>
              </w:rPr>
            </w:pPr>
          </w:p>
          <w:p w14:paraId="10967328">
            <w:pPr>
              <w:pStyle w:val="47"/>
              <w:keepNext w:val="0"/>
              <w:keepLines w:val="0"/>
              <w:suppressLineNumbers w:val="0"/>
              <w:spacing w:before="0" w:beforeAutospacing="0" w:after="0" w:afterAutospacing="0"/>
              <w:ind w:left="0" w:right="0"/>
              <w:rPr>
                <w:rFonts w:hint="default"/>
                <w:b w:val="0"/>
                <w:bCs w:val="0"/>
                <w:color w:val="auto"/>
                <w:sz w:val="24"/>
                <w:szCs w:val="24"/>
                <w:highlight w:val="none"/>
                <w:lang w:val="en-US" w:eastAsia="zh-CN"/>
              </w:rPr>
            </w:pPr>
          </w:p>
          <w:p w14:paraId="6C218FCB">
            <w:pPr>
              <w:pStyle w:val="47"/>
              <w:keepNext w:val="0"/>
              <w:keepLines w:val="0"/>
              <w:suppressLineNumbers w:val="0"/>
              <w:spacing w:before="0" w:beforeAutospacing="0" w:after="0" w:afterAutospacing="0"/>
              <w:ind w:left="0" w:right="0"/>
              <w:rPr>
                <w:rFonts w:hint="default"/>
                <w:b w:val="0"/>
                <w:bCs w:val="0"/>
                <w:color w:val="auto"/>
                <w:sz w:val="24"/>
                <w:szCs w:val="24"/>
                <w:highlight w:val="none"/>
                <w:lang w:val="en-US" w:eastAsia="zh-CN"/>
              </w:rPr>
            </w:pPr>
          </w:p>
          <w:p w14:paraId="655C63A6">
            <w:pPr>
              <w:pStyle w:val="47"/>
              <w:keepNext w:val="0"/>
              <w:keepLines w:val="0"/>
              <w:suppressLineNumbers w:val="0"/>
              <w:spacing w:before="0" w:beforeAutospacing="0" w:after="0" w:afterAutospacing="0"/>
              <w:ind w:left="0" w:right="0"/>
              <w:rPr>
                <w:rFonts w:hint="default"/>
                <w:b w:val="0"/>
                <w:bCs w:val="0"/>
                <w:color w:val="auto"/>
                <w:sz w:val="24"/>
                <w:szCs w:val="24"/>
                <w:highlight w:val="none"/>
                <w:lang w:val="en-US" w:eastAsia="zh-CN"/>
              </w:rPr>
            </w:pPr>
          </w:p>
          <w:p w14:paraId="49939433">
            <w:pPr>
              <w:pStyle w:val="47"/>
              <w:keepNext w:val="0"/>
              <w:keepLines w:val="0"/>
              <w:suppressLineNumbers w:val="0"/>
              <w:spacing w:before="0" w:beforeAutospacing="0" w:after="0" w:afterAutospacing="0"/>
              <w:ind w:left="0" w:right="0"/>
              <w:rPr>
                <w:rFonts w:hint="default"/>
                <w:b w:val="0"/>
                <w:bCs w:val="0"/>
                <w:color w:val="auto"/>
                <w:sz w:val="24"/>
                <w:szCs w:val="24"/>
                <w:highlight w:val="none"/>
                <w:lang w:val="en-US" w:eastAsia="zh-CN"/>
              </w:rPr>
            </w:pPr>
          </w:p>
          <w:p w14:paraId="31BD0964">
            <w:pPr>
              <w:pStyle w:val="47"/>
              <w:keepNext w:val="0"/>
              <w:keepLines w:val="0"/>
              <w:suppressLineNumbers w:val="0"/>
              <w:spacing w:before="0" w:beforeAutospacing="0" w:after="0" w:afterAutospacing="0"/>
              <w:ind w:left="0" w:right="0"/>
              <w:rPr>
                <w:rFonts w:hint="default"/>
                <w:b w:val="0"/>
                <w:bCs w:val="0"/>
                <w:color w:val="auto"/>
                <w:sz w:val="24"/>
                <w:szCs w:val="24"/>
                <w:highlight w:val="none"/>
                <w:lang w:val="en-US" w:eastAsia="zh-CN"/>
              </w:rPr>
            </w:pPr>
          </w:p>
          <w:p w14:paraId="16A7BB19">
            <w:pPr>
              <w:pStyle w:val="47"/>
              <w:keepNext w:val="0"/>
              <w:keepLines w:val="0"/>
              <w:suppressLineNumbers w:val="0"/>
              <w:spacing w:before="0" w:beforeAutospacing="0" w:after="0" w:afterAutospacing="0"/>
              <w:ind w:left="0" w:right="0"/>
              <w:rPr>
                <w:rFonts w:hint="default"/>
                <w:b w:val="0"/>
                <w:bCs w:val="0"/>
                <w:color w:val="auto"/>
                <w:sz w:val="24"/>
                <w:szCs w:val="24"/>
                <w:highlight w:val="none"/>
                <w:lang w:val="en-US" w:eastAsia="zh-CN"/>
              </w:rPr>
            </w:pPr>
          </w:p>
          <w:p w14:paraId="7B6C5F33">
            <w:pPr>
              <w:pStyle w:val="47"/>
              <w:keepNext w:val="0"/>
              <w:keepLines w:val="0"/>
              <w:suppressLineNumbers w:val="0"/>
              <w:spacing w:before="0" w:beforeAutospacing="0" w:after="0" w:afterAutospacing="0"/>
              <w:ind w:left="0" w:right="0"/>
              <w:rPr>
                <w:rFonts w:hint="default"/>
                <w:b w:val="0"/>
                <w:bCs w:val="0"/>
                <w:color w:val="auto"/>
                <w:sz w:val="24"/>
                <w:szCs w:val="24"/>
                <w:highlight w:val="none"/>
                <w:lang w:val="en-US" w:eastAsia="zh-CN"/>
              </w:rPr>
            </w:pPr>
          </w:p>
          <w:p w14:paraId="3BA49F32">
            <w:pPr>
              <w:pStyle w:val="47"/>
              <w:keepNext w:val="0"/>
              <w:keepLines w:val="0"/>
              <w:suppressLineNumbers w:val="0"/>
              <w:spacing w:before="0" w:beforeAutospacing="0" w:after="0" w:afterAutospacing="0"/>
              <w:ind w:left="0" w:right="0"/>
              <w:rPr>
                <w:rFonts w:hint="default"/>
                <w:b w:val="0"/>
                <w:bCs w:val="0"/>
                <w:color w:val="auto"/>
                <w:sz w:val="24"/>
                <w:szCs w:val="24"/>
                <w:highlight w:val="none"/>
                <w:lang w:val="en-US" w:eastAsia="zh-CN"/>
              </w:rPr>
            </w:pPr>
          </w:p>
          <w:p w14:paraId="11C2844F">
            <w:pPr>
              <w:pStyle w:val="47"/>
              <w:keepNext w:val="0"/>
              <w:keepLines w:val="0"/>
              <w:suppressLineNumbers w:val="0"/>
              <w:spacing w:before="0" w:beforeAutospacing="0" w:after="0" w:afterAutospacing="0"/>
              <w:ind w:left="0" w:right="0"/>
              <w:rPr>
                <w:rFonts w:hint="default"/>
                <w:b w:val="0"/>
                <w:bCs w:val="0"/>
                <w:color w:val="auto"/>
                <w:sz w:val="24"/>
                <w:szCs w:val="24"/>
                <w:highlight w:val="none"/>
                <w:lang w:val="en-US" w:eastAsia="zh-CN"/>
              </w:rPr>
            </w:pPr>
          </w:p>
          <w:p w14:paraId="0D6D01DB">
            <w:pPr>
              <w:pStyle w:val="47"/>
              <w:keepNext w:val="0"/>
              <w:keepLines w:val="0"/>
              <w:suppressLineNumbers w:val="0"/>
              <w:spacing w:before="0" w:beforeAutospacing="0" w:after="0" w:afterAutospacing="0"/>
              <w:ind w:left="0" w:right="0"/>
              <w:rPr>
                <w:rFonts w:hint="default"/>
                <w:b w:val="0"/>
                <w:bCs w:val="0"/>
                <w:color w:val="auto"/>
                <w:sz w:val="24"/>
                <w:szCs w:val="24"/>
                <w:highlight w:val="none"/>
                <w:lang w:val="en-US" w:eastAsia="zh-CN"/>
              </w:rPr>
            </w:pPr>
          </w:p>
          <w:p w14:paraId="5857522B">
            <w:pPr>
              <w:pStyle w:val="47"/>
              <w:keepNext w:val="0"/>
              <w:keepLines w:val="0"/>
              <w:suppressLineNumbers w:val="0"/>
              <w:spacing w:before="0" w:beforeAutospacing="0" w:after="0" w:afterAutospacing="0"/>
              <w:ind w:left="0" w:right="0"/>
              <w:rPr>
                <w:rFonts w:hint="default"/>
                <w:b w:val="0"/>
                <w:bCs w:val="0"/>
                <w:color w:val="auto"/>
                <w:sz w:val="24"/>
                <w:szCs w:val="24"/>
                <w:highlight w:val="none"/>
                <w:lang w:val="en-US" w:eastAsia="zh-CN"/>
              </w:rPr>
            </w:pPr>
          </w:p>
          <w:p w14:paraId="2C50C615">
            <w:pPr>
              <w:pStyle w:val="47"/>
              <w:keepNext w:val="0"/>
              <w:keepLines w:val="0"/>
              <w:suppressLineNumbers w:val="0"/>
              <w:spacing w:before="0" w:beforeAutospacing="0" w:after="0" w:afterAutospacing="0"/>
              <w:ind w:left="0" w:right="0"/>
              <w:rPr>
                <w:rFonts w:hint="default"/>
                <w:b w:val="0"/>
                <w:bCs w:val="0"/>
                <w:color w:val="auto"/>
                <w:sz w:val="24"/>
                <w:szCs w:val="24"/>
                <w:highlight w:val="none"/>
                <w:lang w:val="en-US" w:eastAsia="zh-CN"/>
              </w:rPr>
            </w:pPr>
          </w:p>
          <w:p w14:paraId="46E56E47">
            <w:pPr>
              <w:pStyle w:val="47"/>
              <w:keepNext w:val="0"/>
              <w:keepLines w:val="0"/>
              <w:suppressLineNumbers w:val="0"/>
              <w:spacing w:before="0" w:beforeAutospacing="0" w:after="0" w:afterAutospacing="0"/>
              <w:ind w:left="0" w:right="0"/>
              <w:rPr>
                <w:rFonts w:hint="default"/>
                <w:b w:val="0"/>
                <w:bCs w:val="0"/>
                <w:color w:val="auto"/>
                <w:sz w:val="24"/>
                <w:szCs w:val="24"/>
                <w:highlight w:val="none"/>
                <w:lang w:val="en-US" w:eastAsia="zh-CN"/>
              </w:rPr>
            </w:pPr>
          </w:p>
        </w:tc>
      </w:tr>
    </w:tbl>
    <w:p w14:paraId="01850164">
      <w:pPr>
        <w:rPr>
          <w:rFonts w:hint="default" w:ascii="Times New Roman" w:hAnsi="Times New Roman" w:eastAsia="黑体" w:cs="Times New Roman"/>
          <w:snapToGrid w:val="0"/>
          <w:color w:val="FF0000"/>
          <w:kern w:val="21"/>
          <w:sz w:val="30"/>
          <w:szCs w:val="30"/>
          <w:highlight w:val="none"/>
        </w:rPr>
      </w:pPr>
      <w:r>
        <w:rPr>
          <w:rFonts w:hint="default" w:ascii="Times New Roman" w:hAnsi="Times New Roman" w:eastAsia="黑体" w:cs="Times New Roman"/>
          <w:snapToGrid w:val="0"/>
          <w:color w:val="FF0000"/>
          <w:kern w:val="21"/>
          <w:sz w:val="30"/>
          <w:szCs w:val="30"/>
          <w:highlight w:val="none"/>
        </w:rPr>
        <w:br w:type="page"/>
      </w:r>
    </w:p>
    <w:p w14:paraId="093D294A">
      <w:pPr>
        <w:pStyle w:val="34"/>
        <w:spacing w:before="0" w:beforeAutospacing="0" w:after="158" w:afterLines="50" w:afterAutospacing="0"/>
        <w:jc w:val="center"/>
        <w:outlineLvl w:val="0"/>
        <w:rPr>
          <w:rFonts w:hint="eastAsia" w:ascii="Times New Roman" w:hAnsi="Times New Roman" w:eastAsia="黑体" w:cs="Times New Roman"/>
          <w:snapToGrid w:val="0"/>
          <w:color w:val="auto"/>
          <w:kern w:val="21"/>
          <w:sz w:val="30"/>
          <w:szCs w:val="30"/>
          <w:highlight w:val="none"/>
          <w:lang w:eastAsia="zh-CN"/>
        </w:rPr>
      </w:pPr>
      <w:bookmarkStart w:id="62" w:name="_Toc11642"/>
      <w:bookmarkStart w:id="63" w:name="_Toc17964"/>
      <w:bookmarkStart w:id="64" w:name="_Toc30201"/>
      <w:bookmarkStart w:id="65" w:name="_Toc21713"/>
      <w:bookmarkStart w:id="66" w:name="_Toc32008"/>
      <w:bookmarkStart w:id="67" w:name="_Toc17854"/>
      <w:r>
        <w:rPr>
          <w:rFonts w:hint="default" w:ascii="Times New Roman" w:hAnsi="Times New Roman" w:eastAsia="黑体" w:cs="Times New Roman"/>
          <w:snapToGrid w:val="0"/>
          <w:color w:val="auto"/>
          <w:kern w:val="21"/>
          <w:sz w:val="30"/>
          <w:szCs w:val="30"/>
          <w:highlight w:val="none"/>
        </w:rPr>
        <w:t>五、</w:t>
      </w:r>
      <w:bookmarkStart w:id="68" w:name="_Hlk54167917"/>
      <w:r>
        <w:rPr>
          <w:rFonts w:hint="default" w:ascii="Times New Roman" w:hAnsi="Times New Roman" w:eastAsia="黑体" w:cs="Times New Roman"/>
          <w:snapToGrid w:val="0"/>
          <w:color w:val="auto"/>
          <w:kern w:val="21"/>
          <w:sz w:val="30"/>
          <w:szCs w:val="30"/>
          <w:highlight w:val="none"/>
        </w:rPr>
        <w:t>环境保护措施监督检查清单</w:t>
      </w:r>
      <w:bookmarkEnd w:id="62"/>
      <w:bookmarkEnd w:id="63"/>
      <w:bookmarkEnd w:id="64"/>
      <w:bookmarkEnd w:id="65"/>
      <w:bookmarkEnd w:id="66"/>
      <w:bookmarkEnd w:id="67"/>
      <w:bookmarkEnd w:id="68"/>
    </w:p>
    <w:tbl>
      <w:tblPr>
        <w:tblStyle w:val="38"/>
        <w:tblW w:w="5037"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Layout w:type="fixed"/>
        <w:tblCellMar>
          <w:top w:w="0" w:type="dxa"/>
          <w:left w:w="108" w:type="dxa"/>
          <w:bottom w:w="0" w:type="dxa"/>
          <w:right w:w="108" w:type="dxa"/>
        </w:tblCellMar>
      </w:tblPr>
      <w:tblGrid>
        <w:gridCol w:w="1498"/>
        <w:gridCol w:w="1459"/>
        <w:gridCol w:w="1676"/>
        <w:gridCol w:w="1891"/>
        <w:gridCol w:w="2546"/>
      </w:tblGrid>
      <w:tr w14:paraId="30168E76">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tcBorders>
              <w:tl2br w:val="single" w:color="auto" w:sz="4" w:space="0"/>
            </w:tcBorders>
            <w:vAlign w:val="center"/>
          </w:tcPr>
          <w:p w14:paraId="6C7C539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right"/>
              <w:textAlignment w:val="auto"/>
              <w:rPr>
                <w:rFonts w:hint="default" w:ascii="Times New Roman" w:hAnsi="Times New Roman" w:eastAsia="宋体" w:cs="Times New Roman"/>
                <w:color w:val="auto"/>
                <w:kern w:val="21"/>
                <w:sz w:val="24"/>
                <w:szCs w:val="24"/>
                <w:highlight w:val="none"/>
                <w:lang w:val="en-US" w:eastAsia="zh-CN" w:bidi="ar-SA"/>
              </w:rPr>
            </w:pPr>
            <w:r>
              <w:rPr>
                <w:rFonts w:hint="default" w:ascii="Times New Roman" w:hAnsi="Times New Roman" w:eastAsia="宋体" w:cs="Times New Roman"/>
                <w:color w:val="auto"/>
                <w:kern w:val="21"/>
                <w:sz w:val="24"/>
                <w:szCs w:val="24"/>
                <w:highlight w:val="none"/>
                <w:lang w:val="en-US" w:eastAsia="zh-CN" w:bidi="ar-SA"/>
              </w:rPr>
              <w:t>内容</w:t>
            </w:r>
          </w:p>
          <w:p w14:paraId="570DC34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lang w:val="en-US" w:eastAsia="zh-CN" w:bidi="ar-SA"/>
              </w:rPr>
            </w:pPr>
          </w:p>
          <w:p w14:paraId="5741746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Times New Roman" w:hAnsi="Times New Roman" w:eastAsia="宋体" w:cs="Times New Roman"/>
                <w:color w:val="auto"/>
                <w:kern w:val="21"/>
                <w:sz w:val="24"/>
                <w:szCs w:val="24"/>
                <w:highlight w:val="none"/>
                <w:lang w:val="en-US" w:eastAsia="zh-CN" w:bidi="ar-SA"/>
              </w:rPr>
            </w:pPr>
            <w:r>
              <w:rPr>
                <w:rFonts w:hint="default" w:ascii="Times New Roman" w:hAnsi="Times New Roman" w:eastAsia="宋体" w:cs="Times New Roman"/>
                <w:color w:val="auto"/>
                <w:kern w:val="21"/>
                <w:sz w:val="24"/>
                <w:szCs w:val="24"/>
                <w:highlight w:val="none"/>
                <w:lang w:val="en-US" w:eastAsia="zh-CN" w:bidi="ar-SA"/>
              </w:rPr>
              <w:t>要素</w:t>
            </w:r>
          </w:p>
        </w:tc>
        <w:tc>
          <w:tcPr>
            <w:tcW w:w="804" w:type="pct"/>
            <w:vAlign w:val="center"/>
          </w:tcPr>
          <w:p w14:paraId="4D56205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lang w:val="en-US" w:eastAsia="zh-CN" w:bidi="ar-SA"/>
              </w:rPr>
            </w:pPr>
            <w:r>
              <w:rPr>
                <w:rFonts w:hint="default" w:ascii="Times New Roman" w:hAnsi="Times New Roman" w:eastAsia="宋体" w:cs="Times New Roman"/>
                <w:color w:val="auto"/>
                <w:kern w:val="21"/>
                <w:sz w:val="24"/>
                <w:szCs w:val="24"/>
                <w:highlight w:val="none"/>
                <w:lang w:val="en-US" w:eastAsia="zh-CN" w:bidi="ar-SA"/>
              </w:rPr>
              <w:t>排放口（编号、名称）/污染源</w:t>
            </w:r>
          </w:p>
        </w:tc>
        <w:tc>
          <w:tcPr>
            <w:tcW w:w="924" w:type="pct"/>
            <w:vAlign w:val="center"/>
          </w:tcPr>
          <w:p w14:paraId="24CD05F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lang w:val="en-US" w:eastAsia="zh-CN" w:bidi="ar-SA"/>
              </w:rPr>
            </w:pPr>
            <w:r>
              <w:rPr>
                <w:rFonts w:hint="default" w:ascii="Times New Roman" w:hAnsi="Times New Roman" w:eastAsia="宋体" w:cs="Times New Roman"/>
                <w:color w:val="auto"/>
                <w:kern w:val="21"/>
                <w:sz w:val="24"/>
                <w:szCs w:val="24"/>
                <w:highlight w:val="none"/>
                <w:lang w:val="en-US" w:eastAsia="zh-CN" w:bidi="ar-SA"/>
              </w:rPr>
              <w:t>污染物项目</w:t>
            </w:r>
          </w:p>
        </w:tc>
        <w:tc>
          <w:tcPr>
            <w:tcW w:w="1042" w:type="pct"/>
            <w:vAlign w:val="center"/>
          </w:tcPr>
          <w:p w14:paraId="7CACC74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lang w:val="en-US" w:eastAsia="zh-CN" w:bidi="ar-SA"/>
              </w:rPr>
            </w:pPr>
            <w:r>
              <w:rPr>
                <w:rFonts w:hint="default" w:ascii="Times New Roman" w:hAnsi="Times New Roman" w:eastAsia="宋体" w:cs="Times New Roman"/>
                <w:color w:val="auto"/>
                <w:kern w:val="21"/>
                <w:sz w:val="24"/>
                <w:szCs w:val="24"/>
                <w:highlight w:val="none"/>
                <w:lang w:val="en-US" w:eastAsia="zh-CN" w:bidi="ar-SA"/>
              </w:rPr>
              <w:t>环境保护措施</w:t>
            </w:r>
          </w:p>
        </w:tc>
        <w:tc>
          <w:tcPr>
            <w:tcW w:w="1403" w:type="pct"/>
            <w:vAlign w:val="center"/>
          </w:tcPr>
          <w:p w14:paraId="477E973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lang w:val="en-US" w:eastAsia="zh-CN" w:bidi="ar-SA"/>
              </w:rPr>
            </w:pPr>
            <w:r>
              <w:rPr>
                <w:rFonts w:hint="default" w:ascii="Times New Roman" w:hAnsi="Times New Roman" w:eastAsia="宋体" w:cs="Times New Roman"/>
                <w:color w:val="auto"/>
                <w:kern w:val="21"/>
                <w:sz w:val="24"/>
                <w:szCs w:val="24"/>
                <w:highlight w:val="none"/>
                <w:lang w:val="en-US" w:eastAsia="zh-CN" w:bidi="ar-SA"/>
              </w:rPr>
              <w:t>执行标准</w:t>
            </w:r>
          </w:p>
        </w:tc>
      </w:tr>
      <w:tr w14:paraId="4AFEF1C7">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restart"/>
            <w:vAlign w:val="center"/>
          </w:tcPr>
          <w:p w14:paraId="53CB108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lang w:val="en-US" w:eastAsia="zh-CN"/>
              </w:rPr>
            </w:pPr>
            <w:r>
              <w:rPr>
                <w:rFonts w:hint="default" w:ascii="Times New Roman" w:hAnsi="Times New Roman" w:eastAsia="宋体" w:cs="Times New Roman"/>
                <w:color w:val="auto"/>
                <w:kern w:val="21"/>
                <w:sz w:val="24"/>
                <w:szCs w:val="24"/>
                <w:highlight w:val="none"/>
                <w:lang w:val="en-US" w:eastAsia="zh-CN"/>
              </w:rPr>
              <w:t>大气环境</w:t>
            </w:r>
          </w:p>
        </w:tc>
        <w:tc>
          <w:tcPr>
            <w:tcW w:w="804" w:type="pct"/>
            <w:vMerge w:val="restart"/>
            <w:vAlign w:val="center"/>
          </w:tcPr>
          <w:p w14:paraId="06D1FAC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eastAsia="zh-CN"/>
              </w:rPr>
              <w:t>热风炉</w:t>
            </w:r>
            <w:r>
              <w:rPr>
                <w:rFonts w:hint="eastAsia" w:cs="Times New Roman"/>
                <w:color w:val="auto"/>
                <w:sz w:val="24"/>
                <w:szCs w:val="24"/>
                <w:highlight w:val="none"/>
                <w:lang w:eastAsia="zh-CN"/>
              </w:rPr>
              <w:t>烟囱</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DA001</w:t>
            </w:r>
            <w:r>
              <w:rPr>
                <w:rFonts w:hint="eastAsia" w:ascii="Times New Roman" w:hAnsi="Times New Roman" w:cs="Times New Roman"/>
                <w:color w:val="auto"/>
                <w:sz w:val="24"/>
                <w:szCs w:val="24"/>
                <w:highlight w:val="none"/>
                <w:lang w:eastAsia="zh-CN"/>
              </w:rPr>
              <w:t>）</w:t>
            </w:r>
          </w:p>
        </w:tc>
        <w:tc>
          <w:tcPr>
            <w:tcW w:w="924" w:type="pct"/>
            <w:vAlign w:val="center"/>
          </w:tcPr>
          <w:p w14:paraId="310378E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sz w:val="24"/>
                <w:szCs w:val="24"/>
                <w:highlight w:val="none"/>
                <w:lang w:val="en-US" w:eastAsia="zh-CN"/>
              </w:rPr>
              <w:t>烟尘</w:t>
            </w:r>
            <w:r>
              <w:rPr>
                <w:rFonts w:hint="eastAsia" w:ascii="Times New Roman" w:hAnsi="Times New Roman" w:eastAsia="宋体" w:cs="Times New Roman"/>
                <w:color w:val="auto"/>
                <w:sz w:val="24"/>
                <w:szCs w:val="24"/>
                <w:highlight w:val="none"/>
                <w:lang w:eastAsia="zh-CN"/>
              </w:rPr>
              <w:t>、SO</w:t>
            </w:r>
            <w:r>
              <w:rPr>
                <w:rFonts w:hint="eastAsia" w:ascii="Times New Roman" w:hAnsi="Times New Roman" w:eastAsia="宋体" w:cs="Times New Roman"/>
                <w:color w:val="auto"/>
                <w:sz w:val="24"/>
                <w:szCs w:val="24"/>
                <w:highlight w:val="none"/>
                <w:vertAlign w:val="subscript"/>
                <w:lang w:eastAsia="zh-CN"/>
              </w:rPr>
              <w:t>2</w:t>
            </w:r>
            <w:r>
              <w:rPr>
                <w:rFonts w:hint="eastAsia" w:ascii="Times New Roman" w:hAnsi="Times New Roman" w:eastAsia="宋体" w:cs="Times New Roman"/>
                <w:color w:val="auto"/>
                <w:sz w:val="24"/>
                <w:szCs w:val="24"/>
                <w:highlight w:val="none"/>
                <w:lang w:eastAsia="zh-CN"/>
              </w:rPr>
              <w:t>、烟气黑度</w:t>
            </w:r>
          </w:p>
        </w:tc>
        <w:tc>
          <w:tcPr>
            <w:tcW w:w="1042" w:type="pct"/>
            <w:vMerge w:val="restart"/>
            <w:vAlign w:val="center"/>
          </w:tcPr>
          <w:p w14:paraId="35B0C70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rPr>
              <w:t>布袋除尘器</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18m高</w:t>
            </w:r>
            <w:r>
              <w:rPr>
                <w:rFonts w:hint="eastAsia" w:cs="Times New Roman"/>
                <w:color w:val="auto"/>
                <w:sz w:val="24"/>
                <w:szCs w:val="24"/>
                <w:highlight w:val="none"/>
                <w:lang w:eastAsia="zh-CN"/>
              </w:rPr>
              <w:t>烟囱</w:t>
            </w:r>
            <w:r>
              <w:rPr>
                <w:rFonts w:hint="default" w:ascii="Times New Roman" w:hAnsi="Times New Roman" w:eastAsia="宋体" w:cs="Times New Roman"/>
                <w:color w:val="auto"/>
                <w:sz w:val="24"/>
                <w:szCs w:val="24"/>
                <w:highlight w:val="none"/>
              </w:rPr>
              <w:t>排放</w:t>
            </w:r>
          </w:p>
        </w:tc>
        <w:tc>
          <w:tcPr>
            <w:tcW w:w="1403" w:type="pct"/>
            <w:vAlign w:val="center"/>
          </w:tcPr>
          <w:p w14:paraId="0F661C0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color w:val="auto"/>
                <w:sz w:val="24"/>
                <w:szCs w:val="24"/>
                <w:highlight w:val="none"/>
              </w:rPr>
              <w:t>《工业炉窑大气污染物排放标准》（GB9078-1996）表2和表4中标准要求</w:t>
            </w:r>
          </w:p>
        </w:tc>
      </w:tr>
      <w:tr w14:paraId="258759B7">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continue"/>
            <w:vAlign w:val="center"/>
          </w:tcPr>
          <w:p w14:paraId="5E385A2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lang w:val="en-US" w:eastAsia="zh-CN"/>
              </w:rPr>
            </w:pPr>
          </w:p>
        </w:tc>
        <w:tc>
          <w:tcPr>
            <w:tcW w:w="804" w:type="pct"/>
            <w:vMerge w:val="continue"/>
            <w:vAlign w:val="center"/>
          </w:tcPr>
          <w:p w14:paraId="5312483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cs="Times New Roman"/>
                <w:color w:val="auto"/>
                <w:sz w:val="24"/>
                <w:szCs w:val="24"/>
                <w:highlight w:val="none"/>
                <w:lang w:eastAsia="zh-CN"/>
              </w:rPr>
            </w:pPr>
          </w:p>
        </w:tc>
        <w:tc>
          <w:tcPr>
            <w:tcW w:w="924" w:type="pct"/>
            <w:vAlign w:val="center"/>
          </w:tcPr>
          <w:p w14:paraId="12E865D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NOx</w:t>
            </w:r>
          </w:p>
        </w:tc>
        <w:tc>
          <w:tcPr>
            <w:tcW w:w="1042" w:type="pct"/>
            <w:vMerge w:val="continue"/>
            <w:vAlign w:val="center"/>
          </w:tcPr>
          <w:p w14:paraId="27D15A8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4"/>
                <w:szCs w:val="24"/>
                <w:highlight w:val="none"/>
              </w:rPr>
            </w:pPr>
          </w:p>
        </w:tc>
        <w:tc>
          <w:tcPr>
            <w:tcW w:w="1403" w:type="pct"/>
            <w:vAlign w:val="center"/>
          </w:tcPr>
          <w:p w14:paraId="15AB3E5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w:t>
            </w:r>
          </w:p>
        </w:tc>
      </w:tr>
      <w:tr w14:paraId="2B2CE76B">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continue"/>
            <w:vAlign w:val="center"/>
          </w:tcPr>
          <w:p w14:paraId="2660E82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lang w:val="en-US" w:eastAsia="zh-CN"/>
              </w:rPr>
            </w:pPr>
          </w:p>
        </w:tc>
        <w:tc>
          <w:tcPr>
            <w:tcW w:w="804" w:type="pct"/>
            <w:vAlign w:val="center"/>
          </w:tcPr>
          <w:p w14:paraId="479D0E7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1"/>
                <w:sz w:val="24"/>
                <w:szCs w:val="24"/>
                <w:highlight w:val="none"/>
                <w:lang w:val="en-US" w:eastAsia="zh-CN"/>
              </w:rPr>
            </w:pPr>
            <w:r>
              <w:rPr>
                <w:rFonts w:hint="eastAsia" w:ascii="Times New Roman" w:hAnsi="Times New Roman" w:cs="Times New Roman"/>
                <w:color w:val="auto"/>
                <w:sz w:val="24"/>
                <w:szCs w:val="24"/>
                <w:highlight w:val="none"/>
                <w:lang w:eastAsia="zh-CN"/>
              </w:rPr>
              <w:t>装卸</w:t>
            </w:r>
            <w:r>
              <w:rPr>
                <w:rFonts w:hint="eastAsia" w:cs="Times New Roman"/>
                <w:color w:val="auto"/>
                <w:sz w:val="24"/>
                <w:szCs w:val="24"/>
                <w:highlight w:val="none"/>
                <w:lang w:val="en-US" w:eastAsia="zh-CN"/>
              </w:rPr>
              <w:t>运输</w:t>
            </w:r>
            <w:r>
              <w:rPr>
                <w:rFonts w:hint="eastAsia" w:ascii="Times New Roman" w:hAnsi="Times New Roman" w:cs="Times New Roman"/>
                <w:color w:val="auto"/>
                <w:sz w:val="24"/>
                <w:szCs w:val="24"/>
                <w:highlight w:val="none"/>
                <w:lang w:eastAsia="zh-CN"/>
              </w:rPr>
              <w:t>粉尘</w:t>
            </w:r>
          </w:p>
        </w:tc>
        <w:tc>
          <w:tcPr>
            <w:tcW w:w="924" w:type="pct"/>
            <w:vMerge w:val="restart"/>
            <w:vAlign w:val="center"/>
          </w:tcPr>
          <w:p w14:paraId="056ECA1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kern w:val="0"/>
                <w:sz w:val="24"/>
                <w:szCs w:val="24"/>
                <w:highlight w:val="none"/>
                <w:lang w:eastAsia="zh-CN"/>
              </w:rPr>
              <w:t>颗粒物</w:t>
            </w:r>
          </w:p>
        </w:tc>
        <w:tc>
          <w:tcPr>
            <w:tcW w:w="1042" w:type="pct"/>
            <w:vAlign w:val="center"/>
          </w:tcPr>
          <w:p w14:paraId="2C4B8AC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装卸工段采取粮仓密闭四周设置临时围挡</w:t>
            </w:r>
            <w:r>
              <w:rPr>
                <w:rFonts w:hint="eastAsia" w:cs="Times New Roman"/>
                <w:bCs/>
                <w:color w:val="auto"/>
                <w:sz w:val="24"/>
                <w:szCs w:val="24"/>
                <w:highlight w:val="none"/>
                <w:lang w:val="en-US" w:eastAsia="zh-CN"/>
              </w:rPr>
              <w:t>、输送过程中输送带采取加罩密封，在设备连接处加密封垫或密封胶</w:t>
            </w:r>
          </w:p>
        </w:tc>
        <w:tc>
          <w:tcPr>
            <w:tcW w:w="1403" w:type="pct"/>
            <w:vMerge w:val="restart"/>
            <w:vAlign w:val="center"/>
          </w:tcPr>
          <w:p w14:paraId="7ABBBE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4"/>
                <w:szCs w:val="24"/>
                <w:highlight w:val="none"/>
                <w:lang w:val="en-US" w:eastAsia="zh-CN"/>
              </w:rPr>
            </w:pPr>
            <w:r>
              <w:rPr>
                <w:rFonts w:hint="eastAsia"/>
                <w:color w:val="auto"/>
                <w:sz w:val="24"/>
                <w:szCs w:val="24"/>
                <w:highlight w:val="none"/>
                <w:lang w:eastAsia="zh-CN"/>
              </w:rPr>
              <w:t>《</w:t>
            </w:r>
            <w:r>
              <w:rPr>
                <w:rFonts w:hint="eastAsia"/>
                <w:color w:val="auto"/>
                <w:sz w:val="24"/>
                <w:szCs w:val="24"/>
                <w:highlight w:val="none"/>
              </w:rPr>
              <w:t>大气污染物</w:t>
            </w:r>
            <w:r>
              <w:rPr>
                <w:rFonts w:hint="default"/>
                <w:color w:val="auto"/>
                <w:sz w:val="24"/>
                <w:szCs w:val="24"/>
                <w:highlight w:val="none"/>
              </w:rPr>
              <w:t>综合排放标准》</w:t>
            </w:r>
            <w:r>
              <w:rPr>
                <w:rFonts w:hint="eastAsia"/>
                <w:color w:val="auto"/>
                <w:sz w:val="24"/>
                <w:szCs w:val="24"/>
                <w:highlight w:val="none"/>
                <w:lang w:eastAsia="zh-CN"/>
              </w:rPr>
              <w:t>（</w:t>
            </w:r>
            <w:r>
              <w:rPr>
                <w:rFonts w:hint="default"/>
                <w:color w:val="auto"/>
                <w:sz w:val="24"/>
                <w:szCs w:val="24"/>
                <w:highlight w:val="none"/>
              </w:rPr>
              <w:t>GB</w:t>
            </w:r>
            <w:r>
              <w:rPr>
                <w:rFonts w:hint="eastAsia"/>
                <w:color w:val="auto"/>
                <w:sz w:val="24"/>
                <w:szCs w:val="24"/>
                <w:highlight w:val="none"/>
              </w:rPr>
              <w:t>16297</w:t>
            </w:r>
            <w:r>
              <w:rPr>
                <w:rFonts w:hint="eastAsia"/>
                <w:color w:val="auto"/>
                <w:sz w:val="24"/>
                <w:szCs w:val="24"/>
                <w:highlight w:val="none"/>
                <w:lang w:val="en-US" w:eastAsia="zh-CN"/>
              </w:rPr>
              <w:t>-</w:t>
            </w:r>
            <w:r>
              <w:rPr>
                <w:rFonts w:hint="default"/>
                <w:color w:val="auto"/>
                <w:sz w:val="24"/>
                <w:szCs w:val="24"/>
                <w:highlight w:val="none"/>
              </w:rPr>
              <w:t>1996</w:t>
            </w:r>
            <w:r>
              <w:rPr>
                <w:rFonts w:hint="eastAsia"/>
                <w:color w:val="auto"/>
                <w:sz w:val="24"/>
                <w:szCs w:val="24"/>
                <w:highlight w:val="none"/>
                <w:lang w:eastAsia="zh-CN"/>
              </w:rPr>
              <w:t>）</w:t>
            </w:r>
            <w:r>
              <w:rPr>
                <w:rFonts w:hint="default" w:ascii="Times New Roman" w:hAnsi="Times New Roman" w:cs="Times New Roman"/>
                <w:color w:val="auto"/>
                <w:sz w:val="24"/>
                <w:szCs w:val="24"/>
                <w:highlight w:val="none"/>
              </w:rPr>
              <w:t>中</w:t>
            </w:r>
            <w:r>
              <w:rPr>
                <w:rFonts w:hint="eastAsia" w:ascii="Times New Roman" w:hAnsi="Times New Roman" w:cs="Times New Roman"/>
                <w:color w:val="auto"/>
                <w:sz w:val="24"/>
                <w:szCs w:val="24"/>
                <w:highlight w:val="none"/>
                <w:lang w:eastAsia="zh-CN"/>
              </w:rPr>
              <w:t>无组织</w:t>
            </w:r>
            <w:r>
              <w:rPr>
                <w:rFonts w:hint="default" w:ascii="Times New Roman" w:hAnsi="Times New Roman" w:cs="Times New Roman"/>
                <w:color w:val="auto"/>
                <w:sz w:val="24"/>
                <w:szCs w:val="24"/>
                <w:highlight w:val="none"/>
              </w:rPr>
              <w:t>排放标准</w:t>
            </w:r>
          </w:p>
        </w:tc>
      </w:tr>
      <w:tr w14:paraId="72A1BD80">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continue"/>
            <w:vAlign w:val="center"/>
          </w:tcPr>
          <w:p w14:paraId="7B88F9D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lang w:val="en-US" w:eastAsia="zh-CN"/>
              </w:rPr>
            </w:pPr>
          </w:p>
        </w:tc>
        <w:tc>
          <w:tcPr>
            <w:tcW w:w="804" w:type="pct"/>
            <w:vAlign w:val="center"/>
          </w:tcPr>
          <w:p w14:paraId="4DBB8DA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筛分粉尘</w:t>
            </w:r>
          </w:p>
        </w:tc>
        <w:tc>
          <w:tcPr>
            <w:tcW w:w="924" w:type="pct"/>
            <w:vMerge w:val="continue"/>
            <w:vAlign w:val="center"/>
          </w:tcPr>
          <w:p w14:paraId="49D1094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4"/>
                <w:szCs w:val="24"/>
                <w:highlight w:val="none"/>
              </w:rPr>
            </w:pPr>
          </w:p>
        </w:tc>
        <w:tc>
          <w:tcPr>
            <w:tcW w:w="1042" w:type="pct"/>
            <w:vAlign w:val="center"/>
          </w:tcPr>
          <w:p w14:paraId="1A3A1E9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封闭式滚筒筛</w:t>
            </w:r>
          </w:p>
        </w:tc>
        <w:tc>
          <w:tcPr>
            <w:tcW w:w="1403" w:type="pct"/>
            <w:vMerge w:val="continue"/>
            <w:vAlign w:val="center"/>
          </w:tcPr>
          <w:p w14:paraId="36E2F6E9">
            <w:pPr>
              <w:pStyle w:val="8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4"/>
                <w:szCs w:val="24"/>
                <w:highlight w:val="none"/>
                <w:lang w:val="en-US" w:eastAsia="zh-CN"/>
              </w:rPr>
            </w:pPr>
          </w:p>
        </w:tc>
      </w:tr>
      <w:tr w14:paraId="0926CDCC">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continue"/>
            <w:vAlign w:val="center"/>
          </w:tcPr>
          <w:p w14:paraId="180436C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lang w:val="en-US" w:eastAsia="zh-CN"/>
              </w:rPr>
            </w:pPr>
          </w:p>
        </w:tc>
        <w:tc>
          <w:tcPr>
            <w:tcW w:w="804" w:type="pct"/>
            <w:vAlign w:val="center"/>
          </w:tcPr>
          <w:p w14:paraId="517F670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烘干粉尘</w:t>
            </w:r>
          </w:p>
        </w:tc>
        <w:tc>
          <w:tcPr>
            <w:tcW w:w="924" w:type="pct"/>
            <w:vMerge w:val="continue"/>
            <w:vAlign w:val="center"/>
          </w:tcPr>
          <w:p w14:paraId="75F349A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4"/>
                <w:szCs w:val="24"/>
                <w:highlight w:val="none"/>
              </w:rPr>
            </w:pPr>
          </w:p>
        </w:tc>
        <w:tc>
          <w:tcPr>
            <w:tcW w:w="1042" w:type="pct"/>
            <w:tcBorders>
              <w:bottom w:val="single" w:color="auto" w:sz="4" w:space="0"/>
            </w:tcBorders>
            <w:vAlign w:val="center"/>
          </w:tcPr>
          <w:p w14:paraId="4C306D9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防风抑尘网、苫布遮盖</w:t>
            </w:r>
          </w:p>
        </w:tc>
        <w:tc>
          <w:tcPr>
            <w:tcW w:w="1403" w:type="pct"/>
            <w:vMerge w:val="continue"/>
            <w:tcBorders>
              <w:bottom w:val="single" w:color="auto" w:sz="4" w:space="0"/>
            </w:tcBorders>
            <w:vAlign w:val="center"/>
          </w:tcPr>
          <w:p w14:paraId="38BECD5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4"/>
                <w:szCs w:val="24"/>
                <w:highlight w:val="none"/>
                <w:lang w:val="en-US" w:eastAsia="zh-CN"/>
              </w:rPr>
            </w:pPr>
          </w:p>
        </w:tc>
      </w:tr>
      <w:tr w14:paraId="6CDD9D77">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2015" w:hRule="atLeast"/>
          <w:jc w:val="center"/>
        </w:trPr>
        <w:tc>
          <w:tcPr>
            <w:tcW w:w="825" w:type="pct"/>
            <w:vMerge w:val="continue"/>
            <w:vAlign w:val="center"/>
          </w:tcPr>
          <w:p w14:paraId="485D0D1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lang w:val="en-US" w:eastAsia="zh-CN"/>
              </w:rPr>
            </w:pPr>
          </w:p>
        </w:tc>
        <w:tc>
          <w:tcPr>
            <w:tcW w:w="804" w:type="pct"/>
            <w:vAlign w:val="center"/>
          </w:tcPr>
          <w:p w14:paraId="7CD8F65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热风炉房</w:t>
            </w:r>
          </w:p>
        </w:tc>
        <w:tc>
          <w:tcPr>
            <w:tcW w:w="924" w:type="pct"/>
            <w:vAlign w:val="center"/>
          </w:tcPr>
          <w:p w14:paraId="308643A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颗粒物</w:t>
            </w:r>
          </w:p>
        </w:tc>
        <w:tc>
          <w:tcPr>
            <w:tcW w:w="1042" w:type="pct"/>
            <w:tcBorders>
              <w:top w:val="single" w:color="auto" w:sz="4" w:space="0"/>
            </w:tcBorders>
            <w:vAlign w:val="center"/>
          </w:tcPr>
          <w:p w14:paraId="28169DB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洒水降尘</w:t>
            </w:r>
          </w:p>
        </w:tc>
        <w:tc>
          <w:tcPr>
            <w:tcW w:w="1403" w:type="pct"/>
            <w:tcBorders>
              <w:top w:val="single" w:color="auto" w:sz="4" w:space="0"/>
              <w:bottom w:val="single" w:color="auto" w:sz="4" w:space="0"/>
            </w:tcBorders>
            <w:vAlign w:val="center"/>
          </w:tcPr>
          <w:p w14:paraId="1A21EC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《工业炉窑大气污染物排放标准》（GB9078-1996）表3中有车间厂房其他窑炉无组织排放烟尘最高允许浓度限值要求</w:t>
            </w:r>
          </w:p>
        </w:tc>
      </w:tr>
      <w:tr w14:paraId="76C5447A">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769BBD0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地表水环境</w:t>
            </w:r>
          </w:p>
        </w:tc>
        <w:tc>
          <w:tcPr>
            <w:tcW w:w="804" w:type="pct"/>
            <w:vAlign w:val="center"/>
          </w:tcPr>
          <w:p w14:paraId="450D303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生活污水</w:t>
            </w:r>
          </w:p>
        </w:tc>
        <w:tc>
          <w:tcPr>
            <w:tcW w:w="924" w:type="pct"/>
            <w:tcBorders>
              <w:top w:val="single" w:color="auto" w:sz="4" w:space="0"/>
            </w:tcBorders>
            <w:vAlign w:val="center"/>
          </w:tcPr>
          <w:p w14:paraId="4E5AC7AC">
            <w:pPr>
              <w:pStyle w:val="111"/>
              <w:keepNext w:val="0"/>
              <w:keepLines w:val="0"/>
              <w:suppressLineNumbers w:val="0"/>
              <w:spacing w:before="0" w:beforeAutospacing="0" w:after="0" w:afterAutospacing="0"/>
              <w:ind w:left="0" w:right="0"/>
              <w:rPr>
                <w:rFonts w:hint="eastAsia" w:ascii="Times New Roman" w:hAnsi="Times New Roman" w:eastAsia="宋体" w:cs="Times New Roman"/>
                <w:color w:val="auto"/>
                <w:kern w:val="0"/>
                <w:sz w:val="24"/>
                <w:szCs w:val="24"/>
                <w:highlight w:val="none"/>
                <w:lang w:val="en-US" w:eastAsia="zh-CN" w:bidi="ar-SA"/>
              </w:rPr>
            </w:pPr>
            <w:r>
              <w:rPr>
                <w:rFonts w:hint="default" w:ascii="Times New Roman" w:hAnsi="Times New Roman" w:cs="Times New Roman"/>
                <w:color w:val="auto"/>
                <w:sz w:val="24"/>
                <w:szCs w:val="24"/>
                <w:highlight w:val="none"/>
              </w:rPr>
              <w:t>COD、</w:t>
            </w:r>
            <w:r>
              <w:rPr>
                <w:rFonts w:hint="default" w:ascii="Times New Roman" w:hAnsi="Times New Roman" w:cs="Times New Roman"/>
                <w:color w:val="auto"/>
                <w:position w:val="2"/>
                <w:sz w:val="24"/>
                <w:szCs w:val="24"/>
                <w:highlight w:val="none"/>
              </w:rPr>
              <w:t>BOD</w:t>
            </w:r>
            <w:r>
              <w:rPr>
                <w:rFonts w:hint="default" w:ascii="Times New Roman" w:hAnsi="Times New Roman" w:cs="Times New Roman"/>
                <w:color w:val="auto"/>
                <w:position w:val="2"/>
                <w:sz w:val="24"/>
                <w:szCs w:val="24"/>
                <w:highlight w:val="none"/>
                <w:vertAlign w:val="subscript"/>
              </w:rPr>
              <w:t>5</w:t>
            </w:r>
            <w:r>
              <w:rPr>
                <w:rFonts w:hint="default" w:ascii="Times New Roman" w:hAnsi="Times New Roman" w:cs="Times New Roman"/>
                <w:color w:val="auto"/>
                <w:position w:val="2"/>
                <w:sz w:val="24"/>
                <w:szCs w:val="24"/>
                <w:highlight w:val="none"/>
              </w:rPr>
              <w:t>、</w:t>
            </w:r>
            <w:r>
              <w:rPr>
                <w:rFonts w:hint="default" w:ascii="Times New Roman" w:hAnsi="Times New Roman" w:cs="Times New Roman"/>
                <w:color w:val="auto"/>
                <w:sz w:val="24"/>
                <w:szCs w:val="24"/>
                <w:highlight w:val="none"/>
              </w:rPr>
              <w:t>SS、氨氮</w:t>
            </w:r>
          </w:p>
        </w:tc>
        <w:tc>
          <w:tcPr>
            <w:tcW w:w="1042" w:type="pct"/>
            <w:tcBorders>
              <w:top w:val="single" w:color="auto" w:sz="4" w:space="0"/>
            </w:tcBorders>
            <w:vAlign w:val="center"/>
          </w:tcPr>
          <w:p w14:paraId="6792CCE0">
            <w:pPr>
              <w:pStyle w:val="111"/>
              <w:keepNext w:val="0"/>
              <w:keepLines w:val="0"/>
              <w:suppressLineNumbers w:val="0"/>
              <w:spacing w:before="0" w:beforeAutospacing="0" w:after="0" w:afterAutospacing="0"/>
              <w:ind w:left="0" w:right="0"/>
              <w:rPr>
                <w:rFonts w:hint="eastAsia" w:ascii="Times New Roman" w:hAnsi="Times New Roman" w:eastAsia="宋体" w:cs="Times New Roman"/>
                <w:color w:val="auto"/>
                <w:kern w:val="0"/>
                <w:sz w:val="24"/>
                <w:szCs w:val="24"/>
                <w:highlight w:val="none"/>
                <w:lang w:val="en-US" w:eastAsia="zh-CN" w:bidi="ar-SA"/>
              </w:rPr>
            </w:pPr>
            <w:r>
              <w:rPr>
                <w:rFonts w:hint="eastAsia"/>
                <w:color w:val="auto"/>
                <w:sz w:val="24"/>
                <w:szCs w:val="24"/>
                <w:highlight w:val="none"/>
                <w:lang w:val="en-US" w:eastAsia="zh-CN"/>
              </w:rPr>
              <w:t>排入防渗旱厕，定期清掏</w:t>
            </w:r>
          </w:p>
        </w:tc>
        <w:tc>
          <w:tcPr>
            <w:tcW w:w="1403" w:type="pct"/>
            <w:tcBorders>
              <w:top w:val="single" w:color="auto" w:sz="4" w:space="0"/>
            </w:tcBorders>
            <w:vAlign w:val="center"/>
          </w:tcPr>
          <w:p w14:paraId="637C936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w:t>
            </w:r>
          </w:p>
        </w:tc>
      </w:tr>
      <w:tr w14:paraId="35C5D78B">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5DF3799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地下水及土壤环境</w:t>
            </w:r>
          </w:p>
        </w:tc>
        <w:tc>
          <w:tcPr>
            <w:tcW w:w="804" w:type="pct"/>
            <w:vAlign w:val="center"/>
          </w:tcPr>
          <w:p w14:paraId="0B50827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rPr>
            </w:pPr>
            <w:r>
              <w:rPr>
                <w:rFonts w:hint="eastAsia" w:cs="Times New Roman"/>
                <w:color w:val="auto"/>
                <w:sz w:val="24"/>
                <w:szCs w:val="24"/>
                <w:highlight w:val="none"/>
                <w:lang w:val="en-US" w:eastAsia="zh-CN"/>
              </w:rPr>
              <w:t>/</w:t>
            </w:r>
          </w:p>
        </w:tc>
        <w:tc>
          <w:tcPr>
            <w:tcW w:w="924" w:type="pct"/>
            <w:vAlign w:val="center"/>
          </w:tcPr>
          <w:p w14:paraId="5501425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rPr>
            </w:pPr>
            <w:r>
              <w:rPr>
                <w:rFonts w:hint="eastAsia" w:cs="Times New Roman"/>
                <w:color w:val="auto"/>
                <w:sz w:val="24"/>
                <w:szCs w:val="24"/>
                <w:highlight w:val="none"/>
                <w:lang w:val="en-US" w:eastAsia="zh-CN"/>
              </w:rPr>
              <w:t>/</w:t>
            </w:r>
          </w:p>
        </w:tc>
        <w:tc>
          <w:tcPr>
            <w:tcW w:w="1042" w:type="pct"/>
            <w:vAlign w:val="center"/>
          </w:tcPr>
          <w:p w14:paraId="33BD297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rPr>
            </w:pPr>
            <w:r>
              <w:rPr>
                <w:rFonts w:hint="eastAsia" w:cs="Times New Roman"/>
                <w:color w:val="auto"/>
                <w:sz w:val="24"/>
                <w:szCs w:val="24"/>
                <w:highlight w:val="none"/>
                <w:lang w:val="en-US" w:eastAsia="zh-CN"/>
              </w:rPr>
              <w:t>/</w:t>
            </w:r>
          </w:p>
        </w:tc>
        <w:tc>
          <w:tcPr>
            <w:tcW w:w="1403" w:type="pct"/>
            <w:vAlign w:val="center"/>
          </w:tcPr>
          <w:p w14:paraId="57D306B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rPr>
            </w:pPr>
            <w:r>
              <w:rPr>
                <w:rFonts w:hint="eastAsia" w:cs="Times New Roman"/>
                <w:color w:val="auto"/>
                <w:sz w:val="24"/>
                <w:szCs w:val="24"/>
                <w:highlight w:val="none"/>
                <w:lang w:val="en-US" w:eastAsia="zh-CN"/>
              </w:rPr>
              <w:t>/</w:t>
            </w:r>
          </w:p>
        </w:tc>
      </w:tr>
      <w:tr w14:paraId="7E81BCAB">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09B98F2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声环境</w:t>
            </w:r>
          </w:p>
        </w:tc>
        <w:tc>
          <w:tcPr>
            <w:tcW w:w="804" w:type="pct"/>
            <w:vAlign w:val="center"/>
          </w:tcPr>
          <w:p w14:paraId="7E93805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设备运行</w:t>
            </w:r>
          </w:p>
        </w:tc>
        <w:tc>
          <w:tcPr>
            <w:tcW w:w="924" w:type="pct"/>
            <w:vAlign w:val="center"/>
          </w:tcPr>
          <w:p w14:paraId="0A2AD75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lang w:eastAsia="zh-CN"/>
              </w:rPr>
            </w:pPr>
            <w:r>
              <w:rPr>
                <w:rFonts w:hint="default" w:ascii="Times New Roman" w:hAnsi="Times New Roman" w:eastAsia="宋体" w:cs="Times New Roman"/>
                <w:color w:val="auto"/>
                <w:kern w:val="21"/>
                <w:sz w:val="24"/>
                <w:szCs w:val="24"/>
                <w:highlight w:val="none"/>
                <w:lang w:val="en-US" w:eastAsia="zh-CN"/>
              </w:rPr>
              <w:t>噪声</w:t>
            </w:r>
          </w:p>
        </w:tc>
        <w:tc>
          <w:tcPr>
            <w:tcW w:w="1042" w:type="pct"/>
            <w:vAlign w:val="center"/>
          </w:tcPr>
          <w:p w14:paraId="0267622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lang w:val="en-US" w:eastAsia="zh-CN"/>
              </w:rPr>
            </w:pPr>
            <w:r>
              <w:rPr>
                <w:rFonts w:hint="default" w:ascii="Times New Roman" w:hAnsi="Times New Roman" w:eastAsia="宋体" w:cs="Times New Roman"/>
                <w:color w:val="auto"/>
                <w:sz w:val="24"/>
                <w:szCs w:val="24"/>
                <w:highlight w:val="none"/>
              </w:rPr>
              <w:t>选取低噪声设备，采取减振、隔声</w:t>
            </w:r>
            <w:r>
              <w:rPr>
                <w:rFonts w:hint="eastAsia" w:cs="Times New Roman"/>
                <w:color w:val="auto"/>
                <w:sz w:val="24"/>
                <w:szCs w:val="24"/>
                <w:highlight w:val="none"/>
                <w:lang w:val="en-US" w:eastAsia="zh-CN"/>
              </w:rPr>
              <w:t>等措施</w:t>
            </w:r>
          </w:p>
        </w:tc>
        <w:tc>
          <w:tcPr>
            <w:tcW w:w="1403" w:type="pct"/>
            <w:vAlign w:val="center"/>
          </w:tcPr>
          <w:p w14:paraId="2ECBCC0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lang w:val="en-US" w:eastAsia="zh-CN"/>
              </w:rPr>
            </w:pPr>
            <w:r>
              <w:rPr>
                <w:rFonts w:hint="eastAsia" w:ascii="Times New Roman" w:hAnsi="Times New Roman" w:cs="Times New Roman"/>
                <w:color w:val="auto"/>
                <w:sz w:val="24"/>
                <w:szCs w:val="24"/>
                <w:highlight w:val="none"/>
                <w:lang w:val="en-US" w:eastAsia="zh-CN"/>
              </w:rPr>
              <w:t>东、南、北侧厂界噪声执行《工业企业厂界环境噪声排放标准》GB12348-2008）</w:t>
            </w:r>
            <w:r>
              <w:rPr>
                <w:rFonts w:hint="eastAsia" w:cs="Times New Roman"/>
                <w:color w:val="auto"/>
                <w:sz w:val="24"/>
                <w:szCs w:val="24"/>
                <w:highlight w:val="none"/>
                <w:lang w:val="en-US" w:eastAsia="zh-CN"/>
              </w:rPr>
              <w:t>表1中</w:t>
            </w:r>
            <w:r>
              <w:rPr>
                <w:rFonts w:hint="eastAsia" w:ascii="Times New Roman" w:hAnsi="Times New Roman" w:cs="Times New Roman"/>
                <w:color w:val="auto"/>
                <w:sz w:val="24"/>
                <w:szCs w:val="24"/>
                <w:highlight w:val="none"/>
                <w:lang w:val="en-US" w:eastAsia="zh-CN"/>
              </w:rPr>
              <w:t>2类标准，东侧厂界噪声执行《工业企业厂界环境噪声排放标准》（GB 12348-2008）表1中4类标准。</w:t>
            </w:r>
          </w:p>
        </w:tc>
      </w:tr>
      <w:tr w14:paraId="17D65D46">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69FA52E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电磁辐射</w:t>
            </w:r>
          </w:p>
        </w:tc>
        <w:tc>
          <w:tcPr>
            <w:tcW w:w="804" w:type="pct"/>
            <w:vAlign w:val="center"/>
          </w:tcPr>
          <w:p w14:paraId="1A07A22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w:t>
            </w:r>
          </w:p>
        </w:tc>
        <w:tc>
          <w:tcPr>
            <w:tcW w:w="924" w:type="pct"/>
            <w:vAlign w:val="center"/>
          </w:tcPr>
          <w:p w14:paraId="2D5BF9F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w:t>
            </w:r>
          </w:p>
        </w:tc>
        <w:tc>
          <w:tcPr>
            <w:tcW w:w="1042" w:type="pct"/>
            <w:vAlign w:val="center"/>
          </w:tcPr>
          <w:p w14:paraId="2A978FE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w:t>
            </w:r>
          </w:p>
        </w:tc>
        <w:tc>
          <w:tcPr>
            <w:tcW w:w="1403" w:type="pct"/>
            <w:vAlign w:val="center"/>
          </w:tcPr>
          <w:p w14:paraId="6C02887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w:t>
            </w:r>
          </w:p>
        </w:tc>
      </w:tr>
      <w:tr w14:paraId="3E31EE11">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3758480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固体废物</w:t>
            </w:r>
          </w:p>
        </w:tc>
        <w:tc>
          <w:tcPr>
            <w:tcW w:w="4174" w:type="pct"/>
            <w:gridSpan w:val="4"/>
            <w:vAlign w:val="center"/>
          </w:tcPr>
          <w:p w14:paraId="4401AA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1"/>
                <w:sz w:val="24"/>
                <w:szCs w:val="24"/>
                <w:highlight w:val="none"/>
                <w:lang w:val="en-US" w:eastAsia="zh-CN"/>
              </w:rPr>
            </w:pPr>
            <w:r>
              <w:rPr>
                <w:rFonts w:hint="default"/>
                <w:color w:val="auto"/>
                <w:sz w:val="24"/>
                <w:szCs w:val="24"/>
                <w:highlight w:val="none"/>
              </w:rPr>
              <w:t>本项目</w:t>
            </w:r>
            <w:r>
              <w:rPr>
                <w:rFonts w:hint="eastAsia"/>
                <w:color w:val="auto"/>
                <w:sz w:val="24"/>
                <w:szCs w:val="24"/>
                <w:highlight w:val="none"/>
                <w:lang w:val="en-US" w:eastAsia="zh-CN"/>
              </w:rPr>
              <w:t>生活垃圾</w:t>
            </w:r>
            <w:r>
              <w:rPr>
                <w:rFonts w:hint="default" w:ascii="Times New Roman" w:hAnsi="Times New Roman" w:eastAsia="宋体" w:cs="Times New Roman"/>
                <w:color w:val="auto"/>
                <w:kern w:val="2"/>
                <w:sz w:val="24"/>
                <w:szCs w:val="24"/>
                <w:highlight w:val="none"/>
                <w:lang w:val="en-US" w:eastAsia="zh-CN" w:bidi="ar-SA"/>
              </w:rPr>
              <w:t>运至当地垃圾收集点，由市政部门收集转运</w:t>
            </w:r>
            <w:r>
              <w:rPr>
                <w:rFonts w:hint="eastAsia"/>
                <w:color w:val="auto"/>
                <w:sz w:val="24"/>
                <w:szCs w:val="24"/>
                <w:highlight w:val="none"/>
                <w:lang w:val="en-US" w:eastAsia="zh-CN"/>
              </w:rPr>
              <w:t>；热风炉</w:t>
            </w:r>
            <w:r>
              <w:rPr>
                <w:rFonts w:hint="eastAsia"/>
                <w:color w:val="auto"/>
                <w:sz w:val="24"/>
                <w:szCs w:val="24"/>
                <w:highlight w:val="none"/>
              </w:rPr>
              <w:t>布袋除尘器收尘</w:t>
            </w:r>
            <w:r>
              <w:rPr>
                <w:rFonts w:hint="eastAsia"/>
                <w:color w:val="auto"/>
                <w:sz w:val="24"/>
                <w:szCs w:val="24"/>
                <w:highlight w:val="none"/>
                <w:lang w:val="en-US" w:eastAsia="zh-CN"/>
              </w:rPr>
              <w:t>及</w:t>
            </w:r>
            <w:r>
              <w:rPr>
                <w:rFonts w:hint="eastAsia"/>
                <w:color w:val="auto"/>
                <w:sz w:val="24"/>
                <w:szCs w:val="24"/>
                <w:highlight w:val="none"/>
              </w:rPr>
              <w:t>热风炉炉渣</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集中收集</w:t>
            </w:r>
            <w:r>
              <w:rPr>
                <w:rFonts w:hint="eastAsia" w:ascii="Times New Roman" w:hAnsi="Times New Roman" w:cs="Times New Roman"/>
                <w:color w:val="auto"/>
                <w:sz w:val="24"/>
                <w:szCs w:val="24"/>
                <w:highlight w:val="none"/>
                <w:lang w:val="en-US" w:eastAsia="zh-CN"/>
              </w:rPr>
              <w:t>后</w:t>
            </w:r>
            <w:r>
              <w:rPr>
                <w:rFonts w:hint="default" w:ascii="Times New Roman" w:hAnsi="Times New Roman" w:cs="Times New Roman"/>
                <w:color w:val="auto"/>
                <w:sz w:val="24"/>
                <w:szCs w:val="24"/>
                <w:highlight w:val="none"/>
              </w:rPr>
              <w:t>外售</w:t>
            </w:r>
            <w:r>
              <w:rPr>
                <w:rFonts w:hint="eastAsia" w:cs="Times New Roman"/>
                <w:color w:val="auto"/>
                <w:kern w:val="21"/>
                <w:sz w:val="24"/>
                <w:szCs w:val="24"/>
                <w:highlight w:val="none"/>
                <w:lang w:val="en-US" w:eastAsia="zh-CN"/>
              </w:rPr>
              <w:t>；</w:t>
            </w:r>
            <w:r>
              <w:rPr>
                <w:rFonts w:hint="eastAsia" w:ascii="Times New Roman" w:hAnsi="Times New Roman" w:cs="Times New Roman"/>
                <w:color w:val="auto"/>
                <w:sz w:val="24"/>
                <w:szCs w:val="24"/>
                <w:highlight w:val="none"/>
                <w:lang w:eastAsia="zh-CN"/>
              </w:rPr>
              <w:t>初清杂质及</w:t>
            </w:r>
            <w:r>
              <w:rPr>
                <w:rFonts w:hint="default" w:ascii="Times New Roman" w:hAnsi="Times New Roman" w:cs="Times New Roman"/>
                <w:color w:val="auto"/>
                <w:sz w:val="24"/>
                <w:szCs w:val="24"/>
                <w:highlight w:val="none"/>
              </w:rPr>
              <w:t>烘干、筛分、装卸</w:t>
            </w:r>
            <w:r>
              <w:rPr>
                <w:rFonts w:hint="eastAsia" w:cs="Times New Roman"/>
                <w:color w:val="auto"/>
                <w:sz w:val="24"/>
                <w:szCs w:val="24"/>
                <w:highlight w:val="none"/>
                <w:lang w:val="en-US" w:eastAsia="zh-CN"/>
              </w:rPr>
              <w:t>收集</w:t>
            </w:r>
            <w:r>
              <w:rPr>
                <w:rFonts w:hint="eastAsia"/>
                <w:color w:val="auto"/>
                <w:sz w:val="24"/>
                <w:szCs w:val="24"/>
                <w:highlight w:val="none"/>
                <w:lang w:eastAsia="zh-CN"/>
              </w:rPr>
              <w:t>粉尘</w:t>
            </w:r>
            <w:r>
              <w:rPr>
                <w:rFonts w:hint="default" w:ascii="Times New Roman" w:hAnsi="Times New Roman" w:eastAsia="宋体" w:cs="Times New Roman"/>
                <w:color w:val="auto"/>
                <w:kern w:val="2"/>
                <w:sz w:val="24"/>
                <w:szCs w:val="24"/>
                <w:highlight w:val="none"/>
                <w:lang w:val="en-US" w:eastAsia="zh-CN" w:bidi="ar-SA"/>
              </w:rPr>
              <w:t>运至当地垃圾收集点，由市政部门收集转运</w:t>
            </w:r>
            <w:r>
              <w:rPr>
                <w:rFonts w:hint="eastAsia" w:cs="Times New Roman"/>
                <w:color w:val="auto"/>
                <w:kern w:val="21"/>
                <w:sz w:val="24"/>
                <w:szCs w:val="24"/>
                <w:highlight w:val="none"/>
                <w:lang w:val="en-US" w:eastAsia="zh-CN"/>
              </w:rPr>
              <w:t>；</w:t>
            </w:r>
            <w:r>
              <w:rPr>
                <w:rFonts w:hint="eastAsia"/>
                <w:color w:val="auto"/>
                <w:sz w:val="24"/>
                <w:szCs w:val="24"/>
                <w:highlight w:val="none"/>
                <w:lang w:val="en-US" w:eastAsia="zh-CN"/>
              </w:rPr>
              <w:t>废布袋交由厂家回收处理。</w:t>
            </w:r>
          </w:p>
        </w:tc>
      </w:tr>
      <w:tr w14:paraId="5565977B">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3F6B5BC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土壤及地下水污染防治措施</w:t>
            </w:r>
          </w:p>
        </w:tc>
        <w:tc>
          <w:tcPr>
            <w:tcW w:w="4174" w:type="pct"/>
            <w:gridSpan w:val="4"/>
            <w:vAlign w:val="center"/>
          </w:tcPr>
          <w:p w14:paraId="558A87E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21"/>
                <w:sz w:val="24"/>
                <w:szCs w:val="24"/>
                <w:highlight w:val="none"/>
                <w:lang w:val="en-US" w:eastAsia="zh-CN"/>
              </w:rPr>
            </w:pPr>
            <w:r>
              <w:rPr>
                <w:rFonts w:hint="default" w:ascii="Times New Roman" w:hAnsi="Times New Roman" w:cs="Times New Roman"/>
                <w:color w:val="auto"/>
                <w:kern w:val="0"/>
                <w:sz w:val="24"/>
                <w:szCs w:val="24"/>
                <w:lang w:val="en-US" w:eastAsia="zh-CN"/>
              </w:rPr>
              <w:t>防渗旱厕</w:t>
            </w:r>
            <w:r>
              <w:rPr>
                <w:rFonts w:hint="eastAsia" w:ascii="Times New Roman" w:hAnsi="Times New Roman" w:cs="Times New Roman"/>
                <w:color w:val="auto"/>
                <w:kern w:val="0"/>
                <w:sz w:val="24"/>
                <w:szCs w:val="24"/>
                <w:lang w:val="en-US" w:eastAsia="zh-CN"/>
              </w:rPr>
              <w:t>、</w:t>
            </w:r>
            <w:r>
              <w:rPr>
                <w:rFonts w:hint="default"/>
                <w:color w:val="auto"/>
                <w:sz w:val="24"/>
                <w:szCs w:val="24"/>
                <w:lang w:eastAsia="zh-CN"/>
              </w:rPr>
              <w:t>燃料存放</w:t>
            </w:r>
            <w:r>
              <w:rPr>
                <w:rFonts w:hint="eastAsia"/>
                <w:color w:val="auto"/>
                <w:sz w:val="24"/>
                <w:szCs w:val="24"/>
                <w:lang w:eastAsia="zh-CN"/>
              </w:rPr>
              <w:t>、灰渣堆放</w:t>
            </w:r>
            <w:r>
              <w:rPr>
                <w:rFonts w:hint="eastAsia"/>
                <w:color w:val="auto"/>
                <w:sz w:val="24"/>
                <w:szCs w:val="24"/>
                <w:lang w:val="en-US" w:eastAsia="zh-CN"/>
              </w:rPr>
              <w:t>暂存区</w:t>
            </w:r>
            <w:r>
              <w:rPr>
                <w:rFonts w:hint="eastAsia" w:cs="Times New Roman"/>
                <w:bCs/>
                <w:color w:val="auto"/>
                <w:spacing w:val="0"/>
                <w:sz w:val="24"/>
                <w:szCs w:val="24"/>
                <w:lang w:val="en-US" w:eastAsia="zh-CN"/>
              </w:rPr>
              <w:t>采取防渗措施，其</w:t>
            </w:r>
            <w:r>
              <w:rPr>
                <w:rFonts w:hint="default" w:ascii="Times New Roman" w:hAnsi="Times New Roman" w:cs="Times New Roman"/>
                <w:color w:val="auto"/>
                <w:sz w:val="24"/>
                <w:szCs w:val="24"/>
                <w:lang w:val="en-US" w:eastAsia="zh-CN"/>
              </w:rPr>
              <w:t>防渗技术</w:t>
            </w:r>
            <w:r>
              <w:rPr>
                <w:rFonts w:hint="eastAsia" w:ascii="Times New Roman" w:hAnsi="Times New Roman" w:cs="Times New Roman"/>
                <w:color w:val="auto"/>
                <w:sz w:val="24"/>
                <w:szCs w:val="24"/>
                <w:lang w:val="en-US" w:eastAsia="zh-CN"/>
              </w:rPr>
              <w:t>应满足</w:t>
            </w:r>
            <w:r>
              <w:rPr>
                <w:rFonts w:hint="default" w:ascii="Times New Roman" w:hAnsi="Times New Roman" w:cs="Times New Roman"/>
                <w:color w:val="auto"/>
                <w:sz w:val="24"/>
                <w:szCs w:val="24"/>
                <w:lang w:val="en-US" w:eastAsia="zh-CN"/>
              </w:rPr>
              <w:t>等效粘土防渗层Mb≥</w:t>
            </w:r>
            <w:r>
              <w:rPr>
                <w:rFonts w:hint="eastAsia" w:ascii="Times New Roman" w:hAnsi="Times New Roman" w:cs="Times New Roman"/>
                <w:color w:val="auto"/>
                <w:sz w:val="24"/>
                <w:szCs w:val="24"/>
                <w:lang w:val="en-US" w:eastAsia="zh-CN"/>
              </w:rPr>
              <w:t>1.5</w:t>
            </w:r>
            <w:r>
              <w:rPr>
                <w:rFonts w:hint="default" w:ascii="Times New Roman" w:hAnsi="Times New Roman" w:cs="Times New Roman"/>
                <w:color w:val="auto"/>
                <w:sz w:val="24"/>
                <w:szCs w:val="24"/>
                <w:lang w:val="en-US" w:eastAsia="zh-CN"/>
              </w:rPr>
              <w:t>m，K≤1×10</w:t>
            </w:r>
            <w:r>
              <w:rPr>
                <w:rFonts w:hint="default" w:ascii="Times New Roman" w:hAnsi="Times New Roman" w:cs="Times New Roman"/>
                <w:color w:val="auto"/>
                <w:sz w:val="24"/>
                <w:szCs w:val="24"/>
                <w:vertAlign w:val="superscript"/>
                <w:lang w:val="en-US" w:eastAsia="zh-CN"/>
              </w:rPr>
              <w:t>-</w:t>
            </w:r>
            <w:r>
              <w:rPr>
                <w:rFonts w:hint="eastAsia" w:ascii="Times New Roman" w:hAnsi="Times New Roman" w:cs="Times New Roman"/>
                <w:color w:val="auto"/>
                <w:sz w:val="24"/>
                <w:szCs w:val="24"/>
                <w:vertAlign w:val="superscript"/>
                <w:lang w:val="en-US" w:eastAsia="zh-CN"/>
              </w:rPr>
              <w:t>7</w:t>
            </w:r>
            <w:r>
              <w:rPr>
                <w:rFonts w:hint="default" w:ascii="Times New Roman" w:hAnsi="Times New Roman" w:cs="Times New Roman"/>
                <w:color w:val="auto"/>
                <w:sz w:val="24"/>
                <w:szCs w:val="24"/>
                <w:lang w:val="en-US" w:eastAsia="zh-CN"/>
              </w:rPr>
              <w:t>cm/s的要求</w:t>
            </w:r>
            <w:r>
              <w:rPr>
                <w:rFonts w:hint="eastAsia" w:ascii="Times New Roman" w:hAnsi="Times New Roman" w:cs="Times New Roman"/>
                <w:color w:val="auto"/>
                <w:sz w:val="24"/>
                <w:szCs w:val="24"/>
                <w:lang w:val="en-US" w:eastAsia="zh-CN"/>
              </w:rPr>
              <w:t>。</w:t>
            </w:r>
            <w:r>
              <w:rPr>
                <w:rFonts w:hint="default"/>
                <w:color w:val="auto"/>
                <w:sz w:val="24"/>
                <w:szCs w:val="32"/>
                <w:highlight w:val="none"/>
              </w:rPr>
              <w:t>厂区道路</w:t>
            </w:r>
            <w:r>
              <w:rPr>
                <w:rFonts w:hint="eastAsia"/>
                <w:color w:val="auto"/>
                <w:sz w:val="24"/>
                <w:szCs w:val="32"/>
                <w:highlight w:val="none"/>
              </w:rPr>
              <w:t>，</w:t>
            </w:r>
            <w:r>
              <w:rPr>
                <w:rFonts w:hint="default"/>
                <w:color w:val="auto"/>
                <w:sz w:val="24"/>
                <w:szCs w:val="32"/>
                <w:highlight w:val="none"/>
              </w:rPr>
              <w:t>进行一般地面水泥硬化</w:t>
            </w:r>
            <w:r>
              <w:rPr>
                <w:rFonts w:hint="eastAsia"/>
                <w:color w:val="auto"/>
                <w:sz w:val="24"/>
                <w:szCs w:val="32"/>
                <w:highlight w:val="none"/>
                <w:lang w:eastAsia="zh-CN"/>
              </w:rPr>
              <w:t>。</w:t>
            </w:r>
          </w:p>
        </w:tc>
      </w:tr>
      <w:tr w14:paraId="5FF7FCCC">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13437BD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生态保护措施</w:t>
            </w:r>
          </w:p>
        </w:tc>
        <w:tc>
          <w:tcPr>
            <w:tcW w:w="4174" w:type="pct"/>
            <w:gridSpan w:val="4"/>
            <w:vAlign w:val="center"/>
          </w:tcPr>
          <w:p w14:paraId="38A8174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lang w:eastAsia="zh-CN"/>
              </w:rPr>
            </w:pPr>
            <w:r>
              <w:rPr>
                <w:rFonts w:hint="default" w:ascii="Times New Roman" w:hAnsi="Times New Roman" w:eastAsia="宋体" w:cs="Times New Roman"/>
                <w:color w:val="auto"/>
                <w:sz w:val="24"/>
                <w:szCs w:val="24"/>
                <w:highlight w:val="none"/>
                <w:lang w:val="en-US" w:eastAsia="zh-CN"/>
              </w:rPr>
              <w:t>无</w:t>
            </w:r>
          </w:p>
        </w:tc>
      </w:tr>
      <w:tr w14:paraId="5863DC5E">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1721C71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环境风险防范措施</w:t>
            </w:r>
          </w:p>
        </w:tc>
        <w:tc>
          <w:tcPr>
            <w:tcW w:w="4174" w:type="pct"/>
            <w:gridSpan w:val="4"/>
            <w:vAlign w:val="center"/>
          </w:tcPr>
          <w:p w14:paraId="2B9050BC">
            <w:pPr>
              <w:keepNext w:val="0"/>
              <w:keepLines w:val="0"/>
              <w:suppressLineNumbers w:val="0"/>
              <w:adjustRightInd w:val="0"/>
              <w:snapToGrid w:val="0"/>
              <w:spacing w:before="0" w:beforeAutospacing="0" w:after="0" w:afterAutospacing="0"/>
              <w:ind w:left="0" w:right="0"/>
              <w:jc w:val="both"/>
              <w:rPr>
                <w:rFonts w:hint="eastAsia"/>
                <w:color w:val="auto"/>
                <w:sz w:val="24"/>
                <w:szCs w:val="24"/>
                <w:highlight w:val="none"/>
              </w:rPr>
            </w:pPr>
            <w:r>
              <w:rPr>
                <w:rFonts w:hint="eastAsia"/>
                <w:color w:val="auto"/>
                <w:sz w:val="24"/>
                <w:szCs w:val="24"/>
                <w:highlight w:val="none"/>
              </w:rPr>
              <w:t>本项目不涉及环境风险物质，本次评价仅考虑生物质燃料易燃可能产生的火灾事故风险。</w:t>
            </w:r>
          </w:p>
          <w:p w14:paraId="7DAAFDEC">
            <w:pPr>
              <w:pStyle w:val="15"/>
              <w:keepNext w:val="0"/>
              <w:keepLines w:val="0"/>
              <w:suppressLineNumbers w:val="0"/>
              <w:spacing w:before="0" w:beforeAutospacing="0" w:after="0" w:afterAutospacing="0"/>
              <w:ind w:left="0" w:right="0"/>
              <w:jc w:val="both"/>
              <w:rPr>
                <w:rFonts w:hint="eastAsia" w:eastAsia="宋体"/>
                <w:color w:val="auto"/>
                <w:sz w:val="24"/>
                <w:szCs w:val="24"/>
                <w:highlight w:val="none"/>
                <w:lang w:val="en-US" w:eastAsia="zh-CN"/>
              </w:rPr>
            </w:pPr>
            <w:r>
              <w:rPr>
                <w:rFonts w:hint="eastAsia"/>
                <w:color w:val="auto"/>
                <w:sz w:val="24"/>
                <w:szCs w:val="24"/>
                <w:highlight w:val="none"/>
              </w:rPr>
              <w:t>火灾风险防范措施：在</w:t>
            </w:r>
            <w:r>
              <w:rPr>
                <w:rFonts w:hint="eastAsia"/>
                <w:color w:val="auto"/>
                <w:sz w:val="24"/>
                <w:szCs w:val="24"/>
                <w:highlight w:val="none"/>
                <w:lang w:val="en-US" w:eastAsia="zh-CN"/>
              </w:rPr>
              <w:t>热风炉房</w:t>
            </w:r>
            <w:r>
              <w:rPr>
                <w:rFonts w:hint="eastAsia"/>
                <w:color w:val="auto"/>
                <w:sz w:val="24"/>
                <w:szCs w:val="24"/>
                <w:highlight w:val="none"/>
              </w:rPr>
              <w:t>内设置灭火器。每日对燃料贮存间进行查看，并做好防尘、防雨、防渗、防腐“四防”措施，避免火灾的引发。</w:t>
            </w:r>
          </w:p>
        </w:tc>
      </w:tr>
      <w:tr w14:paraId="05235C34">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152" w:hRule="atLeast"/>
          <w:jc w:val="center"/>
        </w:trPr>
        <w:tc>
          <w:tcPr>
            <w:tcW w:w="825" w:type="pct"/>
            <w:vAlign w:val="center"/>
          </w:tcPr>
          <w:p w14:paraId="517C645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其他环境管理要求</w:t>
            </w:r>
          </w:p>
        </w:tc>
        <w:tc>
          <w:tcPr>
            <w:tcW w:w="4174" w:type="pct"/>
            <w:gridSpan w:val="4"/>
            <w:vAlign w:val="top"/>
          </w:tcPr>
          <w:p w14:paraId="39E580C4">
            <w:pPr>
              <w:pStyle w:val="168"/>
              <w:keepNext w:val="0"/>
              <w:keepLines w:val="0"/>
              <w:pageBreakBefore w:val="0"/>
              <w:numPr>
                <w:ilvl w:val="0"/>
                <w:numId w:val="13"/>
              </w:numPr>
              <w:suppressLineNumbers w:val="0"/>
              <w:kinsoku/>
              <w:wordWrap/>
              <w:overflowPunct/>
              <w:topLinePunct w:val="0"/>
              <w:autoSpaceDE/>
              <w:autoSpaceDN/>
              <w:bidi w:val="0"/>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val="0"/>
                <w:color w:val="auto"/>
                <w:sz w:val="24"/>
                <w:szCs w:val="24"/>
                <w:lang w:val="en-US" w:eastAsia="zh-CN"/>
              </w:rPr>
            </w:pPr>
            <w:r>
              <w:rPr>
                <w:rFonts w:hint="default" w:ascii="Times New Roman" w:hAnsi="Times New Roman" w:eastAsia="宋体" w:cs="Times New Roman"/>
                <w:b/>
                <w:bCs w:val="0"/>
                <w:color w:val="auto"/>
                <w:sz w:val="24"/>
                <w:szCs w:val="24"/>
                <w:lang w:val="en-US" w:eastAsia="zh-CN"/>
              </w:rPr>
              <w:t>环境管理</w:t>
            </w:r>
          </w:p>
          <w:p w14:paraId="51CBDB9A">
            <w:pPr>
              <w:pStyle w:val="168"/>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项目在建设和运行过程中，会对周围环境造成一定的影响，应建立比较合理的环境管理体制和管理机构，采取相应的环境保护措施减轻和消除不利的环境影响，以实现预定的各项环保目标。</w:t>
            </w:r>
          </w:p>
          <w:p w14:paraId="3DA2CA53">
            <w:pPr>
              <w:pStyle w:val="168"/>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同时，项目在施工期和运行期，应实行环境监测，以验证环境影响的实际情况和环境保护措施的效果，以便更好地保护环境，为项目环境管理提供依据，更大地发挥工程建设的环境、社会、经济效益。</w:t>
            </w:r>
          </w:p>
          <w:p w14:paraId="24CEFD91">
            <w:pPr>
              <w:pStyle w:val="168"/>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境管理是企业管理的一项重要内容。加强环境监督管理力度，是实现环境、生产、经济协调发展和走可持续发展道路的重要保证。为了最大限度地减轻施工作业及生产工艺过程中对环境的影响，确保环保安全高效的</w:t>
            </w:r>
            <w:r>
              <w:rPr>
                <w:rFonts w:hint="default" w:ascii="Times New Roman" w:hAnsi="Times New Roman" w:eastAsia="宋体" w:cs="Times New Roman"/>
                <w:color w:val="auto"/>
                <w:sz w:val="24"/>
                <w:szCs w:val="24"/>
                <w:lang w:eastAsia="zh-CN"/>
              </w:rPr>
              <w:t>运营</w:t>
            </w:r>
            <w:r>
              <w:rPr>
                <w:rFonts w:hint="default" w:ascii="Times New Roman" w:hAnsi="Times New Roman" w:eastAsia="宋体" w:cs="Times New Roman"/>
                <w:color w:val="auto"/>
                <w:sz w:val="24"/>
                <w:szCs w:val="24"/>
              </w:rPr>
              <w:t>，建立科学有效的环境管理体制，落实各项环保和安全措施显得尤为重要。通过建立环境管理体系，提高员工环保意识、规范企业管理、推行清洁生产，实现污染控制，保护环境质量，以实现环境效益、社会效益、经济效益的统一。</w:t>
            </w:r>
          </w:p>
          <w:p w14:paraId="18804F95">
            <w:pPr>
              <w:pStyle w:val="168"/>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运营期的环境管理要求</w:t>
            </w:r>
            <w:r>
              <w:rPr>
                <w:rFonts w:hint="default" w:ascii="Times New Roman" w:hAnsi="Times New Roman" w:eastAsia="宋体" w:cs="Times New Roman"/>
                <w:color w:val="auto"/>
                <w:sz w:val="24"/>
                <w:szCs w:val="24"/>
                <w:lang w:eastAsia="zh-CN"/>
              </w:rPr>
              <w:t>：</w:t>
            </w:r>
          </w:p>
          <w:p w14:paraId="6F59D6D6">
            <w:pPr>
              <w:pStyle w:val="168"/>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①投产前的环境管理</w:t>
            </w:r>
          </w:p>
          <w:p w14:paraId="40F92B0C">
            <w:pPr>
              <w:pStyle w:val="168"/>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a.落实环保投资，确保污染治理措施执行“三同时”和各项治理与环保措施达到设计要求；</w:t>
            </w:r>
          </w:p>
          <w:p w14:paraId="52F25556">
            <w:pPr>
              <w:pStyle w:val="168"/>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b.编制环保设施竣工验收方案报告，向</w:t>
            </w:r>
            <w:r>
              <w:rPr>
                <w:rFonts w:hint="default" w:ascii="Times New Roman" w:hAnsi="Times New Roman" w:eastAsia="宋体" w:cs="Times New Roman"/>
                <w:color w:val="auto"/>
                <w:sz w:val="24"/>
                <w:szCs w:val="24"/>
                <w:lang w:eastAsia="zh-CN"/>
              </w:rPr>
              <w:t>生态环境主管部门</w:t>
            </w:r>
            <w:r>
              <w:rPr>
                <w:rFonts w:hint="default" w:ascii="Times New Roman" w:hAnsi="Times New Roman" w:eastAsia="宋体" w:cs="Times New Roman"/>
                <w:color w:val="auto"/>
                <w:sz w:val="24"/>
                <w:szCs w:val="24"/>
              </w:rPr>
              <w:t>申报，进行竣工验收监测，办理竣工验收手续；</w:t>
            </w:r>
          </w:p>
          <w:p w14:paraId="6F208FD2">
            <w:pPr>
              <w:pStyle w:val="168"/>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c.向当地</w:t>
            </w:r>
            <w:r>
              <w:rPr>
                <w:rFonts w:hint="default" w:ascii="Times New Roman" w:hAnsi="Times New Roman" w:eastAsia="宋体" w:cs="Times New Roman"/>
                <w:color w:val="auto"/>
                <w:sz w:val="24"/>
                <w:szCs w:val="24"/>
                <w:lang w:eastAsia="zh-CN"/>
              </w:rPr>
              <w:t>生态环境主管部门</w:t>
            </w:r>
            <w:r>
              <w:rPr>
                <w:rFonts w:hint="default" w:ascii="Times New Roman" w:hAnsi="Times New Roman" w:eastAsia="宋体" w:cs="Times New Roman"/>
                <w:color w:val="auto"/>
                <w:sz w:val="24"/>
                <w:szCs w:val="24"/>
              </w:rPr>
              <w:t>进行排污申报登记，正式投产运行。</w:t>
            </w:r>
          </w:p>
          <w:p w14:paraId="1A0F81DA">
            <w:pPr>
              <w:pStyle w:val="168"/>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②运行期的环境保护管理</w:t>
            </w:r>
          </w:p>
          <w:p w14:paraId="5A0C8B46">
            <w:pPr>
              <w:pStyle w:val="168"/>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a.根据国家环保政策、标准及环境监测要求，制定该项目运行期环保管理规章制度、各种污染物排放控制指标；</w:t>
            </w:r>
          </w:p>
          <w:p w14:paraId="3AA45668">
            <w:pPr>
              <w:pStyle w:val="168"/>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b.负责该项目内所有环保设施的日常运行管理，保障各环保设施的正常运行，并对环保设施的改进提出积极的建议；</w:t>
            </w:r>
          </w:p>
          <w:p w14:paraId="741F2A42">
            <w:pPr>
              <w:pStyle w:val="168"/>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c.负责该项目运行期环境监测工作，及时掌握该项目污染状况，整理监测数据，建立污染源档案；</w:t>
            </w:r>
          </w:p>
          <w:p w14:paraId="61A0AF72">
            <w:pPr>
              <w:pStyle w:val="168"/>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d.项目运行期的环境管理由安全环保部承担；负责该项目内所有环保设施的日常运行管理，保障各环保设施的正常运行，并对环保设施的改进提出积极的建议；</w:t>
            </w:r>
          </w:p>
          <w:p w14:paraId="43F42838">
            <w:pPr>
              <w:pStyle w:val="168"/>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e.负责对职工进行环保宣传教育工作，检查、监督各单位环保制度的执行情况；</w:t>
            </w:r>
          </w:p>
          <w:p w14:paraId="77577D3B">
            <w:pPr>
              <w:pStyle w:val="168"/>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f.建立健全环境档案管理与保密制度、污染防治设施设计技术改进及运行资料、污染源调查技术档案、环境监测及评价资料、项目平面图等；</w:t>
            </w:r>
          </w:p>
          <w:p w14:paraId="12D61872">
            <w:pPr>
              <w:pStyle w:val="168"/>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按照《排污许可申请与核发技术规范  工业炉窑》（HJ1121-2020）定期开展自行监测，并上传至全国污染源监测数据管理与共享系统；建立环境管理台账制度，落实环境管理台账记录的责任部门和责任人，明确工作职责，并对环境管理台账的真实性、完整性和规范性负责，在全国排污许可证管理信息平台申报环境管理台账记录；排污单位按照排污许可证规定的时间提交执行报告；按照排污许可证要求定期开展信息公开。</w:t>
            </w:r>
          </w:p>
          <w:p w14:paraId="36397703">
            <w:pPr>
              <w:pStyle w:val="168"/>
              <w:keepNext w:val="0"/>
              <w:keepLines w:val="0"/>
              <w:pageBreakBefore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color w:val="auto"/>
                <w:sz w:val="24"/>
                <w:szCs w:val="24"/>
                <w:lang w:val="en-US" w:eastAsia="zh-CN"/>
              </w:rPr>
            </w:pPr>
          </w:p>
          <w:p w14:paraId="3A797E1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480" w:firstLineChars="200"/>
              <w:jc w:val="both"/>
              <w:textAlignment w:val="auto"/>
              <w:rPr>
                <w:rFonts w:hint="default" w:ascii="Times New Roman" w:hAnsi="Times New Roman" w:eastAsia="宋体" w:cs="Times New Roman"/>
                <w:color w:val="auto"/>
                <w:kern w:val="21"/>
                <w:sz w:val="24"/>
                <w:szCs w:val="24"/>
                <w:highlight w:val="none"/>
                <w:lang w:val="en-US" w:eastAsia="zh-CN"/>
              </w:rPr>
            </w:pPr>
          </w:p>
          <w:p w14:paraId="420D158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480" w:firstLineChars="200"/>
              <w:jc w:val="both"/>
              <w:textAlignment w:val="auto"/>
              <w:rPr>
                <w:rFonts w:hint="default" w:ascii="Times New Roman" w:hAnsi="Times New Roman" w:eastAsia="宋体" w:cs="Times New Roman"/>
                <w:color w:val="auto"/>
                <w:kern w:val="21"/>
                <w:sz w:val="24"/>
                <w:szCs w:val="24"/>
                <w:highlight w:val="none"/>
                <w:lang w:val="en-US" w:eastAsia="zh-CN"/>
              </w:rPr>
            </w:pPr>
          </w:p>
          <w:p w14:paraId="53CF516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both"/>
              <w:textAlignment w:val="auto"/>
              <w:rPr>
                <w:rFonts w:hint="default" w:ascii="Times New Roman" w:hAnsi="Times New Roman" w:eastAsia="宋体" w:cs="Times New Roman"/>
                <w:color w:val="auto"/>
                <w:kern w:val="21"/>
                <w:sz w:val="24"/>
                <w:szCs w:val="24"/>
                <w:highlight w:val="none"/>
                <w:lang w:val="en-US" w:eastAsia="zh-CN"/>
              </w:rPr>
            </w:pPr>
          </w:p>
        </w:tc>
      </w:tr>
    </w:tbl>
    <w:p w14:paraId="7DA2E332">
      <w:pPr>
        <w:pStyle w:val="34"/>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FF0000"/>
          <w:sz w:val="30"/>
          <w:szCs w:val="30"/>
          <w:highlight w:val="none"/>
        </w:rPr>
        <w:br w:type="page"/>
      </w:r>
      <w:bookmarkStart w:id="69" w:name="_Toc12272"/>
      <w:bookmarkStart w:id="70" w:name="_Toc11094"/>
      <w:bookmarkStart w:id="71" w:name="_Toc19724"/>
      <w:bookmarkStart w:id="72" w:name="_Toc3815"/>
      <w:bookmarkStart w:id="73" w:name="_Toc5478"/>
      <w:bookmarkStart w:id="74" w:name="_Toc6991"/>
      <w:r>
        <w:rPr>
          <w:rFonts w:hint="default" w:ascii="Times New Roman" w:hAnsi="Times New Roman" w:eastAsia="黑体" w:cs="Times New Roman"/>
          <w:snapToGrid w:val="0"/>
          <w:color w:val="auto"/>
          <w:kern w:val="21"/>
          <w:sz w:val="30"/>
          <w:szCs w:val="30"/>
          <w:highlight w:val="none"/>
        </w:rPr>
        <w:t>六、结论</w:t>
      </w:r>
      <w:bookmarkEnd w:id="69"/>
      <w:bookmarkEnd w:id="70"/>
      <w:bookmarkEnd w:id="71"/>
      <w:bookmarkEnd w:id="72"/>
      <w:bookmarkEnd w:id="73"/>
      <w:bookmarkEnd w:id="74"/>
    </w:p>
    <w:tbl>
      <w:tblPr>
        <w:tblStyle w:val="38"/>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71"/>
      </w:tblGrid>
      <w:tr w14:paraId="440A76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68" w:hRule="atLeast"/>
          <w:jc w:val="center"/>
        </w:trPr>
        <w:tc>
          <w:tcPr>
            <w:tcW w:w="5000" w:type="pct"/>
            <w:vAlign w:val="center"/>
          </w:tcPr>
          <w:p w14:paraId="15233B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center"/>
              <w:textAlignment w:val="auto"/>
              <w:rPr>
                <w:rFonts w:hint="default" w:ascii="Times New Roman" w:hAnsi="Times New Roman" w:cs="Times New Roman"/>
                <w:color w:val="auto"/>
                <w:szCs w:val="21"/>
                <w:highlight w:val="none"/>
              </w:rPr>
            </w:pPr>
            <w:r>
              <w:rPr>
                <w:rFonts w:hint="eastAsia" w:ascii="宋体" w:hAnsi="宋体" w:eastAsia="宋体" w:cs="宋体"/>
                <w:color w:val="auto"/>
                <w:sz w:val="24"/>
                <w:szCs w:val="24"/>
                <w:highlight w:val="none"/>
              </w:rPr>
              <w:t>本项目符合国家的产业政策，选址合理。项目在建设和运营中产生的环境影响较小，建设单位认真落实本报告提出的各项污染治理措施，及日常环保管理工作，在确保环保设施正常运行和达标排放前提下，从环保角度考虑，本项目建设可行。</w:t>
            </w:r>
          </w:p>
        </w:tc>
      </w:tr>
    </w:tbl>
    <w:p w14:paraId="3689D062">
      <w:pPr>
        <w:pStyle w:val="34"/>
        <w:spacing w:before="0" w:beforeAutospacing="0" w:after="158" w:afterLines="50" w:afterAutospacing="0"/>
        <w:outlineLvl w:val="9"/>
        <w:rPr>
          <w:rFonts w:hint="default" w:ascii="Times New Roman" w:hAnsi="Times New Roman" w:eastAsia="黑体" w:cs="Times New Roman"/>
          <w:snapToGrid w:val="0"/>
          <w:color w:val="FF0000"/>
          <w:sz w:val="32"/>
          <w:szCs w:val="32"/>
          <w:highlight w:val="none"/>
        </w:rPr>
        <w:sectPr>
          <w:footerReference r:id="rId5" w:type="default"/>
          <w:pgSz w:w="11849" w:h="16781"/>
          <w:pgMar w:top="1701" w:right="1531" w:bottom="1701" w:left="1531" w:header="851" w:footer="1077" w:gutter="0"/>
          <w:pgBorders>
            <w:top w:val="none" w:sz="0" w:space="0"/>
            <w:left w:val="none" w:sz="0" w:space="0"/>
            <w:bottom w:val="none" w:sz="0" w:space="0"/>
            <w:right w:val="none" w:sz="0" w:space="0"/>
          </w:pgBorders>
          <w:pgNumType w:fmt="decimal"/>
          <w:cols w:space="0" w:num="1"/>
          <w:docGrid w:type="lines" w:linePitch="316" w:charSpace="0"/>
        </w:sectPr>
      </w:pPr>
    </w:p>
    <w:p w14:paraId="1407FDF6">
      <w:pPr>
        <w:pStyle w:val="34"/>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hint="default" w:ascii="Times New Roman" w:hAnsi="Times New Roman" w:eastAsia="黑体" w:cs="Times New Roman"/>
          <w:snapToGrid w:val="0"/>
          <w:color w:val="auto"/>
          <w:kern w:val="21"/>
          <w:sz w:val="30"/>
          <w:szCs w:val="30"/>
          <w:highlight w:val="none"/>
        </w:rPr>
      </w:pPr>
      <w:bookmarkStart w:id="75" w:name="_Toc6766"/>
      <w:bookmarkStart w:id="76" w:name="_Toc10105"/>
      <w:bookmarkStart w:id="77" w:name="_Toc3098"/>
      <w:bookmarkStart w:id="78" w:name="_Toc17733"/>
      <w:bookmarkStart w:id="79" w:name="_Toc9128"/>
      <w:bookmarkStart w:id="80" w:name="_Toc10689"/>
      <w:r>
        <w:rPr>
          <w:rFonts w:hint="default" w:ascii="Times New Roman" w:hAnsi="Times New Roman" w:eastAsia="黑体" w:cs="Times New Roman"/>
          <w:snapToGrid w:val="0"/>
          <w:color w:val="auto"/>
          <w:kern w:val="21"/>
          <w:sz w:val="30"/>
          <w:szCs w:val="30"/>
          <w:highlight w:val="none"/>
        </w:rPr>
        <w:t>附表</w:t>
      </w:r>
      <w:bookmarkEnd w:id="75"/>
      <w:bookmarkEnd w:id="76"/>
      <w:bookmarkEnd w:id="77"/>
      <w:bookmarkEnd w:id="78"/>
      <w:bookmarkEnd w:id="79"/>
      <w:bookmarkEnd w:id="80"/>
    </w:p>
    <w:p w14:paraId="2BDE040E">
      <w:pPr>
        <w:pStyle w:val="34"/>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rPr>
          <w:rFonts w:hint="eastAsia" w:ascii="Times New Roman" w:hAnsi="Times New Roman" w:eastAsia="黑体" w:cs="Times New Roman"/>
          <w:snapToGrid w:val="0"/>
          <w:color w:val="auto"/>
          <w:kern w:val="21"/>
          <w:sz w:val="30"/>
          <w:szCs w:val="38"/>
          <w:highlight w:val="none"/>
          <w:lang w:eastAsia="zh-CN"/>
        </w:rPr>
      </w:pPr>
      <w:r>
        <w:rPr>
          <w:rFonts w:hint="default" w:ascii="Times New Roman" w:hAnsi="Times New Roman" w:eastAsia="黑体" w:cs="Times New Roman"/>
          <w:snapToGrid w:val="0"/>
          <w:color w:val="auto"/>
          <w:kern w:val="21"/>
          <w:sz w:val="30"/>
          <w:szCs w:val="30"/>
          <w:highlight w:val="none"/>
        </w:rPr>
        <w:t>建设项目污染物排放量汇总表</w:t>
      </w:r>
    </w:p>
    <w:tbl>
      <w:tblPr>
        <w:tblStyle w:val="38"/>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2471"/>
        <w:gridCol w:w="1364"/>
        <w:gridCol w:w="1296"/>
        <w:gridCol w:w="1409"/>
        <w:gridCol w:w="1559"/>
        <w:gridCol w:w="1535"/>
        <w:gridCol w:w="1786"/>
        <w:gridCol w:w="1225"/>
      </w:tblGrid>
      <w:tr w14:paraId="156246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tcBorders>
              <w:tl2br w:val="single" w:color="auto" w:sz="4" w:space="0"/>
            </w:tcBorders>
            <w:tcMar>
              <w:left w:w="28" w:type="dxa"/>
              <w:right w:w="28" w:type="dxa"/>
            </w:tcMar>
            <w:vAlign w:val="center"/>
          </w:tcPr>
          <w:p w14:paraId="17C210B5">
            <w:pPr>
              <w:pStyle w:val="67"/>
              <w:keepNext w:val="0"/>
              <w:keepLines w:val="0"/>
              <w:suppressLineNumbers w:val="0"/>
              <w:spacing w:before="0" w:beforeLines="0" w:beforeAutospacing="0" w:after="0" w:afterLines="0" w:afterAutospacing="0" w:line="240" w:lineRule="auto"/>
              <w:ind w:left="0" w:right="0" w:firstLine="0" w:firstLineChars="0"/>
              <w:jc w:val="right"/>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项目</w:t>
            </w:r>
          </w:p>
          <w:p w14:paraId="494E2ECC">
            <w:pPr>
              <w:pStyle w:val="67"/>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分类</w:t>
            </w:r>
          </w:p>
        </w:tc>
        <w:tc>
          <w:tcPr>
            <w:tcW w:w="2471" w:type="dxa"/>
            <w:tcMar>
              <w:left w:w="28" w:type="dxa"/>
              <w:right w:w="28" w:type="dxa"/>
            </w:tcMar>
            <w:vAlign w:val="center"/>
          </w:tcPr>
          <w:p w14:paraId="7B0850F0">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污染物名称</w:t>
            </w:r>
          </w:p>
        </w:tc>
        <w:tc>
          <w:tcPr>
            <w:tcW w:w="1364" w:type="dxa"/>
            <w:tcMar>
              <w:left w:w="28" w:type="dxa"/>
              <w:right w:w="28" w:type="dxa"/>
            </w:tcMar>
            <w:vAlign w:val="center"/>
          </w:tcPr>
          <w:p w14:paraId="152AC675">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14:paraId="2AEE39E0">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1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①</w:t>
            </w:r>
            <w:r>
              <w:rPr>
                <w:rFonts w:hint="default" w:ascii="Times New Roman" w:hAnsi="Times New Roman" w:eastAsia="黑体" w:cs="Times New Roman"/>
                <w:snapToGrid w:val="0"/>
                <w:color w:val="auto"/>
                <w:spacing w:val="-6"/>
                <w:kern w:val="21"/>
                <w:sz w:val="21"/>
                <w:szCs w:val="21"/>
                <w:highlight w:val="none"/>
              </w:rPr>
              <w:fldChar w:fldCharType="end"/>
            </w:r>
          </w:p>
        </w:tc>
        <w:tc>
          <w:tcPr>
            <w:tcW w:w="1296" w:type="dxa"/>
            <w:tcMar>
              <w:left w:w="28" w:type="dxa"/>
              <w:right w:w="28" w:type="dxa"/>
            </w:tcMar>
            <w:vAlign w:val="center"/>
          </w:tcPr>
          <w:p w14:paraId="09856A54">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14:paraId="0666C754">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许可排放量</w:t>
            </w:r>
          </w:p>
          <w:p w14:paraId="3D6C0803">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2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snapToGrid w:val="0"/>
                <w:color w:val="auto"/>
                <w:spacing w:val="-6"/>
                <w:kern w:val="21"/>
                <w:sz w:val="21"/>
                <w:szCs w:val="21"/>
                <w:highlight w:val="none"/>
              </w:rPr>
              <w:t>②</w:t>
            </w:r>
            <w:r>
              <w:rPr>
                <w:rFonts w:hint="default" w:ascii="Times New Roman" w:hAnsi="Times New Roman" w:eastAsia="黑体" w:cs="Times New Roman"/>
                <w:snapToGrid w:val="0"/>
                <w:color w:val="auto"/>
                <w:spacing w:val="-6"/>
                <w:kern w:val="21"/>
                <w:sz w:val="21"/>
                <w:szCs w:val="21"/>
                <w:highlight w:val="none"/>
              </w:rPr>
              <w:fldChar w:fldCharType="end"/>
            </w:r>
          </w:p>
        </w:tc>
        <w:tc>
          <w:tcPr>
            <w:tcW w:w="1409" w:type="dxa"/>
            <w:tcMar>
              <w:left w:w="28" w:type="dxa"/>
              <w:right w:w="28" w:type="dxa"/>
            </w:tcMar>
            <w:vAlign w:val="center"/>
          </w:tcPr>
          <w:p w14:paraId="33FDDB63">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在建工程</w:t>
            </w:r>
          </w:p>
          <w:p w14:paraId="1A6629FA">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3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③</w:t>
            </w:r>
            <w:r>
              <w:rPr>
                <w:rFonts w:hint="default" w:ascii="Times New Roman" w:hAnsi="Times New Roman" w:eastAsia="黑体" w:cs="Times New Roman"/>
                <w:snapToGrid w:val="0"/>
                <w:color w:val="auto"/>
                <w:spacing w:val="-6"/>
                <w:kern w:val="21"/>
                <w:sz w:val="21"/>
                <w:szCs w:val="21"/>
                <w:highlight w:val="none"/>
              </w:rPr>
              <w:fldChar w:fldCharType="end"/>
            </w:r>
          </w:p>
        </w:tc>
        <w:tc>
          <w:tcPr>
            <w:tcW w:w="1559" w:type="dxa"/>
            <w:tcMar>
              <w:left w:w="28" w:type="dxa"/>
              <w:right w:w="28" w:type="dxa"/>
            </w:tcMar>
            <w:vAlign w:val="center"/>
          </w:tcPr>
          <w:p w14:paraId="24C8D5E4">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本项目</w:t>
            </w:r>
          </w:p>
          <w:p w14:paraId="04AE6268">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4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④</w:t>
            </w:r>
            <w:r>
              <w:rPr>
                <w:rFonts w:hint="default" w:ascii="Times New Roman" w:hAnsi="Times New Roman" w:eastAsia="黑体" w:cs="Times New Roman"/>
                <w:snapToGrid w:val="0"/>
                <w:color w:val="auto"/>
                <w:spacing w:val="-6"/>
                <w:kern w:val="21"/>
                <w:sz w:val="21"/>
                <w:szCs w:val="21"/>
                <w:highlight w:val="none"/>
              </w:rPr>
              <w:fldChar w:fldCharType="end"/>
            </w:r>
          </w:p>
        </w:tc>
        <w:tc>
          <w:tcPr>
            <w:tcW w:w="1535" w:type="dxa"/>
            <w:tcMar>
              <w:left w:w="28" w:type="dxa"/>
              <w:right w:w="28" w:type="dxa"/>
            </w:tcMar>
            <w:vAlign w:val="center"/>
          </w:tcPr>
          <w:p w14:paraId="4F7B6D53">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以新带老削减量</w:t>
            </w:r>
          </w:p>
          <w:p w14:paraId="3466D3DB">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（新建项目不填）</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5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⑤</w:t>
            </w:r>
            <w:r>
              <w:rPr>
                <w:rFonts w:hint="default" w:ascii="Times New Roman" w:hAnsi="Times New Roman" w:eastAsia="黑体" w:cs="Times New Roman"/>
                <w:snapToGrid w:val="0"/>
                <w:color w:val="auto"/>
                <w:spacing w:val="-16"/>
                <w:kern w:val="21"/>
                <w:sz w:val="21"/>
                <w:szCs w:val="21"/>
                <w:highlight w:val="none"/>
              </w:rPr>
              <w:fldChar w:fldCharType="end"/>
            </w:r>
          </w:p>
        </w:tc>
        <w:tc>
          <w:tcPr>
            <w:tcW w:w="1786" w:type="dxa"/>
            <w:tcMar>
              <w:left w:w="28" w:type="dxa"/>
              <w:right w:w="28" w:type="dxa"/>
            </w:tcMar>
            <w:vAlign w:val="center"/>
          </w:tcPr>
          <w:p w14:paraId="6C6B1A85">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本项目建成后</w:t>
            </w:r>
          </w:p>
          <w:p w14:paraId="22A6872A">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全厂排放量（固体废物产生量）</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6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⑥</w:t>
            </w:r>
            <w:r>
              <w:rPr>
                <w:rFonts w:hint="default" w:ascii="Times New Roman" w:hAnsi="Times New Roman" w:eastAsia="黑体" w:cs="Times New Roman"/>
                <w:snapToGrid w:val="0"/>
                <w:color w:val="auto"/>
                <w:spacing w:val="-16"/>
                <w:kern w:val="21"/>
                <w:sz w:val="21"/>
                <w:szCs w:val="21"/>
                <w:highlight w:val="none"/>
              </w:rPr>
              <w:fldChar w:fldCharType="end"/>
            </w:r>
          </w:p>
        </w:tc>
        <w:tc>
          <w:tcPr>
            <w:tcW w:w="1225" w:type="dxa"/>
            <w:tcMar>
              <w:left w:w="28" w:type="dxa"/>
              <w:right w:w="28" w:type="dxa"/>
            </w:tcMar>
            <w:vAlign w:val="center"/>
          </w:tcPr>
          <w:p w14:paraId="639C099B">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变化量</w:t>
            </w:r>
          </w:p>
          <w:p w14:paraId="25C789E5">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7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⑦</w:t>
            </w:r>
            <w:r>
              <w:rPr>
                <w:rFonts w:hint="default" w:ascii="Times New Roman" w:hAnsi="Times New Roman" w:eastAsia="黑体" w:cs="Times New Roman"/>
                <w:snapToGrid w:val="0"/>
                <w:color w:val="auto"/>
                <w:spacing w:val="-6"/>
                <w:kern w:val="21"/>
                <w:sz w:val="21"/>
                <w:szCs w:val="21"/>
                <w:highlight w:val="none"/>
              </w:rPr>
              <w:fldChar w:fldCharType="end"/>
            </w:r>
          </w:p>
        </w:tc>
      </w:tr>
      <w:tr w14:paraId="2DC3E2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restart"/>
            <w:vAlign w:val="center"/>
          </w:tcPr>
          <w:p w14:paraId="62570220">
            <w:pPr>
              <w:pStyle w:val="67"/>
              <w:keepNext w:val="0"/>
              <w:keepLines w:val="0"/>
              <w:suppressLineNumbers w:val="0"/>
              <w:spacing w:before="0" w:beforeLines="0" w:beforeAutospacing="0" w:after="0" w:afterLines="0" w:afterAutospacing="0" w:line="240" w:lineRule="auto"/>
              <w:ind w:left="0" w:right="0" w:firstLine="0" w:firstLineChars="0"/>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废气</w:t>
            </w:r>
          </w:p>
        </w:tc>
        <w:tc>
          <w:tcPr>
            <w:tcW w:w="2471" w:type="dxa"/>
            <w:vAlign w:val="center"/>
          </w:tcPr>
          <w:p w14:paraId="45C81CC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颗粒物</w:t>
            </w:r>
          </w:p>
        </w:tc>
        <w:tc>
          <w:tcPr>
            <w:tcW w:w="1364" w:type="dxa"/>
            <w:vAlign w:val="center"/>
          </w:tcPr>
          <w:p w14:paraId="7316CA8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snapToGrid w:val="0"/>
                <w:color w:val="auto"/>
                <w:kern w:val="21"/>
                <w:sz w:val="21"/>
                <w:szCs w:val="21"/>
                <w:highlight w:val="none"/>
              </w:rPr>
            </w:pPr>
            <w:r>
              <w:rPr>
                <w:rFonts w:hint="eastAsia"/>
                <w:color w:val="auto"/>
                <w:kern w:val="2"/>
                <w:sz w:val="21"/>
                <w:szCs w:val="24"/>
                <w:lang w:val="en-US" w:eastAsia="zh-CN" w:bidi="ar-SA"/>
              </w:rPr>
              <w:t>2.1</w:t>
            </w:r>
            <w:r>
              <w:rPr>
                <w:rFonts w:hint="default" w:ascii="Times New Roman" w:hAnsi="Times New Roman" w:eastAsia="宋体" w:cs="Times New Roman"/>
                <w:snapToGrid w:val="0"/>
                <w:color w:val="auto"/>
                <w:kern w:val="21"/>
                <w:sz w:val="21"/>
                <w:szCs w:val="21"/>
                <w:highlight w:val="none"/>
                <w:lang w:val="en-US" w:eastAsia="zh-CN"/>
              </w:rPr>
              <w:t>t/a</w:t>
            </w:r>
          </w:p>
        </w:tc>
        <w:tc>
          <w:tcPr>
            <w:tcW w:w="1296" w:type="dxa"/>
            <w:vAlign w:val="center"/>
          </w:tcPr>
          <w:p w14:paraId="077C85D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34064C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534A792B">
            <w:pPr>
              <w:pStyle w:val="151"/>
              <w:keepNext/>
              <w:keepLines w:val="0"/>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zh-CN"/>
              </w:rPr>
            </w:pPr>
            <w:r>
              <w:rPr>
                <w:rFonts w:hint="eastAsia"/>
                <w:color w:val="auto"/>
                <w:sz w:val="21"/>
                <w:szCs w:val="21"/>
                <w:highlight w:val="none"/>
                <w:lang w:val="en-US" w:eastAsia="zh-CN"/>
              </w:rPr>
              <w:t>0.197</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0511C32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snapToGrid w:val="0"/>
                <w:color w:val="auto"/>
                <w:kern w:val="21"/>
                <w:sz w:val="21"/>
                <w:szCs w:val="21"/>
                <w:highlight w:val="none"/>
              </w:rPr>
            </w:pPr>
            <w:r>
              <w:rPr>
                <w:rFonts w:hint="eastAsia"/>
                <w:color w:val="auto"/>
                <w:kern w:val="2"/>
                <w:sz w:val="21"/>
                <w:szCs w:val="24"/>
                <w:highlight w:val="none"/>
                <w:lang w:val="en-US" w:eastAsia="zh-CN" w:bidi="ar-SA"/>
              </w:rPr>
              <w:t>2.1</w:t>
            </w:r>
            <w:r>
              <w:rPr>
                <w:rFonts w:hint="default" w:ascii="Times New Roman" w:hAnsi="Times New Roman" w:eastAsia="宋体" w:cs="Times New Roman"/>
                <w:snapToGrid w:val="0"/>
                <w:color w:val="auto"/>
                <w:kern w:val="21"/>
                <w:sz w:val="21"/>
                <w:szCs w:val="21"/>
                <w:highlight w:val="none"/>
                <w:lang w:val="en-US" w:eastAsia="zh-CN"/>
              </w:rPr>
              <w:t>t/a</w:t>
            </w:r>
          </w:p>
        </w:tc>
        <w:tc>
          <w:tcPr>
            <w:tcW w:w="1786" w:type="dxa"/>
            <w:vAlign w:val="center"/>
          </w:tcPr>
          <w:p w14:paraId="10314BA8">
            <w:pPr>
              <w:pStyle w:val="151"/>
              <w:keepNext/>
              <w:keepLines w:val="0"/>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zh-CN"/>
              </w:rPr>
            </w:pPr>
            <w:r>
              <w:rPr>
                <w:rFonts w:hint="eastAsia"/>
                <w:color w:val="auto"/>
                <w:sz w:val="21"/>
                <w:szCs w:val="21"/>
                <w:highlight w:val="none"/>
                <w:lang w:val="en-US" w:eastAsia="zh-CN"/>
              </w:rPr>
              <w:t>0.197</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0B0A2C8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color w:val="auto"/>
                <w:kern w:val="2"/>
                <w:sz w:val="21"/>
                <w:szCs w:val="24"/>
                <w:highlight w:val="none"/>
                <w:lang w:val="en-US" w:eastAsia="zh-CN" w:bidi="ar-SA"/>
              </w:rPr>
              <w:t>-1.903</w:t>
            </w:r>
            <w:r>
              <w:rPr>
                <w:rFonts w:hint="eastAsia" w:cs="Times New Roman"/>
                <w:color w:val="auto"/>
                <w:kern w:val="2"/>
                <w:sz w:val="21"/>
                <w:szCs w:val="21"/>
                <w:highlight w:val="none"/>
                <w:lang w:val="en-US" w:eastAsia="zh-CN" w:bidi="zh-CN"/>
              </w:rPr>
              <w:t>t/a</w:t>
            </w:r>
          </w:p>
        </w:tc>
      </w:tr>
      <w:tr w14:paraId="5366CE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27C3D8CE">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FF0000"/>
                <w:kern w:val="21"/>
                <w:sz w:val="21"/>
                <w:szCs w:val="21"/>
                <w:highlight w:val="none"/>
              </w:rPr>
            </w:pPr>
          </w:p>
        </w:tc>
        <w:tc>
          <w:tcPr>
            <w:tcW w:w="2471" w:type="dxa"/>
            <w:vAlign w:val="center"/>
          </w:tcPr>
          <w:p w14:paraId="6D58EADF">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1364" w:type="dxa"/>
            <w:vAlign w:val="center"/>
          </w:tcPr>
          <w:p w14:paraId="371B0E3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1"/>
                <w:szCs w:val="21"/>
                <w:highlight w:val="none"/>
              </w:rPr>
            </w:pPr>
            <w:r>
              <w:rPr>
                <w:rFonts w:hint="eastAsia"/>
                <w:color w:val="auto"/>
                <w:kern w:val="2"/>
                <w:sz w:val="21"/>
                <w:szCs w:val="24"/>
                <w:lang w:val="en-US" w:eastAsia="zh-CN" w:bidi="ar-SA"/>
              </w:rPr>
              <w:t>3.8</w:t>
            </w:r>
            <w:r>
              <w:rPr>
                <w:rFonts w:hint="default" w:ascii="Times New Roman" w:hAnsi="Times New Roman" w:eastAsia="宋体" w:cs="Times New Roman"/>
                <w:snapToGrid w:val="0"/>
                <w:color w:val="auto"/>
                <w:kern w:val="21"/>
                <w:sz w:val="21"/>
                <w:szCs w:val="21"/>
                <w:highlight w:val="none"/>
                <w:lang w:val="en-US" w:eastAsia="zh-CN"/>
              </w:rPr>
              <w:t>t/a</w:t>
            </w:r>
          </w:p>
        </w:tc>
        <w:tc>
          <w:tcPr>
            <w:tcW w:w="1296" w:type="dxa"/>
            <w:vAlign w:val="center"/>
          </w:tcPr>
          <w:p w14:paraId="5E09E26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0DE686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34FC53EC">
            <w:pPr>
              <w:pStyle w:val="151"/>
              <w:keepNext/>
              <w:keepLines w:val="0"/>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zh-CN"/>
              </w:rPr>
            </w:pPr>
            <w:r>
              <w:rPr>
                <w:rFonts w:hint="eastAsia"/>
                <w:color w:val="auto"/>
                <w:sz w:val="21"/>
                <w:szCs w:val="21"/>
                <w:highlight w:val="none"/>
                <w:lang w:val="en-US" w:eastAsia="zh-CN"/>
              </w:rPr>
              <w:t>0.659</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08AF734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1"/>
                <w:szCs w:val="21"/>
                <w:highlight w:val="none"/>
              </w:rPr>
            </w:pPr>
            <w:r>
              <w:rPr>
                <w:rFonts w:hint="eastAsia"/>
                <w:color w:val="auto"/>
                <w:kern w:val="2"/>
                <w:sz w:val="21"/>
                <w:szCs w:val="24"/>
                <w:highlight w:val="none"/>
                <w:lang w:val="en-US" w:eastAsia="zh-CN" w:bidi="ar-SA"/>
              </w:rPr>
              <w:t>3.8</w:t>
            </w:r>
            <w:r>
              <w:rPr>
                <w:rFonts w:hint="default" w:ascii="Times New Roman" w:hAnsi="Times New Roman" w:eastAsia="宋体" w:cs="Times New Roman"/>
                <w:snapToGrid w:val="0"/>
                <w:color w:val="auto"/>
                <w:kern w:val="21"/>
                <w:sz w:val="21"/>
                <w:szCs w:val="21"/>
                <w:highlight w:val="none"/>
                <w:lang w:val="en-US" w:eastAsia="zh-CN"/>
              </w:rPr>
              <w:t>t/a</w:t>
            </w:r>
          </w:p>
        </w:tc>
        <w:tc>
          <w:tcPr>
            <w:tcW w:w="1786" w:type="dxa"/>
            <w:vAlign w:val="center"/>
          </w:tcPr>
          <w:p w14:paraId="53A58074">
            <w:pPr>
              <w:pStyle w:val="151"/>
              <w:keepNext/>
              <w:keepLines w:val="0"/>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zh-CN"/>
              </w:rPr>
            </w:pPr>
            <w:r>
              <w:rPr>
                <w:rFonts w:hint="eastAsia"/>
                <w:color w:val="auto"/>
                <w:sz w:val="21"/>
                <w:szCs w:val="21"/>
                <w:highlight w:val="none"/>
                <w:lang w:val="en-US" w:eastAsia="zh-CN"/>
              </w:rPr>
              <w:t>0.659</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1CED44C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cs="Times New Roman"/>
                <w:color w:val="auto"/>
                <w:kern w:val="2"/>
                <w:sz w:val="21"/>
                <w:szCs w:val="21"/>
                <w:highlight w:val="none"/>
                <w:lang w:val="en-US" w:eastAsia="zh-CN" w:bidi="zh-CN"/>
              </w:rPr>
              <w:t>-3.141</w:t>
            </w:r>
            <w:r>
              <w:rPr>
                <w:rFonts w:hint="default" w:ascii="Times New Roman" w:hAnsi="Times New Roman" w:eastAsia="宋体" w:cs="Times New Roman"/>
                <w:snapToGrid w:val="0"/>
                <w:color w:val="auto"/>
                <w:kern w:val="21"/>
                <w:sz w:val="21"/>
                <w:szCs w:val="21"/>
                <w:highlight w:val="none"/>
                <w:lang w:val="en-US" w:eastAsia="zh-CN"/>
              </w:rPr>
              <w:t>t/a</w:t>
            </w:r>
          </w:p>
        </w:tc>
      </w:tr>
      <w:tr w14:paraId="0C0579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4F36EB32">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FF0000"/>
                <w:kern w:val="21"/>
                <w:sz w:val="21"/>
                <w:szCs w:val="21"/>
                <w:highlight w:val="none"/>
              </w:rPr>
            </w:pPr>
          </w:p>
        </w:tc>
        <w:tc>
          <w:tcPr>
            <w:tcW w:w="2471" w:type="dxa"/>
            <w:vAlign w:val="center"/>
          </w:tcPr>
          <w:p w14:paraId="0319FCF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x</w:t>
            </w:r>
          </w:p>
        </w:tc>
        <w:tc>
          <w:tcPr>
            <w:tcW w:w="1364" w:type="dxa"/>
            <w:vAlign w:val="center"/>
          </w:tcPr>
          <w:p w14:paraId="1E32ACB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1"/>
                <w:szCs w:val="21"/>
                <w:highlight w:val="none"/>
              </w:rPr>
            </w:pPr>
            <w:r>
              <w:rPr>
                <w:rFonts w:hint="eastAsia"/>
                <w:color w:val="auto"/>
                <w:kern w:val="2"/>
                <w:sz w:val="21"/>
                <w:szCs w:val="24"/>
                <w:lang w:val="en-US" w:eastAsia="zh-CN" w:bidi="ar-SA"/>
              </w:rPr>
              <w:t>1.75</w:t>
            </w:r>
            <w:r>
              <w:rPr>
                <w:rFonts w:hint="default" w:ascii="Times New Roman" w:hAnsi="Times New Roman" w:eastAsia="宋体" w:cs="Times New Roman"/>
                <w:snapToGrid w:val="0"/>
                <w:color w:val="auto"/>
                <w:kern w:val="21"/>
                <w:sz w:val="21"/>
                <w:szCs w:val="21"/>
                <w:highlight w:val="none"/>
                <w:lang w:val="en-US" w:eastAsia="zh-CN"/>
              </w:rPr>
              <w:t>t/a</w:t>
            </w:r>
          </w:p>
        </w:tc>
        <w:tc>
          <w:tcPr>
            <w:tcW w:w="1296" w:type="dxa"/>
            <w:vAlign w:val="center"/>
          </w:tcPr>
          <w:p w14:paraId="1727E1C0">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332933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76460896">
            <w:pPr>
              <w:pStyle w:val="151"/>
              <w:keepNext/>
              <w:keepLines w:val="0"/>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zh-CN"/>
              </w:rPr>
            </w:pPr>
            <w:r>
              <w:rPr>
                <w:rFonts w:hint="eastAsia"/>
                <w:color w:val="auto"/>
                <w:sz w:val="21"/>
                <w:szCs w:val="21"/>
                <w:highlight w:val="none"/>
                <w:lang w:val="en-US" w:eastAsia="zh-CN"/>
              </w:rPr>
              <w:t>1.411</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5BAA0FB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1"/>
                <w:szCs w:val="21"/>
                <w:highlight w:val="none"/>
              </w:rPr>
            </w:pPr>
            <w:r>
              <w:rPr>
                <w:rFonts w:hint="eastAsia"/>
                <w:color w:val="auto"/>
                <w:kern w:val="2"/>
                <w:sz w:val="21"/>
                <w:szCs w:val="24"/>
                <w:highlight w:val="none"/>
                <w:lang w:val="en-US" w:eastAsia="zh-CN" w:bidi="ar-SA"/>
              </w:rPr>
              <w:t>1.75</w:t>
            </w:r>
            <w:r>
              <w:rPr>
                <w:rFonts w:hint="default" w:ascii="Times New Roman" w:hAnsi="Times New Roman" w:eastAsia="宋体" w:cs="Times New Roman"/>
                <w:snapToGrid w:val="0"/>
                <w:color w:val="auto"/>
                <w:kern w:val="21"/>
                <w:sz w:val="21"/>
                <w:szCs w:val="21"/>
                <w:highlight w:val="none"/>
                <w:lang w:val="en-US" w:eastAsia="zh-CN"/>
              </w:rPr>
              <w:t>t/a</w:t>
            </w:r>
          </w:p>
        </w:tc>
        <w:tc>
          <w:tcPr>
            <w:tcW w:w="1786" w:type="dxa"/>
            <w:vAlign w:val="center"/>
          </w:tcPr>
          <w:p w14:paraId="64599619">
            <w:pPr>
              <w:pStyle w:val="151"/>
              <w:keepNext/>
              <w:keepLines w:val="0"/>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zh-CN"/>
              </w:rPr>
            </w:pPr>
            <w:r>
              <w:rPr>
                <w:rFonts w:hint="eastAsia"/>
                <w:color w:val="auto"/>
                <w:sz w:val="21"/>
                <w:szCs w:val="21"/>
                <w:highlight w:val="none"/>
                <w:lang w:val="en-US" w:eastAsia="zh-CN"/>
              </w:rPr>
              <w:t>1.411</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24B608A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cs="Times New Roman"/>
                <w:color w:val="auto"/>
                <w:kern w:val="2"/>
                <w:sz w:val="21"/>
                <w:szCs w:val="21"/>
                <w:highlight w:val="none"/>
                <w:lang w:val="en-US" w:eastAsia="zh-CN" w:bidi="zh-CN"/>
              </w:rPr>
              <w:t>-0.339t/a</w:t>
            </w:r>
          </w:p>
        </w:tc>
      </w:tr>
      <w:tr w14:paraId="6EC150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144C6BD6">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FF0000"/>
                <w:kern w:val="21"/>
                <w:sz w:val="21"/>
                <w:szCs w:val="21"/>
                <w:highlight w:val="none"/>
              </w:rPr>
            </w:pPr>
          </w:p>
        </w:tc>
        <w:tc>
          <w:tcPr>
            <w:tcW w:w="2471" w:type="dxa"/>
            <w:vAlign w:val="center"/>
          </w:tcPr>
          <w:p w14:paraId="0C34558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粉尘</w:t>
            </w:r>
          </w:p>
        </w:tc>
        <w:tc>
          <w:tcPr>
            <w:tcW w:w="1364" w:type="dxa"/>
            <w:vAlign w:val="center"/>
          </w:tcPr>
          <w:p w14:paraId="1ECC8AB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color w:val="auto"/>
                <w:kern w:val="2"/>
                <w:sz w:val="21"/>
                <w:szCs w:val="24"/>
                <w:lang w:val="en-US" w:eastAsia="zh-CN" w:bidi="ar-SA"/>
              </w:rPr>
            </w:pPr>
            <w:r>
              <w:rPr>
                <w:rFonts w:hint="eastAsia"/>
                <w:color w:val="auto"/>
                <w:kern w:val="2"/>
                <w:sz w:val="21"/>
                <w:szCs w:val="24"/>
                <w:lang w:val="en-US" w:eastAsia="zh-CN" w:bidi="ar-SA"/>
              </w:rPr>
              <w:t>2</w:t>
            </w:r>
            <w:r>
              <w:rPr>
                <w:rFonts w:hint="default" w:ascii="Times New Roman" w:hAnsi="Times New Roman" w:eastAsia="宋体" w:cs="Times New Roman"/>
                <w:snapToGrid w:val="0"/>
                <w:color w:val="auto"/>
                <w:kern w:val="21"/>
                <w:sz w:val="21"/>
                <w:szCs w:val="21"/>
                <w:highlight w:val="none"/>
                <w:lang w:val="en-US" w:eastAsia="zh-CN"/>
              </w:rPr>
              <w:t>t/a</w:t>
            </w:r>
          </w:p>
        </w:tc>
        <w:tc>
          <w:tcPr>
            <w:tcW w:w="1296" w:type="dxa"/>
            <w:vAlign w:val="center"/>
          </w:tcPr>
          <w:p w14:paraId="4260DE7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p>
        </w:tc>
        <w:tc>
          <w:tcPr>
            <w:tcW w:w="1409" w:type="dxa"/>
            <w:vAlign w:val="center"/>
          </w:tcPr>
          <w:p w14:paraId="3D03DA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p>
        </w:tc>
        <w:tc>
          <w:tcPr>
            <w:tcW w:w="1559" w:type="dxa"/>
            <w:vAlign w:val="center"/>
          </w:tcPr>
          <w:p w14:paraId="24752DA9">
            <w:pPr>
              <w:pStyle w:val="151"/>
              <w:keepNext/>
              <w:keepLines w:val="0"/>
              <w:suppressLineNumbers w:val="0"/>
              <w:adjustRightInd w:val="0"/>
              <w:snapToGrid w:val="0"/>
              <w:spacing w:before="0" w:beforeAutospacing="0" w:after="0" w:afterAutospacing="0"/>
              <w:ind w:left="0" w:leftChars="0" w:right="0" w:rightChars="0"/>
              <w:rPr>
                <w:rFonts w:hint="eastAsia" w:cs="Times New Roman"/>
                <w:color w:val="auto"/>
                <w:position w:val="0"/>
                <w:sz w:val="21"/>
                <w:szCs w:val="21"/>
                <w:highlight w:val="none"/>
                <w:lang w:val="en-US" w:eastAsia="zh-CN"/>
              </w:rPr>
            </w:pPr>
            <w:r>
              <w:rPr>
                <w:rFonts w:hint="eastAsia" w:cs="Times New Roman"/>
                <w:color w:val="auto"/>
                <w:position w:val="0"/>
                <w:sz w:val="21"/>
                <w:szCs w:val="21"/>
                <w:highlight w:val="none"/>
                <w:lang w:val="en-US" w:eastAsia="zh-CN"/>
              </w:rPr>
              <w:t>1.621</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062B043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color w:val="auto"/>
                <w:kern w:val="2"/>
                <w:sz w:val="21"/>
                <w:szCs w:val="24"/>
                <w:lang w:val="en-US" w:eastAsia="zh-CN" w:bidi="ar-SA"/>
              </w:rPr>
            </w:pPr>
            <w:r>
              <w:rPr>
                <w:rFonts w:hint="eastAsia"/>
                <w:color w:val="auto"/>
                <w:kern w:val="2"/>
                <w:sz w:val="21"/>
                <w:szCs w:val="24"/>
                <w:lang w:val="en-US" w:eastAsia="zh-CN" w:bidi="ar-SA"/>
              </w:rPr>
              <w:t>2</w:t>
            </w:r>
            <w:r>
              <w:rPr>
                <w:rFonts w:hint="default" w:ascii="Times New Roman" w:hAnsi="Times New Roman" w:eastAsia="宋体" w:cs="Times New Roman"/>
                <w:snapToGrid w:val="0"/>
                <w:color w:val="auto"/>
                <w:kern w:val="21"/>
                <w:sz w:val="21"/>
                <w:szCs w:val="21"/>
                <w:highlight w:val="none"/>
                <w:lang w:val="en-US" w:eastAsia="zh-CN"/>
              </w:rPr>
              <w:t>t/a</w:t>
            </w:r>
          </w:p>
        </w:tc>
        <w:tc>
          <w:tcPr>
            <w:tcW w:w="1786" w:type="dxa"/>
            <w:vAlign w:val="center"/>
          </w:tcPr>
          <w:p w14:paraId="2295DEA1">
            <w:pPr>
              <w:pStyle w:val="151"/>
              <w:keepNext/>
              <w:keepLines w:val="0"/>
              <w:suppressLineNumbers w:val="0"/>
              <w:adjustRightInd w:val="0"/>
              <w:snapToGrid w:val="0"/>
              <w:spacing w:before="0" w:beforeAutospacing="0" w:after="0" w:afterAutospacing="0"/>
              <w:ind w:left="0" w:leftChars="0" w:right="0" w:rightChars="0"/>
              <w:rPr>
                <w:rFonts w:hint="eastAsia" w:cs="Times New Roman"/>
                <w:color w:val="auto"/>
                <w:position w:val="0"/>
                <w:sz w:val="21"/>
                <w:szCs w:val="21"/>
                <w:highlight w:val="none"/>
                <w:lang w:val="en-US" w:eastAsia="zh-CN"/>
              </w:rPr>
            </w:pPr>
            <w:r>
              <w:rPr>
                <w:rFonts w:hint="eastAsia" w:cs="Times New Roman"/>
                <w:color w:val="auto"/>
                <w:position w:val="0"/>
                <w:sz w:val="21"/>
                <w:szCs w:val="21"/>
                <w:highlight w:val="none"/>
                <w:lang w:val="en-US" w:eastAsia="zh-CN"/>
              </w:rPr>
              <w:t>1.621</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017489E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color w:val="auto"/>
                <w:kern w:val="2"/>
                <w:sz w:val="21"/>
                <w:szCs w:val="24"/>
                <w:lang w:val="en-US" w:eastAsia="zh-CN" w:bidi="ar-SA"/>
              </w:rPr>
            </w:pPr>
            <w:r>
              <w:rPr>
                <w:rFonts w:hint="eastAsia"/>
                <w:color w:val="auto"/>
                <w:kern w:val="2"/>
                <w:sz w:val="21"/>
                <w:szCs w:val="24"/>
                <w:lang w:val="en-US" w:eastAsia="zh-CN" w:bidi="ar-SA"/>
              </w:rPr>
              <w:t>-0.379</w:t>
            </w:r>
            <w:r>
              <w:rPr>
                <w:rFonts w:hint="default" w:ascii="Times New Roman" w:hAnsi="Times New Roman" w:eastAsia="宋体" w:cs="Times New Roman"/>
                <w:snapToGrid w:val="0"/>
                <w:color w:val="auto"/>
                <w:kern w:val="21"/>
                <w:sz w:val="21"/>
                <w:szCs w:val="21"/>
                <w:highlight w:val="none"/>
                <w:lang w:val="en-US" w:eastAsia="zh-CN"/>
              </w:rPr>
              <w:t>t/a</w:t>
            </w:r>
          </w:p>
        </w:tc>
      </w:tr>
      <w:tr w14:paraId="15A066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Align w:val="center"/>
          </w:tcPr>
          <w:p w14:paraId="3CEC1D74">
            <w:pPr>
              <w:pStyle w:val="67"/>
              <w:keepNext w:val="0"/>
              <w:keepLines w:val="0"/>
              <w:suppressLineNumbers w:val="0"/>
              <w:spacing w:before="0" w:beforeLines="0" w:beforeAutospacing="0" w:after="0" w:afterLines="0" w:afterAutospacing="0" w:line="240" w:lineRule="auto"/>
              <w:ind w:left="0" w:right="0" w:firstLine="0" w:firstLineChars="0"/>
              <w:rPr>
                <w:rFonts w:hint="eastAsia" w:ascii="Times New Roman" w:hAnsi="Times New Roman" w:eastAsia="宋体" w:cs="Times New Roman"/>
                <w:bCs/>
                <w:color w:val="auto"/>
                <w:sz w:val="21"/>
                <w:szCs w:val="21"/>
                <w:highlight w:val="none"/>
                <w:lang w:val="en-US" w:eastAsia="zh-CN"/>
              </w:rPr>
            </w:pPr>
            <w:r>
              <w:rPr>
                <w:rFonts w:hint="eastAsia" w:ascii="Times New Roman" w:cs="Times New Roman"/>
                <w:bCs/>
                <w:color w:val="auto"/>
                <w:sz w:val="21"/>
                <w:szCs w:val="21"/>
                <w:highlight w:val="none"/>
                <w:lang w:val="en-US" w:eastAsia="zh-CN"/>
              </w:rPr>
              <w:t>生活垃圾</w:t>
            </w:r>
          </w:p>
        </w:tc>
        <w:tc>
          <w:tcPr>
            <w:tcW w:w="2471" w:type="dxa"/>
            <w:vAlign w:val="center"/>
          </w:tcPr>
          <w:p w14:paraId="51987EAB">
            <w:pPr>
              <w:pStyle w:val="134"/>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生活垃圾</w:t>
            </w:r>
          </w:p>
        </w:tc>
        <w:tc>
          <w:tcPr>
            <w:tcW w:w="1364" w:type="dxa"/>
            <w:vAlign w:val="center"/>
          </w:tcPr>
          <w:p w14:paraId="43581E73">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snapToGrid w:val="0"/>
                <w:color w:val="auto"/>
                <w:kern w:val="21"/>
                <w:sz w:val="21"/>
                <w:szCs w:val="21"/>
                <w:highlight w:val="none"/>
              </w:rPr>
            </w:pPr>
            <w:r>
              <w:rPr>
                <w:rFonts w:hint="eastAsia" w:cs="Times New Roman"/>
                <w:bCs/>
                <w:color w:val="auto"/>
                <w:sz w:val="21"/>
                <w:szCs w:val="21"/>
                <w:highlight w:val="none"/>
                <w:lang w:val="en-US" w:eastAsia="zh-CN"/>
              </w:rPr>
              <w:t>1</w:t>
            </w:r>
            <w:r>
              <w:rPr>
                <w:rFonts w:hint="default" w:ascii="Times New Roman" w:hAnsi="Times New Roman" w:eastAsia="宋体" w:cs="Times New Roman"/>
                <w:snapToGrid w:val="0"/>
                <w:color w:val="auto"/>
                <w:kern w:val="21"/>
                <w:sz w:val="21"/>
                <w:szCs w:val="21"/>
                <w:highlight w:val="none"/>
                <w:lang w:val="en-US" w:eastAsia="zh-CN"/>
              </w:rPr>
              <w:t>t/a</w:t>
            </w:r>
          </w:p>
        </w:tc>
        <w:tc>
          <w:tcPr>
            <w:tcW w:w="1296" w:type="dxa"/>
            <w:vAlign w:val="center"/>
          </w:tcPr>
          <w:p w14:paraId="1E88425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520F159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463DF8A0">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0.2</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624296EF">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snapToGrid w:val="0"/>
                <w:color w:val="auto"/>
                <w:kern w:val="21"/>
                <w:sz w:val="21"/>
                <w:szCs w:val="21"/>
                <w:highlight w:val="none"/>
              </w:rPr>
            </w:pPr>
            <w:r>
              <w:rPr>
                <w:rFonts w:hint="eastAsia" w:cs="Times New Roman"/>
                <w:bCs/>
                <w:color w:val="auto"/>
                <w:sz w:val="21"/>
                <w:szCs w:val="21"/>
                <w:highlight w:val="none"/>
                <w:lang w:val="en-US" w:eastAsia="zh-CN"/>
              </w:rPr>
              <w:t>1</w:t>
            </w:r>
            <w:r>
              <w:rPr>
                <w:rFonts w:hint="default" w:ascii="Times New Roman" w:hAnsi="Times New Roman" w:eastAsia="宋体" w:cs="Times New Roman"/>
                <w:snapToGrid w:val="0"/>
                <w:color w:val="auto"/>
                <w:kern w:val="21"/>
                <w:sz w:val="21"/>
                <w:szCs w:val="21"/>
                <w:highlight w:val="none"/>
                <w:lang w:val="en-US" w:eastAsia="zh-CN"/>
              </w:rPr>
              <w:t>t/a</w:t>
            </w:r>
          </w:p>
        </w:tc>
        <w:tc>
          <w:tcPr>
            <w:tcW w:w="1786" w:type="dxa"/>
            <w:vAlign w:val="center"/>
          </w:tcPr>
          <w:p w14:paraId="06D67EDC">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0.2</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78CE38E4">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-0.8</w:t>
            </w:r>
            <w:r>
              <w:rPr>
                <w:rFonts w:hint="default" w:ascii="Times New Roman" w:hAnsi="Times New Roman" w:eastAsia="宋体" w:cs="Times New Roman"/>
                <w:snapToGrid w:val="0"/>
                <w:color w:val="auto"/>
                <w:kern w:val="21"/>
                <w:sz w:val="21"/>
                <w:szCs w:val="21"/>
                <w:highlight w:val="none"/>
                <w:lang w:val="en-US" w:eastAsia="zh-CN"/>
              </w:rPr>
              <w:t>t/a</w:t>
            </w:r>
          </w:p>
        </w:tc>
      </w:tr>
      <w:tr w14:paraId="7E6385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restart"/>
            <w:vAlign w:val="center"/>
          </w:tcPr>
          <w:p w14:paraId="44CCFC3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snapToGrid w:val="0"/>
                <w:color w:val="auto"/>
                <w:kern w:val="21"/>
                <w:sz w:val="21"/>
                <w:szCs w:val="21"/>
                <w:highlight w:val="none"/>
                <w:lang w:val="en-US" w:eastAsia="zh-CN"/>
              </w:rPr>
              <w:t>一般</w:t>
            </w:r>
            <w:r>
              <w:rPr>
                <w:rFonts w:hint="default" w:ascii="Times New Roman" w:hAnsi="Times New Roman" w:cs="Times New Roman"/>
                <w:snapToGrid w:val="0"/>
                <w:color w:val="auto"/>
                <w:kern w:val="21"/>
                <w:sz w:val="21"/>
                <w:szCs w:val="21"/>
                <w:highlight w:val="none"/>
              </w:rPr>
              <w:t>固体废物</w:t>
            </w:r>
          </w:p>
        </w:tc>
        <w:tc>
          <w:tcPr>
            <w:tcW w:w="2471" w:type="dxa"/>
            <w:vAlign w:val="center"/>
          </w:tcPr>
          <w:p w14:paraId="388F6E6E">
            <w:pPr>
              <w:pStyle w:val="134"/>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热风炉炉渣</w:t>
            </w:r>
          </w:p>
        </w:tc>
        <w:tc>
          <w:tcPr>
            <w:tcW w:w="1364" w:type="dxa"/>
            <w:vAlign w:val="center"/>
          </w:tcPr>
          <w:p w14:paraId="5C3D8D46">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150</w:t>
            </w:r>
            <w:r>
              <w:rPr>
                <w:rFonts w:hint="default" w:ascii="Times New Roman" w:hAnsi="Times New Roman" w:eastAsia="宋体" w:cs="Times New Roman"/>
                <w:snapToGrid w:val="0"/>
                <w:color w:val="auto"/>
                <w:kern w:val="21"/>
                <w:sz w:val="21"/>
                <w:szCs w:val="21"/>
                <w:highlight w:val="none"/>
                <w:lang w:val="en-US" w:eastAsia="zh-CN"/>
              </w:rPr>
              <w:t>t/a</w:t>
            </w:r>
          </w:p>
        </w:tc>
        <w:tc>
          <w:tcPr>
            <w:tcW w:w="1296" w:type="dxa"/>
            <w:vAlign w:val="center"/>
          </w:tcPr>
          <w:p w14:paraId="3BFB2970">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w:t>
            </w:r>
          </w:p>
        </w:tc>
        <w:tc>
          <w:tcPr>
            <w:tcW w:w="1409" w:type="dxa"/>
            <w:vAlign w:val="center"/>
          </w:tcPr>
          <w:p w14:paraId="2C4307CC">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w:t>
            </w:r>
          </w:p>
        </w:tc>
        <w:tc>
          <w:tcPr>
            <w:tcW w:w="1559" w:type="dxa"/>
            <w:vAlign w:val="center"/>
          </w:tcPr>
          <w:p w14:paraId="4B0ACAE4">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cs="Times New Roman"/>
                <w:color w:val="auto"/>
                <w:sz w:val="21"/>
                <w:szCs w:val="21"/>
                <w:highlight w:val="none"/>
                <w:lang w:val="en-US" w:eastAsia="zh-CN"/>
              </w:rPr>
              <w:t>229.59</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01FF5F93">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150</w:t>
            </w:r>
            <w:r>
              <w:rPr>
                <w:rFonts w:hint="default" w:ascii="Times New Roman" w:hAnsi="Times New Roman" w:eastAsia="宋体" w:cs="Times New Roman"/>
                <w:snapToGrid w:val="0"/>
                <w:color w:val="auto"/>
                <w:kern w:val="21"/>
                <w:sz w:val="21"/>
                <w:szCs w:val="21"/>
                <w:highlight w:val="none"/>
                <w:lang w:val="en-US" w:eastAsia="zh-CN"/>
              </w:rPr>
              <w:t>t/a</w:t>
            </w:r>
          </w:p>
        </w:tc>
        <w:tc>
          <w:tcPr>
            <w:tcW w:w="1786" w:type="dxa"/>
            <w:vAlign w:val="center"/>
          </w:tcPr>
          <w:p w14:paraId="71172003">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1"/>
                <w:szCs w:val="21"/>
                <w:highlight w:val="none"/>
                <w:lang w:val="en-US" w:eastAsia="zh-CN"/>
              </w:rPr>
              <w:t>229.59</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4FBAEFDD">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79.59</w:t>
            </w:r>
            <w:r>
              <w:rPr>
                <w:rFonts w:hint="default" w:ascii="Times New Roman" w:hAnsi="Times New Roman" w:eastAsia="宋体" w:cs="Times New Roman"/>
                <w:snapToGrid w:val="0"/>
                <w:color w:val="auto"/>
                <w:kern w:val="21"/>
                <w:sz w:val="21"/>
                <w:szCs w:val="21"/>
                <w:highlight w:val="none"/>
                <w:lang w:val="en-US" w:eastAsia="zh-CN"/>
              </w:rPr>
              <w:t>t/a</w:t>
            </w:r>
          </w:p>
        </w:tc>
      </w:tr>
      <w:tr w14:paraId="16B712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681CD22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c>
          <w:tcPr>
            <w:tcW w:w="2471" w:type="dxa"/>
            <w:vAlign w:val="center"/>
          </w:tcPr>
          <w:p w14:paraId="63F08582">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leftChars="0" w:right="0" w:rightChars="0"/>
              <w:contextualSpacing/>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热风炉</w:t>
            </w:r>
            <w:r>
              <w:rPr>
                <w:rFonts w:hint="default" w:ascii="Times New Roman" w:hAnsi="Times New Roman" w:cs="Times New Roman"/>
                <w:color w:val="auto"/>
                <w:sz w:val="21"/>
                <w:szCs w:val="21"/>
                <w:highlight w:val="none"/>
                <w:lang w:eastAsia="zh-CN"/>
              </w:rPr>
              <w:t>除尘器回收粉尘</w:t>
            </w:r>
          </w:p>
        </w:tc>
        <w:tc>
          <w:tcPr>
            <w:tcW w:w="1364" w:type="dxa"/>
            <w:vAlign w:val="center"/>
          </w:tcPr>
          <w:p w14:paraId="76F261B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eastAsia" w:cs="Times New Roman"/>
                <w:bCs/>
                <w:color w:val="auto"/>
                <w:sz w:val="21"/>
                <w:szCs w:val="21"/>
                <w:highlight w:val="none"/>
                <w:lang w:val="en-US" w:eastAsia="zh-CN"/>
              </w:rPr>
              <w:t>2</w:t>
            </w:r>
            <w:r>
              <w:rPr>
                <w:rFonts w:hint="default" w:ascii="Times New Roman" w:hAnsi="Times New Roman" w:eastAsia="宋体" w:cs="Times New Roman"/>
                <w:snapToGrid w:val="0"/>
                <w:color w:val="auto"/>
                <w:kern w:val="21"/>
                <w:sz w:val="21"/>
                <w:szCs w:val="21"/>
                <w:highlight w:val="none"/>
                <w:lang w:val="en-US" w:eastAsia="zh-CN"/>
              </w:rPr>
              <w:t>t/a</w:t>
            </w:r>
          </w:p>
        </w:tc>
        <w:tc>
          <w:tcPr>
            <w:tcW w:w="1296" w:type="dxa"/>
            <w:vAlign w:val="center"/>
          </w:tcPr>
          <w:p w14:paraId="4CE8F307">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5CDDFB3C">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4E1EA5EE">
            <w:pPr>
              <w:pStyle w:val="134"/>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cs="Times New Roman"/>
                <w:color w:val="auto"/>
                <w:sz w:val="21"/>
                <w:szCs w:val="21"/>
                <w:highlight w:val="none"/>
                <w:lang w:val="en-US" w:eastAsia="zh-CN"/>
              </w:rPr>
              <w:t>65.272</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301B7BB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eastAsia" w:cs="Times New Roman"/>
                <w:bCs/>
                <w:color w:val="auto"/>
                <w:sz w:val="21"/>
                <w:szCs w:val="21"/>
                <w:highlight w:val="none"/>
                <w:lang w:val="en-US" w:eastAsia="zh-CN"/>
              </w:rPr>
              <w:t>2</w:t>
            </w:r>
            <w:r>
              <w:rPr>
                <w:rFonts w:hint="default" w:ascii="Times New Roman" w:hAnsi="Times New Roman" w:eastAsia="宋体" w:cs="Times New Roman"/>
                <w:snapToGrid w:val="0"/>
                <w:color w:val="auto"/>
                <w:kern w:val="21"/>
                <w:sz w:val="21"/>
                <w:szCs w:val="21"/>
                <w:highlight w:val="none"/>
                <w:lang w:val="en-US" w:eastAsia="zh-CN"/>
              </w:rPr>
              <w:t>t/a</w:t>
            </w:r>
          </w:p>
        </w:tc>
        <w:tc>
          <w:tcPr>
            <w:tcW w:w="1786" w:type="dxa"/>
            <w:vAlign w:val="center"/>
          </w:tcPr>
          <w:p w14:paraId="23AE81BB">
            <w:pPr>
              <w:pStyle w:val="134"/>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65.272</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439715E8">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63.272</w:t>
            </w:r>
            <w:r>
              <w:rPr>
                <w:rFonts w:hint="default" w:ascii="Times New Roman" w:hAnsi="Times New Roman" w:eastAsia="宋体" w:cs="Times New Roman"/>
                <w:snapToGrid w:val="0"/>
                <w:color w:val="auto"/>
                <w:kern w:val="21"/>
                <w:sz w:val="21"/>
                <w:szCs w:val="21"/>
                <w:highlight w:val="none"/>
                <w:lang w:val="en-US" w:eastAsia="zh-CN"/>
              </w:rPr>
              <w:t>t/a</w:t>
            </w:r>
          </w:p>
        </w:tc>
      </w:tr>
      <w:tr w14:paraId="67D947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248DADA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c>
          <w:tcPr>
            <w:tcW w:w="2471" w:type="dxa"/>
            <w:vAlign w:val="center"/>
          </w:tcPr>
          <w:p w14:paraId="433C14E7">
            <w:pPr>
              <w:pStyle w:val="134"/>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初清杂质及烘干、筛分、装卸收集粉尘</w:t>
            </w:r>
          </w:p>
        </w:tc>
        <w:tc>
          <w:tcPr>
            <w:tcW w:w="1364" w:type="dxa"/>
            <w:vAlign w:val="center"/>
          </w:tcPr>
          <w:p w14:paraId="6F1829E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500</w:t>
            </w:r>
            <w:r>
              <w:rPr>
                <w:rFonts w:hint="default" w:ascii="Times New Roman" w:hAnsi="Times New Roman" w:eastAsia="宋体" w:cs="Times New Roman"/>
                <w:snapToGrid w:val="0"/>
                <w:color w:val="auto"/>
                <w:kern w:val="21"/>
                <w:sz w:val="21"/>
                <w:szCs w:val="21"/>
                <w:highlight w:val="none"/>
                <w:lang w:val="en-US" w:eastAsia="zh-CN"/>
              </w:rPr>
              <w:t>t/a</w:t>
            </w:r>
          </w:p>
        </w:tc>
        <w:tc>
          <w:tcPr>
            <w:tcW w:w="1296" w:type="dxa"/>
            <w:vAlign w:val="center"/>
          </w:tcPr>
          <w:p w14:paraId="61DB17D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21DD701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7BB13E03">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cs="Times New Roman"/>
                <w:bCs/>
                <w:color w:val="auto"/>
                <w:sz w:val="21"/>
                <w:szCs w:val="21"/>
                <w:highlight w:val="none"/>
                <w:lang w:val="en-US" w:eastAsia="zh-CN"/>
              </w:rPr>
              <w:t>42.46</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36DBAE48">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1"/>
                <w:szCs w:val="21"/>
                <w:highlight w:val="none"/>
              </w:rPr>
            </w:pPr>
            <w:r>
              <w:rPr>
                <w:rFonts w:hint="eastAsia" w:cs="Times New Roman"/>
                <w:bCs/>
                <w:color w:val="auto"/>
                <w:sz w:val="21"/>
                <w:szCs w:val="21"/>
                <w:highlight w:val="none"/>
                <w:lang w:val="en-US" w:eastAsia="zh-CN"/>
              </w:rPr>
              <w:t>500</w:t>
            </w:r>
            <w:r>
              <w:rPr>
                <w:rFonts w:hint="default" w:ascii="Times New Roman" w:hAnsi="Times New Roman" w:eastAsia="宋体" w:cs="Times New Roman"/>
                <w:snapToGrid w:val="0"/>
                <w:color w:val="auto"/>
                <w:kern w:val="21"/>
                <w:sz w:val="21"/>
                <w:szCs w:val="21"/>
                <w:highlight w:val="none"/>
                <w:lang w:val="en-US" w:eastAsia="zh-CN"/>
              </w:rPr>
              <w:t>t/a</w:t>
            </w:r>
          </w:p>
        </w:tc>
        <w:tc>
          <w:tcPr>
            <w:tcW w:w="1786" w:type="dxa"/>
            <w:vAlign w:val="center"/>
          </w:tcPr>
          <w:p w14:paraId="6A329CBD">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42.46</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65820FF9">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-457.54</w:t>
            </w:r>
            <w:r>
              <w:rPr>
                <w:rFonts w:hint="default" w:ascii="Times New Roman" w:hAnsi="Times New Roman" w:eastAsia="宋体" w:cs="Times New Roman"/>
                <w:snapToGrid w:val="0"/>
                <w:color w:val="auto"/>
                <w:kern w:val="21"/>
                <w:sz w:val="21"/>
                <w:szCs w:val="21"/>
                <w:highlight w:val="none"/>
                <w:lang w:val="en-US" w:eastAsia="zh-CN"/>
              </w:rPr>
              <w:t>t/a</w:t>
            </w:r>
          </w:p>
        </w:tc>
      </w:tr>
      <w:tr w14:paraId="6CE3FE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21527B6D">
            <w:pPr>
              <w:pStyle w:val="67"/>
              <w:keepNext w:val="0"/>
              <w:keepLines w:val="0"/>
              <w:suppressLineNumbers w:val="0"/>
              <w:spacing w:before="0" w:beforeLines="0" w:beforeAutospacing="0" w:after="0" w:afterLines="0" w:afterAutospacing="0" w:line="240" w:lineRule="auto"/>
              <w:ind w:left="0" w:right="0" w:firstLine="0" w:firstLineChars="0"/>
              <w:rPr>
                <w:rFonts w:hint="eastAsia" w:ascii="Times New Roman" w:cs="Times New Roman"/>
                <w:snapToGrid w:val="0"/>
                <w:color w:val="auto"/>
                <w:kern w:val="21"/>
                <w:sz w:val="21"/>
                <w:szCs w:val="21"/>
                <w:highlight w:val="none"/>
                <w:lang w:val="en-US" w:eastAsia="zh-CN"/>
              </w:rPr>
            </w:pPr>
          </w:p>
        </w:tc>
        <w:tc>
          <w:tcPr>
            <w:tcW w:w="2471" w:type="dxa"/>
            <w:vAlign w:val="center"/>
          </w:tcPr>
          <w:p w14:paraId="2DD25F61">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废布袋</w:t>
            </w:r>
          </w:p>
        </w:tc>
        <w:tc>
          <w:tcPr>
            <w:tcW w:w="1364" w:type="dxa"/>
            <w:vAlign w:val="center"/>
          </w:tcPr>
          <w:p w14:paraId="2DF9EA98">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296" w:type="dxa"/>
            <w:vAlign w:val="center"/>
          </w:tcPr>
          <w:p w14:paraId="08913D76">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409" w:type="dxa"/>
            <w:vAlign w:val="center"/>
          </w:tcPr>
          <w:p w14:paraId="62F6EB37">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559" w:type="dxa"/>
            <w:vAlign w:val="center"/>
          </w:tcPr>
          <w:p w14:paraId="2785A294">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0.5</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155BCE8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786" w:type="dxa"/>
            <w:vAlign w:val="center"/>
          </w:tcPr>
          <w:p w14:paraId="4D1A4358">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0.5</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5ED60B10">
            <w:pPr>
              <w:keepNext w:val="0"/>
              <w:keepLines w:val="0"/>
              <w:suppressLineNumbers w:val="0"/>
              <w:spacing w:before="0" w:beforeAutospacing="0" w:after="0" w:afterAutospacing="0" w:line="240" w:lineRule="auto"/>
              <w:ind w:left="0" w:leftChars="0" w:right="0" w:rightChars="0" w:firstLine="0" w:firstLineChars="0"/>
              <w:jc w:val="center"/>
              <w:rPr>
                <w:rFonts w:hint="eastAsia"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w:t>
            </w:r>
          </w:p>
        </w:tc>
      </w:tr>
    </w:tbl>
    <w:p w14:paraId="5A84D600">
      <w:pPr>
        <w:pStyle w:val="67"/>
        <w:adjustRightInd/>
        <w:snapToGrid/>
        <w:spacing w:beforeLines="0" w:afterLines="0" w:line="240" w:lineRule="auto"/>
        <w:ind w:firstLine="0"/>
        <w:jc w:val="left"/>
        <w:rPr>
          <w:rFonts w:hint="default" w:ascii="Times New Roman" w:hAnsi="Times New Roman" w:cs="Times New Roman"/>
          <w:snapToGrid w:val="0"/>
          <w:color w:val="auto"/>
          <w:kern w:val="21"/>
          <w:sz w:val="21"/>
          <w:highlight w:val="none"/>
        </w:rPr>
      </w:pPr>
      <w:r>
        <w:rPr>
          <w:rFonts w:hint="default" w:ascii="Times New Roman" w:hAnsi="Times New Roman" w:cs="Times New Roman"/>
          <w:snapToGrid w:val="0"/>
          <w:color w:val="auto"/>
          <w:kern w:val="21"/>
          <w:sz w:val="21"/>
          <w:highlight w:val="none"/>
        </w:rPr>
        <w:t>注：⑥=①+③+④-⑤；⑦=⑥-①</w:t>
      </w:r>
    </w:p>
    <w:p w14:paraId="2FB7A9FC">
      <w:pPr>
        <w:pStyle w:val="34"/>
        <w:spacing w:before="0" w:beforeAutospacing="0" w:after="0" w:afterAutospacing="0"/>
        <w:rPr>
          <w:rFonts w:hint="default" w:ascii="Times New Roman" w:hAnsi="Times New Roman" w:cs="Times New Roman"/>
          <w:snapToGrid w:val="0"/>
          <w:color w:val="FF0000"/>
          <w:kern w:val="21"/>
          <w:sz w:val="21"/>
          <w:szCs w:val="32"/>
          <w:highlight w:val="none"/>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decimal"/>
          <w:cols w:space="0" w:num="1"/>
          <w:docGrid w:type="lines" w:linePitch="316" w:charSpace="0"/>
        </w:sectPr>
      </w:pPr>
    </w:p>
    <w:p w14:paraId="352B9B70">
      <w:pPr>
        <w:pStyle w:val="169"/>
        <w:spacing w:line="360" w:lineRule="auto"/>
        <w:outlineLvl w:val="0"/>
        <w:rPr>
          <w:rFonts w:hint="eastAsia" w:ascii="Times New Roman" w:hAnsi="Times New Roman" w:eastAsia="宋体" w:cs="Times New Roman"/>
          <w:color w:val="auto"/>
          <w:sz w:val="24"/>
          <w:szCs w:val="24"/>
          <w:highlight w:val="none"/>
          <w:lang w:val="en-US" w:eastAsia="zh-CN"/>
        </w:rPr>
      </w:pPr>
      <w:bookmarkStart w:id="81" w:name="_Toc11995"/>
      <w:bookmarkStart w:id="82" w:name="_Toc24197"/>
      <w:bookmarkStart w:id="83" w:name="_Toc20292"/>
      <w:bookmarkStart w:id="84" w:name="_Toc12840"/>
      <w:bookmarkStart w:id="85" w:name="_Toc1906"/>
      <w:bookmarkStart w:id="86" w:name="_Toc31300"/>
      <w:bookmarkStart w:id="87" w:name="_Toc30140"/>
      <w:bookmarkStart w:id="88" w:name="_Toc23208"/>
      <w:r>
        <w:rPr>
          <w:rFonts w:hint="default" w:ascii="Times New Roman" w:hAnsi="Times New Roman" w:eastAsia="宋体" w:cs="Times New Roman"/>
          <w:color w:val="auto"/>
          <w:sz w:val="24"/>
          <w:szCs w:val="24"/>
          <w:highlight w:val="none"/>
          <w:lang w:val="en-US" w:eastAsia="zh-CN"/>
        </w:rPr>
        <w:t>附件1</w:t>
      </w:r>
      <w:bookmarkEnd w:id="81"/>
      <w:bookmarkEnd w:id="82"/>
      <w:bookmarkEnd w:id="83"/>
      <w:r>
        <w:rPr>
          <w:rFonts w:hint="eastAsia" w:ascii="Times New Roman" w:hAnsi="Times New Roman" w:eastAsia="宋体" w:cs="Times New Roman"/>
          <w:color w:val="auto"/>
          <w:sz w:val="24"/>
          <w:szCs w:val="24"/>
          <w:highlight w:val="none"/>
          <w:lang w:val="en-US" w:eastAsia="zh-CN"/>
        </w:rPr>
        <w:t xml:space="preserve"> 营业执照</w:t>
      </w:r>
      <w:bookmarkEnd w:id="84"/>
      <w:bookmarkEnd w:id="85"/>
      <w:bookmarkEnd w:id="86"/>
      <w:bookmarkEnd w:id="87"/>
      <w:bookmarkEnd w:id="88"/>
    </w:p>
    <w:p w14:paraId="677B929A">
      <w:pPr>
        <w:widowControl/>
        <w:adjustRightInd w:val="0"/>
        <w:snapToGrid w:val="0"/>
        <w:jc w:val="center"/>
        <w:rPr>
          <w:rFonts w:hint="eastAsia" w:ascii="Times New Roman" w:hAnsi="Times New Roman" w:eastAsia="Arial Unicode MS" w:cs="Times New Roman"/>
          <w:color w:val="FF0000"/>
          <w:highlight w:val="none"/>
          <w:lang w:eastAsia="zh-CN"/>
        </w:rPr>
      </w:pPr>
      <w:r>
        <w:drawing>
          <wp:inline distT="0" distB="0" distL="114300" distR="114300">
            <wp:extent cx="5982335" cy="4133215"/>
            <wp:effectExtent l="0" t="0" r="18415" b="635"/>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29"/>
                    <a:stretch>
                      <a:fillRect/>
                    </a:stretch>
                  </pic:blipFill>
                  <pic:spPr>
                    <a:xfrm>
                      <a:off x="0" y="0"/>
                      <a:ext cx="5982335" cy="4133215"/>
                    </a:xfrm>
                    <a:prstGeom prst="rect">
                      <a:avLst/>
                    </a:prstGeom>
                    <a:noFill/>
                    <a:ln>
                      <a:noFill/>
                    </a:ln>
                  </pic:spPr>
                </pic:pic>
              </a:graphicData>
            </a:graphic>
          </wp:inline>
        </w:drawing>
      </w:r>
    </w:p>
    <w:p w14:paraId="2619EDB3">
      <w:pPr>
        <w:pStyle w:val="36"/>
        <w:ind w:left="0" w:leftChars="0" w:firstLine="0" w:firstLineChars="0"/>
        <w:jc w:val="both"/>
        <w:rPr>
          <w:rFonts w:hint="eastAsia"/>
          <w:color w:val="FF0000"/>
          <w:highlight w:val="none"/>
          <w:lang w:eastAsia="zh-CN"/>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decimal"/>
          <w:cols w:space="0" w:num="1"/>
          <w:docGrid w:type="lines" w:linePitch="316" w:charSpace="0"/>
        </w:sectPr>
      </w:pPr>
    </w:p>
    <w:p w14:paraId="165FCFC7">
      <w:pPr>
        <w:pStyle w:val="169"/>
        <w:spacing w:line="360" w:lineRule="auto"/>
        <w:outlineLvl w:val="0"/>
        <w:rPr>
          <w:rFonts w:hint="default" w:ascii="Times New Roman" w:hAnsi="Times New Roman" w:eastAsia="宋体" w:cs="Times New Roman"/>
          <w:color w:val="auto"/>
          <w:sz w:val="24"/>
          <w:szCs w:val="24"/>
          <w:highlight w:val="none"/>
          <w:lang w:val="en-US" w:eastAsia="zh-CN"/>
        </w:rPr>
      </w:pPr>
      <w:bookmarkStart w:id="89" w:name="_Toc37157991"/>
      <w:bookmarkStart w:id="90" w:name="_Toc20104"/>
      <w:bookmarkStart w:id="91" w:name="_Toc16897"/>
      <w:bookmarkStart w:id="92" w:name="_Toc2770"/>
      <w:bookmarkStart w:id="93" w:name="_Toc10648"/>
      <w:bookmarkStart w:id="94" w:name="_Toc6701"/>
      <w:r>
        <w:rPr>
          <w:rFonts w:hint="default" w:ascii="Times New Roman" w:hAnsi="Times New Roman" w:eastAsia="宋体" w:cs="Times New Roman"/>
          <w:color w:val="auto"/>
          <w:sz w:val="24"/>
          <w:szCs w:val="24"/>
          <w:highlight w:val="none"/>
          <w:lang w:val="en-US" w:eastAsia="zh-CN"/>
        </w:rPr>
        <w:t>附件</w:t>
      </w:r>
      <w:bookmarkEnd w:id="89"/>
      <w:r>
        <w:rPr>
          <w:rFonts w:hint="eastAsia" w:ascii="Times New Roman" w:hAnsi="Times New Roman" w:eastAsia="宋体" w:cs="Times New Roman"/>
          <w:color w:val="auto"/>
          <w:sz w:val="24"/>
          <w:szCs w:val="24"/>
          <w:highlight w:val="none"/>
          <w:lang w:val="en-US" w:eastAsia="zh-CN"/>
        </w:rPr>
        <w:t>2 土地手续</w:t>
      </w:r>
      <w:bookmarkEnd w:id="90"/>
      <w:bookmarkEnd w:id="91"/>
      <w:bookmarkEnd w:id="92"/>
      <w:bookmarkEnd w:id="93"/>
      <w:bookmarkEnd w:id="94"/>
    </w:p>
    <w:p w14:paraId="69A967E2">
      <w:pPr>
        <w:bidi w:val="0"/>
        <w:jc w:val="center"/>
        <w:rPr>
          <w:rFonts w:hint="eastAsia" w:eastAsia="宋体" w:cs="Times New Roman"/>
          <w:color w:val="FF0000"/>
          <w:sz w:val="21"/>
          <w:szCs w:val="21"/>
          <w:highlight w:val="none"/>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drawing>
          <wp:inline distT="0" distB="0" distL="114300" distR="114300">
            <wp:extent cx="7399655" cy="5219700"/>
            <wp:effectExtent l="0" t="0" r="10795" b="0"/>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30"/>
                    <a:stretch>
                      <a:fillRect/>
                    </a:stretch>
                  </pic:blipFill>
                  <pic:spPr>
                    <a:xfrm>
                      <a:off x="0" y="0"/>
                      <a:ext cx="7399655" cy="5219700"/>
                    </a:xfrm>
                    <a:prstGeom prst="rect">
                      <a:avLst/>
                    </a:prstGeom>
                    <a:noFill/>
                    <a:ln>
                      <a:noFill/>
                    </a:ln>
                  </pic:spPr>
                </pic:pic>
              </a:graphicData>
            </a:graphic>
          </wp:inline>
        </w:drawing>
      </w:r>
      <w:r>
        <w:drawing>
          <wp:inline distT="0" distB="0" distL="114300" distR="114300">
            <wp:extent cx="7983855" cy="5629275"/>
            <wp:effectExtent l="0" t="0" r="17145" b="9525"/>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pic:cNvPicPr>
                  </pic:nvPicPr>
                  <pic:blipFill>
                    <a:blip r:embed="rId31"/>
                    <a:stretch>
                      <a:fillRect/>
                    </a:stretch>
                  </pic:blipFill>
                  <pic:spPr>
                    <a:xfrm>
                      <a:off x="0" y="0"/>
                      <a:ext cx="7983855" cy="5629275"/>
                    </a:xfrm>
                    <a:prstGeom prst="rect">
                      <a:avLst/>
                    </a:prstGeom>
                    <a:noFill/>
                    <a:ln>
                      <a:noFill/>
                    </a:ln>
                  </pic:spPr>
                </pic:pic>
              </a:graphicData>
            </a:graphic>
          </wp:inline>
        </w:drawing>
      </w:r>
      <w:r>
        <w:drawing>
          <wp:inline distT="0" distB="0" distL="114300" distR="114300">
            <wp:extent cx="7911465" cy="5590540"/>
            <wp:effectExtent l="0" t="0" r="13335" b="10160"/>
            <wp:docPr id="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
                    <pic:cNvPicPr>
                      <a:picLocks noChangeAspect="1"/>
                    </pic:cNvPicPr>
                  </pic:nvPicPr>
                  <pic:blipFill>
                    <a:blip r:embed="rId32"/>
                    <a:stretch>
                      <a:fillRect/>
                    </a:stretch>
                  </pic:blipFill>
                  <pic:spPr>
                    <a:xfrm>
                      <a:off x="0" y="0"/>
                      <a:ext cx="7911465" cy="5590540"/>
                    </a:xfrm>
                    <a:prstGeom prst="rect">
                      <a:avLst/>
                    </a:prstGeom>
                    <a:noFill/>
                    <a:ln>
                      <a:noFill/>
                    </a:ln>
                  </pic:spPr>
                </pic:pic>
              </a:graphicData>
            </a:graphic>
          </wp:inline>
        </w:drawing>
      </w:r>
      <w:r>
        <w:drawing>
          <wp:inline distT="0" distB="0" distL="114300" distR="114300">
            <wp:extent cx="7882890" cy="5563235"/>
            <wp:effectExtent l="0" t="0" r="3810" b="18415"/>
            <wp:docPr id="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pic:cNvPicPr>
                      <a:picLocks noChangeAspect="1"/>
                    </pic:cNvPicPr>
                  </pic:nvPicPr>
                  <pic:blipFill>
                    <a:blip r:embed="rId33"/>
                    <a:stretch>
                      <a:fillRect/>
                    </a:stretch>
                  </pic:blipFill>
                  <pic:spPr>
                    <a:xfrm>
                      <a:off x="0" y="0"/>
                      <a:ext cx="7882890" cy="5563235"/>
                    </a:xfrm>
                    <a:prstGeom prst="rect">
                      <a:avLst/>
                    </a:prstGeom>
                    <a:noFill/>
                    <a:ln>
                      <a:noFill/>
                    </a:ln>
                  </pic:spPr>
                </pic:pic>
              </a:graphicData>
            </a:graphic>
          </wp:inline>
        </w:drawing>
      </w:r>
      <w:r>
        <w:drawing>
          <wp:inline distT="0" distB="0" distL="114300" distR="114300">
            <wp:extent cx="7919085" cy="5589905"/>
            <wp:effectExtent l="0" t="0" r="5715" b="10795"/>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34"/>
                    <a:stretch>
                      <a:fillRect/>
                    </a:stretch>
                  </pic:blipFill>
                  <pic:spPr>
                    <a:xfrm>
                      <a:off x="0" y="0"/>
                      <a:ext cx="7919085" cy="5589905"/>
                    </a:xfrm>
                    <a:prstGeom prst="rect">
                      <a:avLst/>
                    </a:prstGeom>
                    <a:noFill/>
                    <a:ln>
                      <a:noFill/>
                    </a:ln>
                  </pic:spPr>
                </pic:pic>
              </a:graphicData>
            </a:graphic>
          </wp:inline>
        </w:drawing>
      </w:r>
    </w:p>
    <w:p w14:paraId="003A8639">
      <w:pPr>
        <w:pStyle w:val="169"/>
        <w:spacing w:line="360" w:lineRule="auto"/>
        <w:outlineLvl w:val="0"/>
        <w:rPr>
          <w:rFonts w:hint="default" w:ascii="Times New Roman" w:hAnsi="Times New Roman" w:eastAsia="宋体" w:cs="Times New Roman"/>
          <w:color w:val="auto"/>
          <w:sz w:val="24"/>
          <w:szCs w:val="24"/>
          <w:highlight w:val="none"/>
          <w:lang w:val="en-US" w:eastAsia="zh-CN"/>
        </w:rPr>
      </w:pPr>
      <w:bookmarkStart w:id="95" w:name="_Toc9590"/>
      <w:bookmarkStart w:id="96" w:name="_Toc15984"/>
      <w:bookmarkStart w:id="97" w:name="_Toc19298"/>
      <w:bookmarkStart w:id="98" w:name="_Toc22488"/>
      <w:bookmarkStart w:id="99" w:name="_Toc1854"/>
      <w:r>
        <w:rPr>
          <w:rFonts w:hint="default" w:ascii="Times New Roman" w:hAnsi="Times New Roman" w:eastAsia="宋体" w:cs="Times New Roman"/>
          <w:color w:val="auto"/>
          <w:sz w:val="24"/>
          <w:szCs w:val="24"/>
          <w:highlight w:val="none"/>
          <w:lang w:val="en-US" w:eastAsia="zh-CN"/>
        </w:rPr>
        <w:t>附件</w:t>
      </w:r>
      <w:r>
        <w:rPr>
          <w:rFonts w:hint="eastAsia" w:ascii="Times New Roman" w:hAnsi="Times New Roman" w:eastAsia="宋体" w:cs="Times New Roman"/>
          <w:color w:val="auto"/>
          <w:sz w:val="24"/>
          <w:szCs w:val="24"/>
          <w:highlight w:val="none"/>
          <w:lang w:val="en-US" w:eastAsia="zh-CN"/>
        </w:rPr>
        <w:t>3 租赁合同</w:t>
      </w:r>
      <w:bookmarkEnd w:id="95"/>
      <w:bookmarkEnd w:id="96"/>
      <w:bookmarkEnd w:id="97"/>
      <w:bookmarkEnd w:id="98"/>
    </w:p>
    <w:p w14:paraId="1FD5CC2F">
      <w:pPr>
        <w:pStyle w:val="169"/>
        <w:spacing w:line="360" w:lineRule="auto"/>
        <w:outlineLvl w:val="0"/>
        <w:rPr>
          <w:rFonts w:hint="eastAsia" w:ascii="Times New Roman" w:hAnsi="Times New Roman" w:eastAsia="宋体" w:cs="Times New Roman"/>
          <w:color w:val="auto"/>
          <w:sz w:val="24"/>
          <w:szCs w:val="24"/>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100" w:name="_Toc19447"/>
      <w:bookmarkStart w:id="101" w:name="_Toc15971"/>
      <w:bookmarkStart w:id="102" w:name="_Toc14788"/>
      <w:r>
        <w:rPr>
          <w:rFonts w:hint="eastAsia" w:ascii="Times New Roman" w:hAnsi="Times New Roman" w:eastAsia="宋体" w:cs="Times New Roman"/>
          <w:color w:val="auto"/>
          <w:sz w:val="24"/>
          <w:szCs w:val="24"/>
          <w:highlight w:val="none"/>
          <w:lang w:val="en-US" w:eastAsia="zh-CN"/>
        </w:rPr>
        <w:drawing>
          <wp:inline distT="0" distB="0" distL="114300" distR="114300">
            <wp:extent cx="5579110" cy="7439025"/>
            <wp:effectExtent l="0" t="0" r="2540" b="9525"/>
            <wp:docPr id="39" name="图片 39" descr="4d9616306619a6dcffb6ff643f294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4d9616306619a6dcffb6ff643f294ce"/>
                    <pic:cNvPicPr>
                      <a:picLocks noChangeAspect="1"/>
                    </pic:cNvPicPr>
                  </pic:nvPicPr>
                  <pic:blipFill>
                    <a:blip r:embed="rId35"/>
                    <a:stretch>
                      <a:fillRect/>
                    </a:stretch>
                  </pic:blipFill>
                  <pic:spPr>
                    <a:xfrm>
                      <a:off x="0" y="0"/>
                      <a:ext cx="5579110" cy="7439025"/>
                    </a:xfrm>
                    <a:prstGeom prst="rect">
                      <a:avLst/>
                    </a:prstGeom>
                  </pic:spPr>
                </pic:pic>
              </a:graphicData>
            </a:graphic>
          </wp:inline>
        </w:drawing>
      </w:r>
      <w:r>
        <w:rPr>
          <w:rFonts w:hint="eastAsia" w:ascii="Times New Roman" w:hAnsi="Times New Roman" w:eastAsia="宋体" w:cs="Times New Roman"/>
          <w:color w:val="auto"/>
          <w:sz w:val="24"/>
          <w:szCs w:val="24"/>
          <w:highlight w:val="none"/>
          <w:lang w:val="en-US" w:eastAsia="zh-CN"/>
        </w:rPr>
        <w:drawing>
          <wp:inline distT="0" distB="0" distL="114300" distR="114300">
            <wp:extent cx="5579110" cy="7439025"/>
            <wp:effectExtent l="0" t="0" r="2540" b="9525"/>
            <wp:docPr id="50" name="图片 50" descr="d8ee1822217c9fa3806a82e076a3d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d8ee1822217c9fa3806a82e076a3d68"/>
                    <pic:cNvPicPr>
                      <a:picLocks noChangeAspect="1"/>
                    </pic:cNvPicPr>
                  </pic:nvPicPr>
                  <pic:blipFill>
                    <a:blip r:embed="rId36"/>
                    <a:stretch>
                      <a:fillRect/>
                    </a:stretch>
                  </pic:blipFill>
                  <pic:spPr>
                    <a:xfrm>
                      <a:off x="0" y="0"/>
                      <a:ext cx="5579110" cy="7439025"/>
                    </a:xfrm>
                    <a:prstGeom prst="rect">
                      <a:avLst/>
                    </a:prstGeom>
                  </pic:spPr>
                </pic:pic>
              </a:graphicData>
            </a:graphic>
          </wp:inline>
        </w:drawing>
      </w:r>
      <w:bookmarkEnd w:id="100"/>
      <w:bookmarkEnd w:id="101"/>
      <w:bookmarkEnd w:id="102"/>
    </w:p>
    <w:p w14:paraId="436B844F">
      <w:pPr>
        <w:pStyle w:val="169"/>
        <w:spacing w:line="360" w:lineRule="auto"/>
        <w:outlineLvl w:val="0"/>
        <w:rPr>
          <w:rFonts w:hint="default" w:ascii="Times New Roman" w:hAnsi="Times New Roman" w:eastAsia="宋体" w:cs="Times New Roman"/>
          <w:color w:val="auto"/>
          <w:sz w:val="24"/>
          <w:szCs w:val="24"/>
          <w:highlight w:val="none"/>
          <w:lang w:val="en-US" w:eastAsia="zh-CN"/>
        </w:rPr>
      </w:pPr>
      <w:bookmarkStart w:id="103" w:name="_Toc8986"/>
      <w:bookmarkStart w:id="104" w:name="_Toc13511"/>
      <w:bookmarkStart w:id="105" w:name="_Toc26817"/>
      <w:bookmarkStart w:id="106" w:name="_Toc4711"/>
      <w:r>
        <w:rPr>
          <w:rFonts w:hint="eastAsia" w:ascii="Times New Roman" w:hAnsi="Times New Roman" w:eastAsia="宋体" w:cs="Times New Roman"/>
          <w:color w:val="auto"/>
          <w:sz w:val="24"/>
          <w:szCs w:val="24"/>
          <w:highlight w:val="none"/>
          <w:lang w:val="en-US" w:eastAsia="zh-CN"/>
        </w:rPr>
        <w:t>附件</w:t>
      </w:r>
      <w:r>
        <w:rPr>
          <w:rFonts w:hint="eastAsia"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val="en-US" w:eastAsia="zh-CN"/>
        </w:rPr>
        <w:t xml:space="preserve"> 引用虎林市国顺报废汽车回收有限公司项目检测报告</w:t>
      </w:r>
      <w:bookmarkEnd w:id="99"/>
      <w:bookmarkEnd w:id="103"/>
      <w:bookmarkEnd w:id="104"/>
      <w:bookmarkEnd w:id="105"/>
      <w:bookmarkEnd w:id="106"/>
    </w:p>
    <w:p w14:paraId="6450A141">
      <w:pPr>
        <w:jc w:val="center"/>
        <w:rPr>
          <w:rFonts w:hint="eastAsia" w:eastAsia="宋体" w:cs="Times New Roman"/>
          <w:color w:val="FF0000"/>
          <w:sz w:val="21"/>
          <w:szCs w:val="21"/>
          <w:highlight w:val="none"/>
          <w:lang w:val="en-US" w:eastAsia="zh-CN"/>
        </w:rPr>
      </w:pPr>
      <w:bookmarkStart w:id="107" w:name="_Toc11910"/>
      <w:r>
        <w:rPr>
          <w:rFonts w:hint="eastAsia" w:ascii="Times New Roman" w:hAnsi="Times New Roman" w:eastAsia="宋体" w:cs="Times New Roman"/>
          <w:color w:val="auto"/>
          <w:highlight w:val="none"/>
          <w:lang w:val="en-US" w:eastAsia="zh-CN"/>
        </w:rPr>
        <w:drawing>
          <wp:inline distT="0" distB="0" distL="114300" distR="114300">
            <wp:extent cx="5236845" cy="7400925"/>
            <wp:effectExtent l="0" t="0" r="5715" b="5715"/>
            <wp:docPr id="17" name="图片 17" descr="虎林市国顺报废汽车回收有限公司项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虎林市国顺报废汽车回收有限公司项目_00"/>
                    <pic:cNvPicPr>
                      <a:picLocks noChangeAspect="1"/>
                    </pic:cNvPicPr>
                  </pic:nvPicPr>
                  <pic:blipFill>
                    <a:blip r:embed="rId37"/>
                    <a:stretch>
                      <a:fillRect/>
                    </a:stretch>
                  </pic:blipFill>
                  <pic:spPr>
                    <a:xfrm>
                      <a:off x="0" y="0"/>
                      <a:ext cx="5236845" cy="7400925"/>
                    </a:xfrm>
                    <a:prstGeom prst="rect">
                      <a:avLst/>
                    </a:prstGeom>
                  </pic:spPr>
                </pic:pic>
              </a:graphicData>
            </a:graphic>
          </wp:inline>
        </w:drawing>
      </w:r>
      <w:r>
        <w:rPr>
          <w:rFonts w:hint="eastAsia" w:ascii="Times New Roman" w:hAnsi="Times New Roman" w:eastAsia="宋体" w:cs="Times New Roman"/>
          <w:color w:val="auto"/>
          <w:highlight w:val="none"/>
          <w:lang w:val="en-US" w:eastAsia="zh-CN"/>
        </w:rPr>
        <w:drawing>
          <wp:inline distT="0" distB="0" distL="114300" distR="114300">
            <wp:extent cx="5615305" cy="7935595"/>
            <wp:effectExtent l="0" t="0" r="8255" b="4445"/>
            <wp:docPr id="37" name="图片 37" descr="虎林市国顺报废汽车回收有限公司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虎林市国顺报废汽车回收有限公司项目_01"/>
                    <pic:cNvPicPr>
                      <a:picLocks noChangeAspect="1"/>
                    </pic:cNvPicPr>
                  </pic:nvPicPr>
                  <pic:blipFill>
                    <a:blip r:embed="rId38"/>
                    <a:stretch>
                      <a:fillRect/>
                    </a:stretch>
                  </pic:blipFill>
                  <pic:spPr>
                    <a:xfrm>
                      <a:off x="0" y="0"/>
                      <a:ext cx="5615305" cy="7935595"/>
                    </a:xfrm>
                    <a:prstGeom prst="rect">
                      <a:avLst/>
                    </a:prstGeom>
                  </pic:spPr>
                </pic:pic>
              </a:graphicData>
            </a:graphic>
          </wp:inline>
        </w:drawing>
      </w:r>
      <w:r>
        <w:rPr>
          <w:rFonts w:hint="eastAsia" w:ascii="Times New Roman" w:hAnsi="Times New Roman" w:eastAsia="宋体" w:cs="Times New Roman"/>
          <w:color w:val="auto"/>
          <w:highlight w:val="none"/>
          <w:lang w:val="en-US" w:eastAsia="zh-CN"/>
        </w:rPr>
        <w:drawing>
          <wp:inline distT="0" distB="0" distL="114300" distR="114300">
            <wp:extent cx="5615305" cy="7935595"/>
            <wp:effectExtent l="0" t="0" r="8255" b="4445"/>
            <wp:docPr id="29" name="图片 29" descr="虎林市国顺报废汽车回收有限公司项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虎林市国顺报废汽车回收有限公司项目_02"/>
                    <pic:cNvPicPr>
                      <a:picLocks noChangeAspect="1"/>
                    </pic:cNvPicPr>
                  </pic:nvPicPr>
                  <pic:blipFill>
                    <a:blip r:embed="rId39"/>
                    <a:stretch>
                      <a:fillRect/>
                    </a:stretch>
                  </pic:blipFill>
                  <pic:spPr>
                    <a:xfrm>
                      <a:off x="0" y="0"/>
                      <a:ext cx="5615305" cy="7935595"/>
                    </a:xfrm>
                    <a:prstGeom prst="rect">
                      <a:avLst/>
                    </a:prstGeom>
                  </pic:spPr>
                </pic:pic>
              </a:graphicData>
            </a:graphic>
          </wp:inline>
        </w:drawing>
      </w:r>
      <w:r>
        <w:rPr>
          <w:rFonts w:hint="eastAsia" w:ascii="Times New Roman" w:hAnsi="Times New Roman" w:eastAsia="宋体" w:cs="Times New Roman"/>
          <w:color w:val="auto"/>
          <w:highlight w:val="none"/>
          <w:lang w:val="en-US" w:eastAsia="zh-CN"/>
        </w:rPr>
        <w:drawing>
          <wp:inline distT="0" distB="0" distL="114300" distR="114300">
            <wp:extent cx="5615305" cy="7935595"/>
            <wp:effectExtent l="0" t="0" r="8255" b="4445"/>
            <wp:docPr id="27" name="图片 27" descr="虎林市国顺报废汽车回收有限公司项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虎林市国顺报废汽车回收有限公司项目_03"/>
                    <pic:cNvPicPr>
                      <a:picLocks noChangeAspect="1"/>
                    </pic:cNvPicPr>
                  </pic:nvPicPr>
                  <pic:blipFill>
                    <a:blip r:embed="rId40"/>
                    <a:stretch>
                      <a:fillRect/>
                    </a:stretch>
                  </pic:blipFill>
                  <pic:spPr>
                    <a:xfrm>
                      <a:off x="0" y="0"/>
                      <a:ext cx="5615305" cy="7935595"/>
                    </a:xfrm>
                    <a:prstGeom prst="rect">
                      <a:avLst/>
                    </a:prstGeom>
                  </pic:spPr>
                </pic:pic>
              </a:graphicData>
            </a:graphic>
          </wp:inline>
        </w:drawing>
      </w:r>
      <w:bookmarkEnd w:id="107"/>
      <w:r>
        <w:rPr>
          <w:rFonts w:hint="eastAsia" w:eastAsia="宋体" w:cs="Times New Roman"/>
          <w:color w:val="FF0000"/>
          <w:sz w:val="21"/>
          <w:szCs w:val="21"/>
          <w:highlight w:val="none"/>
          <w:lang w:val="en-US" w:eastAsia="zh-CN"/>
        </w:rPr>
        <w:br w:type="page"/>
      </w:r>
    </w:p>
    <w:p w14:paraId="49C5CB14">
      <w:pPr>
        <w:pStyle w:val="169"/>
        <w:spacing w:line="360" w:lineRule="auto"/>
        <w:outlineLvl w:val="0"/>
        <w:rPr>
          <w:rFonts w:hint="eastAsia" w:ascii="Times New Roman" w:hAnsi="Times New Roman" w:eastAsia="宋体" w:cs="Times New Roman"/>
          <w:color w:val="auto"/>
          <w:sz w:val="24"/>
          <w:szCs w:val="24"/>
          <w:highlight w:val="none"/>
          <w:lang w:val="en-US" w:eastAsia="zh-CN"/>
        </w:rPr>
      </w:pPr>
      <w:bookmarkStart w:id="108" w:name="_Toc24406"/>
      <w:bookmarkStart w:id="109" w:name="_Toc45"/>
      <w:bookmarkStart w:id="110" w:name="_Toc29687"/>
      <w:bookmarkStart w:id="111" w:name="_Toc22957"/>
      <w:bookmarkStart w:id="112" w:name="_Toc11318"/>
      <w:r>
        <w:rPr>
          <w:rFonts w:hint="default" w:ascii="Times New Roman" w:hAnsi="Times New Roman" w:eastAsia="宋体" w:cs="Times New Roman"/>
          <w:color w:val="auto"/>
          <w:sz w:val="24"/>
          <w:szCs w:val="24"/>
          <w:highlight w:val="none"/>
          <w:lang w:val="en-US" w:eastAsia="zh-CN"/>
        </w:rPr>
        <w:t>附件</w:t>
      </w:r>
      <w:r>
        <w:rPr>
          <w:rFonts w:hint="eastAsia" w:ascii="Times New Roman" w:hAnsi="Times New Roman" w:eastAsia="宋体" w:cs="Times New Roman"/>
          <w:color w:val="auto"/>
          <w:sz w:val="24"/>
          <w:szCs w:val="24"/>
          <w:highlight w:val="none"/>
          <w:lang w:val="en-US" w:eastAsia="zh-CN"/>
        </w:rPr>
        <w:t>5 声环境质量现状补充检测报告</w:t>
      </w:r>
      <w:bookmarkEnd w:id="108"/>
      <w:bookmarkEnd w:id="109"/>
      <w:bookmarkEnd w:id="110"/>
      <w:bookmarkEnd w:id="111"/>
    </w:p>
    <w:p w14:paraId="583D4857">
      <w:pPr>
        <w:pStyle w:val="169"/>
        <w:spacing w:line="360" w:lineRule="auto"/>
        <w:jc w:val="center"/>
        <w:outlineLvl w:val="0"/>
        <w:rPr>
          <w:rFonts w:hint="eastAsia" w:ascii="Times New Roman" w:hAnsi="Times New Roman" w:eastAsia="宋体" w:cs="Times New Roman"/>
          <w:color w:val="auto"/>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113" w:name="_Toc31776"/>
      <w:bookmarkStart w:id="114" w:name="_Toc17561"/>
      <w:bookmarkStart w:id="115" w:name="_Toc7104"/>
      <w:r>
        <w:drawing>
          <wp:inline distT="0" distB="0" distL="114300" distR="114300">
            <wp:extent cx="7776845" cy="5532755"/>
            <wp:effectExtent l="0" t="0" r="10795" b="14605"/>
            <wp:docPr id="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pic:cNvPicPr>
                      <a:picLocks noChangeAspect="1"/>
                    </pic:cNvPicPr>
                  </pic:nvPicPr>
                  <pic:blipFill>
                    <a:blip r:embed="rId41"/>
                    <a:stretch>
                      <a:fillRect/>
                    </a:stretch>
                  </pic:blipFill>
                  <pic:spPr>
                    <a:xfrm rot="5400000">
                      <a:off x="0" y="0"/>
                      <a:ext cx="7776845" cy="5532755"/>
                    </a:xfrm>
                    <a:prstGeom prst="rect">
                      <a:avLst/>
                    </a:prstGeom>
                    <a:noFill/>
                    <a:ln>
                      <a:noFill/>
                    </a:ln>
                  </pic:spPr>
                </pic:pic>
              </a:graphicData>
            </a:graphic>
          </wp:inline>
        </w:drawing>
      </w:r>
      <w:r>
        <w:drawing>
          <wp:inline distT="0" distB="0" distL="114300" distR="114300">
            <wp:extent cx="7887335" cy="5599430"/>
            <wp:effectExtent l="0" t="0" r="1270" b="18415"/>
            <wp:docPr id="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
                    <pic:cNvPicPr>
                      <a:picLocks noChangeAspect="1"/>
                    </pic:cNvPicPr>
                  </pic:nvPicPr>
                  <pic:blipFill>
                    <a:blip r:embed="rId42"/>
                    <a:stretch>
                      <a:fillRect/>
                    </a:stretch>
                  </pic:blipFill>
                  <pic:spPr>
                    <a:xfrm rot="5400000">
                      <a:off x="0" y="0"/>
                      <a:ext cx="7887335" cy="5599430"/>
                    </a:xfrm>
                    <a:prstGeom prst="rect">
                      <a:avLst/>
                    </a:prstGeom>
                    <a:noFill/>
                    <a:ln>
                      <a:noFill/>
                    </a:ln>
                  </pic:spPr>
                </pic:pic>
              </a:graphicData>
            </a:graphic>
          </wp:inline>
        </w:drawing>
      </w:r>
      <w:r>
        <w:drawing>
          <wp:inline distT="0" distB="0" distL="114300" distR="114300">
            <wp:extent cx="7905115" cy="5593715"/>
            <wp:effectExtent l="0" t="0" r="6985" b="635"/>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43"/>
                    <a:stretch>
                      <a:fillRect/>
                    </a:stretch>
                  </pic:blipFill>
                  <pic:spPr>
                    <a:xfrm rot="5400000">
                      <a:off x="0" y="0"/>
                      <a:ext cx="7905115" cy="5593715"/>
                    </a:xfrm>
                    <a:prstGeom prst="rect">
                      <a:avLst/>
                    </a:prstGeom>
                    <a:noFill/>
                    <a:ln>
                      <a:noFill/>
                    </a:ln>
                  </pic:spPr>
                </pic:pic>
              </a:graphicData>
            </a:graphic>
          </wp:inline>
        </w:drawing>
      </w:r>
      <w:r>
        <w:drawing>
          <wp:inline distT="0" distB="0" distL="114300" distR="114300">
            <wp:extent cx="7891145" cy="5586095"/>
            <wp:effectExtent l="0" t="0" r="14605" b="14605"/>
            <wp:docPr id="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9"/>
                    <pic:cNvPicPr>
                      <a:picLocks noChangeAspect="1"/>
                    </pic:cNvPicPr>
                  </pic:nvPicPr>
                  <pic:blipFill>
                    <a:blip r:embed="rId44"/>
                    <a:stretch>
                      <a:fillRect/>
                    </a:stretch>
                  </pic:blipFill>
                  <pic:spPr>
                    <a:xfrm rot="5400000">
                      <a:off x="0" y="0"/>
                      <a:ext cx="7891145" cy="5586095"/>
                    </a:xfrm>
                    <a:prstGeom prst="rect">
                      <a:avLst/>
                    </a:prstGeom>
                    <a:noFill/>
                    <a:ln>
                      <a:noFill/>
                    </a:ln>
                  </pic:spPr>
                </pic:pic>
              </a:graphicData>
            </a:graphic>
          </wp:inline>
        </w:drawing>
      </w:r>
      <w:bookmarkEnd w:id="113"/>
      <w:bookmarkEnd w:id="114"/>
      <w:bookmarkEnd w:id="115"/>
    </w:p>
    <w:p w14:paraId="76B0123B">
      <w:pPr>
        <w:pStyle w:val="169"/>
        <w:spacing w:line="360" w:lineRule="auto"/>
        <w:outlineLvl w:val="0"/>
        <w:rPr>
          <w:rFonts w:hint="eastAsia" w:eastAsia="宋体" w:cs="Times New Roman"/>
          <w:color w:val="FF0000"/>
          <w:sz w:val="21"/>
          <w:szCs w:val="21"/>
          <w:highlight w:val="none"/>
          <w:lang w:val="en-US" w:eastAsia="zh-CN"/>
        </w:rPr>
      </w:pPr>
      <w:bookmarkStart w:id="116" w:name="_Toc15800"/>
      <w:bookmarkStart w:id="117" w:name="_Toc29573"/>
      <w:bookmarkStart w:id="118" w:name="_Toc6575"/>
      <w:bookmarkStart w:id="119" w:name="_Toc6408"/>
      <w:r>
        <w:rPr>
          <w:rFonts w:hint="eastAsia" w:ascii="Times New Roman" w:hAnsi="Times New Roman" w:eastAsia="宋体" w:cs="Times New Roman"/>
          <w:color w:val="FF0000"/>
          <w:sz w:val="24"/>
          <w:szCs w:val="24"/>
          <w:highlight w:val="none"/>
          <w:lang w:val="en-US" w:eastAsia="zh-CN"/>
        </w:rPr>
        <w:t>附件</w:t>
      </w:r>
      <w:r>
        <w:rPr>
          <w:rFonts w:hint="eastAsia" w:cs="Times New Roman"/>
          <w:color w:val="FF0000"/>
          <w:sz w:val="24"/>
          <w:szCs w:val="24"/>
          <w:highlight w:val="none"/>
          <w:lang w:val="en-US" w:eastAsia="zh-CN"/>
        </w:rPr>
        <w:t xml:space="preserve">6 </w:t>
      </w:r>
      <w:r>
        <w:rPr>
          <w:rFonts w:hint="eastAsia" w:ascii="Times New Roman" w:hAnsi="Times New Roman" w:eastAsia="宋体" w:cs="Times New Roman"/>
          <w:color w:val="FF0000"/>
          <w:sz w:val="24"/>
          <w:szCs w:val="24"/>
          <w:highlight w:val="none"/>
          <w:lang w:val="en-US" w:eastAsia="zh-CN"/>
        </w:rPr>
        <w:t>生物质成型压块分析报告</w:t>
      </w:r>
      <w:bookmarkEnd w:id="112"/>
      <w:bookmarkEnd w:id="116"/>
      <w:bookmarkEnd w:id="117"/>
      <w:bookmarkEnd w:id="118"/>
      <w:bookmarkEnd w:id="119"/>
    </w:p>
    <w:p w14:paraId="129F26AC">
      <w:pPr>
        <w:bidi w:val="0"/>
        <w:rPr>
          <w:rFonts w:hint="eastAsia"/>
          <w:color w:val="FF0000"/>
          <w:highlight w:val="none"/>
        </w:rPr>
      </w:pPr>
      <w:bookmarkStart w:id="120" w:name="_Toc10363"/>
      <w:bookmarkStart w:id="121" w:name="_Toc5648"/>
      <w:bookmarkStart w:id="122" w:name="_Toc427"/>
      <w:bookmarkStart w:id="123" w:name="_Toc21683"/>
      <w:r>
        <w:rPr>
          <w:rFonts w:hint="eastAsia" w:ascii="Times New Roman" w:hAnsi="Times New Roman" w:eastAsia="黑体" w:cs="Times New Roman"/>
          <w:snapToGrid w:val="0"/>
          <w:color w:val="auto"/>
          <w:sz w:val="28"/>
          <w:szCs w:val="28"/>
          <w:highlight w:val="none"/>
          <w:vertAlign w:val="baseline"/>
          <w:lang w:val="en-US" w:eastAsia="zh-CN"/>
        </w:rPr>
        <w:drawing>
          <wp:inline distT="0" distB="0" distL="114300" distR="114300">
            <wp:extent cx="5674995" cy="7797165"/>
            <wp:effectExtent l="0" t="0" r="1905" b="13335"/>
            <wp:docPr id="8" name="图片 8" descr="（类比）生物质组分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类比）生物质组分分析"/>
                    <pic:cNvPicPr>
                      <a:picLocks noChangeAspect="1"/>
                    </pic:cNvPicPr>
                  </pic:nvPicPr>
                  <pic:blipFill>
                    <a:blip r:embed="rId45"/>
                    <a:stretch>
                      <a:fillRect/>
                    </a:stretch>
                  </pic:blipFill>
                  <pic:spPr>
                    <a:xfrm>
                      <a:off x="0" y="0"/>
                      <a:ext cx="5674995" cy="7797165"/>
                    </a:xfrm>
                    <a:prstGeom prst="rect">
                      <a:avLst/>
                    </a:prstGeom>
                  </pic:spPr>
                </pic:pic>
              </a:graphicData>
            </a:graphic>
          </wp:inline>
        </w:drawing>
      </w:r>
      <w:bookmarkEnd w:id="120"/>
      <w:bookmarkEnd w:id="121"/>
      <w:bookmarkEnd w:id="122"/>
      <w:bookmarkEnd w:id="123"/>
    </w:p>
    <w:p w14:paraId="64886C7E">
      <w:pPr>
        <w:bidi w:val="0"/>
        <w:rPr>
          <w:rFonts w:hint="default" w:ascii="Times New Roman" w:hAnsi="Times New Roman" w:eastAsia="宋体" w:cs="Times New Roman"/>
          <w:color w:val="FF0000"/>
          <w:sz w:val="21"/>
          <w:szCs w:val="21"/>
          <w:highlight w:val="none"/>
        </w:rPr>
      </w:pPr>
    </w:p>
    <w:p w14:paraId="680F6B38">
      <w:pP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br w:type="page"/>
      </w:r>
    </w:p>
    <w:p w14:paraId="1662C787">
      <w:pPr>
        <w:pStyle w:val="169"/>
        <w:spacing w:line="360" w:lineRule="auto"/>
        <w:outlineLvl w:val="0"/>
        <w:rPr>
          <w:rFonts w:hint="default" w:ascii="Times New Roman" w:hAnsi="Times New Roman" w:eastAsia="宋体" w:cs="Times New Roman"/>
          <w:color w:val="auto"/>
          <w:sz w:val="24"/>
          <w:szCs w:val="24"/>
          <w:highlight w:val="none"/>
          <w:lang w:val="en-US" w:eastAsia="zh-CN"/>
        </w:rPr>
      </w:pPr>
      <w:bookmarkStart w:id="124" w:name="_Toc5716"/>
      <w:bookmarkStart w:id="125" w:name="_Toc25790"/>
      <w:bookmarkStart w:id="126" w:name="_Toc13059"/>
      <w:bookmarkStart w:id="127" w:name="_Toc31370"/>
      <w:bookmarkStart w:id="128" w:name="_Toc4745"/>
      <w:bookmarkStart w:id="129" w:name="_Toc219"/>
      <w:r>
        <w:rPr>
          <w:rFonts w:hint="eastAsia" w:ascii="Times New Roman" w:hAnsi="Times New Roman" w:eastAsia="宋体" w:cs="Times New Roman"/>
          <w:color w:val="auto"/>
          <w:sz w:val="24"/>
          <w:szCs w:val="24"/>
          <w:highlight w:val="none"/>
          <w:lang w:val="en-US" w:eastAsia="zh-CN"/>
        </w:rPr>
        <w:t>附件7</w:t>
      </w:r>
      <w:r>
        <w:rPr>
          <w:rFonts w:hint="eastAsia" w:cs="Times New Roman"/>
          <w:color w:val="auto"/>
          <w:sz w:val="24"/>
          <w:szCs w:val="24"/>
          <w:highlight w:val="none"/>
          <w:lang w:val="en-US" w:eastAsia="zh-CN"/>
        </w:rPr>
        <w:t xml:space="preserve"> </w:t>
      </w:r>
      <w:bookmarkEnd w:id="124"/>
      <w:bookmarkEnd w:id="125"/>
      <w:r>
        <w:rPr>
          <w:rFonts w:hint="eastAsia" w:cs="Times New Roman"/>
          <w:color w:val="auto"/>
          <w:sz w:val="24"/>
          <w:szCs w:val="24"/>
          <w:highlight w:val="none"/>
          <w:lang w:val="en-US" w:eastAsia="zh-CN"/>
        </w:rPr>
        <w:t>虎林市建设项目环境影响评估承诺备案回执</w:t>
      </w:r>
      <w:bookmarkEnd w:id="126"/>
      <w:bookmarkEnd w:id="127"/>
      <w:bookmarkEnd w:id="128"/>
    </w:p>
    <w:p w14:paraId="662194B4">
      <w:pPr>
        <w:rPr>
          <w:rFonts w:hint="default" w:ascii="Times New Roman" w:hAnsi="Times New Roman" w:eastAsia="宋体" w:cs="Times New Roman"/>
          <w:color w:val="FF0000"/>
          <w:sz w:val="21"/>
          <w:szCs w:val="21"/>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drawing>
          <wp:inline distT="0" distB="0" distL="114300" distR="114300">
            <wp:extent cx="5324475" cy="7296150"/>
            <wp:effectExtent l="0" t="0" r="9525" b="0"/>
            <wp:docPr id="45" name="图片 45" descr="fc8a7be70332816bec2481742f99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fc8a7be70332816bec2481742f99873"/>
                    <pic:cNvPicPr>
                      <a:picLocks noChangeAspect="1"/>
                    </pic:cNvPicPr>
                  </pic:nvPicPr>
                  <pic:blipFill>
                    <a:blip r:embed="rId46"/>
                    <a:stretch>
                      <a:fillRect/>
                    </a:stretch>
                  </pic:blipFill>
                  <pic:spPr>
                    <a:xfrm>
                      <a:off x="0" y="0"/>
                      <a:ext cx="5324475" cy="7296150"/>
                    </a:xfrm>
                    <a:prstGeom prst="rect">
                      <a:avLst/>
                    </a:prstGeom>
                  </pic:spPr>
                </pic:pic>
              </a:graphicData>
            </a:graphic>
          </wp:inline>
        </w:drawing>
      </w:r>
    </w:p>
    <w:p w14:paraId="3329DB95">
      <w:pPr>
        <w:pStyle w:val="169"/>
        <w:spacing w:line="360" w:lineRule="auto"/>
        <w:outlineLvl w:val="0"/>
        <w:rPr>
          <w:rFonts w:hint="default" w:ascii="Times New Roman" w:hAnsi="Times New Roman" w:eastAsia="宋体" w:cs="Times New Roman"/>
          <w:color w:val="auto"/>
          <w:sz w:val="21"/>
          <w:szCs w:val="21"/>
          <w:highlight w:val="none"/>
          <w:lang w:val="en-US" w:eastAsia="zh-CN"/>
        </w:rPr>
      </w:pPr>
      <w:bookmarkStart w:id="130" w:name="_Toc13382"/>
      <w:bookmarkStart w:id="131" w:name="_Toc4056"/>
      <w:bookmarkStart w:id="132" w:name="_Toc31534"/>
      <w:bookmarkStart w:id="133" w:name="_Toc20754"/>
      <w:bookmarkStart w:id="134" w:name="_Toc13576"/>
      <w:r>
        <w:rPr>
          <w:rFonts w:hint="eastAsia" w:ascii="Times New Roman" w:hAnsi="Times New Roman" w:eastAsia="宋体" w:cs="Times New Roman"/>
          <w:color w:val="auto"/>
          <w:sz w:val="24"/>
          <w:szCs w:val="24"/>
          <w:highlight w:val="none"/>
          <w:lang w:val="en-US" w:eastAsia="zh-CN"/>
        </w:rPr>
        <w:t>附件8</w:t>
      </w:r>
      <w:r>
        <w:rPr>
          <w:rFonts w:hint="eastAsia"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val="en-US" w:eastAsia="zh-CN"/>
        </w:rPr>
        <w:t>生态环境分区管控分析报告</w:t>
      </w:r>
      <w:bookmarkEnd w:id="130"/>
      <w:bookmarkEnd w:id="131"/>
      <w:bookmarkEnd w:id="132"/>
      <w:bookmarkEnd w:id="133"/>
      <w:bookmarkEnd w:id="134"/>
    </w:p>
    <w:p w14:paraId="4FD18C87">
      <w:pPr>
        <w:rPr>
          <w:rFonts w:hint="default" w:ascii="Times New Roman" w:hAnsi="Times New Roman" w:eastAsia="宋体" w:cs="Times New Roman"/>
          <w:color w:val="FF0000"/>
          <w:sz w:val="21"/>
          <w:szCs w:val="21"/>
          <w:highlight w:val="none"/>
          <w:lang w:val="en-US" w:eastAsia="zh-CN"/>
        </w:rPr>
      </w:pPr>
      <w:r>
        <w:drawing>
          <wp:inline distT="0" distB="0" distL="114300" distR="114300">
            <wp:extent cx="5610225" cy="3973195"/>
            <wp:effectExtent l="0" t="0" r="9525" b="8255"/>
            <wp:docPr id="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pic:cNvPicPr>
                      <a:picLocks noChangeAspect="1"/>
                    </pic:cNvPicPr>
                  </pic:nvPicPr>
                  <pic:blipFill>
                    <a:blip r:embed="rId47"/>
                    <a:stretch>
                      <a:fillRect/>
                    </a:stretch>
                  </pic:blipFill>
                  <pic:spPr>
                    <a:xfrm>
                      <a:off x="0" y="0"/>
                      <a:ext cx="5610225" cy="3973195"/>
                    </a:xfrm>
                    <a:prstGeom prst="rect">
                      <a:avLst/>
                    </a:prstGeom>
                    <a:noFill/>
                    <a:ln>
                      <a:noFill/>
                    </a:ln>
                  </pic:spPr>
                </pic:pic>
              </a:graphicData>
            </a:graphic>
          </wp:inline>
        </w:drawing>
      </w:r>
    </w:p>
    <w:p w14:paraId="1AB39954">
      <w:pPr>
        <w:rPr>
          <w:rFonts w:hint="default" w:ascii="Times New Roman" w:hAnsi="Times New Roman" w:eastAsia="宋体" w:cs="Times New Roman"/>
          <w:color w:val="FF0000"/>
          <w:sz w:val="21"/>
          <w:szCs w:val="21"/>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drawing>
          <wp:inline distT="0" distB="0" distL="114300" distR="114300">
            <wp:extent cx="5615940" cy="3970655"/>
            <wp:effectExtent l="0" t="0" r="3810" b="10795"/>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48"/>
                    <a:stretch>
                      <a:fillRect/>
                    </a:stretch>
                  </pic:blipFill>
                  <pic:spPr>
                    <a:xfrm>
                      <a:off x="0" y="0"/>
                      <a:ext cx="5615940" cy="3970655"/>
                    </a:xfrm>
                    <a:prstGeom prst="rect">
                      <a:avLst/>
                    </a:prstGeom>
                    <a:noFill/>
                    <a:ln>
                      <a:noFill/>
                    </a:ln>
                  </pic:spPr>
                </pic:pic>
              </a:graphicData>
            </a:graphic>
          </wp:inline>
        </w:drawing>
      </w:r>
      <w:r>
        <w:drawing>
          <wp:inline distT="0" distB="0" distL="114300" distR="114300">
            <wp:extent cx="5614035" cy="3980180"/>
            <wp:effectExtent l="0" t="0" r="5715" b="1270"/>
            <wp:docPr id="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pic:cNvPicPr>
                      <a:picLocks noChangeAspect="1"/>
                    </pic:cNvPicPr>
                  </pic:nvPicPr>
                  <pic:blipFill>
                    <a:blip r:embed="rId49"/>
                    <a:stretch>
                      <a:fillRect/>
                    </a:stretch>
                  </pic:blipFill>
                  <pic:spPr>
                    <a:xfrm>
                      <a:off x="0" y="0"/>
                      <a:ext cx="5614035" cy="3980180"/>
                    </a:xfrm>
                    <a:prstGeom prst="rect">
                      <a:avLst/>
                    </a:prstGeom>
                    <a:noFill/>
                    <a:ln>
                      <a:noFill/>
                    </a:ln>
                  </pic:spPr>
                </pic:pic>
              </a:graphicData>
            </a:graphic>
          </wp:inline>
        </w:drawing>
      </w:r>
      <w:r>
        <w:drawing>
          <wp:inline distT="0" distB="0" distL="114300" distR="114300">
            <wp:extent cx="5614035" cy="3970020"/>
            <wp:effectExtent l="0" t="0" r="5715" b="11430"/>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1"/>
                    </pic:cNvPicPr>
                  </pic:nvPicPr>
                  <pic:blipFill>
                    <a:blip r:embed="rId50"/>
                    <a:stretch>
                      <a:fillRect/>
                    </a:stretch>
                  </pic:blipFill>
                  <pic:spPr>
                    <a:xfrm>
                      <a:off x="0" y="0"/>
                      <a:ext cx="5614035" cy="3970020"/>
                    </a:xfrm>
                    <a:prstGeom prst="rect">
                      <a:avLst/>
                    </a:prstGeom>
                    <a:noFill/>
                    <a:ln>
                      <a:noFill/>
                    </a:ln>
                  </pic:spPr>
                </pic:pic>
              </a:graphicData>
            </a:graphic>
          </wp:inline>
        </w:drawing>
      </w:r>
      <w:r>
        <w:drawing>
          <wp:inline distT="0" distB="0" distL="114300" distR="114300">
            <wp:extent cx="5608955" cy="3965575"/>
            <wp:effectExtent l="0" t="0" r="10795" b="15875"/>
            <wp:docPr id="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
                    <pic:cNvPicPr>
                      <a:picLocks noChangeAspect="1"/>
                    </pic:cNvPicPr>
                  </pic:nvPicPr>
                  <pic:blipFill>
                    <a:blip r:embed="rId51"/>
                    <a:stretch>
                      <a:fillRect/>
                    </a:stretch>
                  </pic:blipFill>
                  <pic:spPr>
                    <a:xfrm>
                      <a:off x="0" y="0"/>
                      <a:ext cx="5608955" cy="3965575"/>
                    </a:xfrm>
                    <a:prstGeom prst="rect">
                      <a:avLst/>
                    </a:prstGeom>
                    <a:noFill/>
                    <a:ln>
                      <a:noFill/>
                    </a:ln>
                  </pic:spPr>
                </pic:pic>
              </a:graphicData>
            </a:graphic>
          </wp:inline>
        </w:drawing>
      </w:r>
      <w:r>
        <w:drawing>
          <wp:inline distT="0" distB="0" distL="114300" distR="114300">
            <wp:extent cx="5615305" cy="3973195"/>
            <wp:effectExtent l="0" t="0" r="4445" b="8255"/>
            <wp:docPr id="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1"/>
                    <pic:cNvPicPr>
                      <a:picLocks noChangeAspect="1"/>
                    </pic:cNvPicPr>
                  </pic:nvPicPr>
                  <pic:blipFill>
                    <a:blip r:embed="rId52"/>
                    <a:stretch>
                      <a:fillRect/>
                    </a:stretch>
                  </pic:blipFill>
                  <pic:spPr>
                    <a:xfrm>
                      <a:off x="0" y="0"/>
                      <a:ext cx="5615305" cy="3973195"/>
                    </a:xfrm>
                    <a:prstGeom prst="rect">
                      <a:avLst/>
                    </a:prstGeom>
                    <a:noFill/>
                    <a:ln>
                      <a:noFill/>
                    </a:ln>
                  </pic:spPr>
                </pic:pic>
              </a:graphicData>
            </a:graphic>
          </wp:inline>
        </w:drawing>
      </w:r>
      <w:r>
        <w:drawing>
          <wp:inline distT="0" distB="0" distL="114300" distR="114300">
            <wp:extent cx="5610225" cy="3973195"/>
            <wp:effectExtent l="0" t="0" r="9525" b="8255"/>
            <wp:docPr id="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2"/>
                    <pic:cNvPicPr>
                      <a:picLocks noChangeAspect="1"/>
                    </pic:cNvPicPr>
                  </pic:nvPicPr>
                  <pic:blipFill>
                    <a:blip r:embed="rId53"/>
                    <a:stretch>
                      <a:fillRect/>
                    </a:stretch>
                  </pic:blipFill>
                  <pic:spPr>
                    <a:xfrm>
                      <a:off x="0" y="0"/>
                      <a:ext cx="5610225" cy="3973195"/>
                    </a:xfrm>
                    <a:prstGeom prst="rect">
                      <a:avLst/>
                    </a:prstGeom>
                    <a:noFill/>
                    <a:ln>
                      <a:noFill/>
                    </a:ln>
                  </pic:spPr>
                </pic:pic>
              </a:graphicData>
            </a:graphic>
          </wp:inline>
        </w:drawing>
      </w:r>
      <w:r>
        <w:drawing>
          <wp:inline distT="0" distB="0" distL="114300" distR="114300">
            <wp:extent cx="5614035" cy="3960495"/>
            <wp:effectExtent l="0" t="0" r="5715" b="1905"/>
            <wp:docPr id="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3"/>
                    <pic:cNvPicPr>
                      <a:picLocks noChangeAspect="1"/>
                    </pic:cNvPicPr>
                  </pic:nvPicPr>
                  <pic:blipFill>
                    <a:blip r:embed="rId54"/>
                    <a:stretch>
                      <a:fillRect/>
                    </a:stretch>
                  </pic:blipFill>
                  <pic:spPr>
                    <a:xfrm>
                      <a:off x="0" y="0"/>
                      <a:ext cx="5614035" cy="3960495"/>
                    </a:xfrm>
                    <a:prstGeom prst="rect">
                      <a:avLst/>
                    </a:prstGeom>
                    <a:noFill/>
                    <a:ln>
                      <a:noFill/>
                    </a:ln>
                  </pic:spPr>
                </pic:pic>
              </a:graphicData>
            </a:graphic>
          </wp:inline>
        </w:drawing>
      </w:r>
      <w:r>
        <w:drawing>
          <wp:inline distT="0" distB="0" distL="114300" distR="114300">
            <wp:extent cx="5610225" cy="3982720"/>
            <wp:effectExtent l="0" t="0" r="9525" b="17780"/>
            <wp:docPr id="6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4"/>
                    <pic:cNvPicPr>
                      <a:picLocks noChangeAspect="1"/>
                    </pic:cNvPicPr>
                  </pic:nvPicPr>
                  <pic:blipFill>
                    <a:blip r:embed="rId55"/>
                    <a:stretch>
                      <a:fillRect/>
                    </a:stretch>
                  </pic:blipFill>
                  <pic:spPr>
                    <a:xfrm>
                      <a:off x="0" y="0"/>
                      <a:ext cx="5610225" cy="3982720"/>
                    </a:xfrm>
                    <a:prstGeom prst="rect">
                      <a:avLst/>
                    </a:prstGeom>
                    <a:noFill/>
                    <a:ln>
                      <a:noFill/>
                    </a:ln>
                  </pic:spPr>
                </pic:pic>
              </a:graphicData>
            </a:graphic>
          </wp:inline>
        </w:drawing>
      </w:r>
      <w:r>
        <w:drawing>
          <wp:inline distT="0" distB="0" distL="114300" distR="114300">
            <wp:extent cx="5614035" cy="3970020"/>
            <wp:effectExtent l="0" t="0" r="5715" b="11430"/>
            <wp:docPr id="6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5"/>
                    <pic:cNvPicPr>
                      <a:picLocks noChangeAspect="1"/>
                    </pic:cNvPicPr>
                  </pic:nvPicPr>
                  <pic:blipFill>
                    <a:blip r:embed="rId56"/>
                    <a:stretch>
                      <a:fillRect/>
                    </a:stretch>
                  </pic:blipFill>
                  <pic:spPr>
                    <a:xfrm>
                      <a:off x="0" y="0"/>
                      <a:ext cx="5614035" cy="3970020"/>
                    </a:xfrm>
                    <a:prstGeom prst="rect">
                      <a:avLst/>
                    </a:prstGeom>
                    <a:noFill/>
                    <a:ln>
                      <a:noFill/>
                    </a:ln>
                  </pic:spPr>
                </pic:pic>
              </a:graphicData>
            </a:graphic>
          </wp:inline>
        </w:drawing>
      </w:r>
    </w:p>
    <w:p w14:paraId="3DB6ADD1">
      <w:pPr>
        <w:spacing w:line="240" w:lineRule="auto"/>
        <w:jc w:val="center"/>
        <w:outlineLvl w:val="9"/>
        <w:rPr>
          <w:rFonts w:hint="eastAsia" w:eastAsia="宋体"/>
          <w:color w:val="FF0000"/>
          <w:highlight w:val="none"/>
          <w:lang w:eastAsia="zh-CN"/>
        </w:rPr>
      </w:pPr>
      <w:bookmarkStart w:id="135" w:name="_Toc9966"/>
      <w:r>
        <w:rPr>
          <w:color w:val="auto"/>
          <w:sz w:val="21"/>
        </w:rPr>
        <mc:AlternateContent>
          <mc:Choice Requires="wps">
            <w:drawing>
              <wp:anchor distT="0" distB="0" distL="114300" distR="114300" simplePos="0" relativeHeight="251702272" behindDoc="0" locked="0" layoutInCell="1" allowOverlap="1">
                <wp:simplePos x="0" y="0"/>
                <wp:positionH relativeFrom="column">
                  <wp:posOffset>452755</wp:posOffset>
                </wp:positionH>
                <wp:positionV relativeFrom="paragraph">
                  <wp:posOffset>4416425</wp:posOffset>
                </wp:positionV>
                <wp:extent cx="190500" cy="177165"/>
                <wp:effectExtent l="15240" t="15240" r="22860" b="17145"/>
                <wp:wrapNone/>
                <wp:docPr id="106" name="五角星 106"/>
                <wp:cNvGraphicFramePr/>
                <a:graphic xmlns:a="http://schemas.openxmlformats.org/drawingml/2006/main">
                  <a:graphicData uri="http://schemas.microsoft.com/office/word/2010/wordprocessingShape">
                    <wps:wsp>
                      <wps:cNvSpPr/>
                      <wps:spPr>
                        <a:xfrm>
                          <a:off x="0" y="0"/>
                          <a:ext cx="190500" cy="17716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35.65pt;margin-top:347.75pt;height:13.95pt;width:15pt;z-index:251702272;mso-width-relative:page;mso-height-relative:page;" fillcolor="#FF0000" filled="t" stroked="t" coordsize="190500,177165" o:gfxdata="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qbhY61wAAAAoBAAAPAAAAAAAAAAEAIAAAACIAAABkcnMvZG93&#10;bnJldi54bWxQSwECFAAUAAAACACHTuJAnpgAFgECAAAlBAAADgAAAAAAAAABACAAAAAmAQAAZHJz&#10;L2Uyb0RvYy54bWxQSwUGAAAAAAYABgBZAQAAmQUAAAAA&#10;" path="m0,67670l72764,67671,95250,0,117735,67671,190499,67670,131631,109493,154117,177164,95250,135341,36382,177164,58868,109493xe">
                <v:path o:connectlocs="95250,0;0,67670;36382,177164;154117,177164;190499,67670" o:connectangles="247,164,82,82,0"/>
                <v:fill on="t" focussize="0,0"/>
                <v:stroke color="#FF0000" joinstyle="miter"/>
                <v:imagedata o:title=""/>
                <o:lock v:ext="edit" aspectratio="f"/>
              </v:shape>
            </w:pict>
          </mc:Fallback>
        </mc:AlternateContent>
      </w:r>
      <w:r>
        <w:rPr>
          <w:color w:val="FF0000"/>
          <w:highlight w:val="none"/>
        </w:rPr>
        <mc:AlternateContent>
          <mc:Choice Requires="wps">
            <w:drawing>
              <wp:anchor distT="0" distB="0" distL="114300" distR="114300" simplePos="0" relativeHeight="251701248" behindDoc="0" locked="0" layoutInCell="1" allowOverlap="1">
                <wp:simplePos x="0" y="0"/>
                <wp:positionH relativeFrom="column">
                  <wp:posOffset>303530</wp:posOffset>
                </wp:positionH>
                <wp:positionV relativeFrom="paragraph">
                  <wp:posOffset>4172585</wp:posOffset>
                </wp:positionV>
                <wp:extent cx="1197610" cy="533400"/>
                <wp:effectExtent l="5080" t="4445" r="16510" b="14605"/>
                <wp:wrapNone/>
                <wp:docPr id="105" name="文本框 105"/>
                <wp:cNvGraphicFramePr/>
                <a:graphic xmlns:a="http://schemas.openxmlformats.org/drawingml/2006/main">
                  <a:graphicData uri="http://schemas.microsoft.com/office/word/2010/wordprocessingShape">
                    <wps:wsp>
                      <wps:cNvSpPr txBox="1"/>
                      <wps:spPr>
                        <a:xfrm>
                          <a:off x="0" y="0"/>
                          <a:ext cx="1197610" cy="533400"/>
                        </a:xfrm>
                        <a:prstGeom prst="rect">
                          <a:avLst/>
                        </a:prstGeom>
                        <a:solidFill>
                          <a:srgbClr val="FFFFFF"/>
                        </a:solidFill>
                        <a:ln w="9525" cap="flat" cmpd="sng">
                          <a:solidFill>
                            <a:srgbClr val="0070C0"/>
                          </a:solidFill>
                          <a:prstDash val="solid"/>
                          <a:miter/>
                          <a:headEnd type="none" w="med" len="med"/>
                          <a:tailEnd type="none" w="med" len="med"/>
                        </a:ln>
                      </wps:spPr>
                      <wps:txbx>
                        <w:txbxContent>
                          <w:p w14:paraId="5A0E4AB3">
                            <w:pPr>
                              <w:jc w:val="center"/>
                              <w:rPr>
                                <w:sz w:val="18"/>
                                <w:szCs w:val="18"/>
                              </w:rPr>
                            </w:pPr>
                            <w:r>
                              <w:rPr>
                                <w:rFonts w:hint="eastAsia"/>
                                <w:sz w:val="18"/>
                                <w:szCs w:val="18"/>
                              </w:rPr>
                              <w:t>图  例</w:t>
                            </w:r>
                          </w:p>
                          <w:p w14:paraId="34D9DEC2">
                            <w:pPr>
                              <w:ind w:firstLine="540" w:firstLineChars="300"/>
                              <w:rPr>
                                <w:sz w:val="18"/>
                                <w:szCs w:val="18"/>
                              </w:rPr>
                            </w:pPr>
                            <w:r>
                              <w:rPr>
                                <w:rFonts w:hint="eastAsia"/>
                                <w:sz w:val="18"/>
                                <w:szCs w:val="18"/>
                                <w:lang w:val="en-US" w:eastAsia="zh-CN"/>
                              </w:rPr>
                              <w:t>本</w:t>
                            </w:r>
                            <w:r>
                              <w:rPr>
                                <w:rFonts w:hint="eastAsia"/>
                                <w:sz w:val="18"/>
                                <w:szCs w:val="18"/>
                              </w:rPr>
                              <w:t>项目位置</w:t>
                            </w:r>
                          </w:p>
                          <w:p w14:paraId="5F908AB1">
                            <w:pPr>
                              <w:jc w:val="center"/>
                              <w:rPr>
                                <w:rFonts w:hint="eastAsia" w:eastAsia="宋体"/>
                                <w:lang w:eastAsia="zh-CN"/>
                              </w:rPr>
                            </w:pPr>
                          </w:p>
                        </w:txbxContent>
                      </wps:txbx>
                      <wps:bodyPr upright="1"/>
                    </wps:wsp>
                  </a:graphicData>
                </a:graphic>
              </wp:anchor>
            </w:drawing>
          </mc:Choice>
          <mc:Fallback>
            <w:pict>
              <v:shape id="_x0000_s1026" o:spid="_x0000_s1026" o:spt="202" type="#_x0000_t202" style="position:absolute;left:0pt;margin-left:23.9pt;margin-top:328.55pt;height:42pt;width:94.3pt;z-index:251701248;mso-width-relative:page;mso-height-relative:page;" fillcolor="#FFFFFF" filled="t" stroked="t" coordsize="21600,21600" o:gfxdata="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ZsIvG9kAAAAKAQAADwAAAAAA&#10;AAABACAAAAAiAAAAZHJzL2Rvd25yZXYueG1sUEsBAhQAFAAAAAgAh07iQLFwtrYSAgAAOgQAAA4A&#10;AAAAAAAAAQAgAAAAKAEAAGRycy9lMm9Eb2MueG1sUEsFBgAAAAAGAAYAWQEAAKwFAAAAAA==&#10;">
                <v:fill on="t" focussize="0,0"/>
                <v:stroke color="#0070C0" joinstyle="miter"/>
                <v:imagedata o:title=""/>
                <o:lock v:ext="edit" aspectratio="f"/>
                <v:textbox>
                  <w:txbxContent>
                    <w:p w14:paraId="5A0E4AB3">
                      <w:pPr>
                        <w:jc w:val="center"/>
                        <w:rPr>
                          <w:sz w:val="18"/>
                          <w:szCs w:val="18"/>
                        </w:rPr>
                      </w:pPr>
                      <w:r>
                        <w:rPr>
                          <w:rFonts w:hint="eastAsia"/>
                          <w:sz w:val="18"/>
                          <w:szCs w:val="18"/>
                        </w:rPr>
                        <w:t>图  例</w:t>
                      </w:r>
                    </w:p>
                    <w:p w14:paraId="34D9DEC2">
                      <w:pPr>
                        <w:ind w:firstLine="540" w:firstLineChars="300"/>
                        <w:rPr>
                          <w:sz w:val="18"/>
                          <w:szCs w:val="18"/>
                        </w:rPr>
                      </w:pPr>
                      <w:r>
                        <w:rPr>
                          <w:rFonts w:hint="eastAsia"/>
                          <w:sz w:val="18"/>
                          <w:szCs w:val="18"/>
                          <w:lang w:val="en-US" w:eastAsia="zh-CN"/>
                        </w:rPr>
                        <w:t>本</w:t>
                      </w:r>
                      <w:r>
                        <w:rPr>
                          <w:rFonts w:hint="eastAsia"/>
                          <w:sz w:val="18"/>
                          <w:szCs w:val="18"/>
                        </w:rPr>
                        <w:t>项目位置</w:t>
                      </w:r>
                    </w:p>
                    <w:p w14:paraId="5F908AB1">
                      <w:pPr>
                        <w:jc w:val="center"/>
                        <w:rPr>
                          <w:rFonts w:hint="eastAsia" w:eastAsia="宋体"/>
                          <w:lang w:eastAsia="zh-CN"/>
                        </w:rPr>
                      </w:pPr>
                    </w:p>
                  </w:txbxContent>
                </v:textbox>
              </v:shape>
            </w:pict>
          </mc:Fallback>
        </mc:AlternateContent>
      </w:r>
      <w:r>
        <w:rPr>
          <w:rFonts w:hint="eastAsia" w:eastAsia="宋体"/>
          <w:color w:val="auto"/>
          <w:lang w:eastAsia="zh-CN"/>
        </w:rPr>
        <w:drawing>
          <wp:anchor distT="0" distB="0" distL="114300" distR="114300" simplePos="0" relativeHeight="251664384" behindDoc="0" locked="0" layoutInCell="1" allowOverlap="1">
            <wp:simplePos x="0" y="0"/>
            <wp:positionH relativeFrom="column">
              <wp:posOffset>8389620</wp:posOffset>
            </wp:positionH>
            <wp:positionV relativeFrom="paragraph">
              <wp:posOffset>103505</wp:posOffset>
            </wp:positionV>
            <wp:extent cx="541655" cy="553720"/>
            <wp:effectExtent l="0" t="0" r="6985" b="10160"/>
            <wp:wrapNone/>
            <wp:docPr id="20" name="图片 20" descr="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风玫瑰"/>
                    <pic:cNvPicPr>
                      <a:picLocks noChangeAspect="1"/>
                    </pic:cNvPicPr>
                  </pic:nvPicPr>
                  <pic:blipFill>
                    <a:blip r:embed="rId13"/>
                    <a:stretch>
                      <a:fillRect/>
                    </a:stretch>
                  </pic:blipFill>
                  <pic:spPr>
                    <a:xfrm>
                      <a:off x="0" y="0"/>
                      <a:ext cx="541655" cy="553720"/>
                    </a:xfrm>
                    <a:prstGeom prst="rect">
                      <a:avLst/>
                    </a:prstGeom>
                  </pic:spPr>
                </pic:pic>
              </a:graphicData>
            </a:graphic>
          </wp:anchor>
        </w:drawing>
      </w:r>
      <w:r>
        <w:rPr>
          <w:color w:val="auto"/>
          <w:sz w:val="21"/>
        </w:rPr>
        <mc:AlternateContent>
          <mc:Choice Requires="wps">
            <w:drawing>
              <wp:anchor distT="0" distB="0" distL="114300" distR="114300" simplePos="0" relativeHeight="251671552" behindDoc="0" locked="0" layoutInCell="1" allowOverlap="1">
                <wp:simplePos x="0" y="0"/>
                <wp:positionH relativeFrom="column">
                  <wp:posOffset>5200650</wp:posOffset>
                </wp:positionH>
                <wp:positionV relativeFrom="paragraph">
                  <wp:posOffset>1631950</wp:posOffset>
                </wp:positionV>
                <wp:extent cx="861060" cy="292735"/>
                <wp:effectExtent l="135255" t="177800" r="13335" b="5715"/>
                <wp:wrapNone/>
                <wp:docPr id="63" name="矩形标注 63"/>
                <wp:cNvGraphicFramePr/>
                <a:graphic xmlns:a="http://schemas.openxmlformats.org/drawingml/2006/main">
                  <a:graphicData uri="http://schemas.microsoft.com/office/word/2010/wordprocessingShape">
                    <wps:wsp>
                      <wps:cNvSpPr/>
                      <wps:spPr>
                        <a:xfrm>
                          <a:off x="0" y="0"/>
                          <a:ext cx="861060" cy="292735"/>
                        </a:xfrm>
                        <a:prstGeom prst="wedgeRectCallout">
                          <a:avLst>
                            <a:gd name="adj1" fmla="val -61699"/>
                            <a:gd name="adj2" fmla="val -104847"/>
                          </a:avLst>
                        </a:prstGeom>
                        <a:noFill/>
                        <a:ln w="9525" cap="flat" cmpd="sng">
                          <a:solidFill>
                            <a:srgbClr val="FF0000"/>
                          </a:solidFill>
                          <a:prstDash val="solid"/>
                          <a:miter/>
                          <a:headEnd type="none" w="med" len="med"/>
                          <a:tailEnd type="none" w="med" len="med"/>
                        </a:ln>
                      </wps:spPr>
                      <wps:txbx>
                        <w:txbxContent>
                          <w:p w14:paraId="7C4AC3FC">
                            <w:pPr>
                              <w:rPr>
                                <w:rFonts w:hint="eastAsia" w:eastAsia="宋体"/>
                                <w:highlight w:val="red"/>
                                <w:lang w:eastAsia="zh-CN"/>
                              </w:rPr>
                            </w:pPr>
                            <w:r>
                              <w:rPr>
                                <w:rFonts w:hint="eastAsia"/>
                                <w:highlight w:val="red"/>
                                <w:lang w:eastAsia="zh-CN"/>
                              </w:rPr>
                              <w:t>本项目位置</w:t>
                            </w:r>
                          </w:p>
                        </w:txbxContent>
                      </wps:txbx>
                      <wps:bodyPr upright="1"/>
                    </wps:wsp>
                  </a:graphicData>
                </a:graphic>
              </wp:anchor>
            </w:drawing>
          </mc:Choice>
          <mc:Fallback>
            <w:pict>
              <v:shape id="_x0000_s1026" o:spid="_x0000_s1026" o:spt="61" type="#_x0000_t61" style="position:absolute;left:0pt;margin-left:409.5pt;margin-top:128.5pt;height:23.05pt;width:67.8pt;z-index:251671552;mso-width-relative:page;mso-height-relative:page;" filled="f" stroked="t" coordsize="21600,21600" o:gfxdata="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IJaWTvbAAAACwEAAA8AAAAAAAAAAQAgAAAAIgAAAGRycy9k&#10;b3ducmV2LnhtbFBLAQIUABQAAAAIAIdO4kADZTSvOAIAAGcEAAAOAAAAAAAAAAEAIAAAACoBAABk&#10;cnMvZTJvRG9jLnhtbFBLBQYAAAAABgAGAFkBAADUBQAAAAA=&#10;" adj="-2527,-11847">
                <v:fill on="f" focussize="0,0"/>
                <v:stroke color="#FF0000" joinstyle="miter"/>
                <v:imagedata o:title=""/>
                <o:lock v:ext="edit" aspectratio="f"/>
                <v:textbox>
                  <w:txbxContent>
                    <w:p w14:paraId="7C4AC3FC">
                      <w:pPr>
                        <w:rPr>
                          <w:rFonts w:hint="eastAsia" w:eastAsia="宋体"/>
                          <w:highlight w:val="red"/>
                          <w:lang w:eastAsia="zh-CN"/>
                        </w:rPr>
                      </w:pPr>
                      <w:r>
                        <w:rPr>
                          <w:rFonts w:hint="eastAsia"/>
                          <w:highlight w:val="red"/>
                          <w:lang w:eastAsia="zh-CN"/>
                        </w:rPr>
                        <w:t>本项目位置</w:t>
                      </w:r>
                    </w:p>
                  </w:txbxContent>
                </v:textbox>
              </v:shape>
            </w:pict>
          </mc:Fallback>
        </mc:AlternateContent>
      </w: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4900930</wp:posOffset>
                </wp:positionH>
                <wp:positionV relativeFrom="paragraph">
                  <wp:posOffset>1387475</wp:posOffset>
                </wp:positionV>
                <wp:extent cx="190500" cy="177165"/>
                <wp:effectExtent l="15240" t="15240" r="22860" b="17145"/>
                <wp:wrapNone/>
                <wp:docPr id="62" name="五角星 62"/>
                <wp:cNvGraphicFramePr/>
                <a:graphic xmlns:a="http://schemas.openxmlformats.org/drawingml/2006/main">
                  <a:graphicData uri="http://schemas.microsoft.com/office/word/2010/wordprocessingShape">
                    <wps:wsp>
                      <wps:cNvSpPr/>
                      <wps:spPr>
                        <a:xfrm>
                          <a:off x="0" y="0"/>
                          <a:ext cx="190500" cy="17716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385.9pt;margin-top:109.25pt;height:13.95pt;width:15pt;z-index:251670528;mso-width-relative:page;mso-height-relative:page;" fillcolor="#FF0000" filled="t" stroked="t" coordsize="190500,177165" o:gfxdata="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1EFGt2AAAAAsBAAAPAAAAAAAAAAEAIAAAACIAAABkcnMvZG93&#10;bnJldi54bWxQSwECFAAUAAAACACHTuJA7oFG4wACAAAjBAAADgAAAAAAAAABACAAAAAnAQAAZHJz&#10;L2Uyb0RvYy54bWxQSwUGAAAAAAYABgBZAQAAmQUAAAAA&#10;" path="m0,67670l72764,67671,95250,0,117735,67671,190499,67670,131631,109493,154117,177164,95250,135341,36382,177164,58868,109493xe">
                <v:path o:connectlocs="95250,0;0,67670;36382,177164;154117,177164;190499,67670" o:connectangles="247,164,82,82,0"/>
                <v:fill on="t" focussize="0,0"/>
                <v:stroke color="#FF0000" joinstyle="miter"/>
                <v:imagedata o:title=""/>
                <o:lock v:ext="edit" aspectratio="f"/>
              </v:shape>
            </w:pict>
          </mc:Fallback>
        </mc:AlternateContent>
      </w:r>
      <w:r>
        <w:drawing>
          <wp:inline distT="0" distB="0" distL="114300" distR="114300">
            <wp:extent cx="8086725" cy="4638675"/>
            <wp:effectExtent l="0" t="0" r="9525" b="9525"/>
            <wp:docPr id="6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8"/>
                    <pic:cNvPicPr>
                      <a:picLocks noChangeAspect="1"/>
                    </pic:cNvPicPr>
                  </pic:nvPicPr>
                  <pic:blipFill>
                    <a:blip r:embed="rId57"/>
                    <a:stretch>
                      <a:fillRect/>
                    </a:stretch>
                  </pic:blipFill>
                  <pic:spPr>
                    <a:xfrm>
                      <a:off x="0" y="0"/>
                      <a:ext cx="8086725" cy="4638675"/>
                    </a:xfrm>
                    <a:prstGeom prst="rect">
                      <a:avLst/>
                    </a:prstGeom>
                    <a:noFill/>
                    <a:ln>
                      <a:noFill/>
                    </a:ln>
                  </pic:spPr>
                </pic:pic>
              </a:graphicData>
            </a:graphic>
          </wp:inline>
        </w:drawing>
      </w:r>
      <w:bookmarkEnd w:id="135"/>
    </w:p>
    <w:p w14:paraId="53740061">
      <w:pPr>
        <w:pStyle w:val="169"/>
        <w:spacing w:line="360" w:lineRule="auto"/>
        <w:jc w:val="center"/>
        <w:outlineLvl w:val="0"/>
        <w:rPr>
          <w:rFonts w:hint="default" w:ascii="Times New Roman" w:hAnsi="Times New Roman" w:eastAsia="宋体" w:cs="Times New Roman"/>
          <w:color w:val="auto"/>
          <w:sz w:val="24"/>
          <w:szCs w:val="24"/>
          <w:highlight w:val="none"/>
          <w:lang w:val="en-US" w:eastAsia="zh-CN"/>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decimal"/>
          <w:cols w:space="0" w:num="1"/>
          <w:docGrid w:type="lines" w:linePitch="316" w:charSpace="0"/>
        </w:sectPr>
      </w:pPr>
      <w:bookmarkStart w:id="136" w:name="_Toc24789"/>
      <w:bookmarkStart w:id="137" w:name="_Toc11291"/>
      <w:bookmarkStart w:id="138" w:name="_Toc3205"/>
      <w:bookmarkStart w:id="139" w:name="_Toc12581"/>
      <w:bookmarkStart w:id="140" w:name="_Toc32639"/>
      <w:r>
        <w:rPr>
          <w:rFonts w:hint="default" w:ascii="Times New Roman" w:hAnsi="Times New Roman" w:eastAsia="宋体" w:cs="Times New Roman"/>
          <w:color w:val="auto"/>
          <w:sz w:val="24"/>
          <w:szCs w:val="24"/>
          <w:highlight w:val="none"/>
          <w:lang w:val="en-US" w:eastAsia="zh-CN"/>
        </w:rPr>
        <w:t>附图</w:t>
      </w:r>
      <w:r>
        <w:rPr>
          <w:rFonts w:hint="eastAsia" w:ascii="Times New Roman" w:hAnsi="Times New Roman" w:eastAsia="宋体" w:cs="Times New Roman"/>
          <w:color w:val="auto"/>
          <w:sz w:val="24"/>
          <w:szCs w:val="24"/>
          <w:highlight w:val="none"/>
          <w:lang w:val="en-US" w:eastAsia="zh-CN"/>
        </w:rPr>
        <w:t xml:space="preserve">1 </w:t>
      </w:r>
      <w:r>
        <w:rPr>
          <w:rFonts w:hint="default" w:ascii="Times New Roman" w:hAnsi="Times New Roman" w:eastAsia="宋体" w:cs="Times New Roman"/>
          <w:color w:val="auto"/>
          <w:sz w:val="24"/>
          <w:szCs w:val="24"/>
          <w:highlight w:val="none"/>
          <w:lang w:val="en-US" w:eastAsia="zh-CN"/>
        </w:rPr>
        <w:t>项目地理位置图</w:t>
      </w:r>
      <w:bookmarkEnd w:id="136"/>
      <w:bookmarkEnd w:id="137"/>
      <w:bookmarkEnd w:id="138"/>
      <w:bookmarkEnd w:id="139"/>
      <w:bookmarkEnd w:id="140"/>
    </w:p>
    <w:bookmarkEnd w:id="129"/>
    <w:p w14:paraId="2ABFC295">
      <w:pPr>
        <w:bidi w:val="0"/>
        <w:jc w:val="center"/>
        <w:rPr>
          <w:highlight w:val="none"/>
        </w:rPr>
      </w:pPr>
      <w:r>
        <w:rPr>
          <w:sz w:val="21"/>
        </w:rPr>
        <mc:AlternateContent>
          <mc:Choice Requires="wps">
            <w:drawing>
              <wp:anchor distT="0" distB="0" distL="114300" distR="114300" simplePos="0" relativeHeight="251706368" behindDoc="0" locked="0" layoutInCell="1" allowOverlap="1">
                <wp:simplePos x="0" y="0"/>
                <wp:positionH relativeFrom="column">
                  <wp:posOffset>6405880</wp:posOffset>
                </wp:positionH>
                <wp:positionV relativeFrom="paragraph">
                  <wp:posOffset>4298950</wp:posOffset>
                </wp:positionV>
                <wp:extent cx="533400" cy="252730"/>
                <wp:effectExtent l="0" t="0" r="0" b="0"/>
                <wp:wrapNone/>
                <wp:docPr id="110" name="文本框 110"/>
                <wp:cNvGraphicFramePr/>
                <a:graphic xmlns:a="http://schemas.openxmlformats.org/drawingml/2006/main">
                  <a:graphicData uri="http://schemas.microsoft.com/office/word/2010/wordprocessingShape">
                    <wps:wsp>
                      <wps:cNvSpPr txBox="1"/>
                      <wps:spPr>
                        <a:xfrm>
                          <a:off x="7476490" y="5510530"/>
                          <a:ext cx="533400" cy="2527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D29E00">
                            <w:pPr>
                              <w:rPr>
                                <w:rFonts w:hint="default" w:eastAsia="宋体"/>
                                <w:sz w:val="13"/>
                                <w:szCs w:val="13"/>
                                <w:lang w:val="en-US" w:eastAsia="zh-CN"/>
                              </w:rPr>
                            </w:pPr>
                            <w:r>
                              <w:rPr>
                                <w:rFonts w:hint="eastAsia"/>
                                <w:sz w:val="13"/>
                                <w:szCs w:val="13"/>
                                <w:lang w:val="en-US" w:eastAsia="zh-CN"/>
                              </w:rPr>
                              <w:t>200m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4.4pt;margin-top:338.5pt;height:19.9pt;width:42pt;z-index:251706368;mso-width-relative:page;mso-height-relative:page;" filled="f" stroked="f" coordsize="21600,21600" o:gfxdata="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39+zLbAAAADQEAAA8AAAAAAAAA&#10;AQAgAAAAIgAAAGRycy9kb3ducmV2LnhtbFBLAQIUABQAAAAIAIdO4kAtYvUaRwIAAHUEAAAOAAAA&#10;AAAAAAEAIAAAACoBAABkcnMvZTJvRG9jLnhtbFBLBQYAAAAABgAGAFkBAADjBQAAAAA=&#10;">
                <v:fill on="f" focussize="0,0"/>
                <v:stroke on="f" weight="0.5pt"/>
                <v:imagedata o:title=""/>
                <o:lock v:ext="edit" aspectratio="f"/>
                <v:textbox>
                  <w:txbxContent>
                    <w:p w14:paraId="07D29E00">
                      <w:pPr>
                        <w:rPr>
                          <w:rFonts w:hint="default" w:eastAsia="宋体"/>
                          <w:sz w:val="13"/>
                          <w:szCs w:val="13"/>
                          <w:lang w:val="en-US" w:eastAsia="zh-CN"/>
                        </w:rPr>
                      </w:pPr>
                      <w:r>
                        <w:rPr>
                          <w:rFonts w:hint="eastAsia"/>
                          <w:sz w:val="13"/>
                          <w:szCs w:val="13"/>
                          <w:lang w:val="en-US" w:eastAsia="zh-CN"/>
                        </w:rPr>
                        <w:t>200m</w:t>
                      </w:r>
                    </w:p>
                  </w:txbxContent>
                </v:textbox>
              </v:shape>
            </w:pict>
          </mc:Fallback>
        </mc:AlternateContent>
      </w:r>
      <w:r>
        <w:rPr>
          <w:sz w:val="21"/>
        </w:rPr>
        <mc:AlternateContent>
          <mc:Choice Requires="wps">
            <w:drawing>
              <wp:anchor distT="0" distB="0" distL="114300" distR="114300" simplePos="0" relativeHeight="251705344" behindDoc="0" locked="0" layoutInCell="1" allowOverlap="1">
                <wp:simplePos x="0" y="0"/>
                <wp:positionH relativeFrom="column">
                  <wp:posOffset>6478270</wp:posOffset>
                </wp:positionH>
                <wp:positionV relativeFrom="paragraph">
                  <wp:posOffset>4521835</wp:posOffset>
                </wp:positionV>
                <wp:extent cx="248920" cy="0"/>
                <wp:effectExtent l="0" t="12700" r="17780" b="15875"/>
                <wp:wrapNone/>
                <wp:docPr id="109" name="直接连接符 109"/>
                <wp:cNvGraphicFramePr/>
                <a:graphic xmlns:a="http://schemas.openxmlformats.org/drawingml/2006/main">
                  <a:graphicData uri="http://schemas.microsoft.com/office/word/2010/wordprocessingShape">
                    <wps:wsp>
                      <wps:cNvCnPr/>
                      <wps:spPr>
                        <a:xfrm>
                          <a:off x="7450455" y="5601970"/>
                          <a:ext cx="248920" cy="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10.1pt;margin-top:356.05pt;height:0pt;width:19.6pt;z-index:251705344;mso-width-relative:page;mso-height-relative:page;" filled="f" stroked="t" coordsize="21600,21600" o:gfxdata="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P+e1GXY&#10;AAAADQEAAA8AAAAAAAAAAQAgAAAAIgAAAGRycy9kb3ducmV2LnhtbFBLAQIUABQAAAAIAIdO4kDB&#10;A+0c5wEAAKoDAAAOAAAAAAAAAAEAIAAAACcBAABkcnMvZTJvRG9jLnhtbFBLBQYAAAAABgAGAFkB&#10;AACABQAAAAA=&#10;">
                <v:fill on="f" focussize="0,0"/>
                <v:stroke weight="2pt" color="#000000 [3213]" joinstyle="round"/>
                <v:imagedata o:title=""/>
                <o:lock v:ext="edit" aspectratio="f"/>
              </v:line>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6727190</wp:posOffset>
                </wp:positionH>
                <wp:positionV relativeFrom="paragraph">
                  <wp:posOffset>4462780</wp:posOffset>
                </wp:positionV>
                <wp:extent cx="0" cy="58420"/>
                <wp:effectExtent l="12700" t="0" r="25400" b="17780"/>
                <wp:wrapNone/>
                <wp:docPr id="108" name="直接连接符 108"/>
                <wp:cNvGraphicFramePr/>
                <a:graphic xmlns:a="http://schemas.openxmlformats.org/drawingml/2006/main">
                  <a:graphicData uri="http://schemas.microsoft.com/office/word/2010/wordprocessingShape">
                    <wps:wsp>
                      <wps:cNvCnPr/>
                      <wps:spPr>
                        <a:xfrm>
                          <a:off x="0" y="0"/>
                          <a:ext cx="0" cy="5842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29.7pt;margin-top:351.4pt;height:4.6pt;width:0pt;z-index:251704320;mso-width-relative:page;mso-height-relative:page;" filled="f" stroked="t" coordsize="21600,21600" o:gfxdata="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A372ZrYAAAADQEAAA8AAAAAAAAA&#10;AQAgAAAAIgAAAGRycy9kb3ducmV2LnhtbFBLAQIUABQAAAAIAIdO4kAXw6382AEAAJ0DAAAOAAAA&#10;AAAAAAEAIAAAACcBAABkcnMvZTJvRG9jLnhtbFBLBQYAAAAABgAGAFkBAABxBQAAAAA=&#10;">
                <v:fill on="f" focussize="0,0"/>
                <v:stroke weight="2pt" color="#000000 [3213]" joinstyle="round"/>
                <v:imagedata o:title=""/>
                <o:lock v:ext="edit" aspectratio="f"/>
              </v:line>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6479540</wp:posOffset>
                </wp:positionH>
                <wp:positionV relativeFrom="paragraph">
                  <wp:posOffset>4469130</wp:posOffset>
                </wp:positionV>
                <wp:extent cx="0" cy="58420"/>
                <wp:effectExtent l="12700" t="0" r="25400" b="17780"/>
                <wp:wrapNone/>
                <wp:docPr id="107" name="直接连接符 107"/>
                <wp:cNvGraphicFramePr/>
                <a:graphic xmlns:a="http://schemas.openxmlformats.org/drawingml/2006/main">
                  <a:graphicData uri="http://schemas.microsoft.com/office/word/2010/wordprocessingShape">
                    <wps:wsp>
                      <wps:cNvCnPr/>
                      <wps:spPr>
                        <a:xfrm>
                          <a:off x="7451725" y="5549265"/>
                          <a:ext cx="0" cy="5842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10.2pt;margin-top:351.9pt;height:4.6pt;width:0pt;z-index:251703296;mso-width-relative:page;mso-height-relative:page;" filled="f" stroked="t" coordsize="21600,21600" o:gfxdata="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Noz69jY&#10;AAAADQEAAA8AAAAAAAAAAQAgAAAAIgAAAGRycy9kb3ducmV2LnhtbFBLAQIUABQAAAAIAIdO4kAm&#10;f6/h5wEAAKkDAAAOAAAAAAAAAAEAIAAAACcBAABkcnMvZTJvRG9jLnhtbFBLBQYAAAAABgAGAFkB&#10;AACABQAAAAA=&#10;">
                <v:fill on="f" focussize="0,0"/>
                <v:stroke weight="2pt" color="#000000 [3213]" joinstyle="round"/>
                <v:imagedata o:title=""/>
                <o:lock v:ext="edit" aspectratio="f"/>
              </v:line>
            </w:pict>
          </mc:Fallback>
        </mc:AlternateContent>
      </w:r>
      <w:r>
        <w:rPr>
          <w:color w:val="auto"/>
          <w:sz w:val="21"/>
          <w:highlight w:val="none"/>
        </w:rPr>
        <mc:AlternateContent>
          <mc:Choice Requires="wps">
            <w:drawing>
              <wp:anchor distT="0" distB="0" distL="114300" distR="114300" simplePos="0" relativeHeight="251680768" behindDoc="0" locked="0" layoutInCell="1" allowOverlap="1">
                <wp:simplePos x="0" y="0"/>
                <wp:positionH relativeFrom="column">
                  <wp:posOffset>6470650</wp:posOffset>
                </wp:positionH>
                <wp:positionV relativeFrom="paragraph">
                  <wp:posOffset>4237355</wp:posOffset>
                </wp:positionV>
                <wp:extent cx="257175" cy="75565"/>
                <wp:effectExtent l="12700" t="12700" r="15875" b="26035"/>
                <wp:wrapNone/>
                <wp:docPr id="77" name="矩形 77"/>
                <wp:cNvGraphicFramePr/>
                <a:graphic xmlns:a="http://schemas.openxmlformats.org/drawingml/2006/main">
                  <a:graphicData uri="http://schemas.microsoft.com/office/word/2010/wordprocessingShape">
                    <wps:wsp>
                      <wps:cNvSpPr/>
                      <wps:spPr>
                        <a:xfrm>
                          <a:off x="0" y="0"/>
                          <a:ext cx="257175" cy="75565"/>
                        </a:xfrm>
                        <a:prstGeom prst="rect">
                          <a:avLst/>
                        </a:prstGeom>
                        <a:noFill/>
                        <a:ln>
                          <a:solidFill>
                            <a:srgbClr val="0BF337"/>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9.5pt;margin-top:333.65pt;height:5.95pt;width:20.25pt;z-index:251680768;v-text-anchor:middle;mso-width-relative:page;mso-height-relative:page;" filled="f" stroked="t" coordsize="21600,21600" o:gfxdata="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jMkJMt0AAAANAQAADwAAAAAAAAABACAAAAAiAAAAZHJzL2Rvd25yZXYueG1sUEsBAhQA&#10;FAAAAAgAh07iQMt6PHJfAgAAtAQAAA4AAAAAAAAAAQAgAAAALAEAAGRycy9lMm9Eb2MueG1sUEsF&#10;BgAAAAAGAAYAWQEAAP0FAAAAAA==&#10;">
                <v:fill on="f" focussize="0,0"/>
                <v:stroke weight="2pt" color="#0BF337 [2404]" joinstyle="round"/>
                <v:imagedata o:title=""/>
                <o:lock v:ext="edit" aspectratio="f"/>
              </v:rect>
            </w:pict>
          </mc:Fallback>
        </mc:AlternateContent>
      </w:r>
      <w:r>
        <w:rPr>
          <w:color w:val="auto"/>
          <w:sz w:val="21"/>
          <w:highlight w:val="none"/>
        </w:rPr>
        <mc:AlternateContent>
          <mc:Choice Requires="wps">
            <w:drawing>
              <wp:anchor distT="0" distB="0" distL="114300" distR="114300" simplePos="0" relativeHeight="251681792" behindDoc="0" locked="0" layoutInCell="1" allowOverlap="1">
                <wp:simplePos x="0" y="0"/>
                <wp:positionH relativeFrom="column">
                  <wp:posOffset>6457315</wp:posOffset>
                </wp:positionH>
                <wp:positionV relativeFrom="paragraph">
                  <wp:posOffset>4037330</wp:posOffset>
                </wp:positionV>
                <wp:extent cx="257175" cy="75565"/>
                <wp:effectExtent l="12700" t="12700" r="15875" b="26035"/>
                <wp:wrapNone/>
                <wp:docPr id="78" name="矩形 78"/>
                <wp:cNvGraphicFramePr/>
                <a:graphic xmlns:a="http://schemas.openxmlformats.org/drawingml/2006/main">
                  <a:graphicData uri="http://schemas.microsoft.com/office/word/2010/wordprocessingShape">
                    <wps:wsp>
                      <wps:cNvSpPr/>
                      <wps:spPr>
                        <a:xfrm>
                          <a:off x="0" y="0"/>
                          <a:ext cx="257175" cy="75565"/>
                        </a:xfrm>
                        <a:prstGeom prst="rect">
                          <a:avLst/>
                        </a:prstGeom>
                        <a:noFill/>
                        <a:ln>
                          <a:solidFill>
                            <a:srgbClr val="DE0E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8.45pt;margin-top:317.9pt;height:5.95pt;width:20.25pt;z-index:251681792;v-text-anchor:middle;mso-width-relative:page;mso-height-relative:page;" filled="f" stroked="t" coordsize="21600,21600" o:gfxdata="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pgYYy3AAAAA0BAAAPAAAAAAAAAAEAIAAAACIAAABkcnMvZG93bnJldi54bWxQSwECFAAU&#10;AAAACACHTuJAkduJ7V8CAAC0BAAADgAAAAAAAAABACAAAAArAQAAZHJzL2Uyb0RvYy54bWxQSwUG&#10;AAAAAAYABgBZAQAA/AUAAAAA&#10;">
                <v:fill on="f" focussize="0,0"/>
                <v:stroke weight="2pt" color="#DE0EF0 [2404]" joinstyle="round"/>
                <v:imagedata o:title=""/>
                <o:lock v:ext="edit" aspectratio="f"/>
              </v:rect>
            </w:pict>
          </mc:Fallback>
        </mc:AlternateContent>
      </w:r>
      <w:r>
        <w:rPr>
          <w:color w:val="auto"/>
          <w:sz w:val="21"/>
          <w:highlight w:val="none"/>
        </w:rPr>
        <mc:AlternateContent>
          <mc:Choice Requires="wps">
            <w:drawing>
              <wp:anchor distT="0" distB="0" distL="114300" distR="114300" simplePos="0" relativeHeight="251679744" behindDoc="0" locked="0" layoutInCell="1" allowOverlap="1">
                <wp:simplePos x="0" y="0"/>
                <wp:positionH relativeFrom="column">
                  <wp:posOffset>6457315</wp:posOffset>
                </wp:positionH>
                <wp:positionV relativeFrom="paragraph">
                  <wp:posOffset>3846830</wp:posOffset>
                </wp:positionV>
                <wp:extent cx="257175" cy="75565"/>
                <wp:effectExtent l="12700" t="12700" r="15875" b="26035"/>
                <wp:wrapNone/>
                <wp:docPr id="76" name="矩形 76"/>
                <wp:cNvGraphicFramePr/>
                <a:graphic xmlns:a="http://schemas.openxmlformats.org/drawingml/2006/main">
                  <a:graphicData uri="http://schemas.microsoft.com/office/word/2010/wordprocessingShape">
                    <wps:wsp>
                      <wps:cNvSpPr/>
                      <wps:spPr>
                        <a:xfrm>
                          <a:off x="0" y="0"/>
                          <a:ext cx="257175" cy="75565"/>
                        </a:xfrm>
                        <a:prstGeom prst="rect">
                          <a:avLst/>
                        </a:prstGeom>
                        <a:noFill/>
                        <a:ln>
                          <a:solidFill>
                            <a:srgbClr val="140FE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8.45pt;margin-top:302.9pt;height:5.95pt;width:20.25pt;z-index:251679744;v-text-anchor:middle;mso-width-relative:page;mso-height-relative:page;" filled="f" stroked="t" coordsize="21600,21600" o:gfxdata="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MuLZRnZAAAADQEAAA8AAAAAAAAAAQAgAAAAIgAAAGRycy9kb3ducmV2LnhtbFBLAQIUABQAAAAI&#10;AIdO4kDs+ZAlXgIAALQEAAAOAAAAAAAAAAEAIAAAACgBAABkcnMvZTJvRG9jLnhtbFBLBQYAAAAA&#10;BgAGAFkBAAD4BQAAAAA=&#10;">
                <v:fill on="f" focussize="0,0"/>
                <v:stroke weight="2pt" color="#140FEF [2404]" joinstyle="round"/>
                <v:imagedata o:title=""/>
                <o:lock v:ext="edit" aspectratio="f"/>
              </v:rect>
            </w:pict>
          </mc:Fallback>
        </mc:AlternateContent>
      </w:r>
      <w:r>
        <w:rPr>
          <w:color w:val="auto"/>
          <w:sz w:val="21"/>
          <w:highlight w:val="none"/>
        </w:rPr>
        <mc:AlternateContent>
          <mc:Choice Requires="wps">
            <w:drawing>
              <wp:anchor distT="0" distB="0" distL="114300" distR="114300" simplePos="0" relativeHeight="251678720" behindDoc="0" locked="0" layoutInCell="1" allowOverlap="1">
                <wp:simplePos x="0" y="0"/>
                <wp:positionH relativeFrom="column">
                  <wp:posOffset>6453505</wp:posOffset>
                </wp:positionH>
                <wp:positionV relativeFrom="paragraph">
                  <wp:posOffset>3646805</wp:posOffset>
                </wp:positionV>
                <wp:extent cx="257175" cy="75565"/>
                <wp:effectExtent l="12700" t="12700" r="15875" b="26035"/>
                <wp:wrapNone/>
                <wp:docPr id="75" name="矩形 75"/>
                <wp:cNvGraphicFramePr/>
                <a:graphic xmlns:a="http://schemas.openxmlformats.org/drawingml/2006/main">
                  <a:graphicData uri="http://schemas.microsoft.com/office/word/2010/wordprocessingShape">
                    <wps:wsp>
                      <wps:cNvSpPr/>
                      <wps:spPr>
                        <a:xfrm>
                          <a:off x="0" y="0"/>
                          <a:ext cx="257175" cy="7556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8.15pt;margin-top:287.15pt;height:5.95pt;width:20.25pt;z-index:251678720;v-text-anchor:middle;mso-width-relative:page;mso-height-relative:page;" filled="f" stroked="t" coordsize="21600,21600" o:gfxdata="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3&#10;nj552gAAAA0BAAAPAAAAAAAAAAEAIAAAACIAAABkcnMvZG93bnJldi54bWxQSwECFAAUAAAACACH&#10;TuJAvXmX01sCAAC0BAAADgAAAAAAAAABACAAAAApAQAAZHJzL2Uyb0RvYy54bWxQSwUGAAAAAAYA&#10;BgBZAQAA9gUAAAAA&#10;">
                <v:fill on="f" focussize="0,0"/>
                <v:stroke weight="2pt" color="#FF0000 [2404]" joinstyle="round"/>
                <v:imagedata o:title=""/>
                <o:lock v:ext="edit" aspectratio="f"/>
              </v:rect>
            </w:pict>
          </mc:Fallback>
        </mc:AlternateContent>
      </w:r>
      <w:r>
        <w:rPr>
          <w:color w:val="FF0000"/>
          <w:highlight w:val="none"/>
        </w:rPr>
        <mc:AlternateContent>
          <mc:Choice Requires="wps">
            <w:drawing>
              <wp:anchor distT="0" distB="0" distL="114300" distR="114300" simplePos="0" relativeHeight="251663360" behindDoc="0" locked="0" layoutInCell="1" allowOverlap="1">
                <wp:simplePos x="0" y="0"/>
                <wp:positionH relativeFrom="column">
                  <wp:posOffset>6370955</wp:posOffset>
                </wp:positionH>
                <wp:positionV relativeFrom="paragraph">
                  <wp:posOffset>3326765</wp:posOffset>
                </wp:positionV>
                <wp:extent cx="1501775" cy="1264920"/>
                <wp:effectExtent l="4445" t="4445" r="17780" b="6985"/>
                <wp:wrapNone/>
                <wp:docPr id="7" name="文本框 7"/>
                <wp:cNvGraphicFramePr/>
                <a:graphic xmlns:a="http://schemas.openxmlformats.org/drawingml/2006/main">
                  <a:graphicData uri="http://schemas.microsoft.com/office/word/2010/wordprocessingShape">
                    <wps:wsp>
                      <wps:cNvSpPr txBox="1"/>
                      <wps:spPr>
                        <a:xfrm>
                          <a:off x="0" y="0"/>
                          <a:ext cx="1501775" cy="1264920"/>
                        </a:xfrm>
                        <a:prstGeom prst="rect">
                          <a:avLst/>
                        </a:prstGeom>
                        <a:solidFill>
                          <a:srgbClr val="FFFFFF"/>
                        </a:solidFill>
                        <a:ln w="9525" cap="flat" cmpd="sng">
                          <a:solidFill>
                            <a:srgbClr val="0070C0"/>
                          </a:solidFill>
                          <a:prstDash val="solid"/>
                          <a:miter/>
                          <a:headEnd type="none" w="med" len="med"/>
                          <a:tailEnd type="none" w="med" len="med"/>
                        </a:ln>
                      </wps:spPr>
                      <wps:txbx>
                        <w:txbxContent>
                          <w:p w14:paraId="2D75034D">
                            <w:pPr>
                              <w:keepNext w:val="0"/>
                              <w:keepLines w:val="0"/>
                              <w:pageBreakBefore w:val="0"/>
                              <w:kinsoku/>
                              <w:wordWrap/>
                              <w:overflowPunct/>
                              <w:topLinePunct w:val="0"/>
                              <w:bidi w:val="0"/>
                              <w:adjustRightInd/>
                              <w:spacing w:line="240" w:lineRule="auto"/>
                              <w:jc w:val="center"/>
                              <w:textAlignment w:val="auto"/>
                              <w:rPr>
                                <w:sz w:val="18"/>
                                <w:szCs w:val="18"/>
                              </w:rPr>
                            </w:pPr>
                            <w:r>
                              <w:rPr>
                                <w:rFonts w:hint="eastAsia"/>
                                <w:sz w:val="18"/>
                                <w:szCs w:val="18"/>
                              </w:rPr>
                              <w:t>图  例</w:t>
                            </w:r>
                          </w:p>
                          <w:p w14:paraId="385AF6BB">
                            <w:pPr>
                              <w:keepNext w:val="0"/>
                              <w:keepLines w:val="0"/>
                              <w:pageBreakBefore w:val="0"/>
                              <w:kinsoku/>
                              <w:wordWrap/>
                              <w:overflowPunct/>
                              <w:topLinePunct w:val="0"/>
                              <w:bidi w:val="0"/>
                              <w:adjustRightInd/>
                              <w:spacing w:line="240" w:lineRule="auto"/>
                              <w:ind w:firstLine="540" w:firstLineChars="300"/>
                              <w:textAlignment w:val="auto"/>
                              <w:rPr>
                                <w:sz w:val="18"/>
                                <w:szCs w:val="18"/>
                              </w:rPr>
                            </w:pPr>
                            <w:r>
                              <w:rPr>
                                <w:rFonts w:hint="eastAsia"/>
                                <w:sz w:val="18"/>
                                <w:szCs w:val="18"/>
                              </w:rPr>
                              <w:t>项目位置</w:t>
                            </w:r>
                          </w:p>
                          <w:p w14:paraId="393AD24C">
                            <w:pPr>
                              <w:keepNext w:val="0"/>
                              <w:keepLines w:val="0"/>
                              <w:pageBreakBefore w:val="0"/>
                              <w:kinsoku/>
                              <w:wordWrap/>
                              <w:overflowPunct/>
                              <w:topLinePunct w:val="0"/>
                              <w:bidi w:val="0"/>
                              <w:adjustRightInd/>
                              <w:spacing w:line="240" w:lineRule="auto"/>
                              <w:ind w:firstLine="540" w:firstLineChars="300"/>
                              <w:textAlignment w:val="auto"/>
                              <w:rPr>
                                <w:sz w:val="18"/>
                                <w:szCs w:val="18"/>
                              </w:rPr>
                            </w:pPr>
                            <w:r>
                              <w:rPr>
                                <w:rFonts w:hint="eastAsia"/>
                                <w:sz w:val="18"/>
                                <w:szCs w:val="18"/>
                              </w:rPr>
                              <w:t>声环境保护范围</w:t>
                            </w:r>
                          </w:p>
                          <w:p w14:paraId="757AF22B">
                            <w:pPr>
                              <w:keepNext w:val="0"/>
                              <w:keepLines w:val="0"/>
                              <w:pageBreakBefore w:val="0"/>
                              <w:kinsoku/>
                              <w:wordWrap/>
                              <w:overflowPunct/>
                              <w:topLinePunct w:val="0"/>
                              <w:bidi w:val="0"/>
                              <w:adjustRightInd/>
                              <w:spacing w:line="240" w:lineRule="auto"/>
                              <w:ind w:firstLine="540" w:firstLineChars="300"/>
                              <w:textAlignment w:val="auto"/>
                              <w:rPr>
                                <w:rFonts w:hint="eastAsia" w:ascii="Times New Roman" w:hAnsi="Times New Roman" w:eastAsia="宋体" w:cs="Times New Roman"/>
                                <w:sz w:val="18"/>
                                <w:szCs w:val="18"/>
                              </w:rPr>
                            </w:pPr>
                            <w:r>
                              <w:rPr>
                                <w:rFonts w:hint="eastAsia" w:ascii="Times New Roman" w:hAnsi="Times New Roman" w:eastAsia="宋体" w:cs="Times New Roman"/>
                                <w:sz w:val="18"/>
                                <w:szCs w:val="18"/>
                              </w:rPr>
                              <w:t>大气环境保护范围</w:t>
                            </w:r>
                          </w:p>
                          <w:p w14:paraId="6FEBDF76">
                            <w:pPr>
                              <w:keepNext w:val="0"/>
                              <w:keepLines w:val="0"/>
                              <w:pageBreakBefore w:val="0"/>
                              <w:kinsoku/>
                              <w:wordWrap/>
                              <w:overflowPunct/>
                              <w:topLinePunct w:val="0"/>
                              <w:bidi w:val="0"/>
                              <w:adjustRightInd/>
                              <w:spacing w:line="240" w:lineRule="auto"/>
                              <w:ind w:firstLine="540" w:firstLineChars="300"/>
                              <w:textAlignment w:val="auto"/>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环境保护目标</w:t>
                            </w:r>
                          </w:p>
                          <w:p w14:paraId="2A774721">
                            <w:pPr>
                              <w:keepNext w:val="0"/>
                              <w:keepLines w:val="0"/>
                              <w:pageBreakBefore w:val="0"/>
                              <w:kinsoku/>
                              <w:wordWrap/>
                              <w:overflowPunct/>
                              <w:topLinePunct w:val="0"/>
                              <w:bidi w:val="0"/>
                              <w:adjustRightInd/>
                              <w:spacing w:line="240" w:lineRule="auto"/>
                              <w:ind w:firstLine="540" w:firstLineChars="300"/>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比例尺</w:t>
                            </w:r>
                          </w:p>
                          <w:p w14:paraId="3528EC7C">
                            <w:pPr>
                              <w:jc w:val="center"/>
                              <w:rPr>
                                <w:rFonts w:hint="eastAsia" w:eastAsia="宋体"/>
                                <w:lang w:eastAsia="zh-CN"/>
                              </w:rPr>
                            </w:pPr>
                          </w:p>
                        </w:txbxContent>
                      </wps:txbx>
                      <wps:bodyPr upright="1"/>
                    </wps:wsp>
                  </a:graphicData>
                </a:graphic>
              </wp:anchor>
            </w:drawing>
          </mc:Choice>
          <mc:Fallback>
            <w:pict>
              <v:shape id="_x0000_s1026" o:spid="_x0000_s1026" o:spt="202" type="#_x0000_t202" style="position:absolute;left:0pt;margin-left:501.65pt;margin-top:261.95pt;height:99.6pt;width:118.25pt;z-index:251663360;mso-width-relative:page;mso-height-relative:page;" fillcolor="#FFFFFF" filled="t" stroked="t" coordsize="21600,21600" o:gfxdata="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VXq7/doAAAANAQAADwAAAAAA&#10;AAABACAAAAAiAAAAZHJzL2Rvd25yZXYueG1sUEsBAhQAFAAAAAgAh07iQCqExRkRAgAANwQAAA4A&#10;AAAAAAAAAQAgAAAAKQEAAGRycy9lMm9Eb2MueG1sUEsFBgAAAAAGAAYAWQEAAKwFAAAAAA==&#10;">
                <v:fill on="t" focussize="0,0"/>
                <v:stroke color="#0070C0" joinstyle="miter"/>
                <v:imagedata o:title=""/>
                <o:lock v:ext="edit" aspectratio="f"/>
                <v:textbox>
                  <w:txbxContent>
                    <w:p w14:paraId="2D75034D">
                      <w:pPr>
                        <w:keepNext w:val="0"/>
                        <w:keepLines w:val="0"/>
                        <w:pageBreakBefore w:val="0"/>
                        <w:kinsoku/>
                        <w:wordWrap/>
                        <w:overflowPunct/>
                        <w:topLinePunct w:val="0"/>
                        <w:bidi w:val="0"/>
                        <w:adjustRightInd/>
                        <w:spacing w:line="240" w:lineRule="auto"/>
                        <w:jc w:val="center"/>
                        <w:textAlignment w:val="auto"/>
                        <w:rPr>
                          <w:sz w:val="18"/>
                          <w:szCs w:val="18"/>
                        </w:rPr>
                      </w:pPr>
                      <w:r>
                        <w:rPr>
                          <w:rFonts w:hint="eastAsia"/>
                          <w:sz w:val="18"/>
                          <w:szCs w:val="18"/>
                        </w:rPr>
                        <w:t>图  例</w:t>
                      </w:r>
                    </w:p>
                    <w:p w14:paraId="385AF6BB">
                      <w:pPr>
                        <w:keepNext w:val="0"/>
                        <w:keepLines w:val="0"/>
                        <w:pageBreakBefore w:val="0"/>
                        <w:kinsoku/>
                        <w:wordWrap/>
                        <w:overflowPunct/>
                        <w:topLinePunct w:val="0"/>
                        <w:bidi w:val="0"/>
                        <w:adjustRightInd/>
                        <w:spacing w:line="240" w:lineRule="auto"/>
                        <w:ind w:firstLine="540" w:firstLineChars="300"/>
                        <w:textAlignment w:val="auto"/>
                        <w:rPr>
                          <w:sz w:val="18"/>
                          <w:szCs w:val="18"/>
                        </w:rPr>
                      </w:pPr>
                      <w:r>
                        <w:rPr>
                          <w:rFonts w:hint="eastAsia"/>
                          <w:sz w:val="18"/>
                          <w:szCs w:val="18"/>
                        </w:rPr>
                        <w:t>项目位置</w:t>
                      </w:r>
                    </w:p>
                    <w:p w14:paraId="393AD24C">
                      <w:pPr>
                        <w:keepNext w:val="0"/>
                        <w:keepLines w:val="0"/>
                        <w:pageBreakBefore w:val="0"/>
                        <w:kinsoku/>
                        <w:wordWrap/>
                        <w:overflowPunct/>
                        <w:topLinePunct w:val="0"/>
                        <w:bidi w:val="0"/>
                        <w:adjustRightInd/>
                        <w:spacing w:line="240" w:lineRule="auto"/>
                        <w:ind w:firstLine="540" w:firstLineChars="300"/>
                        <w:textAlignment w:val="auto"/>
                        <w:rPr>
                          <w:sz w:val="18"/>
                          <w:szCs w:val="18"/>
                        </w:rPr>
                      </w:pPr>
                      <w:r>
                        <w:rPr>
                          <w:rFonts w:hint="eastAsia"/>
                          <w:sz w:val="18"/>
                          <w:szCs w:val="18"/>
                        </w:rPr>
                        <w:t>声环境保护范围</w:t>
                      </w:r>
                    </w:p>
                    <w:p w14:paraId="757AF22B">
                      <w:pPr>
                        <w:keepNext w:val="0"/>
                        <w:keepLines w:val="0"/>
                        <w:pageBreakBefore w:val="0"/>
                        <w:kinsoku/>
                        <w:wordWrap/>
                        <w:overflowPunct/>
                        <w:topLinePunct w:val="0"/>
                        <w:bidi w:val="0"/>
                        <w:adjustRightInd/>
                        <w:spacing w:line="240" w:lineRule="auto"/>
                        <w:ind w:firstLine="540" w:firstLineChars="300"/>
                        <w:textAlignment w:val="auto"/>
                        <w:rPr>
                          <w:rFonts w:hint="eastAsia" w:ascii="Times New Roman" w:hAnsi="Times New Roman" w:eastAsia="宋体" w:cs="Times New Roman"/>
                          <w:sz w:val="18"/>
                          <w:szCs w:val="18"/>
                        </w:rPr>
                      </w:pPr>
                      <w:r>
                        <w:rPr>
                          <w:rFonts w:hint="eastAsia" w:ascii="Times New Roman" w:hAnsi="Times New Roman" w:eastAsia="宋体" w:cs="Times New Roman"/>
                          <w:sz w:val="18"/>
                          <w:szCs w:val="18"/>
                        </w:rPr>
                        <w:t>大气环境保护范围</w:t>
                      </w:r>
                    </w:p>
                    <w:p w14:paraId="6FEBDF76">
                      <w:pPr>
                        <w:keepNext w:val="0"/>
                        <w:keepLines w:val="0"/>
                        <w:pageBreakBefore w:val="0"/>
                        <w:kinsoku/>
                        <w:wordWrap/>
                        <w:overflowPunct/>
                        <w:topLinePunct w:val="0"/>
                        <w:bidi w:val="0"/>
                        <w:adjustRightInd/>
                        <w:spacing w:line="240" w:lineRule="auto"/>
                        <w:ind w:firstLine="540" w:firstLineChars="300"/>
                        <w:textAlignment w:val="auto"/>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环境保护目标</w:t>
                      </w:r>
                    </w:p>
                    <w:p w14:paraId="2A774721">
                      <w:pPr>
                        <w:keepNext w:val="0"/>
                        <w:keepLines w:val="0"/>
                        <w:pageBreakBefore w:val="0"/>
                        <w:kinsoku/>
                        <w:wordWrap/>
                        <w:overflowPunct/>
                        <w:topLinePunct w:val="0"/>
                        <w:bidi w:val="0"/>
                        <w:adjustRightInd/>
                        <w:spacing w:line="240" w:lineRule="auto"/>
                        <w:ind w:firstLine="540" w:firstLineChars="300"/>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比例尺</w:t>
                      </w:r>
                    </w:p>
                    <w:p w14:paraId="3528EC7C">
                      <w:pPr>
                        <w:jc w:val="center"/>
                        <w:rPr>
                          <w:rFonts w:hint="eastAsia" w:eastAsia="宋体"/>
                          <w:lang w:eastAsia="zh-CN"/>
                        </w:rPr>
                      </w:pPr>
                    </w:p>
                  </w:txbxContent>
                </v:textbox>
              </v:shape>
            </w:pict>
          </mc:Fallback>
        </mc:AlternateContent>
      </w:r>
      <w:r>
        <w:rPr>
          <w:rFonts w:hint="eastAsia" w:eastAsia="宋体"/>
          <w:color w:val="auto"/>
          <w:lang w:eastAsia="zh-CN"/>
        </w:rPr>
        <w:drawing>
          <wp:anchor distT="0" distB="0" distL="114300" distR="114300" simplePos="0" relativeHeight="251665408" behindDoc="0" locked="0" layoutInCell="1" allowOverlap="1">
            <wp:simplePos x="0" y="0"/>
            <wp:positionH relativeFrom="column">
              <wp:posOffset>7903845</wp:posOffset>
            </wp:positionH>
            <wp:positionV relativeFrom="paragraph">
              <wp:posOffset>17780</wp:posOffset>
            </wp:positionV>
            <wp:extent cx="541655" cy="553720"/>
            <wp:effectExtent l="0" t="0" r="6985" b="10160"/>
            <wp:wrapNone/>
            <wp:docPr id="22" name="图片 22" descr="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风玫瑰"/>
                    <pic:cNvPicPr>
                      <a:picLocks noChangeAspect="1"/>
                    </pic:cNvPicPr>
                  </pic:nvPicPr>
                  <pic:blipFill>
                    <a:blip r:embed="rId13"/>
                    <a:stretch>
                      <a:fillRect/>
                    </a:stretch>
                  </pic:blipFill>
                  <pic:spPr>
                    <a:xfrm>
                      <a:off x="0" y="0"/>
                      <a:ext cx="541655" cy="553720"/>
                    </a:xfrm>
                    <a:prstGeom prst="rect">
                      <a:avLst/>
                    </a:prstGeom>
                  </pic:spPr>
                </pic:pic>
              </a:graphicData>
            </a:graphic>
          </wp:anchor>
        </w:drawing>
      </w:r>
      <w:r>
        <w:drawing>
          <wp:inline distT="0" distB="0" distL="114300" distR="114300">
            <wp:extent cx="7061200" cy="4597400"/>
            <wp:effectExtent l="0" t="0" r="6350" b="12700"/>
            <wp:docPr id="7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0"/>
                    <pic:cNvPicPr>
                      <a:picLocks noChangeAspect="1"/>
                    </pic:cNvPicPr>
                  </pic:nvPicPr>
                  <pic:blipFill>
                    <a:blip r:embed="rId58"/>
                    <a:stretch>
                      <a:fillRect/>
                    </a:stretch>
                  </pic:blipFill>
                  <pic:spPr>
                    <a:xfrm>
                      <a:off x="0" y="0"/>
                      <a:ext cx="7061200" cy="4597400"/>
                    </a:xfrm>
                    <a:prstGeom prst="rect">
                      <a:avLst/>
                    </a:prstGeom>
                    <a:noFill/>
                    <a:ln>
                      <a:noFill/>
                    </a:ln>
                  </pic:spPr>
                </pic:pic>
              </a:graphicData>
            </a:graphic>
          </wp:inline>
        </w:drawing>
      </w:r>
      <w:bookmarkStart w:id="141" w:name="_Toc30150"/>
    </w:p>
    <w:p w14:paraId="786F7BD3">
      <w:pPr>
        <w:pStyle w:val="169"/>
        <w:spacing w:line="360" w:lineRule="auto"/>
        <w:jc w:val="center"/>
        <w:outlineLvl w:val="0"/>
        <w:rPr>
          <w:rFonts w:hint="eastAsia" w:ascii="Times New Roman" w:hAnsi="Times New Roman" w:eastAsia="宋体" w:cs="Times New Roman"/>
          <w:color w:val="auto"/>
          <w:sz w:val="24"/>
          <w:szCs w:val="24"/>
          <w:highlight w:val="none"/>
          <w:lang w:val="en-US" w:eastAsia="zh-CN"/>
        </w:rPr>
        <w:sectPr>
          <w:footerReference r:id="rId6" w:type="default"/>
          <w:pgSz w:w="16781" w:h="11849" w:orient="landscape"/>
          <w:pgMar w:top="1701" w:right="1531" w:bottom="1701" w:left="1531" w:header="851" w:footer="1077" w:gutter="0"/>
          <w:pgBorders>
            <w:top w:val="none" w:sz="0" w:space="0"/>
            <w:left w:val="none" w:sz="0" w:space="0"/>
            <w:bottom w:val="none" w:sz="0" w:space="0"/>
            <w:right w:val="none" w:sz="0" w:space="0"/>
          </w:pgBorders>
          <w:pgNumType w:fmt="decimal"/>
          <w:cols w:space="0" w:num="1"/>
          <w:docGrid w:type="lines" w:linePitch="316" w:charSpace="0"/>
        </w:sectPr>
      </w:pPr>
      <w:bookmarkStart w:id="142" w:name="_Toc22120"/>
      <w:bookmarkStart w:id="143" w:name="_Toc12954"/>
      <w:bookmarkStart w:id="144" w:name="_Toc24956"/>
      <w:bookmarkStart w:id="145" w:name="_Toc7818"/>
      <w:bookmarkStart w:id="146" w:name="_Toc19609"/>
      <w:r>
        <w:rPr>
          <w:rFonts w:hint="default" w:ascii="Times New Roman" w:hAnsi="Times New Roman" w:eastAsia="宋体" w:cs="Times New Roman"/>
          <w:color w:val="auto"/>
          <w:sz w:val="24"/>
          <w:szCs w:val="24"/>
          <w:highlight w:val="none"/>
          <w:lang w:val="en-US" w:eastAsia="zh-CN"/>
        </w:rPr>
        <w:t>附图</w:t>
      </w:r>
      <w:r>
        <w:rPr>
          <w:rFonts w:hint="eastAsia" w:ascii="Times New Roman" w:hAnsi="Times New Roman" w:eastAsia="宋体" w:cs="Times New Roman"/>
          <w:color w:val="auto"/>
          <w:sz w:val="24"/>
          <w:szCs w:val="24"/>
          <w:highlight w:val="none"/>
          <w:lang w:val="en-US" w:eastAsia="zh-CN"/>
        </w:rPr>
        <w:t>2 周围环境保护目标分布图</w:t>
      </w:r>
      <w:bookmarkEnd w:id="142"/>
      <w:bookmarkEnd w:id="143"/>
      <w:bookmarkEnd w:id="144"/>
      <w:bookmarkEnd w:id="145"/>
      <w:bookmarkEnd w:id="146"/>
    </w:p>
    <w:bookmarkEnd w:id="141"/>
    <w:p w14:paraId="405451A1">
      <w:pPr>
        <w:spacing w:line="240" w:lineRule="auto"/>
        <w:jc w:val="center"/>
        <w:outlineLvl w:val="9"/>
        <w:rPr>
          <w:rFonts w:hint="eastAsia" w:eastAsia="宋体"/>
          <w:color w:val="FF0000"/>
          <w:highlight w:val="none"/>
          <w:lang w:eastAsia="zh-CN"/>
        </w:rPr>
      </w:pPr>
      <w:bookmarkStart w:id="147" w:name="_Toc22996"/>
      <w:r>
        <w:rPr>
          <w:sz w:val="21"/>
        </w:rPr>
        <mc:AlternateContent>
          <mc:Choice Requires="wps">
            <w:drawing>
              <wp:anchor distT="0" distB="0" distL="114300" distR="114300" simplePos="0" relativeHeight="251707392" behindDoc="0" locked="0" layoutInCell="1" allowOverlap="1">
                <wp:simplePos x="0" y="0"/>
                <wp:positionH relativeFrom="column">
                  <wp:posOffset>-227330</wp:posOffset>
                </wp:positionH>
                <wp:positionV relativeFrom="paragraph">
                  <wp:posOffset>4635500</wp:posOffset>
                </wp:positionV>
                <wp:extent cx="1457325" cy="590550"/>
                <wp:effectExtent l="0" t="0" r="9525" b="0"/>
                <wp:wrapNone/>
                <wp:docPr id="112" name="文本框 112"/>
                <wp:cNvGraphicFramePr/>
                <a:graphic xmlns:a="http://schemas.openxmlformats.org/drawingml/2006/main">
                  <a:graphicData uri="http://schemas.microsoft.com/office/word/2010/wordprocessingShape">
                    <wps:wsp>
                      <wps:cNvSpPr txBox="1"/>
                      <wps:spPr>
                        <a:xfrm>
                          <a:off x="852805" y="4836160"/>
                          <a:ext cx="1457325" cy="590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B95A87">
                            <w:r>
                              <w:drawing>
                                <wp:inline distT="0" distB="0" distL="114300" distR="114300">
                                  <wp:extent cx="1267460" cy="430530"/>
                                  <wp:effectExtent l="0" t="0" r="8890" b="7620"/>
                                  <wp:docPr id="1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
                                          <pic:cNvPicPr>
                                            <a:picLocks noChangeAspect="1"/>
                                          </pic:cNvPicPr>
                                        </pic:nvPicPr>
                                        <pic:blipFill>
                                          <a:blip r:embed="rId59"/>
                                          <a:stretch>
                                            <a:fillRect/>
                                          </a:stretch>
                                        </pic:blipFill>
                                        <pic:spPr>
                                          <a:xfrm>
                                            <a:off x="0" y="0"/>
                                            <a:ext cx="1267460" cy="4305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9pt;margin-top:365pt;height:46.5pt;width:114.75pt;z-index:251707392;mso-width-relative:page;mso-height-relative:page;" filled="f" stroked="f" coordsize="21600,21600" o:gfxdata="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ZkV0m3AAAAAsBAAAPAAAAAAAA&#10;AAEAIAAAACIAAABkcnMvZG93bnJldi54bWxQSwECFAAUAAAACACHTuJARlwaKUcCAAB1BAAADgAA&#10;AAAAAAABACAAAAArAQAAZHJzL2Uyb0RvYy54bWxQSwUGAAAAAAYABgBZAQAA5AUAAAAA&#10;">
                <v:fill on="f" focussize="0,0"/>
                <v:stroke on="f" weight="0.5pt"/>
                <v:imagedata o:title=""/>
                <o:lock v:ext="edit" aspectratio="f"/>
                <v:textbox>
                  <w:txbxContent>
                    <w:p w14:paraId="26B95A87">
                      <w:r>
                        <w:drawing>
                          <wp:inline distT="0" distB="0" distL="114300" distR="114300">
                            <wp:extent cx="1267460" cy="430530"/>
                            <wp:effectExtent l="0" t="0" r="8890" b="7620"/>
                            <wp:docPr id="1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
                                    <pic:cNvPicPr>
                                      <a:picLocks noChangeAspect="1"/>
                                    </pic:cNvPicPr>
                                  </pic:nvPicPr>
                                  <pic:blipFill>
                                    <a:blip r:embed="rId59"/>
                                    <a:stretch>
                                      <a:fillRect/>
                                    </a:stretch>
                                  </pic:blipFill>
                                  <pic:spPr>
                                    <a:xfrm>
                                      <a:off x="0" y="0"/>
                                      <a:ext cx="1267460" cy="430530"/>
                                    </a:xfrm>
                                    <a:prstGeom prst="rect">
                                      <a:avLst/>
                                    </a:prstGeom>
                                    <a:noFill/>
                                    <a:ln>
                                      <a:noFill/>
                                    </a:ln>
                                  </pic:spPr>
                                </pic:pic>
                              </a:graphicData>
                            </a:graphic>
                          </wp:inline>
                        </w:drawing>
                      </w:r>
                    </w:p>
                  </w:txbxContent>
                </v:textbox>
              </v:shape>
            </w:pict>
          </mc:Fallback>
        </mc:AlternateContent>
      </w:r>
      <w:r>
        <w:rPr>
          <w:rFonts w:hint="eastAsia" w:eastAsia="宋体"/>
          <w:color w:val="auto"/>
          <w:lang w:eastAsia="zh-CN"/>
        </w:rPr>
        <w:drawing>
          <wp:anchor distT="0" distB="0" distL="114300" distR="114300" simplePos="0" relativeHeight="251698176" behindDoc="0" locked="0" layoutInCell="1" allowOverlap="1">
            <wp:simplePos x="0" y="0"/>
            <wp:positionH relativeFrom="column">
              <wp:posOffset>4766945</wp:posOffset>
            </wp:positionH>
            <wp:positionV relativeFrom="paragraph">
              <wp:posOffset>392430</wp:posOffset>
            </wp:positionV>
            <wp:extent cx="541655" cy="553720"/>
            <wp:effectExtent l="0" t="0" r="10795" b="17780"/>
            <wp:wrapNone/>
            <wp:docPr id="84" name="图片 84" descr="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风玫瑰"/>
                    <pic:cNvPicPr>
                      <a:picLocks noChangeAspect="1"/>
                    </pic:cNvPicPr>
                  </pic:nvPicPr>
                  <pic:blipFill>
                    <a:blip r:embed="rId13"/>
                    <a:stretch>
                      <a:fillRect/>
                    </a:stretch>
                  </pic:blipFill>
                  <pic:spPr>
                    <a:xfrm>
                      <a:off x="0" y="0"/>
                      <a:ext cx="541655" cy="553720"/>
                    </a:xfrm>
                    <a:prstGeom prst="rect">
                      <a:avLst/>
                    </a:prstGeom>
                  </pic:spPr>
                </pic:pic>
              </a:graphicData>
            </a:graphic>
          </wp:anchor>
        </w:drawing>
      </w:r>
      <w:r>
        <w:rPr>
          <w:rFonts w:hint="eastAsia"/>
          <w:color w:val="auto"/>
          <w:lang w:val="en-US" w:eastAsia="zh-CN"/>
        </w:rPr>
        <w:object>
          <v:shape id="_x0000_i1029" o:spt="75" type="#_x0000_t75" style="height:408pt;width:358.5pt;" o:ole="t" filled="f" o:preferrelative="t" stroked="f" coordsize="21600,21600">
            <v:path/>
            <v:fill on="f" focussize="0,0"/>
            <v:stroke on="f"/>
            <v:imagedata r:id="rId61" o:title=""/>
            <o:lock v:ext="edit" aspectratio="f"/>
            <w10:wrap type="none"/>
            <w10:anchorlock/>
          </v:shape>
          <o:OLEObject Type="Embed" ProgID="Visio.Drawing.15" ShapeID="_x0000_i1029" DrawAspect="Content" ObjectID="_1468075729" r:id="rId60">
            <o:LockedField>false</o:LockedField>
          </o:OLEObject>
        </w:object>
      </w:r>
    </w:p>
    <w:p w14:paraId="6F5E516E">
      <w:pPr>
        <w:pStyle w:val="169"/>
        <w:spacing w:line="360" w:lineRule="auto"/>
        <w:jc w:val="center"/>
        <w:outlineLvl w:val="0"/>
        <w:rPr>
          <w:rFonts w:hint="default" w:ascii="Times New Roman" w:hAnsi="Times New Roman" w:eastAsia="宋体" w:cs="Times New Roman"/>
          <w:color w:val="auto"/>
          <w:sz w:val="24"/>
          <w:szCs w:val="24"/>
          <w:highlight w:val="none"/>
          <w:lang w:val="en-US" w:eastAsia="zh-CN"/>
        </w:rPr>
        <w:sectPr>
          <w:pgSz w:w="11849" w:h="16781"/>
          <w:pgMar w:top="1531" w:right="1701" w:bottom="1531" w:left="1701" w:header="851" w:footer="1077" w:gutter="0"/>
          <w:pgBorders>
            <w:top w:val="none" w:sz="0" w:space="0"/>
            <w:left w:val="none" w:sz="0" w:space="0"/>
            <w:bottom w:val="none" w:sz="0" w:space="0"/>
            <w:right w:val="none" w:sz="0" w:space="0"/>
          </w:pgBorders>
          <w:pgNumType w:fmt="decimal"/>
          <w:cols w:space="0" w:num="1"/>
          <w:docGrid w:type="lines" w:linePitch="316" w:charSpace="0"/>
        </w:sectPr>
      </w:pPr>
      <w:bookmarkStart w:id="148" w:name="_Toc16174"/>
      <w:bookmarkStart w:id="149" w:name="_Toc3258"/>
      <w:bookmarkStart w:id="150" w:name="_Toc28953"/>
      <w:bookmarkStart w:id="151" w:name="_Toc8992"/>
      <w:r>
        <w:rPr>
          <w:color w:val="auto"/>
          <w:sz w:val="24"/>
        </w:rPr>
        <mc:AlternateContent>
          <mc:Choice Requires="wps">
            <w:drawing>
              <wp:anchor distT="0" distB="0" distL="114300" distR="114300" simplePos="0" relativeHeight="251682816" behindDoc="0" locked="0" layoutInCell="1" allowOverlap="1">
                <wp:simplePos x="0" y="0"/>
                <wp:positionH relativeFrom="column">
                  <wp:posOffset>3027045</wp:posOffset>
                </wp:positionH>
                <wp:positionV relativeFrom="paragraph">
                  <wp:posOffset>5423535</wp:posOffset>
                </wp:positionV>
                <wp:extent cx="114300" cy="123825"/>
                <wp:effectExtent l="5080" t="5080" r="13970" b="4445"/>
                <wp:wrapNone/>
                <wp:docPr id="82" name="椭圆 82"/>
                <wp:cNvGraphicFramePr/>
                <a:graphic xmlns:a="http://schemas.openxmlformats.org/drawingml/2006/main">
                  <a:graphicData uri="http://schemas.microsoft.com/office/word/2010/wordprocessingShape">
                    <wps:wsp>
                      <wps:cNvSpPr/>
                      <wps:spPr>
                        <a:xfrm>
                          <a:off x="0" y="0"/>
                          <a:ext cx="114300" cy="123825"/>
                        </a:xfrm>
                        <a:prstGeom prst="ellipse">
                          <a:avLst/>
                        </a:prstGeom>
                        <a:solidFill>
                          <a:srgbClr val="FF0000"/>
                        </a:solidFill>
                        <a:ln w="9525" cap="flat" cmpd="sng">
                          <a:solidFill>
                            <a:srgbClr val="FF0000"/>
                          </a:solidFill>
                          <a:prstDash val="solid"/>
                          <a:miter/>
                          <a:headEnd type="none" w="med" len="med"/>
                          <a:tailEnd type="none" w="med" len="med"/>
                        </a:ln>
                      </wps:spPr>
                      <wps:bodyPr rot="0" spcFirstLastPara="0" vertOverflow="overflow" horzOverflow="overflow" vert="horz" wrap="square" lIns="91440" tIns="45720" rIns="91440" bIns="45720" numCol="1" spcCol="0" rtlCol="0" fromWordArt="0" anchor="ctr" anchorCtr="0" forceAA="0" upright="1" compatLnSpc="1">
                        <a:noAutofit/>
                      </wps:bodyPr>
                    </wps:wsp>
                  </a:graphicData>
                </a:graphic>
              </wp:anchor>
            </w:drawing>
          </mc:Choice>
          <mc:Fallback>
            <w:pict>
              <v:shape id="_x0000_s1026" o:spid="_x0000_s1026" o:spt="3" type="#_x0000_t3" style="position:absolute;left:0pt;margin-left:238.35pt;margin-top:427.05pt;height:9.75pt;width:9pt;z-index:251682816;v-text-anchor:middle;mso-width-relative:page;mso-height-relative:page;" fillcolor="#FF0000" filled="t" stroked="t" coordsize="21600,21600" o:gfxdata="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PlM92DZAAAACwEAAA8A&#10;AAAAAAAAAQAgAAAAIgAAAGRycy9kb3ducmV2LnhtbFBLAQIUABQAAAAIAIdO4kCwwiOwiAIAAD8F&#10;AAAOAAAAAAAAAAEAIAAAACgBAABkcnMvZTJvRG9jLnhtbFBLBQYAAAAABgAGAFkBAAAiBgAAAAA=&#10;">
                <v:fill on="t" focussize="0,0"/>
                <v:stroke color="#FF0000" joinstyle="miter"/>
                <v:imagedata o:title=""/>
                <o:lock v:ext="edit" aspectratio="f"/>
              </v:shape>
            </w:pict>
          </mc:Fallback>
        </mc:AlternateContent>
      </w:r>
      <w:r>
        <w:rPr>
          <w:color w:val="auto"/>
          <w:sz w:val="21"/>
        </w:rPr>
        <mc:AlternateContent>
          <mc:Choice Requires="wps">
            <w:drawing>
              <wp:anchor distT="0" distB="0" distL="114300" distR="114300" simplePos="0" relativeHeight="251683840" behindDoc="0" locked="0" layoutInCell="1" allowOverlap="1">
                <wp:simplePos x="0" y="0"/>
                <wp:positionH relativeFrom="column">
                  <wp:posOffset>2323465</wp:posOffset>
                </wp:positionH>
                <wp:positionV relativeFrom="paragraph">
                  <wp:posOffset>5268595</wp:posOffset>
                </wp:positionV>
                <wp:extent cx="742950" cy="276225"/>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74295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8D602D">
                            <w:pPr>
                              <w:rPr>
                                <w:rFonts w:hint="default" w:eastAsia="宋体"/>
                                <w:color w:val="FF0000"/>
                                <w:lang w:val="en-US" w:eastAsia="zh-CN"/>
                              </w:rPr>
                            </w:pPr>
                            <w:r>
                              <w:rPr>
                                <w:rFonts w:hint="eastAsia"/>
                                <w:color w:val="FF0000"/>
                                <w:lang w:val="en-US" w:eastAsia="zh-CN"/>
                              </w:rPr>
                              <w:t>监测点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2.95pt;margin-top:414.85pt;height:21.75pt;width:58.5pt;z-index:251683840;mso-width-relative:page;mso-height-relative:page;" filled="f" stroked="f" coordsize="21600,21600" o:gfxdata="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&#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wLD2XbAAAACwEAAA8AAAAAAAAAAQAgAAAAIgAAAGRy&#10;cy9kb3ducmV2LnhtbFBLAQIUABQAAAAIAIdO4kCx8HApOwIAAGcEAAAOAAAAAAAAAAEAIAAAACoB&#10;AABkcnMvZTJvRG9jLnhtbFBLBQYAAAAABgAGAFkBAADXBQAAAAA=&#10;">
                <v:fill on="f" focussize="0,0"/>
                <v:stroke on="f" weight="0.5pt"/>
                <v:imagedata o:title=""/>
                <o:lock v:ext="edit" aspectratio="f"/>
                <v:textbox>
                  <w:txbxContent>
                    <w:p w14:paraId="7C8D602D">
                      <w:pPr>
                        <w:rPr>
                          <w:rFonts w:hint="default" w:eastAsia="宋体"/>
                          <w:color w:val="FF0000"/>
                          <w:lang w:val="en-US" w:eastAsia="zh-CN"/>
                        </w:rPr>
                      </w:pPr>
                      <w:r>
                        <w:rPr>
                          <w:rFonts w:hint="eastAsia"/>
                          <w:color w:val="FF0000"/>
                          <w:lang w:val="en-US" w:eastAsia="zh-CN"/>
                        </w:rPr>
                        <w:t>监测点</w:t>
                      </w:r>
                    </w:p>
                  </w:txbxContent>
                </v:textbox>
              </v:shape>
            </w:pict>
          </mc:Fallback>
        </mc:AlternateContent>
      </w:r>
      <w:r>
        <w:rPr>
          <w:rFonts w:hint="default" w:ascii="Times New Roman" w:hAnsi="Times New Roman" w:eastAsia="宋体" w:cs="Times New Roman"/>
          <w:color w:val="auto"/>
          <w:sz w:val="24"/>
          <w:szCs w:val="24"/>
          <w:highlight w:val="none"/>
          <w:lang w:val="en-US" w:eastAsia="zh-CN"/>
        </w:rPr>
        <w:t>附图</w:t>
      </w:r>
      <w:r>
        <w:rPr>
          <w:rFonts w:hint="eastAsia"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val="en-US" w:eastAsia="zh-CN"/>
        </w:rPr>
        <w:t xml:space="preserve"> 平面布置图</w:t>
      </w:r>
      <w:bookmarkEnd w:id="148"/>
      <w:bookmarkEnd w:id="149"/>
      <w:bookmarkEnd w:id="150"/>
      <w:bookmarkEnd w:id="151"/>
    </w:p>
    <w:p w14:paraId="25CA35B2">
      <w:pPr>
        <w:spacing w:line="240" w:lineRule="auto"/>
        <w:jc w:val="center"/>
        <w:outlineLvl w:val="9"/>
        <w:rPr>
          <w:rFonts w:hint="eastAsia" w:eastAsia="宋体"/>
          <w:color w:val="FF0000"/>
          <w:highlight w:val="none"/>
          <w:lang w:eastAsia="zh-CN"/>
        </w:rPr>
      </w:pPr>
      <w:r>
        <w:rPr>
          <w:color w:val="auto"/>
          <w:sz w:val="21"/>
        </w:rPr>
        <mc:AlternateContent>
          <mc:Choice Requires="wps">
            <w:drawing>
              <wp:anchor distT="0" distB="0" distL="114300" distR="114300" simplePos="0" relativeHeight="251667456" behindDoc="0" locked="0" layoutInCell="1" allowOverlap="1">
                <wp:simplePos x="0" y="0"/>
                <wp:positionH relativeFrom="column">
                  <wp:posOffset>5676900</wp:posOffset>
                </wp:positionH>
                <wp:positionV relativeFrom="paragraph">
                  <wp:posOffset>979170</wp:posOffset>
                </wp:positionV>
                <wp:extent cx="861060" cy="292735"/>
                <wp:effectExtent l="133350" t="5080" r="15240" b="349885"/>
                <wp:wrapNone/>
                <wp:docPr id="13" name="矩形标注 13"/>
                <wp:cNvGraphicFramePr/>
                <a:graphic xmlns:a="http://schemas.openxmlformats.org/drawingml/2006/main">
                  <a:graphicData uri="http://schemas.microsoft.com/office/word/2010/wordprocessingShape">
                    <wps:wsp>
                      <wps:cNvSpPr/>
                      <wps:spPr>
                        <a:xfrm>
                          <a:off x="0" y="0"/>
                          <a:ext cx="861060" cy="292735"/>
                        </a:xfrm>
                        <a:prstGeom prst="wedgeRectCallout">
                          <a:avLst>
                            <a:gd name="adj1" fmla="val -62831"/>
                            <a:gd name="adj2" fmla="val 161930"/>
                          </a:avLst>
                        </a:prstGeom>
                        <a:noFill/>
                        <a:ln w="9525" cap="flat" cmpd="sng">
                          <a:solidFill>
                            <a:srgbClr val="FF0000"/>
                          </a:solidFill>
                          <a:prstDash val="solid"/>
                          <a:miter/>
                          <a:headEnd type="none" w="med" len="med"/>
                          <a:tailEnd type="none" w="med" len="med"/>
                        </a:ln>
                      </wps:spPr>
                      <wps:txbx>
                        <w:txbxContent>
                          <w:p w14:paraId="7E8AD8D4">
                            <w:pPr>
                              <w:rPr>
                                <w:rFonts w:hint="eastAsia" w:eastAsia="宋体"/>
                                <w:color w:val="auto"/>
                                <w:highlight w:val="red"/>
                                <w:lang w:eastAsia="zh-CN"/>
                              </w:rPr>
                            </w:pPr>
                            <w:r>
                              <w:rPr>
                                <w:rFonts w:hint="eastAsia"/>
                                <w:color w:val="auto"/>
                                <w:highlight w:val="red"/>
                                <w:lang w:eastAsia="zh-CN"/>
                              </w:rPr>
                              <w:t>本项目位置</w:t>
                            </w:r>
                          </w:p>
                        </w:txbxContent>
                      </wps:txbx>
                      <wps:bodyPr upright="1"/>
                    </wps:wsp>
                  </a:graphicData>
                </a:graphic>
              </wp:anchor>
            </w:drawing>
          </mc:Choice>
          <mc:Fallback>
            <w:pict>
              <v:shape id="_x0000_s1026" o:spid="_x0000_s1026" o:spt="61" type="#_x0000_t61" style="position:absolute;left:0pt;margin-left:447pt;margin-top:77.1pt;height:23.05pt;width:67.8pt;z-index:251667456;mso-width-relative:page;mso-height-relative:page;" filled="f" stroked="t" coordsize="21600,21600" o:gfxdata="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RoemHdgAAAAMAQAADwAAAAAAAAABACAAAAAiAAAAZHJzL2Rvd25y&#10;ZXYueG1sUEsBAhQAFAAAAAgAh07iQA7i1Ug3AgAAZgQAAA4AAAAAAAAAAQAgAAAAJwEAAGRycy9l&#10;Mm9Eb2MueG1sUEsFBgAAAAAGAAYAWQEAANAFAAAAAA==&#10;" adj="-2771,45777">
                <v:fill on="f" focussize="0,0"/>
                <v:stroke color="#FF0000" joinstyle="miter"/>
                <v:imagedata o:title=""/>
                <o:lock v:ext="edit" aspectratio="f"/>
                <v:textbox>
                  <w:txbxContent>
                    <w:p w14:paraId="7E8AD8D4">
                      <w:pPr>
                        <w:rPr>
                          <w:rFonts w:hint="eastAsia" w:eastAsia="宋体"/>
                          <w:color w:val="auto"/>
                          <w:highlight w:val="red"/>
                          <w:lang w:eastAsia="zh-CN"/>
                        </w:rPr>
                      </w:pPr>
                      <w:r>
                        <w:rPr>
                          <w:rFonts w:hint="eastAsia"/>
                          <w:color w:val="auto"/>
                          <w:highlight w:val="red"/>
                          <w:lang w:eastAsia="zh-CN"/>
                        </w:rPr>
                        <w:t>本项目位置</w:t>
                      </w:r>
                    </w:p>
                  </w:txbxContent>
                </v:textbox>
              </v:shape>
            </w:pict>
          </mc:Fallback>
        </mc:AlternateContent>
      </w:r>
      <w:r>
        <w:rPr>
          <w:color w:val="auto"/>
          <w:sz w:val="21"/>
        </w:rPr>
        <mc:AlternateContent>
          <mc:Choice Requires="wps">
            <w:drawing>
              <wp:anchor distT="0" distB="0" distL="114300" distR="114300" simplePos="0" relativeHeight="251666432" behindDoc="0" locked="0" layoutInCell="1" allowOverlap="1">
                <wp:simplePos x="0" y="0"/>
                <wp:positionH relativeFrom="column">
                  <wp:posOffset>5377180</wp:posOffset>
                </wp:positionH>
                <wp:positionV relativeFrom="paragraph">
                  <wp:posOffset>1544320</wp:posOffset>
                </wp:positionV>
                <wp:extent cx="190500" cy="177165"/>
                <wp:effectExtent l="15240" t="15240" r="22860" b="20955"/>
                <wp:wrapNone/>
                <wp:docPr id="11" name="五角星 11"/>
                <wp:cNvGraphicFramePr/>
                <a:graphic xmlns:a="http://schemas.openxmlformats.org/drawingml/2006/main">
                  <a:graphicData uri="http://schemas.microsoft.com/office/word/2010/wordprocessingShape">
                    <wps:wsp>
                      <wps:cNvSpPr/>
                      <wps:spPr>
                        <a:xfrm>
                          <a:off x="0" y="0"/>
                          <a:ext cx="190500" cy="17716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423.4pt;margin-top:121.6pt;height:13.95pt;width:15pt;z-index:251666432;mso-width-relative:page;mso-height-relative:page;" fillcolor="#FF0000" filled="t" stroked="t" coordsize="190500,177165" o:gfxdata="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GMG4xfYAAAACwEAAA8AAAAAAAAAAQAgAAAAIgAAAGRycy9kb3du&#10;cmV2LnhtbFBLAQIUABQAAAAIAIdO4kAhqrYf/wEAACMEAAAOAAAAAAAAAAEAIAAAACcBAABkcnMv&#10;ZTJvRG9jLnhtbFBLBQYAAAAABgAGAFkBAACYBQAAAAA=&#10;" path="m0,67670l72764,67671,95250,0,117735,67671,190499,67670,131631,109493,154117,177164,95250,135341,36382,177164,58868,109493xe">
                <v:path o:connectlocs="95250,0;0,67670;36382,177164;154117,177164;190499,67670" o:connectangles="247,164,82,82,0"/>
                <v:fill on="t" focussize="0,0"/>
                <v:stroke color="#FF0000" joinstyle="miter"/>
                <v:imagedata o:title=""/>
                <o:lock v:ext="edit" aspectratio="f"/>
              </v:shape>
            </w:pict>
          </mc:Fallback>
        </mc:AlternateContent>
      </w:r>
      <w:r>
        <w:rPr>
          <w:rFonts w:hint="eastAsia"/>
          <w:color w:val="auto"/>
          <w:lang w:val="en-US" w:eastAsia="zh-CN"/>
        </w:rPr>
        <w:drawing>
          <wp:inline distT="0" distB="0" distL="114300" distR="114300">
            <wp:extent cx="6184900" cy="4375150"/>
            <wp:effectExtent l="0" t="0" r="6350" b="6350"/>
            <wp:docPr id="53" name="图片 53" descr="声功能区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声功能区划"/>
                    <pic:cNvPicPr>
                      <a:picLocks noChangeAspect="1"/>
                    </pic:cNvPicPr>
                  </pic:nvPicPr>
                  <pic:blipFill>
                    <a:blip r:embed="rId62"/>
                    <a:stretch>
                      <a:fillRect/>
                    </a:stretch>
                  </pic:blipFill>
                  <pic:spPr>
                    <a:xfrm>
                      <a:off x="0" y="0"/>
                      <a:ext cx="6184900" cy="4375150"/>
                    </a:xfrm>
                    <a:prstGeom prst="rect">
                      <a:avLst/>
                    </a:prstGeom>
                  </pic:spPr>
                </pic:pic>
              </a:graphicData>
            </a:graphic>
          </wp:inline>
        </w:drawing>
      </w:r>
    </w:p>
    <w:p w14:paraId="0AAB2C59">
      <w:pPr>
        <w:pStyle w:val="169"/>
        <w:spacing w:line="360" w:lineRule="auto"/>
        <w:jc w:val="center"/>
        <w:outlineLvl w:val="0"/>
        <w:rPr>
          <w:rFonts w:hint="default" w:ascii="Times New Roman" w:hAnsi="Times New Roman" w:eastAsia="宋体" w:cs="Times New Roman"/>
          <w:color w:val="auto"/>
          <w:sz w:val="24"/>
          <w:szCs w:val="24"/>
          <w:highlight w:val="none"/>
          <w:lang w:val="en-US" w:eastAsia="zh-CN"/>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decimal"/>
          <w:cols w:space="0" w:num="1"/>
          <w:docGrid w:type="lines" w:linePitch="316" w:charSpace="0"/>
        </w:sectPr>
      </w:pPr>
      <w:bookmarkStart w:id="152" w:name="_Toc15701"/>
      <w:bookmarkStart w:id="153" w:name="_Toc26418"/>
      <w:bookmarkStart w:id="154" w:name="_Toc17609"/>
      <w:bookmarkStart w:id="155" w:name="_Toc9482"/>
      <w:r>
        <w:rPr>
          <w:color w:val="auto"/>
          <w:sz w:val="24"/>
        </w:rPr>
        <mc:AlternateContent>
          <mc:Choice Requires="wps">
            <w:drawing>
              <wp:anchor distT="0" distB="0" distL="114300" distR="114300" simplePos="0" relativeHeight="251668480" behindDoc="0" locked="0" layoutInCell="1" allowOverlap="1">
                <wp:simplePos x="0" y="0"/>
                <wp:positionH relativeFrom="column">
                  <wp:posOffset>3027045</wp:posOffset>
                </wp:positionH>
                <wp:positionV relativeFrom="paragraph">
                  <wp:posOffset>5423535</wp:posOffset>
                </wp:positionV>
                <wp:extent cx="114300" cy="123825"/>
                <wp:effectExtent l="5080" t="5080" r="17780" b="8255"/>
                <wp:wrapNone/>
                <wp:docPr id="89" name="椭圆 89"/>
                <wp:cNvGraphicFramePr/>
                <a:graphic xmlns:a="http://schemas.openxmlformats.org/drawingml/2006/main">
                  <a:graphicData uri="http://schemas.microsoft.com/office/word/2010/wordprocessingShape">
                    <wps:wsp>
                      <wps:cNvSpPr/>
                      <wps:spPr>
                        <a:xfrm>
                          <a:off x="0" y="0"/>
                          <a:ext cx="114300" cy="123825"/>
                        </a:xfrm>
                        <a:prstGeom prst="ellipse">
                          <a:avLst/>
                        </a:prstGeom>
                        <a:solidFill>
                          <a:srgbClr val="FF0000"/>
                        </a:solidFill>
                        <a:ln w="9525" cap="flat" cmpd="sng">
                          <a:solidFill>
                            <a:srgbClr val="FF0000"/>
                          </a:solidFill>
                          <a:prstDash val="solid"/>
                          <a:miter/>
                          <a:headEnd type="none" w="med" len="med"/>
                          <a:tailEnd type="none" w="med" len="med"/>
                        </a:ln>
                      </wps:spPr>
                      <wps:bodyPr rot="0" spcFirstLastPara="0" vertOverflow="overflow" horzOverflow="overflow" vert="horz" wrap="square" lIns="91440" tIns="45720" rIns="91440" bIns="45720" numCol="1" spcCol="0" rtlCol="0" fromWordArt="0" anchor="ctr" anchorCtr="0" forceAA="0" upright="1" compatLnSpc="1">
                        <a:noAutofit/>
                      </wps:bodyPr>
                    </wps:wsp>
                  </a:graphicData>
                </a:graphic>
              </wp:anchor>
            </w:drawing>
          </mc:Choice>
          <mc:Fallback>
            <w:pict>
              <v:shape id="_x0000_s1026" o:spid="_x0000_s1026" o:spt="3" type="#_x0000_t3" style="position:absolute;left:0pt;margin-left:238.35pt;margin-top:427.05pt;height:9.75pt;width:9pt;z-index:251668480;v-text-anchor:middle;mso-width-relative:page;mso-height-relative:page;" fillcolor="#FF0000" filled="t" stroked="t" coordsize="21600,21600" o:gfxdata="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PlM92DZAAAACwEAAA8A&#10;AAAAAAAAAQAgAAAAIgAAAGRycy9kb3ducmV2LnhtbFBLAQIUABQAAAAIAIdO4kCunr/eiAIAAD8F&#10;AAAOAAAAAAAAAAEAIAAAACgBAABkcnMvZTJvRG9jLnhtbFBLBQYAAAAABgAGAFkBAAAiBgAAAAA=&#10;">
                <v:fill on="t" focussize="0,0"/>
                <v:stroke color="#FF0000" joinstyle="miter"/>
                <v:imagedata o:title=""/>
                <o:lock v:ext="edit" aspectratio="f"/>
              </v:shape>
            </w:pict>
          </mc:Fallback>
        </mc:AlternateContent>
      </w:r>
      <w:r>
        <w:rPr>
          <w:color w:val="auto"/>
          <w:sz w:val="21"/>
        </w:rPr>
        <mc:AlternateContent>
          <mc:Choice Requires="wps">
            <w:drawing>
              <wp:anchor distT="0" distB="0" distL="114300" distR="114300" simplePos="0" relativeHeight="251669504" behindDoc="0" locked="0" layoutInCell="1" allowOverlap="1">
                <wp:simplePos x="0" y="0"/>
                <wp:positionH relativeFrom="column">
                  <wp:posOffset>2323465</wp:posOffset>
                </wp:positionH>
                <wp:positionV relativeFrom="paragraph">
                  <wp:posOffset>5268595</wp:posOffset>
                </wp:positionV>
                <wp:extent cx="742950" cy="276225"/>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74295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BBBE11">
                            <w:pPr>
                              <w:rPr>
                                <w:rFonts w:hint="default" w:eastAsia="宋体"/>
                                <w:color w:val="FF0000"/>
                                <w:lang w:val="en-US" w:eastAsia="zh-CN"/>
                              </w:rPr>
                            </w:pPr>
                            <w:r>
                              <w:rPr>
                                <w:rFonts w:hint="eastAsia"/>
                                <w:color w:val="FF0000"/>
                                <w:lang w:val="en-US" w:eastAsia="zh-CN"/>
                              </w:rPr>
                              <w:t>监测点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2.95pt;margin-top:414.85pt;height:21.75pt;width:58.5pt;z-index:251669504;mso-width-relative:page;mso-height-relative:page;" filled="f" stroked="f" coordsize="21600,21600" o:gfxdata="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jAsPZdsAAAALAQAADwAAAAAAAAABACAAAAAiAAAAZHJz&#10;L2Rvd25yZXYueG1sUEsBAhQAFAAAAAgAh07iQAEwz286AgAAZwQAAA4AAAAAAAAAAQAgAAAAKgEA&#10;AGRycy9lMm9Eb2MueG1sUEsFBgAAAAAGAAYAWQEAANYFAAAAAA==&#10;">
                <v:fill on="f" focussize="0,0"/>
                <v:stroke on="f" weight="0.5pt"/>
                <v:imagedata o:title=""/>
                <o:lock v:ext="edit" aspectratio="f"/>
                <v:textbox>
                  <w:txbxContent>
                    <w:p w14:paraId="63BBBE11">
                      <w:pPr>
                        <w:rPr>
                          <w:rFonts w:hint="default" w:eastAsia="宋体"/>
                          <w:color w:val="FF0000"/>
                          <w:lang w:val="en-US" w:eastAsia="zh-CN"/>
                        </w:rPr>
                      </w:pPr>
                      <w:r>
                        <w:rPr>
                          <w:rFonts w:hint="eastAsia"/>
                          <w:color w:val="FF0000"/>
                          <w:lang w:val="en-US" w:eastAsia="zh-CN"/>
                        </w:rPr>
                        <w:t>监测点</w:t>
                      </w:r>
                    </w:p>
                  </w:txbxContent>
                </v:textbox>
              </v:shape>
            </w:pict>
          </mc:Fallback>
        </mc:AlternateContent>
      </w:r>
      <w:r>
        <w:rPr>
          <w:rFonts w:hint="default" w:ascii="Times New Roman" w:hAnsi="Times New Roman" w:eastAsia="宋体" w:cs="Times New Roman"/>
          <w:color w:val="auto"/>
          <w:sz w:val="24"/>
          <w:szCs w:val="24"/>
          <w:highlight w:val="none"/>
          <w:lang w:val="en-US" w:eastAsia="zh-CN"/>
        </w:rPr>
        <w:t>附图</w:t>
      </w:r>
      <w:r>
        <w:rPr>
          <w:rFonts w:hint="eastAsia"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val="en-US" w:eastAsia="zh-CN"/>
        </w:rPr>
        <w:t xml:space="preserve"> 虎林市声环境功能区划分</w:t>
      </w:r>
      <w:r>
        <w:rPr>
          <w:rFonts w:hint="default" w:ascii="Times New Roman" w:hAnsi="Times New Roman" w:eastAsia="宋体" w:cs="Times New Roman"/>
          <w:color w:val="auto"/>
          <w:sz w:val="24"/>
          <w:szCs w:val="24"/>
          <w:highlight w:val="none"/>
          <w:lang w:val="en-US" w:eastAsia="zh-CN"/>
        </w:rPr>
        <w:t>图</w:t>
      </w:r>
      <w:bookmarkEnd w:id="152"/>
      <w:bookmarkEnd w:id="153"/>
      <w:bookmarkEnd w:id="154"/>
      <w:bookmarkEnd w:id="155"/>
    </w:p>
    <w:p w14:paraId="4589DC9F">
      <w:pPr>
        <w:spacing w:line="240" w:lineRule="auto"/>
        <w:jc w:val="center"/>
        <w:outlineLvl w:val="9"/>
        <w:rPr>
          <w:rFonts w:hint="eastAsia" w:eastAsia="宋体"/>
          <w:color w:val="FF0000"/>
          <w:highlight w:val="none"/>
          <w:lang w:eastAsia="zh-CN"/>
        </w:rPr>
      </w:pPr>
      <w:r>
        <w:rPr>
          <w:color w:val="auto"/>
          <w:sz w:val="21"/>
        </w:rPr>
        <mc:AlternateContent>
          <mc:Choice Requires="wps">
            <w:drawing>
              <wp:anchor distT="0" distB="0" distL="114300" distR="114300" simplePos="0" relativeHeight="251709440" behindDoc="0" locked="0" layoutInCell="1" allowOverlap="1">
                <wp:simplePos x="0" y="0"/>
                <wp:positionH relativeFrom="column">
                  <wp:posOffset>681355</wp:posOffset>
                </wp:positionH>
                <wp:positionV relativeFrom="paragraph">
                  <wp:posOffset>4725670</wp:posOffset>
                </wp:positionV>
                <wp:extent cx="190500" cy="177165"/>
                <wp:effectExtent l="15240" t="15240" r="22860" b="17145"/>
                <wp:wrapNone/>
                <wp:docPr id="115" name="五角星 115"/>
                <wp:cNvGraphicFramePr/>
                <a:graphic xmlns:a="http://schemas.openxmlformats.org/drawingml/2006/main">
                  <a:graphicData uri="http://schemas.microsoft.com/office/word/2010/wordprocessingShape">
                    <wps:wsp>
                      <wps:cNvSpPr/>
                      <wps:spPr>
                        <a:xfrm>
                          <a:off x="0" y="0"/>
                          <a:ext cx="190500" cy="17716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53.65pt;margin-top:372.1pt;height:13.95pt;width:15pt;z-index:251709440;mso-width-relative:page;mso-height-relative:page;" fillcolor="#FF0000" filled="t" stroked="t" coordsize="190500,177165" o:gfxdata="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gChgfWAAAACwEAAA8AAAAAAAAAAQAgAAAAIgAAAGRycy9kb3du&#10;cmV2LnhtbFBLAQIUABQAAAAIAIdO4kCQ9b2nAQIAACUEAAAOAAAAAAAAAAEAIAAAACUBAABkcnMv&#10;ZTJvRG9jLnhtbFBLBQYAAAAABgAGAFkBAACYBQAAAAA=&#10;" path="m0,67670l72764,67671,95250,0,117735,67671,190499,67670,131631,109493,154117,177164,95250,135341,36382,177164,58868,109493xe">
                <v:path o:connectlocs="95250,0;0,67670;36382,177164;154117,177164;190499,67670" o:connectangles="247,164,82,82,0"/>
                <v:fill on="t" focussize="0,0"/>
                <v:stroke color="#FF0000" joinstyle="miter"/>
                <v:imagedata o:title=""/>
                <o:lock v:ext="edit" aspectratio="f"/>
              </v:shape>
            </w:pict>
          </mc:Fallback>
        </mc:AlternateContent>
      </w:r>
      <w:r>
        <w:rPr>
          <w:color w:val="FF0000"/>
          <w:highlight w:val="none"/>
        </w:rPr>
        <mc:AlternateContent>
          <mc:Choice Requires="wps">
            <w:drawing>
              <wp:anchor distT="0" distB="0" distL="114300" distR="114300" simplePos="0" relativeHeight="251708416" behindDoc="0" locked="0" layoutInCell="1" allowOverlap="1">
                <wp:simplePos x="0" y="0"/>
                <wp:positionH relativeFrom="column">
                  <wp:posOffset>627380</wp:posOffset>
                </wp:positionH>
                <wp:positionV relativeFrom="paragraph">
                  <wp:posOffset>4479290</wp:posOffset>
                </wp:positionV>
                <wp:extent cx="1036320" cy="521970"/>
                <wp:effectExtent l="4445" t="4445" r="6985" b="6985"/>
                <wp:wrapNone/>
                <wp:docPr id="114" name="文本框 114"/>
                <wp:cNvGraphicFramePr/>
                <a:graphic xmlns:a="http://schemas.openxmlformats.org/drawingml/2006/main">
                  <a:graphicData uri="http://schemas.microsoft.com/office/word/2010/wordprocessingShape">
                    <wps:wsp>
                      <wps:cNvSpPr txBox="1"/>
                      <wps:spPr>
                        <a:xfrm>
                          <a:off x="0" y="0"/>
                          <a:ext cx="1036320" cy="521970"/>
                        </a:xfrm>
                        <a:prstGeom prst="rect">
                          <a:avLst/>
                        </a:prstGeom>
                        <a:solidFill>
                          <a:srgbClr val="FFFFFF"/>
                        </a:solidFill>
                        <a:ln w="9525" cap="flat" cmpd="sng">
                          <a:solidFill>
                            <a:srgbClr val="0070C0"/>
                          </a:solidFill>
                          <a:prstDash val="solid"/>
                          <a:miter/>
                          <a:headEnd type="none" w="med" len="med"/>
                          <a:tailEnd type="none" w="med" len="med"/>
                        </a:ln>
                      </wps:spPr>
                      <wps:txbx>
                        <w:txbxContent>
                          <w:p w14:paraId="1DF294F9">
                            <w:pPr>
                              <w:keepNext w:val="0"/>
                              <w:keepLines w:val="0"/>
                              <w:pageBreakBefore w:val="0"/>
                              <w:kinsoku/>
                              <w:wordWrap/>
                              <w:overflowPunct/>
                              <w:topLinePunct w:val="0"/>
                              <w:bidi w:val="0"/>
                              <w:adjustRightInd/>
                              <w:spacing w:line="240" w:lineRule="auto"/>
                              <w:jc w:val="center"/>
                              <w:textAlignment w:val="auto"/>
                              <w:rPr>
                                <w:sz w:val="18"/>
                                <w:szCs w:val="18"/>
                              </w:rPr>
                            </w:pPr>
                            <w:r>
                              <w:rPr>
                                <w:rFonts w:hint="eastAsia"/>
                                <w:sz w:val="18"/>
                                <w:szCs w:val="18"/>
                              </w:rPr>
                              <w:t>图  例</w:t>
                            </w:r>
                          </w:p>
                          <w:p w14:paraId="275FF808">
                            <w:pPr>
                              <w:jc w:val="center"/>
                              <w:rPr>
                                <w:rFonts w:hint="eastAsia" w:eastAsia="宋体"/>
                                <w:lang w:eastAsia="zh-CN"/>
                              </w:rPr>
                            </w:pPr>
                            <w:r>
                              <w:rPr>
                                <w:rFonts w:hint="eastAsia" w:eastAsia="宋体"/>
                                <w:sz w:val="18"/>
                                <w:szCs w:val="18"/>
                                <w:lang w:val="en-US" w:eastAsia="zh-CN"/>
                              </w:rPr>
                              <w:t>监测点位</w:t>
                            </w:r>
                          </w:p>
                        </w:txbxContent>
                      </wps:txbx>
                      <wps:bodyPr upright="1"/>
                    </wps:wsp>
                  </a:graphicData>
                </a:graphic>
              </wp:anchor>
            </w:drawing>
          </mc:Choice>
          <mc:Fallback>
            <w:pict>
              <v:shape id="_x0000_s1026" o:spid="_x0000_s1026" o:spt="202" type="#_x0000_t202" style="position:absolute;left:0pt;margin-left:49.4pt;margin-top:352.7pt;height:41.1pt;width:81.6pt;z-index:251708416;mso-width-relative:page;mso-height-relative:page;" fillcolor="#FFFFFF" filled="t" stroked="t" coordsize="21600,21600" o:gfxdata="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Lc4SV2gAAAAoBAAAPAAAA&#10;AAAAAAEAIAAAACIAAABkcnMvZG93bnJldi54bWxQSwECFAAUAAAACACHTuJAa+swXhMCAAA6BAAA&#10;DgAAAAAAAAABACAAAAApAQAAZHJzL2Uyb0RvYy54bWxQSwUGAAAAAAYABgBZAQAArgUAAAAA&#10;">
                <v:fill on="t" focussize="0,0"/>
                <v:stroke color="#0070C0" joinstyle="miter"/>
                <v:imagedata o:title=""/>
                <o:lock v:ext="edit" aspectratio="f"/>
                <v:textbox>
                  <w:txbxContent>
                    <w:p w14:paraId="1DF294F9">
                      <w:pPr>
                        <w:keepNext w:val="0"/>
                        <w:keepLines w:val="0"/>
                        <w:pageBreakBefore w:val="0"/>
                        <w:kinsoku/>
                        <w:wordWrap/>
                        <w:overflowPunct/>
                        <w:topLinePunct w:val="0"/>
                        <w:bidi w:val="0"/>
                        <w:adjustRightInd/>
                        <w:spacing w:line="240" w:lineRule="auto"/>
                        <w:jc w:val="center"/>
                        <w:textAlignment w:val="auto"/>
                        <w:rPr>
                          <w:sz w:val="18"/>
                          <w:szCs w:val="18"/>
                        </w:rPr>
                      </w:pPr>
                      <w:r>
                        <w:rPr>
                          <w:rFonts w:hint="eastAsia"/>
                          <w:sz w:val="18"/>
                          <w:szCs w:val="18"/>
                        </w:rPr>
                        <w:t>图  例</w:t>
                      </w:r>
                    </w:p>
                    <w:p w14:paraId="275FF808">
                      <w:pPr>
                        <w:jc w:val="center"/>
                        <w:rPr>
                          <w:rFonts w:hint="eastAsia" w:eastAsia="宋体"/>
                          <w:lang w:eastAsia="zh-CN"/>
                        </w:rPr>
                      </w:pPr>
                      <w:r>
                        <w:rPr>
                          <w:rFonts w:hint="eastAsia" w:eastAsia="宋体"/>
                          <w:sz w:val="18"/>
                          <w:szCs w:val="18"/>
                          <w:lang w:val="en-US" w:eastAsia="zh-CN"/>
                        </w:rPr>
                        <w:t>监测点位</w:t>
                      </w:r>
                    </w:p>
                  </w:txbxContent>
                </v:textbox>
              </v:shape>
            </w:pict>
          </mc:Fallback>
        </mc:AlternateContent>
      </w:r>
      <w:r>
        <w:rPr>
          <w:sz w:val="21"/>
        </w:rPr>
        <mc:AlternateContent>
          <mc:Choice Requires="wps">
            <w:drawing>
              <wp:anchor distT="0" distB="0" distL="114300" distR="114300" simplePos="0" relativeHeight="251677696" behindDoc="0" locked="0" layoutInCell="1" allowOverlap="1">
                <wp:simplePos x="0" y="0"/>
                <wp:positionH relativeFrom="column">
                  <wp:posOffset>4108450</wp:posOffset>
                </wp:positionH>
                <wp:positionV relativeFrom="paragraph">
                  <wp:posOffset>2541270</wp:posOffset>
                </wp:positionV>
                <wp:extent cx="591185" cy="314325"/>
                <wp:effectExtent l="0" t="0" r="18415" b="9525"/>
                <wp:wrapNone/>
                <wp:docPr id="73" name="文本框 73"/>
                <wp:cNvGraphicFramePr/>
                <a:graphic xmlns:a="http://schemas.openxmlformats.org/drawingml/2006/main">
                  <a:graphicData uri="http://schemas.microsoft.com/office/word/2010/wordprocessingShape">
                    <wps:wsp>
                      <wps:cNvSpPr txBox="1"/>
                      <wps:spPr>
                        <a:xfrm>
                          <a:off x="5080635" y="3621405"/>
                          <a:ext cx="591185"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927368">
                            <w:pPr>
                              <w:rPr>
                                <w:rFonts w:hint="default" w:eastAsia="宋体"/>
                                <w:color w:val="FF0000"/>
                                <w:lang w:val="en-US" w:eastAsia="zh-CN"/>
                              </w:rPr>
                            </w:pPr>
                            <w:r>
                              <w:rPr>
                                <w:rFonts w:hint="eastAsia"/>
                                <w:color w:val="FF0000"/>
                                <w:lang w:val="en-US" w:eastAsia="zh-CN"/>
                              </w:rPr>
                              <w:t>3150m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3.5pt;margin-top:200.1pt;height:24.75pt;width:46.55pt;z-index:251677696;mso-width-relative:page;mso-height-relative:page;" filled="f" stroked="f" coordsize="21600,21600" o:gfxdata="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2G7mIdwAAAALAQAADwAAAAAA&#10;AAABACAAAAAiAAAAZHJzL2Rvd25yZXYueG1sUEsBAhQAFAAAAAgAh07iQFXC2PVIAgAAcwQAAA4A&#10;AAAAAAAAAQAgAAAAKwEAAGRycy9lMm9Eb2MueG1sUEsFBgAAAAAGAAYAWQEAAOUFAAAAAA==&#10;">
                <v:fill on="f" focussize="0,0"/>
                <v:stroke on="f" weight="0.5pt"/>
                <v:imagedata o:title=""/>
                <o:lock v:ext="edit" aspectratio="f"/>
                <v:textbox>
                  <w:txbxContent>
                    <w:p w14:paraId="05927368">
                      <w:pPr>
                        <w:rPr>
                          <w:rFonts w:hint="default" w:eastAsia="宋体"/>
                          <w:color w:val="FF0000"/>
                          <w:lang w:val="en-US" w:eastAsia="zh-CN"/>
                        </w:rPr>
                      </w:pPr>
                      <w:r>
                        <w:rPr>
                          <w:rFonts w:hint="eastAsia"/>
                          <w:color w:val="FF0000"/>
                          <w:lang w:val="en-US" w:eastAsia="zh-CN"/>
                        </w:rPr>
                        <w:t>3150m</w:t>
                      </w:r>
                    </w:p>
                  </w:txbxContent>
                </v:textbox>
              </v:shape>
            </w:pict>
          </mc:Fallback>
        </mc:AlternateContent>
      </w:r>
      <w:r>
        <w:rPr>
          <w:sz w:val="21"/>
        </w:rPr>
        <mc:AlternateContent>
          <mc:Choice Requires="wps">
            <w:drawing>
              <wp:anchor distT="0" distB="0" distL="114300" distR="114300" simplePos="0" relativeHeight="251676672" behindDoc="0" locked="0" layoutInCell="1" allowOverlap="1">
                <wp:simplePos x="0" y="0"/>
                <wp:positionH relativeFrom="column">
                  <wp:posOffset>2519680</wp:posOffset>
                </wp:positionH>
                <wp:positionV relativeFrom="paragraph">
                  <wp:posOffset>683895</wp:posOffset>
                </wp:positionV>
                <wp:extent cx="3122295" cy="3671570"/>
                <wp:effectExtent l="9525" t="8255" r="11430" b="15875"/>
                <wp:wrapNone/>
                <wp:docPr id="72" name="直接连接符 72"/>
                <wp:cNvGraphicFramePr/>
                <a:graphic xmlns:a="http://schemas.openxmlformats.org/drawingml/2006/main">
                  <a:graphicData uri="http://schemas.microsoft.com/office/word/2010/wordprocessingShape">
                    <wps:wsp>
                      <wps:cNvCnPr>
                        <a:endCxn id="66" idx="4"/>
                      </wps:cNvCnPr>
                      <wps:spPr>
                        <a:xfrm flipH="1">
                          <a:off x="3491865" y="1764030"/>
                          <a:ext cx="3122295" cy="367157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98.4pt;margin-top:53.85pt;height:289.1pt;width:245.85pt;z-index:251676672;mso-width-relative:page;mso-height-relative:page;" filled="f" stroked="t" coordsize="21600,21600" o:gfxdata="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8DrQzXAAAACwEAAA8AAAAAAAAAAQAgAAAAIgAA&#10;AGRycy9kb3ducmV2LnhtbFBLAQIUABQAAAAIAIdO4kCIguymCQIAAOEDAAAOAAAAAAAAAAEAIAAA&#10;ACYBAABkcnMvZTJvRG9jLnhtbFBLBQYAAAAABgAGAFkBAAChBQAAAAA=&#10;">
                <v:fill on="f" focussize="0,0"/>
                <v:stroke weight="2pt" color="#FF0000 [3204]" joinstyle="round"/>
                <v:imagedata o:title=""/>
                <o:lock v:ext="edit" aspectratio="f"/>
              </v:line>
            </w:pict>
          </mc:Fallback>
        </mc:AlternateContent>
      </w:r>
      <w:r>
        <w:rPr>
          <w:rFonts w:hint="eastAsia" w:eastAsia="宋体"/>
          <w:color w:val="auto"/>
          <w:lang w:eastAsia="zh-CN"/>
        </w:rPr>
        <w:drawing>
          <wp:anchor distT="0" distB="0" distL="114300" distR="114300" simplePos="0" relativeHeight="251675648" behindDoc="0" locked="0" layoutInCell="1" allowOverlap="1">
            <wp:simplePos x="0" y="0"/>
            <wp:positionH relativeFrom="column">
              <wp:posOffset>7094855</wp:posOffset>
            </wp:positionH>
            <wp:positionV relativeFrom="paragraph">
              <wp:posOffset>36830</wp:posOffset>
            </wp:positionV>
            <wp:extent cx="969645" cy="991235"/>
            <wp:effectExtent l="0" t="0" r="1905" b="18415"/>
            <wp:wrapNone/>
            <wp:docPr id="71" name="图片 71" descr="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风玫瑰"/>
                    <pic:cNvPicPr>
                      <a:picLocks noChangeAspect="1"/>
                    </pic:cNvPicPr>
                  </pic:nvPicPr>
                  <pic:blipFill>
                    <a:blip r:embed="rId13"/>
                    <a:stretch>
                      <a:fillRect/>
                    </a:stretch>
                  </pic:blipFill>
                  <pic:spPr>
                    <a:xfrm>
                      <a:off x="0" y="0"/>
                      <a:ext cx="969645" cy="991235"/>
                    </a:xfrm>
                    <a:prstGeom prst="rect">
                      <a:avLst/>
                    </a:prstGeom>
                  </pic:spPr>
                </pic:pic>
              </a:graphicData>
            </a:graphic>
          </wp:anchor>
        </w:drawing>
      </w:r>
      <w:r>
        <w:rPr>
          <w:color w:val="auto"/>
          <w:sz w:val="21"/>
        </w:rPr>
        <mc:AlternateContent>
          <mc:Choice Requires="wps">
            <w:drawing>
              <wp:anchor distT="0" distB="0" distL="114300" distR="114300" simplePos="0" relativeHeight="251672576" behindDoc="0" locked="0" layoutInCell="1" allowOverlap="1">
                <wp:simplePos x="0" y="0"/>
                <wp:positionH relativeFrom="column">
                  <wp:posOffset>2329180</wp:posOffset>
                </wp:positionH>
                <wp:positionV relativeFrom="paragraph">
                  <wp:posOffset>4287520</wp:posOffset>
                </wp:positionV>
                <wp:extent cx="190500" cy="177165"/>
                <wp:effectExtent l="15240" t="15240" r="22860" b="17145"/>
                <wp:wrapNone/>
                <wp:docPr id="66" name="五角星 66"/>
                <wp:cNvGraphicFramePr/>
                <a:graphic xmlns:a="http://schemas.openxmlformats.org/drawingml/2006/main">
                  <a:graphicData uri="http://schemas.microsoft.com/office/word/2010/wordprocessingShape">
                    <wps:wsp>
                      <wps:cNvSpPr/>
                      <wps:spPr>
                        <a:xfrm>
                          <a:off x="0" y="0"/>
                          <a:ext cx="190500" cy="17716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183.4pt;margin-top:337.6pt;height:13.95pt;width:15pt;z-index:251672576;mso-width-relative:page;mso-height-relative:page;" fillcolor="#FF0000" filled="t" stroked="t" coordsize="190500,177165" o:gfxdata="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Ftrci2AAAAAsBAAAPAAAAAAAAAAEAIAAAACIAAABkcnMvZG93&#10;bnJldi54bWxQSwECFAAUAAAACACHTuJA2rmQNAACAAAjBAAADgAAAAAAAAABACAAAAAnAQAAZHJz&#10;L2Uyb0RvYy54bWxQSwUGAAAAAAYABgBZAQAAmQUAAAAA&#10;" path="m0,67670l72764,67671,95250,0,117735,67671,190499,67670,131631,109493,154117,177164,95250,135341,36382,177164,58868,109493xe">
                <v:path o:connectlocs="95250,0;0,67670;36382,177164;154117,177164;190499,67670" o:connectangles="247,164,82,82,0"/>
                <v:fill on="t" focussize="0,0"/>
                <v:stroke color="#FF0000" joinstyle="miter"/>
                <v:imagedata o:title=""/>
                <o:lock v:ext="edit" aspectratio="f"/>
              </v:shape>
            </w:pict>
          </mc:Fallback>
        </mc:AlternateContent>
      </w:r>
      <w:r>
        <w:drawing>
          <wp:inline distT="0" distB="0" distL="114300" distR="114300">
            <wp:extent cx="7413625" cy="4931410"/>
            <wp:effectExtent l="0" t="0" r="15875" b="2540"/>
            <wp:docPr id="7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9"/>
                    <pic:cNvPicPr>
                      <a:picLocks noChangeAspect="1"/>
                    </pic:cNvPicPr>
                  </pic:nvPicPr>
                  <pic:blipFill>
                    <a:blip r:embed="rId63"/>
                    <a:stretch>
                      <a:fillRect/>
                    </a:stretch>
                  </pic:blipFill>
                  <pic:spPr>
                    <a:xfrm>
                      <a:off x="0" y="0"/>
                      <a:ext cx="7413625" cy="4931410"/>
                    </a:xfrm>
                    <a:prstGeom prst="rect">
                      <a:avLst/>
                    </a:prstGeom>
                    <a:noFill/>
                    <a:ln>
                      <a:noFill/>
                    </a:ln>
                  </pic:spPr>
                </pic:pic>
              </a:graphicData>
            </a:graphic>
          </wp:inline>
        </w:drawing>
      </w:r>
    </w:p>
    <w:p w14:paraId="3AB42513">
      <w:pPr>
        <w:pStyle w:val="169"/>
        <w:spacing w:line="360" w:lineRule="auto"/>
        <w:jc w:val="center"/>
        <w:outlineLvl w:val="0"/>
        <w:rPr>
          <w:rFonts w:hint="default" w:ascii="Times New Roman" w:hAnsi="Times New Roman" w:eastAsia="宋体" w:cs="Times New Roman"/>
          <w:color w:val="auto"/>
          <w:sz w:val="24"/>
          <w:szCs w:val="24"/>
          <w:highlight w:val="none"/>
          <w:lang w:val="en-US" w:eastAsia="zh-CN"/>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decimal"/>
          <w:cols w:space="0" w:num="1"/>
          <w:docGrid w:type="lines" w:linePitch="316" w:charSpace="0"/>
        </w:sectPr>
      </w:pPr>
      <w:bookmarkStart w:id="156" w:name="_Toc6165"/>
      <w:bookmarkStart w:id="157" w:name="_Toc1936"/>
      <w:bookmarkStart w:id="158" w:name="_Toc1725"/>
      <w:bookmarkStart w:id="159" w:name="_Toc20043"/>
      <w:r>
        <w:rPr>
          <w:color w:val="auto"/>
          <w:sz w:val="24"/>
        </w:rPr>
        <mc:AlternateContent>
          <mc:Choice Requires="wps">
            <w:drawing>
              <wp:anchor distT="0" distB="0" distL="114300" distR="114300" simplePos="0" relativeHeight="251673600" behindDoc="0" locked="0" layoutInCell="1" allowOverlap="1">
                <wp:simplePos x="0" y="0"/>
                <wp:positionH relativeFrom="column">
                  <wp:posOffset>3027045</wp:posOffset>
                </wp:positionH>
                <wp:positionV relativeFrom="paragraph">
                  <wp:posOffset>5423535</wp:posOffset>
                </wp:positionV>
                <wp:extent cx="114300" cy="123825"/>
                <wp:effectExtent l="5080" t="5080" r="13970" b="4445"/>
                <wp:wrapNone/>
                <wp:docPr id="68" name="椭圆 68"/>
                <wp:cNvGraphicFramePr/>
                <a:graphic xmlns:a="http://schemas.openxmlformats.org/drawingml/2006/main">
                  <a:graphicData uri="http://schemas.microsoft.com/office/word/2010/wordprocessingShape">
                    <wps:wsp>
                      <wps:cNvSpPr/>
                      <wps:spPr>
                        <a:xfrm>
                          <a:off x="0" y="0"/>
                          <a:ext cx="114300" cy="123825"/>
                        </a:xfrm>
                        <a:prstGeom prst="ellipse">
                          <a:avLst/>
                        </a:prstGeom>
                        <a:solidFill>
                          <a:srgbClr val="FF0000"/>
                        </a:solidFill>
                        <a:ln w="9525" cap="flat" cmpd="sng">
                          <a:solidFill>
                            <a:srgbClr val="FF0000"/>
                          </a:solidFill>
                          <a:prstDash val="solid"/>
                          <a:miter/>
                          <a:headEnd type="none" w="med" len="med"/>
                          <a:tailEnd type="none" w="med" len="med"/>
                        </a:ln>
                      </wps:spPr>
                      <wps:bodyPr rot="0" spcFirstLastPara="0" vertOverflow="overflow" horzOverflow="overflow" vert="horz" wrap="square" lIns="91440" tIns="45720" rIns="91440" bIns="45720" numCol="1" spcCol="0" rtlCol="0" fromWordArt="0" anchor="ctr" anchorCtr="0" forceAA="0" upright="1" compatLnSpc="1">
                        <a:noAutofit/>
                      </wps:bodyPr>
                    </wps:wsp>
                  </a:graphicData>
                </a:graphic>
              </wp:anchor>
            </w:drawing>
          </mc:Choice>
          <mc:Fallback>
            <w:pict>
              <v:shape id="_x0000_s1026" o:spid="_x0000_s1026" o:spt="3" type="#_x0000_t3" style="position:absolute;left:0pt;margin-left:238.35pt;margin-top:427.05pt;height:9.75pt;width:9pt;z-index:251673600;v-text-anchor:middle;mso-width-relative:page;mso-height-relative:page;" fillcolor="#FF0000" filled="t" stroked="t" coordsize="21600,21600" o:gfxdata="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PlM92DZAAAACwEAAA8A&#10;AAAAAAAAAQAgAAAAIgAAAGRycy9kb3ducmV2LnhtbFBLAQIUABQAAAAIAIdO4kB81nM5iAIAAD8F&#10;AAAOAAAAAAAAAAEAIAAAACgBAABkcnMvZTJvRG9jLnhtbFBLBQYAAAAABgAGAFkBAAAiBgAAAAA=&#10;">
                <v:fill on="t" focussize="0,0"/>
                <v:stroke color="#FF0000" joinstyle="miter"/>
                <v:imagedata o:title=""/>
                <o:lock v:ext="edit" aspectratio="f"/>
              </v:shape>
            </w:pict>
          </mc:Fallback>
        </mc:AlternateContent>
      </w:r>
      <w:r>
        <w:rPr>
          <w:color w:val="auto"/>
          <w:sz w:val="21"/>
        </w:rPr>
        <mc:AlternateContent>
          <mc:Choice Requires="wps">
            <w:drawing>
              <wp:anchor distT="0" distB="0" distL="114300" distR="114300" simplePos="0" relativeHeight="251674624" behindDoc="0" locked="0" layoutInCell="1" allowOverlap="1">
                <wp:simplePos x="0" y="0"/>
                <wp:positionH relativeFrom="column">
                  <wp:posOffset>2323465</wp:posOffset>
                </wp:positionH>
                <wp:positionV relativeFrom="paragraph">
                  <wp:posOffset>5268595</wp:posOffset>
                </wp:positionV>
                <wp:extent cx="742950" cy="276225"/>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74295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0B3BCC">
                            <w:pPr>
                              <w:rPr>
                                <w:rFonts w:hint="default" w:eastAsia="宋体"/>
                                <w:color w:val="FF0000"/>
                                <w:lang w:val="en-US" w:eastAsia="zh-CN"/>
                              </w:rPr>
                            </w:pPr>
                            <w:r>
                              <w:rPr>
                                <w:rFonts w:hint="eastAsia"/>
                                <w:color w:val="FF0000"/>
                                <w:lang w:val="en-US" w:eastAsia="zh-CN"/>
                              </w:rPr>
                              <w:t>监测点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2.95pt;margin-top:414.85pt;height:21.75pt;width:58.5pt;z-index:251674624;mso-width-relative:page;mso-height-relative:page;" filled="f" stroked="f" coordsize="21600,21600" o:gfxdata="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jAsPZdsAAAALAQAADwAAAAAAAAABACAAAAAiAAAAZHJz&#10;L2Rvd25yZXYueG1sUEsBAhQAFAAAAAgAh07iQEI32gQ6AgAAZwQAAA4AAAAAAAAAAQAgAAAAKgEA&#10;AGRycy9lMm9Eb2MueG1sUEsFBgAAAAAGAAYAWQEAANYFAAAAAA==&#10;">
                <v:fill on="f" focussize="0,0"/>
                <v:stroke on="f" weight="0.5pt"/>
                <v:imagedata o:title=""/>
                <o:lock v:ext="edit" aspectratio="f"/>
                <v:textbox>
                  <w:txbxContent>
                    <w:p w14:paraId="720B3BCC">
                      <w:pPr>
                        <w:rPr>
                          <w:rFonts w:hint="default" w:eastAsia="宋体"/>
                          <w:color w:val="FF0000"/>
                          <w:lang w:val="en-US" w:eastAsia="zh-CN"/>
                        </w:rPr>
                      </w:pPr>
                      <w:r>
                        <w:rPr>
                          <w:rFonts w:hint="eastAsia"/>
                          <w:color w:val="FF0000"/>
                          <w:lang w:val="en-US" w:eastAsia="zh-CN"/>
                        </w:rPr>
                        <w:t>监测点</w:t>
                      </w:r>
                    </w:p>
                  </w:txbxContent>
                </v:textbox>
              </v:shape>
            </w:pict>
          </mc:Fallback>
        </mc:AlternateContent>
      </w:r>
      <w:r>
        <w:rPr>
          <w:rFonts w:hint="default" w:ascii="Times New Roman" w:hAnsi="Times New Roman" w:eastAsia="宋体" w:cs="Times New Roman"/>
          <w:color w:val="auto"/>
          <w:sz w:val="24"/>
          <w:szCs w:val="24"/>
          <w:highlight w:val="none"/>
          <w:lang w:val="en-US" w:eastAsia="zh-CN"/>
        </w:rPr>
        <w:t>附图</w:t>
      </w:r>
      <w:r>
        <w:rPr>
          <w:rFonts w:hint="eastAsia"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US" w:eastAsia="zh-CN"/>
        </w:rPr>
        <w:t xml:space="preserve"> </w:t>
      </w:r>
      <w:r>
        <w:rPr>
          <w:rFonts w:hint="eastAsia" w:ascii="Times New Roman" w:hAnsi="Times New Roman" w:eastAsia="宋体" w:cs="Times New Roman"/>
          <w:b/>
          <w:bCs/>
          <w:color w:val="auto"/>
          <w:kern w:val="2"/>
          <w:sz w:val="24"/>
          <w:szCs w:val="24"/>
          <w:lang w:val="en-US" w:eastAsia="zh-CN" w:bidi="ar-SA"/>
        </w:rPr>
        <w:t>本项目与监测点相对位置关系</w:t>
      </w:r>
      <w:bookmarkEnd w:id="156"/>
      <w:bookmarkEnd w:id="157"/>
      <w:bookmarkEnd w:id="158"/>
      <w:bookmarkEnd w:id="159"/>
    </w:p>
    <w:p w14:paraId="4A97530D">
      <w:pPr>
        <w:pStyle w:val="169"/>
        <w:spacing w:line="360" w:lineRule="auto"/>
        <w:jc w:val="center"/>
        <w:outlineLvl w:val="0"/>
        <w:rPr>
          <w:rFonts w:hint="eastAsia" w:ascii="Times New Roman" w:hAnsi="Times New Roman" w:eastAsia="宋体" w:cs="Times New Roman"/>
          <w:color w:val="auto"/>
          <w:sz w:val="24"/>
          <w:szCs w:val="24"/>
          <w:highlight w:val="none"/>
          <w:lang w:val="en-US" w:eastAsia="zh-CN"/>
        </w:rPr>
        <w:sectPr>
          <w:pgSz w:w="11849" w:h="16781"/>
          <w:pgMar w:top="1701" w:right="1531" w:bottom="1701" w:left="1531" w:header="851" w:footer="1077" w:gutter="0"/>
          <w:pgBorders>
            <w:top w:val="none" w:sz="0" w:space="0"/>
            <w:left w:val="none" w:sz="0" w:space="0"/>
            <w:bottom w:val="none" w:sz="0" w:space="0"/>
            <w:right w:val="none" w:sz="0" w:space="0"/>
          </w:pgBorders>
          <w:pgNumType w:fmt="decimal"/>
          <w:cols w:space="0" w:num="1"/>
          <w:docGrid w:type="lines" w:linePitch="316" w:charSpace="0"/>
        </w:sectPr>
      </w:pPr>
      <w:bookmarkStart w:id="160" w:name="_Toc22056"/>
      <w:bookmarkStart w:id="161" w:name="_Toc26599"/>
      <w:bookmarkStart w:id="162" w:name="_Toc20718"/>
      <w:bookmarkStart w:id="163" w:name="_Toc2368"/>
      <w:r>
        <w:drawing>
          <wp:inline distT="0" distB="0" distL="114300" distR="114300">
            <wp:extent cx="5578475" cy="3624580"/>
            <wp:effectExtent l="0" t="0" r="3175" b="13970"/>
            <wp:docPr id="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
                    <pic:cNvPicPr>
                      <a:picLocks noChangeAspect="1"/>
                    </pic:cNvPicPr>
                  </pic:nvPicPr>
                  <pic:blipFill>
                    <a:blip r:embed="rId64"/>
                    <a:stretch>
                      <a:fillRect/>
                    </a:stretch>
                  </pic:blipFill>
                  <pic:spPr>
                    <a:xfrm>
                      <a:off x="0" y="0"/>
                      <a:ext cx="5578475" cy="3624580"/>
                    </a:xfrm>
                    <a:prstGeom prst="rect">
                      <a:avLst/>
                    </a:prstGeom>
                    <a:noFill/>
                    <a:ln>
                      <a:noFill/>
                    </a:ln>
                  </pic:spPr>
                </pic:pic>
              </a:graphicData>
            </a:graphic>
          </wp:inline>
        </w:drawing>
      </w:r>
      <w:r>
        <w:rPr>
          <w:rFonts w:hint="eastAsia" w:ascii="Times New Roman" w:hAnsi="Times New Roman" w:eastAsia="宋体" w:cs="Times New Roman"/>
          <w:color w:val="auto"/>
          <w:sz w:val="24"/>
          <w:szCs w:val="24"/>
          <w:highlight w:val="none"/>
          <w:lang w:val="en-US" w:eastAsia="zh-CN"/>
        </w:rPr>
        <w:t>附图</w:t>
      </w:r>
      <w:r>
        <w:rPr>
          <w:rFonts w:hint="eastAsia" w:cs="Times New Roman"/>
          <w:color w:val="auto"/>
          <w:sz w:val="24"/>
          <w:szCs w:val="24"/>
          <w:highlight w:val="none"/>
          <w:lang w:val="en-US" w:eastAsia="zh-CN"/>
        </w:rPr>
        <w:t>6</w:t>
      </w:r>
      <w:r>
        <w:rPr>
          <w:rFonts w:hint="eastAsia" w:ascii="Times New Roman" w:hAnsi="Times New Roman" w:eastAsia="宋体" w:cs="Times New Roman"/>
          <w:color w:val="auto"/>
          <w:sz w:val="24"/>
          <w:szCs w:val="24"/>
          <w:highlight w:val="none"/>
          <w:lang w:val="en-US" w:eastAsia="zh-CN"/>
        </w:rPr>
        <w:t xml:space="preserve"> 公示截图</w:t>
      </w:r>
      <w:bookmarkEnd w:id="147"/>
      <w:bookmarkEnd w:id="160"/>
      <w:bookmarkEnd w:id="161"/>
      <w:bookmarkEnd w:id="162"/>
      <w:bookmarkEnd w:id="163"/>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15"/>
        <w:gridCol w:w="4488"/>
      </w:tblGrid>
      <w:tr w14:paraId="30790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7" w:type="pct"/>
          </w:tcPr>
          <w:p w14:paraId="51846390">
            <w:pPr>
              <w:keepNext w:val="0"/>
              <w:keepLines w:val="0"/>
              <w:suppressLineNumbers w:val="0"/>
              <w:spacing w:before="0" w:beforeAutospacing="0" w:after="0" w:afterAutospacing="0"/>
              <w:ind w:left="0" w:right="0"/>
              <w:jc w:val="center"/>
              <w:rPr>
                <w:rFonts w:hint="eastAsia" w:eastAsia="宋体"/>
                <w:color w:val="auto"/>
                <w:highlight w:val="none"/>
                <w:lang w:eastAsia="zh-CN"/>
              </w:rPr>
            </w:pPr>
            <w:bookmarkStart w:id="164" w:name="_Toc7859"/>
            <w:bookmarkStart w:id="165" w:name="_Toc12405"/>
            <w:r>
              <w:rPr>
                <w:rFonts w:hint="eastAsia" w:eastAsia="宋体"/>
                <w:color w:val="auto"/>
                <w:highlight w:val="none"/>
                <w:lang w:eastAsia="zh-CN"/>
              </w:rPr>
              <w:drawing>
                <wp:inline distT="0" distB="0" distL="114300" distR="114300">
                  <wp:extent cx="1967230" cy="3472180"/>
                  <wp:effectExtent l="0" t="0" r="13970" b="13970"/>
                  <wp:docPr id="97" name="图片 97" descr="ea3c2eb023009eab9bfe95f041bc3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ea3c2eb023009eab9bfe95f041bc3f1"/>
                          <pic:cNvPicPr>
                            <a:picLocks noChangeAspect="1"/>
                          </pic:cNvPicPr>
                        </pic:nvPicPr>
                        <pic:blipFill>
                          <a:blip r:embed="rId65"/>
                          <a:stretch>
                            <a:fillRect/>
                          </a:stretch>
                        </pic:blipFill>
                        <pic:spPr>
                          <a:xfrm>
                            <a:off x="0" y="0"/>
                            <a:ext cx="1967230" cy="3472180"/>
                          </a:xfrm>
                          <a:prstGeom prst="rect">
                            <a:avLst/>
                          </a:prstGeom>
                        </pic:spPr>
                      </pic:pic>
                    </a:graphicData>
                  </a:graphic>
                </wp:inline>
              </w:drawing>
            </w:r>
          </w:p>
        </w:tc>
        <w:tc>
          <w:tcPr>
            <w:tcW w:w="2492" w:type="pct"/>
          </w:tcPr>
          <w:p w14:paraId="52F3F236">
            <w:pPr>
              <w:keepNext w:val="0"/>
              <w:keepLines w:val="0"/>
              <w:suppressLineNumbers w:val="0"/>
              <w:spacing w:before="0" w:beforeAutospacing="0" w:after="0" w:afterAutospacing="0"/>
              <w:ind w:left="0" w:right="0"/>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2697480" cy="2022475"/>
                  <wp:effectExtent l="0" t="0" r="7620" b="15875"/>
                  <wp:docPr id="96" name="图片 96" descr="e18af1e67cd53b6d73404bd163f7d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e18af1e67cd53b6d73404bd163f7d96"/>
                          <pic:cNvPicPr>
                            <a:picLocks noChangeAspect="1"/>
                          </pic:cNvPicPr>
                        </pic:nvPicPr>
                        <pic:blipFill>
                          <a:blip r:embed="rId66"/>
                          <a:stretch>
                            <a:fillRect/>
                          </a:stretch>
                        </pic:blipFill>
                        <pic:spPr>
                          <a:xfrm>
                            <a:off x="0" y="0"/>
                            <a:ext cx="2697480" cy="2022475"/>
                          </a:xfrm>
                          <a:prstGeom prst="rect">
                            <a:avLst/>
                          </a:prstGeom>
                        </pic:spPr>
                      </pic:pic>
                    </a:graphicData>
                  </a:graphic>
                </wp:inline>
              </w:drawing>
            </w:r>
          </w:p>
        </w:tc>
      </w:tr>
      <w:tr w14:paraId="65FC5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7" w:type="pct"/>
          </w:tcPr>
          <w:p w14:paraId="7FB8E16E">
            <w:pPr>
              <w:keepNext w:val="0"/>
              <w:keepLines w:val="0"/>
              <w:suppressLineNumbers w:val="0"/>
              <w:spacing w:before="0" w:beforeAutospacing="0" w:after="0" w:afterAutospacing="0"/>
              <w:ind w:left="0" w:right="0"/>
              <w:jc w:val="center"/>
              <w:rPr>
                <w:rFonts w:hint="default"/>
                <w:color w:val="auto"/>
                <w:highlight w:val="none"/>
              </w:rPr>
            </w:pPr>
            <w:r>
              <w:rPr>
                <w:rFonts w:hint="eastAsia"/>
                <w:color w:val="auto"/>
                <w:highlight w:val="none"/>
              </w:rPr>
              <w:t>厂区东侧</w:t>
            </w:r>
          </w:p>
        </w:tc>
        <w:tc>
          <w:tcPr>
            <w:tcW w:w="2492" w:type="pct"/>
          </w:tcPr>
          <w:p w14:paraId="79A46BA2">
            <w:pPr>
              <w:keepNext w:val="0"/>
              <w:keepLines w:val="0"/>
              <w:suppressLineNumbers w:val="0"/>
              <w:spacing w:before="0" w:beforeAutospacing="0" w:after="0" w:afterAutospacing="0"/>
              <w:ind w:left="0" w:right="0"/>
              <w:jc w:val="center"/>
              <w:rPr>
                <w:rFonts w:hint="default"/>
                <w:color w:val="auto"/>
                <w:highlight w:val="none"/>
              </w:rPr>
            </w:pPr>
            <w:r>
              <w:rPr>
                <w:rFonts w:hint="eastAsia"/>
                <w:color w:val="auto"/>
                <w:highlight w:val="none"/>
              </w:rPr>
              <w:t>厂区南侧</w:t>
            </w:r>
          </w:p>
        </w:tc>
      </w:tr>
      <w:tr w14:paraId="326C6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7" w:type="pct"/>
          </w:tcPr>
          <w:p w14:paraId="786C8B6C">
            <w:pPr>
              <w:keepNext w:val="0"/>
              <w:keepLines w:val="0"/>
              <w:suppressLineNumbers w:val="0"/>
              <w:spacing w:before="0" w:beforeAutospacing="0" w:after="0" w:afterAutospacing="0"/>
              <w:ind w:left="0" w:right="0"/>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1957705" cy="3481070"/>
                  <wp:effectExtent l="0" t="0" r="4445" b="5080"/>
                  <wp:docPr id="99" name="图片 99" descr="c03d98760a53373391bdf8fbe16fc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c03d98760a53373391bdf8fbe16fcf3"/>
                          <pic:cNvPicPr>
                            <a:picLocks noChangeAspect="1"/>
                          </pic:cNvPicPr>
                        </pic:nvPicPr>
                        <pic:blipFill>
                          <a:blip r:embed="rId67"/>
                          <a:stretch>
                            <a:fillRect/>
                          </a:stretch>
                        </pic:blipFill>
                        <pic:spPr>
                          <a:xfrm>
                            <a:off x="0" y="0"/>
                            <a:ext cx="1957705" cy="3481070"/>
                          </a:xfrm>
                          <a:prstGeom prst="rect">
                            <a:avLst/>
                          </a:prstGeom>
                        </pic:spPr>
                      </pic:pic>
                    </a:graphicData>
                  </a:graphic>
                </wp:inline>
              </w:drawing>
            </w:r>
          </w:p>
        </w:tc>
        <w:tc>
          <w:tcPr>
            <w:tcW w:w="2492" w:type="pct"/>
          </w:tcPr>
          <w:p w14:paraId="17798E95">
            <w:pPr>
              <w:keepNext w:val="0"/>
              <w:keepLines w:val="0"/>
              <w:suppressLineNumbers w:val="0"/>
              <w:spacing w:before="0" w:beforeAutospacing="0" w:after="0" w:afterAutospacing="0"/>
              <w:ind w:left="0" w:right="0"/>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1927225" cy="3431540"/>
                  <wp:effectExtent l="0" t="0" r="15875" b="16510"/>
                  <wp:docPr id="98" name="图片 98" descr="1a59992d05efafcc443272640bdf4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1a59992d05efafcc443272640bdf4d6"/>
                          <pic:cNvPicPr>
                            <a:picLocks noChangeAspect="1"/>
                          </pic:cNvPicPr>
                        </pic:nvPicPr>
                        <pic:blipFill>
                          <a:blip r:embed="rId68"/>
                          <a:stretch>
                            <a:fillRect/>
                          </a:stretch>
                        </pic:blipFill>
                        <pic:spPr>
                          <a:xfrm>
                            <a:off x="0" y="0"/>
                            <a:ext cx="1927225" cy="3431540"/>
                          </a:xfrm>
                          <a:prstGeom prst="rect">
                            <a:avLst/>
                          </a:prstGeom>
                        </pic:spPr>
                      </pic:pic>
                    </a:graphicData>
                  </a:graphic>
                </wp:inline>
              </w:drawing>
            </w:r>
          </w:p>
        </w:tc>
      </w:tr>
      <w:tr w14:paraId="3F684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2507" w:type="pct"/>
          </w:tcPr>
          <w:p w14:paraId="628BCC21">
            <w:pPr>
              <w:keepNext w:val="0"/>
              <w:keepLines w:val="0"/>
              <w:suppressLineNumbers w:val="0"/>
              <w:spacing w:before="0" w:beforeAutospacing="0" w:after="0" w:afterAutospacing="0"/>
              <w:ind w:left="0" w:right="0"/>
              <w:jc w:val="center"/>
              <w:rPr>
                <w:rFonts w:hint="default"/>
                <w:color w:val="auto"/>
                <w:highlight w:val="none"/>
              </w:rPr>
            </w:pPr>
            <w:r>
              <w:rPr>
                <w:rFonts w:hint="eastAsia"/>
                <w:color w:val="auto"/>
                <w:highlight w:val="none"/>
              </w:rPr>
              <w:t>厂区西侧</w:t>
            </w:r>
          </w:p>
        </w:tc>
        <w:tc>
          <w:tcPr>
            <w:tcW w:w="2492" w:type="pct"/>
          </w:tcPr>
          <w:p w14:paraId="7CC9CF4B">
            <w:pPr>
              <w:keepNext w:val="0"/>
              <w:keepLines w:val="0"/>
              <w:suppressLineNumbers w:val="0"/>
              <w:spacing w:before="0" w:beforeAutospacing="0" w:after="0" w:afterAutospacing="0"/>
              <w:ind w:left="0" w:right="0"/>
              <w:jc w:val="center"/>
              <w:rPr>
                <w:rFonts w:hint="default"/>
                <w:color w:val="auto"/>
                <w:highlight w:val="none"/>
              </w:rPr>
            </w:pPr>
            <w:r>
              <w:rPr>
                <w:rFonts w:hint="eastAsia"/>
                <w:color w:val="auto"/>
                <w:highlight w:val="none"/>
              </w:rPr>
              <w:t>厂区北侧</w:t>
            </w:r>
          </w:p>
        </w:tc>
      </w:tr>
    </w:tbl>
    <w:p w14:paraId="4A9302A5">
      <w:pPr>
        <w:pStyle w:val="169"/>
        <w:spacing w:line="360" w:lineRule="auto"/>
        <w:jc w:val="center"/>
        <w:outlineLvl w:val="0"/>
        <w:rPr>
          <w:rFonts w:hint="eastAsia" w:ascii="Times New Roman" w:hAnsi="Times New Roman" w:eastAsia="宋体" w:cs="Times New Roman"/>
          <w:color w:val="auto"/>
          <w:sz w:val="24"/>
          <w:szCs w:val="24"/>
          <w:highlight w:val="none"/>
          <w:lang w:val="en-US" w:eastAsia="zh-CN"/>
        </w:rPr>
        <w:sectPr>
          <w:pgSz w:w="11849" w:h="16781"/>
          <w:pgMar w:top="1701" w:right="1531" w:bottom="1701" w:left="1531" w:header="851" w:footer="1077" w:gutter="0"/>
          <w:pgBorders>
            <w:top w:val="none" w:sz="0" w:space="0"/>
            <w:left w:val="none" w:sz="0" w:space="0"/>
            <w:bottom w:val="none" w:sz="0" w:space="0"/>
            <w:right w:val="none" w:sz="0" w:space="0"/>
          </w:pgBorders>
          <w:pgNumType w:fmt="decimal"/>
          <w:cols w:space="0" w:num="1"/>
          <w:docGrid w:type="lines" w:linePitch="316" w:charSpace="0"/>
        </w:sectPr>
      </w:pPr>
      <w:bookmarkStart w:id="166" w:name="_Toc10534"/>
      <w:bookmarkStart w:id="167" w:name="_Toc5857"/>
      <w:bookmarkStart w:id="168" w:name="_Toc14512"/>
      <w:bookmarkStart w:id="169" w:name="_Toc15599"/>
      <w:r>
        <w:rPr>
          <w:rFonts w:hint="eastAsia" w:ascii="Times New Roman" w:hAnsi="Times New Roman" w:eastAsia="宋体" w:cs="Times New Roman"/>
          <w:color w:val="auto"/>
          <w:sz w:val="24"/>
          <w:szCs w:val="24"/>
          <w:highlight w:val="none"/>
          <w:lang w:val="en-US" w:eastAsia="zh-CN"/>
        </w:rPr>
        <w:t>附图</w:t>
      </w:r>
      <w:r>
        <w:rPr>
          <w:rFonts w:hint="eastAsia" w:ascii="Times New Roman" w:hAnsi="Times New Roman" w:cs="Times New Roman"/>
          <w:color w:val="auto"/>
          <w:sz w:val="24"/>
          <w:szCs w:val="24"/>
          <w:highlight w:val="none"/>
          <w:lang w:val="en-US" w:eastAsia="zh-CN"/>
        </w:rPr>
        <w:t xml:space="preserve">7 </w:t>
      </w:r>
      <w:r>
        <w:rPr>
          <w:rFonts w:hint="eastAsia" w:ascii="Times New Roman" w:hAnsi="Times New Roman" w:eastAsia="宋体" w:cs="Times New Roman"/>
          <w:color w:val="auto"/>
          <w:sz w:val="24"/>
          <w:szCs w:val="24"/>
          <w:highlight w:val="none"/>
          <w:lang w:val="en-US" w:eastAsia="zh-CN"/>
        </w:rPr>
        <w:t>项目四周情况图</w:t>
      </w:r>
      <w:bookmarkEnd w:id="166"/>
      <w:bookmarkEnd w:id="167"/>
      <w:bookmarkEnd w:id="168"/>
      <w:bookmarkEnd w:id="169"/>
    </w:p>
    <w:p w14:paraId="3D144DC8">
      <w:pPr>
        <w:pStyle w:val="169"/>
        <w:spacing w:line="360" w:lineRule="auto"/>
        <w:outlineLvl w:val="0"/>
        <w:rPr>
          <w:rFonts w:hint="default" w:ascii="Times New Roman" w:hAnsi="Times New Roman" w:eastAsia="宋体" w:cs="Times New Roman"/>
          <w:color w:val="auto"/>
          <w:sz w:val="24"/>
          <w:szCs w:val="24"/>
          <w:highlight w:val="none"/>
          <w:lang w:val="en-US" w:eastAsia="zh-CN"/>
        </w:rPr>
      </w:pPr>
      <w:bookmarkStart w:id="170" w:name="_Toc14417"/>
      <w:bookmarkStart w:id="171" w:name="_Toc594"/>
      <w:bookmarkStart w:id="172" w:name="_Toc6497"/>
      <w:r>
        <w:rPr>
          <w:rFonts w:hint="default" w:ascii="Times New Roman" w:hAnsi="Times New Roman" w:eastAsia="宋体" w:cs="Times New Roman"/>
          <w:color w:val="auto"/>
          <w:sz w:val="24"/>
          <w:szCs w:val="24"/>
          <w:highlight w:val="none"/>
          <w:lang w:val="en-US" w:eastAsia="zh-CN"/>
        </w:rPr>
        <w:t>附件</w:t>
      </w:r>
      <w:r>
        <w:rPr>
          <w:rFonts w:hint="eastAsia" w:cs="Times New Roman"/>
          <w:color w:val="auto"/>
          <w:sz w:val="24"/>
          <w:szCs w:val="24"/>
          <w:highlight w:val="none"/>
          <w:lang w:val="en-US" w:eastAsia="zh-CN"/>
        </w:rPr>
        <w:t xml:space="preserve">8 </w:t>
      </w:r>
      <w:r>
        <w:rPr>
          <w:rFonts w:hint="eastAsia" w:ascii="Times New Roman" w:hAnsi="Times New Roman" w:eastAsia="宋体" w:cs="Times New Roman"/>
          <w:color w:val="auto"/>
          <w:sz w:val="24"/>
          <w:szCs w:val="24"/>
          <w:highlight w:val="none"/>
          <w:lang w:val="en-US" w:eastAsia="zh-CN"/>
        </w:rPr>
        <w:t>核定排放量计算说明</w:t>
      </w:r>
      <w:bookmarkEnd w:id="164"/>
      <w:bookmarkEnd w:id="165"/>
      <w:bookmarkEnd w:id="170"/>
      <w:bookmarkEnd w:id="171"/>
      <w:bookmarkEnd w:id="172"/>
    </w:p>
    <w:p w14:paraId="530C7809">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highlight w:val="none"/>
        </w:rPr>
      </w:pPr>
      <w:bookmarkStart w:id="173" w:name="_Toc5031"/>
      <w:r>
        <w:rPr>
          <w:rFonts w:hint="eastAsia"/>
          <w:color w:val="auto"/>
          <w:sz w:val="24"/>
          <w:szCs w:val="24"/>
          <w:highlight w:val="none"/>
        </w:rPr>
        <w:t>废气排放总量</w:t>
      </w:r>
      <w:bookmarkEnd w:id="173"/>
    </w:p>
    <w:p w14:paraId="19EC0B44">
      <w:pPr>
        <w:pStyle w:val="158"/>
        <w:adjustRightInd w:val="0"/>
        <w:snapToGrid w:val="0"/>
        <w:spacing w:line="360" w:lineRule="auto"/>
        <w:ind w:firstLineChars="200"/>
        <w:rPr>
          <w:rFonts w:eastAsia="宋体"/>
          <w:color w:val="auto"/>
          <w:sz w:val="24"/>
          <w:szCs w:val="24"/>
          <w:highlight w:val="none"/>
        </w:rPr>
      </w:pPr>
      <w:r>
        <w:rPr>
          <w:rFonts w:hint="eastAsia"/>
          <w:color w:val="auto"/>
          <w:sz w:val="24"/>
          <w:szCs w:val="24"/>
          <w:highlight w:val="none"/>
          <w:lang w:val="en-US" w:eastAsia="zh-CN"/>
        </w:rPr>
        <w:t>1、热风炉污染物：</w:t>
      </w:r>
      <w:r>
        <w:rPr>
          <w:rFonts w:eastAsia="宋体"/>
          <w:color w:val="auto"/>
          <w:sz w:val="24"/>
          <w:szCs w:val="24"/>
          <w:highlight w:val="none"/>
        </w:rPr>
        <w:t>根据《排污许可证申请与核发技术规范 工业炉窑》（HJ1121-2020）中表6取值表计算本项目</w:t>
      </w:r>
      <w:r>
        <w:rPr>
          <w:rFonts w:hint="eastAsia"/>
          <w:color w:val="auto"/>
          <w:sz w:val="24"/>
          <w:szCs w:val="24"/>
          <w:highlight w:val="none"/>
          <w:lang w:val="en-US" w:eastAsia="zh-CN"/>
        </w:rPr>
        <w:t>烟尘</w:t>
      </w:r>
      <w:r>
        <w:rPr>
          <w:rFonts w:hint="eastAsia"/>
          <w:color w:val="auto"/>
          <w:sz w:val="24"/>
          <w:szCs w:val="24"/>
          <w:highlight w:val="none"/>
          <w:lang w:eastAsia="zh-CN"/>
        </w:rPr>
        <w:t>、二氧化硫、</w:t>
      </w:r>
      <w:r>
        <w:rPr>
          <w:rFonts w:eastAsia="宋体"/>
          <w:color w:val="auto"/>
          <w:sz w:val="24"/>
          <w:szCs w:val="24"/>
          <w:highlight w:val="none"/>
        </w:rPr>
        <w:t>氮氧化物绩效值。</w:t>
      </w:r>
      <w:r>
        <w:rPr>
          <w:rFonts w:hint="default" w:ascii="Times New Roman" w:hAnsi="Times New Roman" w:cs="Times New Roman"/>
          <w:color w:val="auto"/>
          <w:sz w:val="24"/>
          <w:szCs w:val="24"/>
          <w:highlight w:val="none"/>
        </w:rPr>
        <w:t>本项目低位发热量（Q</w:t>
      </w:r>
      <w:r>
        <w:rPr>
          <w:rFonts w:hint="default" w:ascii="Times New Roman" w:hAnsi="Times New Roman" w:cs="Times New Roman"/>
          <w:color w:val="auto"/>
          <w:sz w:val="24"/>
          <w:szCs w:val="24"/>
          <w:highlight w:val="none"/>
          <w:vertAlign w:val="subscript"/>
        </w:rPr>
        <w:t>net，ar</w:t>
      </w:r>
      <w:r>
        <w:rPr>
          <w:rFonts w:hint="default" w:ascii="Times New Roman" w:hAnsi="Times New Roman" w:cs="Times New Roman"/>
          <w:color w:val="auto"/>
          <w:sz w:val="24"/>
          <w:szCs w:val="24"/>
          <w:highlight w:val="none"/>
        </w:rPr>
        <w:t>）为</w:t>
      </w:r>
      <w:r>
        <w:rPr>
          <w:rFonts w:hint="eastAsia" w:cs="Times New Roman"/>
          <w:color w:val="auto"/>
          <w:sz w:val="24"/>
          <w:szCs w:val="24"/>
          <w:highlight w:val="none"/>
          <w:lang w:val="en-US" w:eastAsia="zh-CN"/>
        </w:rPr>
        <w:t>14.908</w:t>
      </w:r>
      <w:r>
        <w:rPr>
          <w:rFonts w:hint="default" w:ascii="Times New Roman" w:hAnsi="Times New Roman" w:cs="Times New Roman"/>
          <w:color w:val="auto"/>
          <w:sz w:val="24"/>
          <w:szCs w:val="24"/>
          <w:highlight w:val="none"/>
        </w:rPr>
        <w:t>MJ/kg</w:t>
      </w:r>
      <w:r>
        <w:rPr>
          <w:rFonts w:eastAsia="宋体"/>
          <w:color w:val="auto"/>
          <w:sz w:val="24"/>
          <w:szCs w:val="24"/>
          <w:highlight w:val="none"/>
        </w:rPr>
        <w:t>，采用插值法计算绩效值：</w:t>
      </w:r>
    </w:p>
    <w:p w14:paraId="6237CDB4">
      <w:pPr>
        <w:pStyle w:val="158"/>
        <w:adjustRightInd w:val="0"/>
        <w:snapToGrid w:val="0"/>
        <w:spacing w:line="500" w:lineRule="exact"/>
        <w:ind w:firstLine="0"/>
        <w:jc w:val="center"/>
        <w:rPr>
          <w:rFonts w:eastAsia="宋体"/>
          <w:b/>
          <w:bCs/>
          <w:color w:val="auto"/>
          <w:sz w:val="24"/>
          <w:szCs w:val="24"/>
          <w:highlight w:val="none"/>
        </w:rPr>
      </w:pPr>
      <w:r>
        <w:rPr>
          <w:rFonts w:eastAsia="宋体"/>
          <w:b/>
          <w:bCs/>
          <w:color w:val="auto"/>
          <w:sz w:val="24"/>
          <w:szCs w:val="24"/>
          <w:highlight w:val="none"/>
        </w:rPr>
        <w:t>表1加热炉、热处理炉、干燥炉（窑）排放口参考绩效值表</w:t>
      </w:r>
    </w:p>
    <w:p w14:paraId="2B43F43D">
      <w:pPr>
        <w:pStyle w:val="158"/>
        <w:adjustRightInd w:val="0"/>
        <w:snapToGrid w:val="0"/>
        <w:ind w:firstLine="0"/>
        <w:jc w:val="center"/>
        <w:rPr>
          <w:rFonts w:eastAsia="宋体"/>
          <w:color w:val="auto"/>
          <w:sz w:val="21"/>
          <w:szCs w:val="21"/>
          <w:highlight w:val="none"/>
        </w:rPr>
      </w:pPr>
      <w:r>
        <w:rPr>
          <w:color w:val="auto"/>
          <w:highlight w:val="none"/>
        </w:rPr>
        <w:drawing>
          <wp:inline distT="0" distB="0" distL="114300" distR="114300">
            <wp:extent cx="5274310" cy="1818640"/>
            <wp:effectExtent l="0" t="0" r="13970" b="10160"/>
            <wp:docPr id="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pic:cNvPicPr>
                  </pic:nvPicPr>
                  <pic:blipFill>
                    <a:blip r:embed="rId69"/>
                    <a:stretch>
                      <a:fillRect/>
                    </a:stretch>
                  </pic:blipFill>
                  <pic:spPr>
                    <a:xfrm>
                      <a:off x="0" y="0"/>
                      <a:ext cx="5274310" cy="1818640"/>
                    </a:xfrm>
                    <a:prstGeom prst="rect">
                      <a:avLst/>
                    </a:prstGeom>
                    <a:noFill/>
                    <a:ln>
                      <a:noFill/>
                    </a:ln>
                  </pic:spPr>
                </pic:pic>
              </a:graphicData>
            </a:graphic>
          </wp:inline>
        </w:drawing>
      </w:r>
    </w:p>
    <w:p w14:paraId="3AE0E59C">
      <w:pPr>
        <w:pStyle w:val="158"/>
        <w:adjustRightInd w:val="0"/>
        <w:snapToGrid w:val="0"/>
        <w:spacing w:line="360" w:lineRule="auto"/>
        <w:ind w:left="0" w:leftChars="0" w:firstLine="0" w:firstLineChars="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0" distR="0">
            <wp:extent cx="5513070" cy="2752725"/>
            <wp:effectExtent l="0" t="0" r="11430" b="952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70"/>
                    <a:srcRect t="28166" r="4260" b="1987"/>
                    <a:stretch>
                      <a:fillRect/>
                    </a:stretch>
                  </pic:blipFill>
                  <pic:spPr>
                    <a:xfrm>
                      <a:off x="0" y="0"/>
                      <a:ext cx="5516089" cy="2754143"/>
                    </a:xfrm>
                    <a:prstGeom prst="rect">
                      <a:avLst/>
                    </a:prstGeom>
                    <a:ln>
                      <a:noFill/>
                    </a:ln>
                  </pic:spPr>
                </pic:pic>
              </a:graphicData>
            </a:graphic>
          </wp:inline>
        </w:drawing>
      </w:r>
    </w:p>
    <w:p w14:paraId="2E6A0F48">
      <w:pPr>
        <w:pStyle w:val="158"/>
        <w:adjustRightInd w:val="0"/>
        <w:snapToGrid w:val="0"/>
        <w:spacing w:line="360" w:lineRule="auto"/>
        <w:ind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颗粒物</w:t>
      </w:r>
      <w:r>
        <w:rPr>
          <w:rFonts w:hint="default" w:ascii="Times New Roman" w:hAnsi="Times New Roman" w:eastAsia="宋体" w:cs="Times New Roman"/>
          <w:color w:val="auto"/>
          <w:sz w:val="24"/>
          <w:szCs w:val="24"/>
          <w:highlight w:val="none"/>
        </w:rPr>
        <w:t>绩效值=0.</w:t>
      </w:r>
      <w:r>
        <w:rPr>
          <w:rFonts w:hint="default" w:ascii="Times New Roman" w:hAnsi="Times New Roman" w:eastAsia="宋体" w:cs="Times New Roman"/>
          <w:color w:val="auto"/>
          <w:sz w:val="24"/>
          <w:szCs w:val="24"/>
          <w:highlight w:val="none"/>
          <w:lang w:val="en-US" w:eastAsia="zh-CN"/>
        </w:rPr>
        <w:t>228</w:t>
      </w:r>
      <w:r>
        <w:rPr>
          <w:rFonts w:hint="default" w:ascii="Times New Roman" w:hAnsi="Times New Roman" w:eastAsia="宋体" w:cs="Times New Roman"/>
          <w:color w:val="auto"/>
          <w:sz w:val="24"/>
          <w:szCs w:val="24"/>
          <w:highlight w:val="none"/>
        </w:rPr>
        <w:t>+（0.</w:t>
      </w:r>
      <w:r>
        <w:rPr>
          <w:rFonts w:hint="default" w:ascii="Times New Roman" w:hAnsi="Times New Roman" w:eastAsia="宋体" w:cs="Times New Roman"/>
          <w:color w:val="auto"/>
          <w:sz w:val="24"/>
          <w:szCs w:val="24"/>
          <w:highlight w:val="none"/>
          <w:lang w:val="en-US" w:eastAsia="zh-CN"/>
        </w:rPr>
        <w:t>252</w:t>
      </w:r>
      <w:r>
        <w:rPr>
          <w:rFonts w:hint="default" w:ascii="Times New Roman" w:hAnsi="Times New Roman" w:eastAsia="宋体" w:cs="Times New Roman"/>
          <w:color w:val="auto"/>
          <w:sz w:val="24"/>
          <w:szCs w:val="24"/>
          <w:highlight w:val="none"/>
        </w:rPr>
        <w:t>-0.</w:t>
      </w:r>
      <w:r>
        <w:rPr>
          <w:rFonts w:hint="default" w:ascii="Times New Roman" w:hAnsi="Times New Roman" w:eastAsia="宋体" w:cs="Times New Roman"/>
          <w:color w:val="auto"/>
          <w:sz w:val="24"/>
          <w:szCs w:val="24"/>
          <w:highlight w:val="none"/>
          <w:lang w:val="en-US" w:eastAsia="zh-CN"/>
        </w:rPr>
        <w:t>228</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14.908</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14.65</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16.75</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14.65</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0.231</w:t>
      </w:r>
      <w:r>
        <w:rPr>
          <w:rFonts w:hint="default" w:ascii="Times New Roman" w:hAnsi="Times New Roman" w:eastAsia="宋体" w:cs="Times New Roman"/>
          <w:color w:val="auto"/>
          <w:sz w:val="24"/>
          <w:szCs w:val="24"/>
          <w:highlight w:val="none"/>
        </w:rPr>
        <w:t>kg/t原料</w:t>
      </w:r>
    </w:p>
    <w:p w14:paraId="1078A752">
      <w:pPr>
        <w:pStyle w:val="158"/>
        <w:adjustRightInd w:val="0"/>
        <w:snapToGrid w:val="0"/>
        <w:spacing w:line="360" w:lineRule="auto"/>
        <w:ind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二氧化硫</w:t>
      </w:r>
      <w:r>
        <w:rPr>
          <w:rFonts w:hint="default" w:ascii="Times New Roman" w:hAnsi="Times New Roman" w:eastAsia="宋体" w:cs="Times New Roman"/>
          <w:color w:val="auto"/>
          <w:sz w:val="24"/>
          <w:szCs w:val="24"/>
          <w:highlight w:val="none"/>
        </w:rPr>
        <w:t>绩效值=</w:t>
      </w:r>
      <w:r>
        <w:rPr>
          <w:rFonts w:hint="default" w:ascii="Times New Roman" w:hAnsi="Times New Roman" w:eastAsia="宋体" w:cs="Times New Roman"/>
          <w:color w:val="auto"/>
          <w:sz w:val="24"/>
          <w:szCs w:val="24"/>
          <w:highlight w:val="none"/>
          <w:lang w:val="en-US" w:eastAsia="zh-CN"/>
        </w:rPr>
        <w:t>0.759+（0.839-0.759）</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14.908</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14.65</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16.75</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14.65</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=0.769</w:t>
      </w:r>
      <w:r>
        <w:rPr>
          <w:rFonts w:hint="default" w:ascii="Times New Roman" w:hAnsi="Times New Roman" w:eastAsia="宋体" w:cs="Times New Roman"/>
          <w:color w:val="auto"/>
          <w:sz w:val="24"/>
          <w:szCs w:val="24"/>
          <w:highlight w:val="none"/>
        </w:rPr>
        <w:t>kg/t原料</w:t>
      </w:r>
    </w:p>
    <w:p w14:paraId="57B59063">
      <w:pPr>
        <w:pStyle w:val="158"/>
        <w:adjustRightInd w:val="0"/>
        <w:snapToGrid w:val="0"/>
        <w:spacing w:line="360" w:lineRule="auto"/>
        <w:ind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氮氧化物绩效值=</w:t>
      </w:r>
      <w:r>
        <w:rPr>
          <w:rFonts w:hint="default" w:ascii="Times New Roman" w:hAnsi="Times New Roman" w:eastAsia="宋体" w:cs="Times New Roman"/>
          <w:color w:val="auto"/>
          <w:sz w:val="24"/>
          <w:szCs w:val="24"/>
          <w:highlight w:val="none"/>
          <w:lang w:val="en-US" w:eastAsia="zh-CN"/>
        </w:rPr>
        <w:t>2.227</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2.516</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2.227</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14.908</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14.65</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16.75</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14.65</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2.263</w:t>
      </w:r>
      <w:r>
        <w:rPr>
          <w:rFonts w:hint="default" w:ascii="Times New Roman" w:hAnsi="Times New Roman" w:eastAsia="宋体" w:cs="Times New Roman"/>
          <w:color w:val="auto"/>
          <w:sz w:val="24"/>
          <w:szCs w:val="24"/>
          <w:highlight w:val="none"/>
        </w:rPr>
        <w:t>kg/t原料</w:t>
      </w:r>
    </w:p>
    <w:p w14:paraId="03DEC9D6">
      <w:pPr>
        <w:keepNext w:val="0"/>
        <w:keepLines w:val="0"/>
        <w:pageBreakBefore w:val="0"/>
        <w:widowControl w:val="0"/>
        <w:kinsoku/>
        <w:wordWrap/>
        <w:overflowPunct/>
        <w:topLinePunct w:val="0"/>
        <w:autoSpaceDE/>
        <w:autoSpaceDN/>
        <w:bidi w:val="0"/>
        <w:adjustRightInd w:val="0"/>
        <w:snapToGrid w:val="0"/>
        <w:spacing w:line="360" w:lineRule="auto"/>
        <w:ind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则E</w:t>
      </w:r>
      <w:r>
        <w:rPr>
          <w:rFonts w:hint="default" w:ascii="Times New Roman" w:hAnsi="Times New Roman" w:eastAsia="宋体" w:cs="Times New Roman"/>
          <w:color w:val="auto"/>
          <w:sz w:val="24"/>
          <w:szCs w:val="24"/>
          <w:highlight w:val="none"/>
          <w:vertAlign w:val="subscript"/>
          <w:lang w:eastAsia="zh-CN"/>
        </w:rPr>
        <w:t>颗粒物</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1383.49t/a×0.231</w:t>
      </w:r>
      <w:r>
        <w:rPr>
          <w:rFonts w:hint="default" w:ascii="Times New Roman" w:hAnsi="Times New Roman" w:eastAsia="宋体" w:cs="Times New Roman"/>
          <w:color w:val="auto"/>
          <w:sz w:val="24"/>
          <w:szCs w:val="24"/>
          <w:highlight w:val="none"/>
        </w:rPr>
        <w:t>kg/t</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10</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=0.3</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t</w:t>
      </w:r>
    </w:p>
    <w:p w14:paraId="17DCCB6C">
      <w:pPr>
        <w:keepNext w:val="0"/>
        <w:keepLines w:val="0"/>
        <w:pageBreakBefore w:val="0"/>
        <w:widowControl w:val="0"/>
        <w:kinsoku/>
        <w:wordWrap/>
        <w:overflowPunct/>
        <w:topLinePunct w:val="0"/>
        <w:autoSpaceDE/>
        <w:autoSpaceDN/>
        <w:bidi w:val="0"/>
        <w:adjustRightInd w:val="0"/>
        <w:snapToGrid w:val="0"/>
        <w:spacing w:line="360" w:lineRule="auto"/>
        <w:ind w:firstLine="720" w:firstLineChars="3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E</w:t>
      </w:r>
      <w:r>
        <w:rPr>
          <w:rFonts w:hint="default" w:ascii="Times New Roman" w:hAnsi="Times New Roman" w:eastAsia="宋体" w:cs="Times New Roman"/>
          <w:color w:val="auto"/>
          <w:sz w:val="24"/>
          <w:szCs w:val="24"/>
          <w:highlight w:val="none"/>
          <w:vertAlign w:val="subscript"/>
          <w:lang w:val="en-US" w:eastAsia="zh-CN"/>
        </w:rPr>
        <w:t>SO2</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1383.49t/a×0.769</w:t>
      </w:r>
      <w:r>
        <w:rPr>
          <w:rFonts w:hint="default" w:ascii="Times New Roman" w:hAnsi="Times New Roman" w:eastAsia="宋体" w:cs="Times New Roman"/>
          <w:color w:val="auto"/>
          <w:sz w:val="24"/>
          <w:szCs w:val="24"/>
          <w:highlight w:val="none"/>
        </w:rPr>
        <w:t>kg/t</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10</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=1.064</w:t>
      </w:r>
      <w:r>
        <w:rPr>
          <w:rFonts w:hint="default" w:ascii="Times New Roman" w:hAnsi="Times New Roman" w:eastAsia="宋体" w:cs="Times New Roman"/>
          <w:color w:val="auto"/>
          <w:sz w:val="24"/>
          <w:szCs w:val="24"/>
          <w:highlight w:val="none"/>
        </w:rPr>
        <w:t>t</w:t>
      </w:r>
    </w:p>
    <w:p w14:paraId="6FBF413F">
      <w:pPr>
        <w:keepNext w:val="0"/>
        <w:keepLines w:val="0"/>
        <w:pageBreakBefore w:val="0"/>
        <w:widowControl w:val="0"/>
        <w:kinsoku/>
        <w:wordWrap/>
        <w:overflowPunct/>
        <w:topLinePunct w:val="0"/>
        <w:autoSpaceDE/>
        <w:autoSpaceDN/>
        <w:bidi w:val="0"/>
        <w:adjustRightInd w:val="0"/>
        <w:snapToGrid w:val="0"/>
        <w:spacing w:line="360" w:lineRule="auto"/>
        <w:ind w:firstLine="720" w:firstLineChars="3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E</w:t>
      </w:r>
      <w:r>
        <w:rPr>
          <w:rFonts w:hint="default" w:ascii="Times New Roman" w:hAnsi="Times New Roman" w:eastAsia="宋体" w:cs="Times New Roman"/>
          <w:color w:val="auto"/>
          <w:sz w:val="24"/>
          <w:szCs w:val="24"/>
          <w:highlight w:val="none"/>
          <w:vertAlign w:val="subscript"/>
        </w:rPr>
        <w:t>NOX</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1383.49t/a×2.263</w:t>
      </w:r>
      <w:r>
        <w:rPr>
          <w:rFonts w:hint="default" w:ascii="Times New Roman" w:hAnsi="Times New Roman" w:eastAsia="宋体" w:cs="Times New Roman"/>
          <w:color w:val="auto"/>
          <w:sz w:val="24"/>
          <w:szCs w:val="24"/>
          <w:highlight w:val="none"/>
        </w:rPr>
        <w:t>kg/t</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10</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=3.131</w:t>
      </w:r>
      <w:r>
        <w:rPr>
          <w:rFonts w:hint="default" w:ascii="Times New Roman" w:hAnsi="Times New Roman" w:eastAsia="宋体" w:cs="Times New Roman"/>
          <w:color w:val="auto"/>
          <w:sz w:val="24"/>
          <w:szCs w:val="24"/>
          <w:highlight w:val="none"/>
        </w:rPr>
        <w:t>t</w:t>
      </w:r>
    </w:p>
    <w:p w14:paraId="6410DCB2">
      <w:pPr>
        <w:keepNext w:val="0"/>
        <w:keepLines w:val="0"/>
        <w:pageBreakBefore w:val="0"/>
        <w:widowControl w:val="0"/>
        <w:kinsoku/>
        <w:wordWrap/>
        <w:overflowPunct/>
        <w:topLinePunct w:val="0"/>
        <w:autoSpaceDE/>
        <w:autoSpaceDN/>
        <w:bidi w:val="0"/>
        <w:spacing w:line="360" w:lineRule="auto"/>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2、工业粉尘</w:t>
      </w:r>
    </w:p>
    <w:p w14:paraId="06D7539A">
      <w:pPr>
        <w:keepNext w:val="0"/>
        <w:keepLines w:val="0"/>
        <w:pageBreakBefore w:val="0"/>
        <w:widowControl w:val="0"/>
        <w:kinsoku/>
        <w:wordWrap/>
        <w:overflowPunct/>
        <w:topLinePunct w:val="0"/>
        <w:autoSpaceDE/>
        <w:autoSpaceDN/>
        <w:bidi w:val="0"/>
        <w:spacing w:line="360" w:lineRule="auto"/>
        <w:jc w:val="both"/>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highlight w:val="none"/>
        </w:rPr>
        <w:t>E</w:t>
      </w:r>
      <w:r>
        <w:rPr>
          <w:rFonts w:hint="default" w:ascii="Times New Roman" w:hAnsi="Times New Roman" w:cs="Times New Roman"/>
          <w:color w:val="auto"/>
          <w:sz w:val="24"/>
          <w:szCs w:val="24"/>
          <w:highlight w:val="none"/>
          <w:vertAlign w:val="subscript"/>
          <w:lang w:val="en-US" w:eastAsia="zh-CN"/>
        </w:rPr>
        <w:t>工业粉尘</w:t>
      </w:r>
      <w:r>
        <w:rPr>
          <w:rFonts w:hint="default" w:ascii="Times New Roman" w:hAnsi="Times New Roman" w:cs="Times New Roman"/>
          <w:color w:val="auto"/>
          <w:sz w:val="24"/>
          <w:szCs w:val="24"/>
          <w:highlight w:val="none"/>
          <w:vertAlign w:val="baseline"/>
          <w:lang w:val="en-US" w:eastAsia="zh-CN"/>
        </w:rPr>
        <w:t>=筛分粉尘+</w:t>
      </w:r>
      <w:r>
        <w:rPr>
          <w:rFonts w:hint="eastAsia" w:ascii="Times New Roman" w:hAnsi="Times New Roman" w:cs="Times New Roman"/>
          <w:color w:val="auto"/>
          <w:sz w:val="24"/>
          <w:szCs w:val="24"/>
          <w:highlight w:val="none"/>
          <w:vertAlign w:val="baseline"/>
          <w:lang w:val="en-US" w:eastAsia="zh-CN"/>
        </w:rPr>
        <w:t>输送</w:t>
      </w:r>
      <w:r>
        <w:rPr>
          <w:rFonts w:hint="default" w:ascii="Times New Roman" w:hAnsi="Times New Roman" w:cs="Times New Roman"/>
          <w:color w:val="auto"/>
          <w:sz w:val="24"/>
          <w:szCs w:val="24"/>
          <w:highlight w:val="none"/>
          <w:vertAlign w:val="baseline"/>
          <w:lang w:val="en-US" w:eastAsia="zh-CN"/>
        </w:rPr>
        <w:t>粉尘+烘干粉尘=</w:t>
      </w:r>
      <w:r>
        <w:rPr>
          <w:rFonts w:hint="eastAsia" w:ascii="Times New Roman" w:hAnsi="Times New Roman" w:cs="Times New Roman"/>
          <w:color w:val="auto"/>
          <w:sz w:val="24"/>
          <w:szCs w:val="24"/>
          <w:highlight w:val="none"/>
          <w:vertAlign w:val="baseline"/>
          <w:lang w:val="en-US" w:eastAsia="zh-CN"/>
        </w:rPr>
        <w:t>1.621</w:t>
      </w:r>
      <w:r>
        <w:rPr>
          <w:rFonts w:hint="default" w:ascii="Times New Roman" w:hAnsi="Times New Roman" w:cs="Times New Roman"/>
          <w:color w:val="auto"/>
          <w:sz w:val="24"/>
          <w:szCs w:val="24"/>
          <w:highlight w:val="none"/>
          <w:vertAlign w:val="baseline"/>
          <w:lang w:val="en-US" w:eastAsia="zh-CN"/>
        </w:rPr>
        <w:t>t</w:t>
      </w:r>
    </w:p>
    <w:p w14:paraId="56F94B55">
      <w:pPr>
        <w:keepNext w:val="0"/>
        <w:keepLines w:val="0"/>
        <w:pageBreakBefore w:val="0"/>
        <w:widowControl w:val="0"/>
        <w:tabs>
          <w:tab w:val="left" w:pos="6480"/>
        </w:tabs>
        <w:kinsoku/>
        <w:wordWrap/>
        <w:overflowPunct/>
        <w:topLinePunct w:val="0"/>
        <w:autoSpaceDE/>
        <w:autoSpaceDN/>
        <w:bidi w:val="0"/>
        <w:adjustRightInd/>
        <w:snapToGrid/>
        <w:spacing w:line="240" w:lineRule="auto"/>
        <w:ind w:firstLine="56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eastAsia="zh-CN"/>
        </w:rPr>
        <w:t>表</w:t>
      </w:r>
      <w:r>
        <w:rPr>
          <w:rFonts w:hint="eastAsia"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lang w:eastAsia="zh-CN"/>
        </w:rPr>
        <w:t>本项目总量控制指标</w:t>
      </w:r>
      <w:r>
        <w:rPr>
          <w:rFonts w:hint="default" w:ascii="Times New Roman" w:hAnsi="Times New Roman" w:eastAsia="宋体" w:cs="Times New Roman"/>
          <w:b/>
          <w:bCs/>
          <w:color w:val="auto"/>
          <w:sz w:val="24"/>
          <w:szCs w:val="24"/>
          <w:highlight w:val="none"/>
          <w:lang w:val="en-US" w:eastAsia="zh-CN"/>
        </w:rPr>
        <w:t xml:space="preserve"> 单位：t/a</w:t>
      </w:r>
    </w:p>
    <w:tbl>
      <w:tblPr>
        <w:tblStyle w:val="38"/>
        <w:tblW w:w="4675"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4422"/>
        <w:gridCol w:w="3996"/>
      </w:tblGrid>
      <w:tr w14:paraId="287C8443">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20" w:hRule="atLeast"/>
          <w:jc w:val="center"/>
        </w:trPr>
        <w:tc>
          <w:tcPr>
            <w:tcW w:w="2626" w:type="pct"/>
            <w:tcBorders>
              <w:tl2br w:val="nil"/>
              <w:tr2bl w:val="nil"/>
            </w:tcBorders>
            <w:noWrap w:val="0"/>
            <w:vAlign w:val="center"/>
          </w:tcPr>
          <w:p w14:paraId="4C0E156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污染物名称</w:t>
            </w:r>
          </w:p>
        </w:tc>
        <w:tc>
          <w:tcPr>
            <w:tcW w:w="2373" w:type="pct"/>
            <w:tcBorders>
              <w:tl2br w:val="nil"/>
              <w:tr2bl w:val="nil"/>
            </w:tcBorders>
            <w:noWrap w:val="0"/>
            <w:vAlign w:val="center"/>
          </w:tcPr>
          <w:p w14:paraId="5D14FF2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核定</w:t>
            </w:r>
            <w:r>
              <w:rPr>
                <w:rFonts w:hint="eastAsia" w:ascii="Times New Roman" w:hAnsi="Times New Roman" w:cs="Times New Roman"/>
                <w:color w:val="auto"/>
                <w:sz w:val="21"/>
                <w:szCs w:val="21"/>
                <w:highlight w:val="none"/>
                <w:lang w:eastAsia="zh-CN"/>
              </w:rPr>
              <w:t>排放</w:t>
            </w:r>
            <w:r>
              <w:rPr>
                <w:rFonts w:hint="default" w:ascii="Times New Roman" w:hAnsi="Times New Roman" w:cs="Times New Roman"/>
                <w:color w:val="auto"/>
                <w:sz w:val="21"/>
                <w:szCs w:val="21"/>
                <w:highlight w:val="none"/>
              </w:rPr>
              <w:t>量</w:t>
            </w:r>
          </w:p>
        </w:tc>
      </w:tr>
      <w:tr w14:paraId="4121E92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20" w:hRule="atLeast"/>
          <w:jc w:val="center"/>
        </w:trPr>
        <w:tc>
          <w:tcPr>
            <w:tcW w:w="2626" w:type="pct"/>
            <w:tcBorders>
              <w:tl2br w:val="nil"/>
              <w:tr2bl w:val="nil"/>
            </w:tcBorders>
            <w:noWrap w:val="0"/>
            <w:vAlign w:val="center"/>
          </w:tcPr>
          <w:p w14:paraId="3D6DBDF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2373" w:type="pct"/>
            <w:tcBorders>
              <w:tl2br w:val="nil"/>
              <w:tr2bl w:val="nil"/>
            </w:tcBorders>
            <w:noWrap w:val="0"/>
            <w:vAlign w:val="center"/>
          </w:tcPr>
          <w:p w14:paraId="5C2A856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0.32</w:t>
            </w:r>
          </w:p>
        </w:tc>
      </w:tr>
      <w:tr w14:paraId="4D04AB2D">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20" w:hRule="atLeast"/>
          <w:jc w:val="center"/>
        </w:trPr>
        <w:tc>
          <w:tcPr>
            <w:tcW w:w="2626" w:type="pct"/>
            <w:tcBorders>
              <w:tl2br w:val="nil"/>
              <w:tr2bl w:val="nil"/>
            </w:tcBorders>
            <w:noWrap w:val="0"/>
            <w:vAlign w:val="center"/>
          </w:tcPr>
          <w:p w14:paraId="685DC86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2373" w:type="pct"/>
            <w:tcBorders>
              <w:tl2br w:val="nil"/>
              <w:tr2bl w:val="nil"/>
            </w:tcBorders>
            <w:noWrap w:val="0"/>
            <w:vAlign w:val="center"/>
          </w:tcPr>
          <w:p w14:paraId="6DB0C5D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1.064</w:t>
            </w:r>
          </w:p>
        </w:tc>
      </w:tr>
      <w:tr w14:paraId="334931CC">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20" w:hRule="atLeast"/>
          <w:jc w:val="center"/>
        </w:trPr>
        <w:tc>
          <w:tcPr>
            <w:tcW w:w="2626" w:type="pct"/>
            <w:tcBorders>
              <w:tl2br w:val="nil"/>
              <w:tr2bl w:val="nil"/>
            </w:tcBorders>
            <w:noWrap w:val="0"/>
            <w:vAlign w:val="center"/>
          </w:tcPr>
          <w:p w14:paraId="6BC45F5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NOx</w:t>
            </w:r>
          </w:p>
        </w:tc>
        <w:tc>
          <w:tcPr>
            <w:tcW w:w="2373" w:type="pct"/>
            <w:tcBorders>
              <w:tl2br w:val="nil"/>
              <w:tr2bl w:val="nil"/>
            </w:tcBorders>
            <w:noWrap w:val="0"/>
            <w:vAlign w:val="center"/>
          </w:tcPr>
          <w:p w14:paraId="53B72CB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3.131</w:t>
            </w:r>
          </w:p>
        </w:tc>
      </w:tr>
      <w:tr w14:paraId="30DB7931">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20" w:hRule="atLeast"/>
          <w:jc w:val="center"/>
        </w:trPr>
        <w:tc>
          <w:tcPr>
            <w:tcW w:w="2626" w:type="pct"/>
            <w:tcBorders>
              <w:tl2br w:val="nil"/>
              <w:tr2bl w:val="nil"/>
            </w:tcBorders>
            <w:noWrap w:val="0"/>
            <w:vAlign w:val="center"/>
          </w:tcPr>
          <w:p w14:paraId="1293531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工业粉尘</w:t>
            </w:r>
          </w:p>
        </w:tc>
        <w:tc>
          <w:tcPr>
            <w:tcW w:w="2373" w:type="pct"/>
            <w:tcBorders>
              <w:tl2br w:val="nil"/>
              <w:tr2bl w:val="nil"/>
            </w:tcBorders>
            <w:noWrap w:val="0"/>
            <w:vAlign w:val="center"/>
          </w:tcPr>
          <w:p w14:paraId="78258E6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1.621</w:t>
            </w:r>
          </w:p>
        </w:tc>
      </w:tr>
    </w:tbl>
    <w:p w14:paraId="0B198058">
      <w:pPr>
        <w:pStyle w:val="169"/>
        <w:spacing w:line="360" w:lineRule="auto"/>
        <w:jc w:val="center"/>
        <w:outlineLvl w:val="0"/>
        <w:rPr>
          <w:rFonts w:hint="default" w:ascii="Times New Roman" w:hAnsi="Times New Roman" w:eastAsia="宋体" w:cs="Times New Roman"/>
          <w:color w:val="auto"/>
          <w:sz w:val="24"/>
          <w:szCs w:val="24"/>
          <w:highlight w:val="none"/>
          <w:lang w:val="en-US" w:eastAsia="zh-CN"/>
        </w:rPr>
      </w:pPr>
    </w:p>
    <w:sectPr>
      <w:pgSz w:w="11849" w:h="16781"/>
      <w:pgMar w:top="1701" w:right="1531" w:bottom="1701" w:left="1531" w:header="851" w:footer="1077" w:gutter="0"/>
      <w:pgBorders>
        <w:top w:val="none" w:sz="0" w:space="0"/>
        <w:left w:val="none" w:sz="0" w:space="0"/>
        <w:bottom w:val="none" w:sz="0" w:space="0"/>
        <w:right w:val="none" w:sz="0" w:space="0"/>
      </w:pgBorders>
      <w:pgNumType w:fmt="decimal"/>
      <w:cols w:space="0" w:num="1"/>
      <w:docGrid w:type="lines" w:linePitch="31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华文行楷">
    <w:altName w:val="微软雅黑"/>
    <w:panose1 w:val="02010800040101010101"/>
    <w:charset w:val="86"/>
    <w:family w:val="auto"/>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Arial Unicode MS">
    <w:altName w:val="宋体"/>
    <w:panose1 w:val="020B0604020202020204"/>
    <w:charset w:val="86"/>
    <w:family w:val="auto"/>
    <w:pitch w:val="default"/>
    <w:sig w:usb0="00000000" w:usb1="00000000" w:usb2="0000003F" w:usb3="00000000" w:csb0="603F01FF" w:csb1="FFFF0000"/>
  </w:font>
  <w:font w:name="new times roma">
    <w:altName w:val="Times New Roman"/>
    <w:panose1 w:val="00000000000000000000"/>
    <w:charset w:val="00"/>
    <w:family w:val="auto"/>
    <w:pitch w:val="default"/>
    <w:sig w:usb0="00000000" w:usb1="00000000" w:usb2="00000000" w:usb3="00000000" w:csb0="00040001" w:csb1="00000000"/>
  </w:font>
  <w:font w:name="方正小标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华文仿宋">
    <w:altName w:val="仿宋"/>
    <w:panose1 w:val="02010600040101010101"/>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Times New Roman Regular">
    <w:altName w:val="Times New Roman"/>
    <w:panose1 w:val="02020503050405090304"/>
    <w:charset w:val="00"/>
    <w:family w:val="auto"/>
    <w:pitch w:val="default"/>
    <w:sig w:usb0="00000000" w:usb1="00000000" w:usb2="00000001" w:usb3="00000000" w:csb0="400001BF" w:csb1="DFF70000"/>
  </w:font>
  <w:font w:name="楷体">
    <w:panose1 w:val="02010609060101010101"/>
    <w:charset w:val="86"/>
    <w:family w:val="auto"/>
    <w:pitch w:val="default"/>
    <w:sig w:usb0="800002BF" w:usb1="38CF7CFA" w:usb2="00000016" w:usb3="00000000" w:csb0="00040001" w:csb1="00000000"/>
  </w:font>
  <w:font w:name="Wingdings">
    <w:panose1 w:val="05000000000000000000"/>
    <w:charset w:val="00"/>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6C096F">
    <w:pPr>
      <w:pStyle w:val="25"/>
      <w:tabs>
        <w:tab w:val="center" w:pos="4121"/>
        <w:tab w:val="clear" w:pos="4153"/>
      </w:tabs>
      <w:ind w:right="360" w:firstLine="360"/>
    </w:pP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5103FC">
    <w:pPr>
      <w:pStyle w:val="25"/>
      <w:tabs>
        <w:tab w:val="center" w:pos="4121"/>
        <w:tab w:val="clear" w:pos="4153"/>
      </w:tabs>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E09E6A">
                          <w:pPr>
                            <w:pStyle w:val="2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14:paraId="03E09E6A">
                    <w:pPr>
                      <w:pStyle w:val="25"/>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A55209">
    <w:pPr>
      <w:pStyle w:val="25"/>
      <w:tabs>
        <w:tab w:val="center" w:pos="4121"/>
        <w:tab w:val="clear" w:pos="4153"/>
      </w:tabs>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906D83">
                          <w:pPr>
                            <w:pStyle w:val="25"/>
                          </w:pPr>
                          <w:r>
                            <w:fldChar w:fldCharType="begin"/>
                          </w:r>
                          <w:r>
                            <w:instrText xml:space="preserve"> PAGE  \* MERGEFORMAT </w:instrText>
                          </w:r>
                          <w:r>
                            <w:fldChar w:fldCharType="separate"/>
                          </w:r>
                          <w:r>
                            <w:t>26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p w14:paraId="6A906D83">
                    <w:pPr>
                      <w:pStyle w:val="25"/>
                    </w:pPr>
                    <w:r>
                      <w:fldChar w:fldCharType="begin"/>
                    </w:r>
                    <w:r>
                      <w:instrText xml:space="preserve"> PAGE  \* MERGEFORMAT </w:instrText>
                    </w:r>
                    <w:r>
                      <w:fldChar w:fldCharType="separate"/>
                    </w:r>
                    <w:r>
                      <w:t>26</w:t>
                    </w:r>
                    <w:r>
                      <w:fldChar w:fldCharType="end"/>
                    </w:r>
                  </w:p>
                </w:txbxContent>
              </v:textbox>
            </v:shape>
          </w:pict>
        </mc:Fallback>
      </mc:AlternateContent>
    </w:r>
    <w:r>
      <w:rPr>
        <w:rFonts w:hint="eastAsia"/>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F3CD17">
    <w:pPr>
      <w:pStyle w:val="25"/>
      <w:tabs>
        <w:tab w:val="center" w:pos="4121"/>
        <w:tab w:val="clear" w:pos="4153"/>
        <w:tab w:val="clear" w:pos="8306"/>
      </w:tabs>
      <w:ind w:right="360"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A53334">
                          <w:pPr>
                            <w:pStyle w:val="25"/>
                          </w:pPr>
                          <w:r>
                            <w:fldChar w:fldCharType="begin"/>
                          </w:r>
                          <w:r>
                            <w:instrText xml:space="preserve"> PAGE  \* MERGEFORMAT </w:instrText>
                          </w:r>
                          <w:r>
                            <w:fldChar w:fldCharType="separate"/>
                          </w:r>
                          <w:r>
                            <w:t>78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ZTTZk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5lNNmTICAABjBAAADgAAAAAAAAABACAAAAAfAQAAZHJzL2Uyb0RvYy54bWxQSwUG&#10;AAAAAAYABgBZAQAAwwUAAAAA&#10;">
              <v:fill on="f" focussize="0,0"/>
              <v:stroke on="f" weight="0.5pt"/>
              <v:imagedata o:title=""/>
              <o:lock v:ext="edit" aspectratio="f"/>
              <v:textbox inset="0mm,0mm,0mm,0mm" style="mso-fit-shape-to-text:t;">
                <w:txbxContent>
                  <w:p w14:paraId="0CA53334">
                    <w:pPr>
                      <w:pStyle w:val="25"/>
                    </w:pPr>
                    <w:r>
                      <w:fldChar w:fldCharType="begin"/>
                    </w:r>
                    <w:r>
                      <w:instrText xml:space="preserve"> PAGE  \* MERGEFORMAT </w:instrText>
                    </w:r>
                    <w:r>
                      <w:fldChar w:fldCharType="separate"/>
                    </w:r>
                    <w:r>
                      <w:t>78</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1D0272"/>
    <w:multiLevelType w:val="singleLevel"/>
    <w:tmpl w:val="821D0272"/>
    <w:lvl w:ilvl="0" w:tentative="0">
      <w:start w:val="2"/>
      <w:numFmt w:val="decimal"/>
      <w:suff w:val="nothing"/>
      <w:lvlText w:val="（%1）"/>
      <w:lvlJc w:val="left"/>
    </w:lvl>
  </w:abstractNum>
  <w:abstractNum w:abstractNumId="1">
    <w:nsid w:val="8CFA487B"/>
    <w:multiLevelType w:val="singleLevel"/>
    <w:tmpl w:val="8CFA487B"/>
    <w:lvl w:ilvl="0" w:tentative="0">
      <w:start w:val="1"/>
      <w:numFmt w:val="bullet"/>
      <w:pStyle w:val="22"/>
      <w:lvlText w:val=""/>
      <w:lvlJc w:val="left"/>
      <w:pPr>
        <w:tabs>
          <w:tab w:val="left" w:pos="2040"/>
        </w:tabs>
        <w:ind w:left="2040" w:hanging="360"/>
      </w:pPr>
      <w:rPr>
        <w:rFonts w:hint="default" w:ascii="Wingdings" w:hAnsi="Wingdings"/>
      </w:rPr>
    </w:lvl>
  </w:abstractNum>
  <w:abstractNum w:abstractNumId="2">
    <w:nsid w:val="94E5DE5F"/>
    <w:multiLevelType w:val="singleLevel"/>
    <w:tmpl w:val="94E5DE5F"/>
    <w:lvl w:ilvl="0" w:tentative="0">
      <w:start w:val="9"/>
      <w:numFmt w:val="decimal"/>
      <w:suff w:val="nothing"/>
      <w:lvlText w:val="（%1）"/>
      <w:lvlJc w:val="left"/>
    </w:lvl>
  </w:abstractNum>
  <w:abstractNum w:abstractNumId="3">
    <w:nsid w:val="9BE2FB7B"/>
    <w:multiLevelType w:val="singleLevel"/>
    <w:tmpl w:val="9BE2FB7B"/>
    <w:lvl w:ilvl="0" w:tentative="0">
      <w:start w:val="1"/>
      <w:numFmt w:val="decimal"/>
      <w:suff w:val="nothing"/>
      <w:lvlText w:val="%1、"/>
      <w:lvlJc w:val="left"/>
    </w:lvl>
  </w:abstractNum>
  <w:abstractNum w:abstractNumId="4">
    <w:nsid w:val="A2F8ED4F"/>
    <w:multiLevelType w:val="singleLevel"/>
    <w:tmpl w:val="A2F8ED4F"/>
    <w:lvl w:ilvl="0" w:tentative="0">
      <w:start w:val="2"/>
      <w:numFmt w:val="decimal"/>
      <w:pStyle w:val="139"/>
      <w:suff w:val="nothing"/>
      <w:lvlText w:val="（%1）"/>
      <w:lvlJc w:val="left"/>
    </w:lvl>
  </w:abstractNum>
  <w:abstractNum w:abstractNumId="5">
    <w:nsid w:val="C173EF0B"/>
    <w:multiLevelType w:val="singleLevel"/>
    <w:tmpl w:val="C173EF0B"/>
    <w:lvl w:ilvl="0" w:tentative="0">
      <w:start w:val="4"/>
      <w:numFmt w:val="decimal"/>
      <w:suff w:val="nothing"/>
      <w:lvlText w:val="（%1）"/>
      <w:lvlJc w:val="left"/>
    </w:lvl>
  </w:abstractNum>
  <w:abstractNum w:abstractNumId="6">
    <w:nsid w:val="D53E88B3"/>
    <w:multiLevelType w:val="singleLevel"/>
    <w:tmpl w:val="D53E88B3"/>
    <w:lvl w:ilvl="0" w:tentative="0">
      <w:start w:val="1"/>
      <w:numFmt w:val="decimal"/>
      <w:suff w:val="nothing"/>
      <w:lvlText w:val="%1、"/>
      <w:lvlJc w:val="left"/>
    </w:lvl>
  </w:abstractNum>
  <w:abstractNum w:abstractNumId="7">
    <w:nsid w:val="14861248"/>
    <w:multiLevelType w:val="multilevel"/>
    <w:tmpl w:val="14861248"/>
    <w:lvl w:ilvl="0" w:tentative="0">
      <w:start w:val="1"/>
      <w:numFmt w:val="decimal"/>
      <w:lvlText w:val="%1"/>
      <w:lvlJc w:val="left"/>
      <w:pPr>
        <w:ind w:left="432" w:hanging="432"/>
      </w:pPr>
      <w:rPr>
        <w:rFonts w:hint="eastAsia"/>
      </w:rPr>
    </w:lvl>
    <w:lvl w:ilvl="1" w:tentative="0">
      <w:start w:val="1"/>
      <w:numFmt w:val="decimal"/>
      <w:lvlText w:val="%1.%2"/>
      <w:lvlJc w:val="left"/>
      <w:pPr>
        <w:ind w:left="576" w:hanging="576"/>
      </w:pPr>
      <w:rPr>
        <w:rFonts w:hint="eastAsia"/>
      </w:rPr>
    </w:lvl>
    <w:lvl w:ilvl="2" w:tentative="0">
      <w:start w:val="1"/>
      <w:numFmt w:val="decimal"/>
      <w:pStyle w:val="6"/>
      <w:suff w:val="nothing"/>
      <w:lvlText w:val="%1.%2.%3"/>
      <w:lvlJc w:val="left"/>
      <w:pPr>
        <w:ind w:left="3261" w:hanging="851"/>
      </w:pPr>
    </w:lvl>
    <w:lvl w:ilvl="3" w:tentative="0">
      <w:start w:val="1"/>
      <w:numFmt w:val="decimal"/>
      <w:pStyle w:val="7"/>
      <w:suff w:val="nothing"/>
      <w:lvlText w:val="%1.%2.%3.%4"/>
      <w:lvlJc w:val="left"/>
      <w:pPr>
        <w:ind w:left="3415" w:hanging="864"/>
      </w:p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8">
    <w:nsid w:val="47C032C3"/>
    <w:multiLevelType w:val="singleLevel"/>
    <w:tmpl w:val="47C032C3"/>
    <w:lvl w:ilvl="0" w:tentative="0">
      <w:start w:val="1"/>
      <w:numFmt w:val="decimal"/>
      <w:suff w:val="nothing"/>
      <w:lvlText w:val="%1、"/>
      <w:lvlJc w:val="left"/>
    </w:lvl>
  </w:abstractNum>
  <w:abstractNum w:abstractNumId="9">
    <w:nsid w:val="4FFD0C1F"/>
    <w:multiLevelType w:val="singleLevel"/>
    <w:tmpl w:val="4FFD0C1F"/>
    <w:lvl w:ilvl="0" w:tentative="0">
      <w:start w:val="1"/>
      <w:numFmt w:val="chineseCounting"/>
      <w:suff w:val="nothing"/>
      <w:lvlText w:val="%1、"/>
      <w:lvlJc w:val="left"/>
      <w:rPr>
        <w:rFonts w:hint="eastAsia"/>
      </w:rPr>
    </w:lvl>
  </w:abstractNum>
  <w:abstractNum w:abstractNumId="10">
    <w:nsid w:val="5F9679FE"/>
    <w:multiLevelType w:val="singleLevel"/>
    <w:tmpl w:val="5F9679FE"/>
    <w:lvl w:ilvl="0" w:tentative="0">
      <w:start w:val="2"/>
      <w:numFmt w:val="decimal"/>
      <w:suff w:val="nothing"/>
      <w:lvlText w:val="%1、"/>
      <w:lvlJc w:val="left"/>
    </w:lvl>
  </w:abstractNum>
  <w:abstractNum w:abstractNumId="11">
    <w:nsid w:val="67CB0D03"/>
    <w:multiLevelType w:val="singleLevel"/>
    <w:tmpl w:val="67CB0D03"/>
    <w:lvl w:ilvl="0" w:tentative="0">
      <w:start w:val="3"/>
      <w:numFmt w:val="decimal"/>
      <w:suff w:val="nothing"/>
      <w:lvlText w:val="（%1）"/>
      <w:lvlJc w:val="left"/>
    </w:lvl>
  </w:abstractNum>
  <w:abstractNum w:abstractNumId="12">
    <w:nsid w:val="69A7195D"/>
    <w:multiLevelType w:val="singleLevel"/>
    <w:tmpl w:val="69A7195D"/>
    <w:lvl w:ilvl="0" w:tentative="0">
      <w:start w:val="8"/>
      <w:numFmt w:val="decimal"/>
      <w:suff w:val="nothing"/>
      <w:lvlText w:val="%1、"/>
      <w:lvlJc w:val="left"/>
    </w:lvl>
  </w:abstractNum>
  <w:abstractNum w:abstractNumId="13">
    <w:nsid w:val="79B2DE0A"/>
    <w:multiLevelType w:val="singleLevel"/>
    <w:tmpl w:val="79B2DE0A"/>
    <w:lvl w:ilvl="0" w:tentative="0">
      <w:start w:val="4"/>
      <w:numFmt w:val="chineseCounting"/>
      <w:suff w:val="nothing"/>
      <w:lvlText w:val="%1、"/>
      <w:lvlJc w:val="left"/>
      <w:rPr>
        <w:rFonts w:hint="eastAsia"/>
      </w:rPr>
    </w:lvl>
  </w:abstractNum>
  <w:num w:numId="1">
    <w:abstractNumId w:val="7"/>
  </w:num>
  <w:num w:numId="2">
    <w:abstractNumId w:val="1"/>
  </w:num>
  <w:num w:numId="3">
    <w:abstractNumId w:val="4"/>
  </w:num>
  <w:num w:numId="4">
    <w:abstractNumId w:val="10"/>
  </w:num>
  <w:num w:numId="5">
    <w:abstractNumId w:val="11"/>
  </w:num>
  <w:num w:numId="6">
    <w:abstractNumId w:val="12"/>
  </w:num>
  <w:num w:numId="7">
    <w:abstractNumId w:val="6"/>
  </w:num>
  <w:num w:numId="8">
    <w:abstractNumId w:val="13"/>
  </w:num>
  <w:num w:numId="9">
    <w:abstractNumId w:val="8"/>
  </w:num>
  <w:num w:numId="10">
    <w:abstractNumId w:val="2"/>
  </w:num>
  <w:num w:numId="11">
    <w:abstractNumId w:val="0"/>
  </w:num>
  <w:num w:numId="12">
    <w:abstractNumId w:val="5"/>
  </w:num>
  <w:num w:numId="13">
    <w:abstractNumId w:val="3"/>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210"/>
  <w:drawingGridVerticalSpacing w:val="158"/>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NjYTIxYmFhNTQwN2JjZTk2MDg2MzFlYTQ1MThlZjIifQ=="/>
  </w:docVars>
  <w:rsids>
    <w:rsidRoot w:val="00172A27"/>
    <w:rsid w:val="00001CED"/>
    <w:rsid w:val="00001E67"/>
    <w:rsid w:val="00003CD8"/>
    <w:rsid w:val="00014965"/>
    <w:rsid w:val="0001523A"/>
    <w:rsid w:val="00016ECB"/>
    <w:rsid w:val="000269F6"/>
    <w:rsid w:val="00031939"/>
    <w:rsid w:val="00032D25"/>
    <w:rsid w:val="0005219D"/>
    <w:rsid w:val="0005568F"/>
    <w:rsid w:val="0006153D"/>
    <w:rsid w:val="00061B1F"/>
    <w:rsid w:val="000664DB"/>
    <w:rsid w:val="00066EBC"/>
    <w:rsid w:val="000701C4"/>
    <w:rsid w:val="0007127D"/>
    <w:rsid w:val="00071AE5"/>
    <w:rsid w:val="00074783"/>
    <w:rsid w:val="000763E4"/>
    <w:rsid w:val="00076D34"/>
    <w:rsid w:val="000801E0"/>
    <w:rsid w:val="00082A29"/>
    <w:rsid w:val="0008331D"/>
    <w:rsid w:val="00083C18"/>
    <w:rsid w:val="00092899"/>
    <w:rsid w:val="000A002F"/>
    <w:rsid w:val="000A178E"/>
    <w:rsid w:val="000A557E"/>
    <w:rsid w:val="000B058F"/>
    <w:rsid w:val="000B44D3"/>
    <w:rsid w:val="000B693F"/>
    <w:rsid w:val="000C09AC"/>
    <w:rsid w:val="000C0A63"/>
    <w:rsid w:val="000C437E"/>
    <w:rsid w:val="000E5F16"/>
    <w:rsid w:val="000F4452"/>
    <w:rsid w:val="000F6DA1"/>
    <w:rsid w:val="000F6F68"/>
    <w:rsid w:val="000F701B"/>
    <w:rsid w:val="001056A0"/>
    <w:rsid w:val="00115279"/>
    <w:rsid w:val="00117459"/>
    <w:rsid w:val="0011749A"/>
    <w:rsid w:val="00127A68"/>
    <w:rsid w:val="00140B13"/>
    <w:rsid w:val="00141B68"/>
    <w:rsid w:val="001466DA"/>
    <w:rsid w:val="00154DE1"/>
    <w:rsid w:val="00155B40"/>
    <w:rsid w:val="00157435"/>
    <w:rsid w:val="00163EEA"/>
    <w:rsid w:val="00167A07"/>
    <w:rsid w:val="0017046A"/>
    <w:rsid w:val="001704A3"/>
    <w:rsid w:val="00172E78"/>
    <w:rsid w:val="0017504D"/>
    <w:rsid w:val="00177422"/>
    <w:rsid w:val="00184F10"/>
    <w:rsid w:val="00185546"/>
    <w:rsid w:val="0019146B"/>
    <w:rsid w:val="00193414"/>
    <w:rsid w:val="00194398"/>
    <w:rsid w:val="001A2968"/>
    <w:rsid w:val="001A64C4"/>
    <w:rsid w:val="001A7D2A"/>
    <w:rsid w:val="001B574C"/>
    <w:rsid w:val="001C0AF9"/>
    <w:rsid w:val="001C155A"/>
    <w:rsid w:val="001C48C0"/>
    <w:rsid w:val="001C66E0"/>
    <w:rsid w:val="001D1BE5"/>
    <w:rsid w:val="001D6726"/>
    <w:rsid w:val="001E600B"/>
    <w:rsid w:val="001F3347"/>
    <w:rsid w:val="001F4440"/>
    <w:rsid w:val="001F69E4"/>
    <w:rsid w:val="00206A65"/>
    <w:rsid w:val="00210D6B"/>
    <w:rsid w:val="00212D31"/>
    <w:rsid w:val="002130C7"/>
    <w:rsid w:val="00217428"/>
    <w:rsid w:val="002218A8"/>
    <w:rsid w:val="0022306D"/>
    <w:rsid w:val="00226574"/>
    <w:rsid w:val="002278EC"/>
    <w:rsid w:val="002357C7"/>
    <w:rsid w:val="002367C4"/>
    <w:rsid w:val="0025679E"/>
    <w:rsid w:val="00260C68"/>
    <w:rsid w:val="002648B0"/>
    <w:rsid w:val="00275271"/>
    <w:rsid w:val="0027535E"/>
    <w:rsid w:val="0027562F"/>
    <w:rsid w:val="00275AA6"/>
    <w:rsid w:val="002807D5"/>
    <w:rsid w:val="00282CCD"/>
    <w:rsid w:val="002A168C"/>
    <w:rsid w:val="002A2C48"/>
    <w:rsid w:val="002A3EED"/>
    <w:rsid w:val="002A4A39"/>
    <w:rsid w:val="002A5A17"/>
    <w:rsid w:val="002A6425"/>
    <w:rsid w:val="002B49E2"/>
    <w:rsid w:val="002B6923"/>
    <w:rsid w:val="002B7B00"/>
    <w:rsid w:val="002B7C44"/>
    <w:rsid w:val="002C1388"/>
    <w:rsid w:val="002C3C6A"/>
    <w:rsid w:val="002D42DB"/>
    <w:rsid w:val="002E1F3A"/>
    <w:rsid w:val="002E28C7"/>
    <w:rsid w:val="002E298A"/>
    <w:rsid w:val="002F02A4"/>
    <w:rsid w:val="002F272B"/>
    <w:rsid w:val="002F7C6D"/>
    <w:rsid w:val="003027E4"/>
    <w:rsid w:val="0030332C"/>
    <w:rsid w:val="00312296"/>
    <w:rsid w:val="0031340E"/>
    <w:rsid w:val="00316464"/>
    <w:rsid w:val="0032073A"/>
    <w:rsid w:val="00321D8E"/>
    <w:rsid w:val="00334996"/>
    <w:rsid w:val="00335D51"/>
    <w:rsid w:val="00336969"/>
    <w:rsid w:val="00336C52"/>
    <w:rsid w:val="00341B3E"/>
    <w:rsid w:val="00341B42"/>
    <w:rsid w:val="00345154"/>
    <w:rsid w:val="0034560E"/>
    <w:rsid w:val="00350523"/>
    <w:rsid w:val="00352975"/>
    <w:rsid w:val="00356868"/>
    <w:rsid w:val="0036485B"/>
    <w:rsid w:val="00373B0D"/>
    <w:rsid w:val="00376988"/>
    <w:rsid w:val="00381A72"/>
    <w:rsid w:val="003A1948"/>
    <w:rsid w:val="003B152A"/>
    <w:rsid w:val="003B545B"/>
    <w:rsid w:val="003D3EE9"/>
    <w:rsid w:val="003D6656"/>
    <w:rsid w:val="003E7681"/>
    <w:rsid w:val="003F0809"/>
    <w:rsid w:val="003F611C"/>
    <w:rsid w:val="003F6A92"/>
    <w:rsid w:val="003F755C"/>
    <w:rsid w:val="00406F01"/>
    <w:rsid w:val="00411B36"/>
    <w:rsid w:val="004121D7"/>
    <w:rsid w:val="00416D50"/>
    <w:rsid w:val="00417772"/>
    <w:rsid w:val="00420E6A"/>
    <w:rsid w:val="00430200"/>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E43BF"/>
    <w:rsid w:val="004E5B30"/>
    <w:rsid w:val="004E7D88"/>
    <w:rsid w:val="004F0779"/>
    <w:rsid w:val="004F1230"/>
    <w:rsid w:val="004F173F"/>
    <w:rsid w:val="004F177C"/>
    <w:rsid w:val="004F2DCE"/>
    <w:rsid w:val="005039CB"/>
    <w:rsid w:val="0050558F"/>
    <w:rsid w:val="005057E0"/>
    <w:rsid w:val="00506286"/>
    <w:rsid w:val="00510813"/>
    <w:rsid w:val="00511DE0"/>
    <w:rsid w:val="00517F02"/>
    <w:rsid w:val="00524547"/>
    <w:rsid w:val="005258A2"/>
    <w:rsid w:val="00530F7C"/>
    <w:rsid w:val="00534567"/>
    <w:rsid w:val="00534F43"/>
    <w:rsid w:val="00535A84"/>
    <w:rsid w:val="00536889"/>
    <w:rsid w:val="00542E07"/>
    <w:rsid w:val="00554A7B"/>
    <w:rsid w:val="0055572C"/>
    <w:rsid w:val="0056064F"/>
    <w:rsid w:val="00561B84"/>
    <w:rsid w:val="00571D98"/>
    <w:rsid w:val="005720AE"/>
    <w:rsid w:val="0058030D"/>
    <w:rsid w:val="00582045"/>
    <w:rsid w:val="00590AE3"/>
    <w:rsid w:val="005918F1"/>
    <w:rsid w:val="005A06B7"/>
    <w:rsid w:val="005A1759"/>
    <w:rsid w:val="005D0369"/>
    <w:rsid w:val="005D4603"/>
    <w:rsid w:val="005D53FE"/>
    <w:rsid w:val="005D7A0F"/>
    <w:rsid w:val="005E0438"/>
    <w:rsid w:val="005E1791"/>
    <w:rsid w:val="005E2322"/>
    <w:rsid w:val="005E24E7"/>
    <w:rsid w:val="005E2CE6"/>
    <w:rsid w:val="005E6324"/>
    <w:rsid w:val="005F228B"/>
    <w:rsid w:val="005F29CD"/>
    <w:rsid w:val="005F4DFB"/>
    <w:rsid w:val="005F6CC0"/>
    <w:rsid w:val="00603E5B"/>
    <w:rsid w:val="00604BC8"/>
    <w:rsid w:val="00615B4C"/>
    <w:rsid w:val="00615B5D"/>
    <w:rsid w:val="0062146F"/>
    <w:rsid w:val="006343AF"/>
    <w:rsid w:val="0063634A"/>
    <w:rsid w:val="00641E35"/>
    <w:rsid w:val="0064250D"/>
    <w:rsid w:val="006535EB"/>
    <w:rsid w:val="00663016"/>
    <w:rsid w:val="00674605"/>
    <w:rsid w:val="006748B8"/>
    <w:rsid w:val="0068535B"/>
    <w:rsid w:val="0068736E"/>
    <w:rsid w:val="0069290A"/>
    <w:rsid w:val="00694990"/>
    <w:rsid w:val="00697032"/>
    <w:rsid w:val="006975AC"/>
    <w:rsid w:val="006A15FB"/>
    <w:rsid w:val="006A72BF"/>
    <w:rsid w:val="006B332A"/>
    <w:rsid w:val="006B33BD"/>
    <w:rsid w:val="006B6D1F"/>
    <w:rsid w:val="006C3F75"/>
    <w:rsid w:val="006D170E"/>
    <w:rsid w:val="006E06AF"/>
    <w:rsid w:val="006F1789"/>
    <w:rsid w:val="00706C5D"/>
    <w:rsid w:val="0070738A"/>
    <w:rsid w:val="007118E6"/>
    <w:rsid w:val="007225C9"/>
    <w:rsid w:val="00735CD7"/>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40EA"/>
    <w:rsid w:val="007967E8"/>
    <w:rsid w:val="007A1658"/>
    <w:rsid w:val="007A63F2"/>
    <w:rsid w:val="007B68DE"/>
    <w:rsid w:val="007C1857"/>
    <w:rsid w:val="007C514F"/>
    <w:rsid w:val="007D0F95"/>
    <w:rsid w:val="007D7ECB"/>
    <w:rsid w:val="007E25A1"/>
    <w:rsid w:val="007E4BD2"/>
    <w:rsid w:val="007E7145"/>
    <w:rsid w:val="007F2DDC"/>
    <w:rsid w:val="007F3916"/>
    <w:rsid w:val="00801179"/>
    <w:rsid w:val="00802479"/>
    <w:rsid w:val="00805372"/>
    <w:rsid w:val="00805B7B"/>
    <w:rsid w:val="0081293E"/>
    <w:rsid w:val="00814795"/>
    <w:rsid w:val="00814FFB"/>
    <w:rsid w:val="00820568"/>
    <w:rsid w:val="00831A80"/>
    <w:rsid w:val="008332C8"/>
    <w:rsid w:val="00833743"/>
    <w:rsid w:val="008340A4"/>
    <w:rsid w:val="00836799"/>
    <w:rsid w:val="00837028"/>
    <w:rsid w:val="00837131"/>
    <w:rsid w:val="00843E1B"/>
    <w:rsid w:val="00845F57"/>
    <w:rsid w:val="008521E0"/>
    <w:rsid w:val="008525B0"/>
    <w:rsid w:val="00852A28"/>
    <w:rsid w:val="00867CBC"/>
    <w:rsid w:val="00876C30"/>
    <w:rsid w:val="00877017"/>
    <w:rsid w:val="008773C0"/>
    <w:rsid w:val="00880364"/>
    <w:rsid w:val="00886C4C"/>
    <w:rsid w:val="0088711C"/>
    <w:rsid w:val="00892ECF"/>
    <w:rsid w:val="00892F06"/>
    <w:rsid w:val="00894285"/>
    <w:rsid w:val="008953F8"/>
    <w:rsid w:val="008A40AE"/>
    <w:rsid w:val="008A4E19"/>
    <w:rsid w:val="008A67C5"/>
    <w:rsid w:val="008B1170"/>
    <w:rsid w:val="008B22E1"/>
    <w:rsid w:val="008B3C78"/>
    <w:rsid w:val="008B4AE9"/>
    <w:rsid w:val="008C30AD"/>
    <w:rsid w:val="008C6C96"/>
    <w:rsid w:val="008D068E"/>
    <w:rsid w:val="008D0F7A"/>
    <w:rsid w:val="008D313A"/>
    <w:rsid w:val="008D63BE"/>
    <w:rsid w:val="008E0CFF"/>
    <w:rsid w:val="008E5D6B"/>
    <w:rsid w:val="008E689B"/>
    <w:rsid w:val="008E76F0"/>
    <w:rsid w:val="008F15FE"/>
    <w:rsid w:val="008F2A94"/>
    <w:rsid w:val="008F5187"/>
    <w:rsid w:val="008F6EB2"/>
    <w:rsid w:val="008F709C"/>
    <w:rsid w:val="00900FC3"/>
    <w:rsid w:val="0090312B"/>
    <w:rsid w:val="00904961"/>
    <w:rsid w:val="0091736D"/>
    <w:rsid w:val="009269A2"/>
    <w:rsid w:val="00931001"/>
    <w:rsid w:val="00931863"/>
    <w:rsid w:val="00933524"/>
    <w:rsid w:val="0094278D"/>
    <w:rsid w:val="0095308A"/>
    <w:rsid w:val="00953D9C"/>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0FA4"/>
    <w:rsid w:val="009A72C7"/>
    <w:rsid w:val="009B0897"/>
    <w:rsid w:val="009D0852"/>
    <w:rsid w:val="009D0EA3"/>
    <w:rsid w:val="009D1FBF"/>
    <w:rsid w:val="009D3880"/>
    <w:rsid w:val="009E399C"/>
    <w:rsid w:val="009E43C1"/>
    <w:rsid w:val="009E7E95"/>
    <w:rsid w:val="009F116F"/>
    <w:rsid w:val="009F329E"/>
    <w:rsid w:val="009F5089"/>
    <w:rsid w:val="009F7ED3"/>
    <w:rsid w:val="00A03607"/>
    <w:rsid w:val="00A047FF"/>
    <w:rsid w:val="00A04FEF"/>
    <w:rsid w:val="00A122CD"/>
    <w:rsid w:val="00A12A32"/>
    <w:rsid w:val="00A14248"/>
    <w:rsid w:val="00A14947"/>
    <w:rsid w:val="00A1745D"/>
    <w:rsid w:val="00A23DC5"/>
    <w:rsid w:val="00A34028"/>
    <w:rsid w:val="00A35568"/>
    <w:rsid w:val="00A37056"/>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97848"/>
    <w:rsid w:val="00AA2C17"/>
    <w:rsid w:val="00AA3CEC"/>
    <w:rsid w:val="00AA4172"/>
    <w:rsid w:val="00AB1914"/>
    <w:rsid w:val="00AB5330"/>
    <w:rsid w:val="00AB7747"/>
    <w:rsid w:val="00AC2532"/>
    <w:rsid w:val="00AD1507"/>
    <w:rsid w:val="00AD5A70"/>
    <w:rsid w:val="00AD738B"/>
    <w:rsid w:val="00AE1BF4"/>
    <w:rsid w:val="00AE5D97"/>
    <w:rsid w:val="00AE6794"/>
    <w:rsid w:val="00B01110"/>
    <w:rsid w:val="00B02262"/>
    <w:rsid w:val="00B03CEC"/>
    <w:rsid w:val="00B1209F"/>
    <w:rsid w:val="00B12AD0"/>
    <w:rsid w:val="00B21118"/>
    <w:rsid w:val="00B24F30"/>
    <w:rsid w:val="00B31ABF"/>
    <w:rsid w:val="00B335AE"/>
    <w:rsid w:val="00B37CE1"/>
    <w:rsid w:val="00B40ACF"/>
    <w:rsid w:val="00B46BAA"/>
    <w:rsid w:val="00B503C6"/>
    <w:rsid w:val="00B50B5F"/>
    <w:rsid w:val="00B54128"/>
    <w:rsid w:val="00B55826"/>
    <w:rsid w:val="00B60426"/>
    <w:rsid w:val="00B622DD"/>
    <w:rsid w:val="00B63522"/>
    <w:rsid w:val="00B76F1D"/>
    <w:rsid w:val="00B92A19"/>
    <w:rsid w:val="00B93F2F"/>
    <w:rsid w:val="00B9544C"/>
    <w:rsid w:val="00BA29E9"/>
    <w:rsid w:val="00BB3618"/>
    <w:rsid w:val="00BC0C9E"/>
    <w:rsid w:val="00BC32DC"/>
    <w:rsid w:val="00BD1B51"/>
    <w:rsid w:val="00BD47F6"/>
    <w:rsid w:val="00BE312D"/>
    <w:rsid w:val="00BE3FCA"/>
    <w:rsid w:val="00BF0E19"/>
    <w:rsid w:val="00BF720C"/>
    <w:rsid w:val="00C05719"/>
    <w:rsid w:val="00C10578"/>
    <w:rsid w:val="00C17D62"/>
    <w:rsid w:val="00C21FDC"/>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63C9"/>
    <w:rsid w:val="00C80057"/>
    <w:rsid w:val="00C82C79"/>
    <w:rsid w:val="00C84753"/>
    <w:rsid w:val="00C91611"/>
    <w:rsid w:val="00CA3585"/>
    <w:rsid w:val="00CA3D5A"/>
    <w:rsid w:val="00CA4C7C"/>
    <w:rsid w:val="00CB0183"/>
    <w:rsid w:val="00CB1EA3"/>
    <w:rsid w:val="00CB552C"/>
    <w:rsid w:val="00CB6A9E"/>
    <w:rsid w:val="00CC6181"/>
    <w:rsid w:val="00CD2BCD"/>
    <w:rsid w:val="00CD36AA"/>
    <w:rsid w:val="00CD3791"/>
    <w:rsid w:val="00CD65B0"/>
    <w:rsid w:val="00CE02CD"/>
    <w:rsid w:val="00CE10E9"/>
    <w:rsid w:val="00CF535D"/>
    <w:rsid w:val="00D0072E"/>
    <w:rsid w:val="00D12B9C"/>
    <w:rsid w:val="00D15727"/>
    <w:rsid w:val="00D16332"/>
    <w:rsid w:val="00D173CD"/>
    <w:rsid w:val="00D24972"/>
    <w:rsid w:val="00D2515E"/>
    <w:rsid w:val="00D308ED"/>
    <w:rsid w:val="00D40D69"/>
    <w:rsid w:val="00D51461"/>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F1930"/>
    <w:rsid w:val="00DF514A"/>
    <w:rsid w:val="00E0358D"/>
    <w:rsid w:val="00E06327"/>
    <w:rsid w:val="00E2064B"/>
    <w:rsid w:val="00E25239"/>
    <w:rsid w:val="00E265B1"/>
    <w:rsid w:val="00E275B0"/>
    <w:rsid w:val="00E412D0"/>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A6F52"/>
    <w:rsid w:val="00EB041C"/>
    <w:rsid w:val="00EC5874"/>
    <w:rsid w:val="00ED192D"/>
    <w:rsid w:val="00ED30B4"/>
    <w:rsid w:val="00ED31F5"/>
    <w:rsid w:val="00ED6581"/>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A8D"/>
    <w:rsid w:val="00F52CF6"/>
    <w:rsid w:val="00F54496"/>
    <w:rsid w:val="00F61097"/>
    <w:rsid w:val="00F74345"/>
    <w:rsid w:val="00F74441"/>
    <w:rsid w:val="00F77F30"/>
    <w:rsid w:val="00F82589"/>
    <w:rsid w:val="00F82B19"/>
    <w:rsid w:val="00F90AA7"/>
    <w:rsid w:val="00F9212D"/>
    <w:rsid w:val="00FA301A"/>
    <w:rsid w:val="00FA406A"/>
    <w:rsid w:val="00FA5CB6"/>
    <w:rsid w:val="00FC66AC"/>
    <w:rsid w:val="00FD18F4"/>
    <w:rsid w:val="00FD74B4"/>
    <w:rsid w:val="00FF6FCE"/>
    <w:rsid w:val="00FF7518"/>
    <w:rsid w:val="00FF7FD8"/>
    <w:rsid w:val="01010593"/>
    <w:rsid w:val="01017684"/>
    <w:rsid w:val="010A6538"/>
    <w:rsid w:val="010E47DB"/>
    <w:rsid w:val="01134188"/>
    <w:rsid w:val="01192C1F"/>
    <w:rsid w:val="011B6997"/>
    <w:rsid w:val="011C62C9"/>
    <w:rsid w:val="011E1FE4"/>
    <w:rsid w:val="01211AD4"/>
    <w:rsid w:val="012D0479"/>
    <w:rsid w:val="012F41F1"/>
    <w:rsid w:val="01323CE1"/>
    <w:rsid w:val="0132783D"/>
    <w:rsid w:val="01415CD2"/>
    <w:rsid w:val="01426AE8"/>
    <w:rsid w:val="014F219D"/>
    <w:rsid w:val="014F4893"/>
    <w:rsid w:val="01505F15"/>
    <w:rsid w:val="0151367A"/>
    <w:rsid w:val="01527EDF"/>
    <w:rsid w:val="015E6884"/>
    <w:rsid w:val="01697764"/>
    <w:rsid w:val="016C71F3"/>
    <w:rsid w:val="016D6AC7"/>
    <w:rsid w:val="016F56CB"/>
    <w:rsid w:val="017B2F92"/>
    <w:rsid w:val="017C0447"/>
    <w:rsid w:val="017D31AE"/>
    <w:rsid w:val="017F53A9"/>
    <w:rsid w:val="01804A4C"/>
    <w:rsid w:val="018362EB"/>
    <w:rsid w:val="018B32D0"/>
    <w:rsid w:val="01910A08"/>
    <w:rsid w:val="019422A6"/>
    <w:rsid w:val="0194674A"/>
    <w:rsid w:val="0196601E"/>
    <w:rsid w:val="019F1F35"/>
    <w:rsid w:val="01A56261"/>
    <w:rsid w:val="01A717A9"/>
    <w:rsid w:val="01AD5116"/>
    <w:rsid w:val="01B110AA"/>
    <w:rsid w:val="01B666C0"/>
    <w:rsid w:val="01BA61B0"/>
    <w:rsid w:val="01C2082B"/>
    <w:rsid w:val="01C44B91"/>
    <w:rsid w:val="01D30B9A"/>
    <w:rsid w:val="01D31020"/>
    <w:rsid w:val="01D46B46"/>
    <w:rsid w:val="01D6466C"/>
    <w:rsid w:val="01D764C2"/>
    <w:rsid w:val="01D803E5"/>
    <w:rsid w:val="01DB1D0B"/>
    <w:rsid w:val="01E36F4E"/>
    <w:rsid w:val="01E62463"/>
    <w:rsid w:val="01E764AF"/>
    <w:rsid w:val="01E9759B"/>
    <w:rsid w:val="01EA0118"/>
    <w:rsid w:val="01EC0334"/>
    <w:rsid w:val="01ED7C29"/>
    <w:rsid w:val="01EF3980"/>
    <w:rsid w:val="01F3069B"/>
    <w:rsid w:val="01F3521E"/>
    <w:rsid w:val="01F42D45"/>
    <w:rsid w:val="01F66ABD"/>
    <w:rsid w:val="01F90CAD"/>
    <w:rsid w:val="01FB6916"/>
    <w:rsid w:val="02070CCA"/>
    <w:rsid w:val="02077A8A"/>
    <w:rsid w:val="020B5B51"/>
    <w:rsid w:val="020C62E0"/>
    <w:rsid w:val="020D4CA4"/>
    <w:rsid w:val="020F7B7E"/>
    <w:rsid w:val="02117D9A"/>
    <w:rsid w:val="0213766F"/>
    <w:rsid w:val="02145195"/>
    <w:rsid w:val="02145238"/>
    <w:rsid w:val="021740F7"/>
    <w:rsid w:val="02174ECC"/>
    <w:rsid w:val="021E7AC7"/>
    <w:rsid w:val="021E7DCE"/>
    <w:rsid w:val="022655F4"/>
    <w:rsid w:val="02291B07"/>
    <w:rsid w:val="022C24DE"/>
    <w:rsid w:val="022E26FA"/>
    <w:rsid w:val="023B0973"/>
    <w:rsid w:val="02441F1E"/>
    <w:rsid w:val="024B50E5"/>
    <w:rsid w:val="024B6E08"/>
    <w:rsid w:val="024F3527"/>
    <w:rsid w:val="025657AD"/>
    <w:rsid w:val="02595DB9"/>
    <w:rsid w:val="02693733"/>
    <w:rsid w:val="026C4FD1"/>
    <w:rsid w:val="026E2029"/>
    <w:rsid w:val="027125E7"/>
    <w:rsid w:val="02756840"/>
    <w:rsid w:val="02783976"/>
    <w:rsid w:val="027C5214"/>
    <w:rsid w:val="027D4258"/>
    <w:rsid w:val="02816E42"/>
    <w:rsid w:val="0284056C"/>
    <w:rsid w:val="02936A01"/>
    <w:rsid w:val="0295277A"/>
    <w:rsid w:val="029C3B08"/>
    <w:rsid w:val="029F53A6"/>
    <w:rsid w:val="02A14633"/>
    <w:rsid w:val="02A1546C"/>
    <w:rsid w:val="02A40196"/>
    <w:rsid w:val="02A76009"/>
    <w:rsid w:val="02A97FD3"/>
    <w:rsid w:val="02AB3D4B"/>
    <w:rsid w:val="02B50726"/>
    <w:rsid w:val="02B6369A"/>
    <w:rsid w:val="02C60B85"/>
    <w:rsid w:val="02C92423"/>
    <w:rsid w:val="02C941D1"/>
    <w:rsid w:val="02CE4CF7"/>
    <w:rsid w:val="02D908B8"/>
    <w:rsid w:val="02E2723F"/>
    <w:rsid w:val="02E35293"/>
    <w:rsid w:val="02E42DB9"/>
    <w:rsid w:val="02E74049"/>
    <w:rsid w:val="02ED4364"/>
    <w:rsid w:val="02EF1E8A"/>
    <w:rsid w:val="02F54FC6"/>
    <w:rsid w:val="02F76F90"/>
    <w:rsid w:val="02FD4D40"/>
    <w:rsid w:val="02FE031F"/>
    <w:rsid w:val="0301396B"/>
    <w:rsid w:val="03015719"/>
    <w:rsid w:val="03031491"/>
    <w:rsid w:val="03074DDC"/>
    <w:rsid w:val="03092820"/>
    <w:rsid w:val="030B5A0E"/>
    <w:rsid w:val="030E7406"/>
    <w:rsid w:val="03152FC7"/>
    <w:rsid w:val="03206072"/>
    <w:rsid w:val="03217B69"/>
    <w:rsid w:val="03253AFD"/>
    <w:rsid w:val="032558AB"/>
    <w:rsid w:val="03265180"/>
    <w:rsid w:val="032F5C6D"/>
    <w:rsid w:val="033249FC"/>
    <w:rsid w:val="03367AB9"/>
    <w:rsid w:val="033710B6"/>
    <w:rsid w:val="03372BDE"/>
    <w:rsid w:val="03391357"/>
    <w:rsid w:val="033A0C2B"/>
    <w:rsid w:val="033A62E9"/>
    <w:rsid w:val="033B4181"/>
    <w:rsid w:val="033C40A2"/>
    <w:rsid w:val="033E4BBF"/>
    <w:rsid w:val="034321D6"/>
    <w:rsid w:val="034A70C0"/>
    <w:rsid w:val="034D095E"/>
    <w:rsid w:val="034E72B8"/>
    <w:rsid w:val="035148F2"/>
    <w:rsid w:val="03546191"/>
    <w:rsid w:val="03547F3F"/>
    <w:rsid w:val="035717DD"/>
    <w:rsid w:val="036119A3"/>
    <w:rsid w:val="036B7087"/>
    <w:rsid w:val="036C34DA"/>
    <w:rsid w:val="037212ED"/>
    <w:rsid w:val="0374413D"/>
    <w:rsid w:val="0385634A"/>
    <w:rsid w:val="038C592B"/>
    <w:rsid w:val="038F1881"/>
    <w:rsid w:val="03927D69"/>
    <w:rsid w:val="039B3DC0"/>
    <w:rsid w:val="039B791C"/>
    <w:rsid w:val="039C407F"/>
    <w:rsid w:val="039C5442"/>
    <w:rsid w:val="03A013D6"/>
    <w:rsid w:val="03A2514E"/>
    <w:rsid w:val="03A72764"/>
    <w:rsid w:val="03AD764F"/>
    <w:rsid w:val="03B978B9"/>
    <w:rsid w:val="03C42CC6"/>
    <w:rsid w:val="03C9309C"/>
    <w:rsid w:val="03CA6453"/>
    <w:rsid w:val="03CC265C"/>
    <w:rsid w:val="03E017D2"/>
    <w:rsid w:val="03E54254"/>
    <w:rsid w:val="03E56DE9"/>
    <w:rsid w:val="03E80687"/>
    <w:rsid w:val="03F62DA4"/>
    <w:rsid w:val="03F82FC0"/>
    <w:rsid w:val="03FD567C"/>
    <w:rsid w:val="04001FDF"/>
    <w:rsid w:val="040C6A6B"/>
    <w:rsid w:val="040C7AED"/>
    <w:rsid w:val="040D5F94"/>
    <w:rsid w:val="040E27E3"/>
    <w:rsid w:val="040E4592"/>
    <w:rsid w:val="04253689"/>
    <w:rsid w:val="042C4A18"/>
    <w:rsid w:val="042E253E"/>
    <w:rsid w:val="04360C8C"/>
    <w:rsid w:val="043A5387"/>
    <w:rsid w:val="043B510F"/>
    <w:rsid w:val="043D09D3"/>
    <w:rsid w:val="043D29C9"/>
    <w:rsid w:val="0442248D"/>
    <w:rsid w:val="044E2BE0"/>
    <w:rsid w:val="04553F6E"/>
    <w:rsid w:val="0455536E"/>
    <w:rsid w:val="045B70AB"/>
    <w:rsid w:val="045F2DCA"/>
    <w:rsid w:val="045F6B9B"/>
    <w:rsid w:val="046B3BE8"/>
    <w:rsid w:val="047343F5"/>
    <w:rsid w:val="04777A0C"/>
    <w:rsid w:val="047C599F"/>
    <w:rsid w:val="04812FB5"/>
    <w:rsid w:val="0488407F"/>
    <w:rsid w:val="048B5BE2"/>
    <w:rsid w:val="048D3235"/>
    <w:rsid w:val="048F3CBD"/>
    <w:rsid w:val="04912D27"/>
    <w:rsid w:val="049525BD"/>
    <w:rsid w:val="04974587"/>
    <w:rsid w:val="049802FF"/>
    <w:rsid w:val="04984EBD"/>
    <w:rsid w:val="049E532B"/>
    <w:rsid w:val="04A95504"/>
    <w:rsid w:val="04AE18D1"/>
    <w:rsid w:val="04B36EE7"/>
    <w:rsid w:val="04B70785"/>
    <w:rsid w:val="04BC1856"/>
    <w:rsid w:val="04BF1806"/>
    <w:rsid w:val="04BF763A"/>
    <w:rsid w:val="04D23811"/>
    <w:rsid w:val="04D330E5"/>
    <w:rsid w:val="04DB409D"/>
    <w:rsid w:val="04DC643E"/>
    <w:rsid w:val="04DE2B29"/>
    <w:rsid w:val="04DF250D"/>
    <w:rsid w:val="04E35A1E"/>
    <w:rsid w:val="04E86B91"/>
    <w:rsid w:val="04EB042F"/>
    <w:rsid w:val="04ED41A7"/>
    <w:rsid w:val="04F75026"/>
    <w:rsid w:val="04FE4606"/>
    <w:rsid w:val="05045994"/>
    <w:rsid w:val="05047743"/>
    <w:rsid w:val="050B0AD1"/>
    <w:rsid w:val="051C683A"/>
    <w:rsid w:val="051E7732"/>
    <w:rsid w:val="052027CE"/>
    <w:rsid w:val="05235E1B"/>
    <w:rsid w:val="052B4CCF"/>
    <w:rsid w:val="052D1694"/>
    <w:rsid w:val="05322502"/>
    <w:rsid w:val="053C0C8A"/>
    <w:rsid w:val="053D01B1"/>
    <w:rsid w:val="05404C1F"/>
    <w:rsid w:val="05412FEB"/>
    <w:rsid w:val="05453FE3"/>
    <w:rsid w:val="0547556E"/>
    <w:rsid w:val="054F58B7"/>
    <w:rsid w:val="0550686D"/>
    <w:rsid w:val="0555686E"/>
    <w:rsid w:val="05557F9E"/>
    <w:rsid w:val="05561E22"/>
    <w:rsid w:val="05575AC4"/>
    <w:rsid w:val="055D7941"/>
    <w:rsid w:val="055E7FA4"/>
    <w:rsid w:val="05685F23"/>
    <w:rsid w:val="056B77C2"/>
    <w:rsid w:val="056F72DE"/>
    <w:rsid w:val="05742AC8"/>
    <w:rsid w:val="057523EE"/>
    <w:rsid w:val="057C377D"/>
    <w:rsid w:val="057F5510"/>
    <w:rsid w:val="05852BDA"/>
    <w:rsid w:val="058663AA"/>
    <w:rsid w:val="058873D6"/>
    <w:rsid w:val="058979DF"/>
    <w:rsid w:val="05917228"/>
    <w:rsid w:val="05940AC6"/>
    <w:rsid w:val="05942874"/>
    <w:rsid w:val="059E36F3"/>
    <w:rsid w:val="05A50F26"/>
    <w:rsid w:val="05AB5C72"/>
    <w:rsid w:val="05B13426"/>
    <w:rsid w:val="05B31D8A"/>
    <w:rsid w:val="05BB6053"/>
    <w:rsid w:val="05C07B0D"/>
    <w:rsid w:val="05C57BB2"/>
    <w:rsid w:val="05CF7D50"/>
    <w:rsid w:val="05D2339D"/>
    <w:rsid w:val="05D90BCF"/>
    <w:rsid w:val="05D9472B"/>
    <w:rsid w:val="05E61758"/>
    <w:rsid w:val="05EE2510"/>
    <w:rsid w:val="05EE467B"/>
    <w:rsid w:val="05F03B35"/>
    <w:rsid w:val="05F23A3F"/>
    <w:rsid w:val="05F50593"/>
    <w:rsid w:val="05F52F17"/>
    <w:rsid w:val="05F862B3"/>
    <w:rsid w:val="05F902FF"/>
    <w:rsid w:val="05FD48BE"/>
    <w:rsid w:val="06057FE3"/>
    <w:rsid w:val="0607573C"/>
    <w:rsid w:val="060911D9"/>
    <w:rsid w:val="060C221D"/>
    <w:rsid w:val="06127C3D"/>
    <w:rsid w:val="0616597F"/>
    <w:rsid w:val="0616772D"/>
    <w:rsid w:val="06174FC9"/>
    <w:rsid w:val="061834A6"/>
    <w:rsid w:val="061A40F4"/>
    <w:rsid w:val="06287400"/>
    <w:rsid w:val="062A62FB"/>
    <w:rsid w:val="062C0CFF"/>
    <w:rsid w:val="062C3530"/>
    <w:rsid w:val="062E0F1B"/>
    <w:rsid w:val="062F6A41"/>
    <w:rsid w:val="063130C9"/>
    <w:rsid w:val="063400E4"/>
    <w:rsid w:val="06352F05"/>
    <w:rsid w:val="0637015B"/>
    <w:rsid w:val="063A78C0"/>
    <w:rsid w:val="063B53E6"/>
    <w:rsid w:val="063E01A9"/>
    <w:rsid w:val="063E7D85"/>
    <w:rsid w:val="064047AA"/>
    <w:rsid w:val="064222D0"/>
    <w:rsid w:val="06475E2A"/>
    <w:rsid w:val="064C13A1"/>
    <w:rsid w:val="064F2C3F"/>
    <w:rsid w:val="06514C09"/>
    <w:rsid w:val="06523C1B"/>
    <w:rsid w:val="0659586C"/>
    <w:rsid w:val="065B7836"/>
    <w:rsid w:val="06604169"/>
    <w:rsid w:val="06693D01"/>
    <w:rsid w:val="066C31F2"/>
    <w:rsid w:val="066C559F"/>
    <w:rsid w:val="06787FCA"/>
    <w:rsid w:val="067D77AC"/>
    <w:rsid w:val="068A641F"/>
    <w:rsid w:val="068B1EC9"/>
    <w:rsid w:val="068D62C8"/>
    <w:rsid w:val="068E3768"/>
    <w:rsid w:val="06936FD0"/>
    <w:rsid w:val="069C69C9"/>
    <w:rsid w:val="069E1EDD"/>
    <w:rsid w:val="06A20FC1"/>
    <w:rsid w:val="06A27213"/>
    <w:rsid w:val="06A42F8B"/>
    <w:rsid w:val="06AB4624"/>
    <w:rsid w:val="06AF04B5"/>
    <w:rsid w:val="06B07B82"/>
    <w:rsid w:val="06B92D8C"/>
    <w:rsid w:val="06BC02D5"/>
    <w:rsid w:val="06BD160A"/>
    <w:rsid w:val="06C04B42"/>
    <w:rsid w:val="06C07699"/>
    <w:rsid w:val="06C12665"/>
    <w:rsid w:val="06C158EB"/>
    <w:rsid w:val="06C6670B"/>
    <w:rsid w:val="06C76C7A"/>
    <w:rsid w:val="06C9323D"/>
    <w:rsid w:val="06CB64FF"/>
    <w:rsid w:val="06CD24E2"/>
    <w:rsid w:val="06D179D1"/>
    <w:rsid w:val="06DC1469"/>
    <w:rsid w:val="06DE46EF"/>
    <w:rsid w:val="06F21D26"/>
    <w:rsid w:val="06F3462A"/>
    <w:rsid w:val="06F832D7"/>
    <w:rsid w:val="06FC6923"/>
    <w:rsid w:val="0700284C"/>
    <w:rsid w:val="07027CB2"/>
    <w:rsid w:val="07056945"/>
    <w:rsid w:val="0708176C"/>
    <w:rsid w:val="070875E0"/>
    <w:rsid w:val="070F2026"/>
    <w:rsid w:val="070F6035"/>
    <w:rsid w:val="07100621"/>
    <w:rsid w:val="071271FE"/>
    <w:rsid w:val="07130CC2"/>
    <w:rsid w:val="071E2D3E"/>
    <w:rsid w:val="07293586"/>
    <w:rsid w:val="07295285"/>
    <w:rsid w:val="072D2F81"/>
    <w:rsid w:val="072D508B"/>
    <w:rsid w:val="072F22BE"/>
    <w:rsid w:val="07322345"/>
    <w:rsid w:val="073360BD"/>
    <w:rsid w:val="073443D1"/>
    <w:rsid w:val="073562D9"/>
    <w:rsid w:val="073A569E"/>
    <w:rsid w:val="073B6467"/>
    <w:rsid w:val="073D3B2D"/>
    <w:rsid w:val="073E518E"/>
    <w:rsid w:val="07462294"/>
    <w:rsid w:val="07464042"/>
    <w:rsid w:val="07481B68"/>
    <w:rsid w:val="07483BF5"/>
    <w:rsid w:val="074C0E53"/>
    <w:rsid w:val="074E2EF7"/>
    <w:rsid w:val="07500A1D"/>
    <w:rsid w:val="07515272"/>
    <w:rsid w:val="07524795"/>
    <w:rsid w:val="07526D7F"/>
    <w:rsid w:val="075A189C"/>
    <w:rsid w:val="075A7AEE"/>
    <w:rsid w:val="0765096C"/>
    <w:rsid w:val="076F6FBB"/>
    <w:rsid w:val="07741E3E"/>
    <w:rsid w:val="077639A5"/>
    <w:rsid w:val="07770C56"/>
    <w:rsid w:val="07797F74"/>
    <w:rsid w:val="077C1812"/>
    <w:rsid w:val="077C7A64"/>
    <w:rsid w:val="077D67F1"/>
    <w:rsid w:val="07812C00"/>
    <w:rsid w:val="07844B53"/>
    <w:rsid w:val="07866B35"/>
    <w:rsid w:val="07943F08"/>
    <w:rsid w:val="0794648D"/>
    <w:rsid w:val="07994871"/>
    <w:rsid w:val="07996868"/>
    <w:rsid w:val="07A23A55"/>
    <w:rsid w:val="07A56FBB"/>
    <w:rsid w:val="07A64AE1"/>
    <w:rsid w:val="07A66D5A"/>
    <w:rsid w:val="07A73637"/>
    <w:rsid w:val="07A84FDE"/>
    <w:rsid w:val="07AA0EFE"/>
    <w:rsid w:val="07AC5A1F"/>
    <w:rsid w:val="07AF4ECA"/>
    <w:rsid w:val="07B0158F"/>
    <w:rsid w:val="07B01DD8"/>
    <w:rsid w:val="07B216D8"/>
    <w:rsid w:val="07B96BED"/>
    <w:rsid w:val="07C77907"/>
    <w:rsid w:val="07CA07CF"/>
    <w:rsid w:val="07CD4764"/>
    <w:rsid w:val="07D26499"/>
    <w:rsid w:val="07DD10FF"/>
    <w:rsid w:val="07DE071F"/>
    <w:rsid w:val="07DF4305"/>
    <w:rsid w:val="07E76222"/>
    <w:rsid w:val="07E86EA8"/>
    <w:rsid w:val="07ED2710"/>
    <w:rsid w:val="07F13FAE"/>
    <w:rsid w:val="07F27D26"/>
    <w:rsid w:val="07F3799A"/>
    <w:rsid w:val="07F92E63"/>
    <w:rsid w:val="08033CE1"/>
    <w:rsid w:val="080623A4"/>
    <w:rsid w:val="080811D8"/>
    <w:rsid w:val="080F2686"/>
    <w:rsid w:val="08111A6D"/>
    <w:rsid w:val="08114650"/>
    <w:rsid w:val="08123F24"/>
    <w:rsid w:val="081C4DA3"/>
    <w:rsid w:val="081D4626"/>
    <w:rsid w:val="08202AE5"/>
    <w:rsid w:val="08226344"/>
    <w:rsid w:val="08255A35"/>
    <w:rsid w:val="08262F95"/>
    <w:rsid w:val="08316AA1"/>
    <w:rsid w:val="083818D9"/>
    <w:rsid w:val="08426486"/>
    <w:rsid w:val="0844358D"/>
    <w:rsid w:val="084661C6"/>
    <w:rsid w:val="084A5DB4"/>
    <w:rsid w:val="084A7B62"/>
    <w:rsid w:val="084E7652"/>
    <w:rsid w:val="084F4E8A"/>
    <w:rsid w:val="0854453D"/>
    <w:rsid w:val="085D1644"/>
    <w:rsid w:val="086B7B56"/>
    <w:rsid w:val="086D316B"/>
    <w:rsid w:val="086F380C"/>
    <w:rsid w:val="087109F5"/>
    <w:rsid w:val="08791858"/>
    <w:rsid w:val="087A4C54"/>
    <w:rsid w:val="087C32B0"/>
    <w:rsid w:val="088210AA"/>
    <w:rsid w:val="08850A8D"/>
    <w:rsid w:val="08874912"/>
    <w:rsid w:val="08894C98"/>
    <w:rsid w:val="088A781D"/>
    <w:rsid w:val="0898267C"/>
    <w:rsid w:val="08997879"/>
    <w:rsid w:val="08A92ADB"/>
    <w:rsid w:val="08AC299F"/>
    <w:rsid w:val="08AF1043"/>
    <w:rsid w:val="08B03E69"/>
    <w:rsid w:val="08B576D2"/>
    <w:rsid w:val="08BD0334"/>
    <w:rsid w:val="08C05347"/>
    <w:rsid w:val="08CE42EF"/>
    <w:rsid w:val="08D14FA8"/>
    <w:rsid w:val="08D538D0"/>
    <w:rsid w:val="08DB6A0C"/>
    <w:rsid w:val="08E104C7"/>
    <w:rsid w:val="08E753B1"/>
    <w:rsid w:val="08E92932"/>
    <w:rsid w:val="08F53CDB"/>
    <w:rsid w:val="090158E3"/>
    <w:rsid w:val="090221EB"/>
    <w:rsid w:val="090C4E18"/>
    <w:rsid w:val="0913264A"/>
    <w:rsid w:val="09153C1F"/>
    <w:rsid w:val="091567F4"/>
    <w:rsid w:val="09197523"/>
    <w:rsid w:val="091F34DF"/>
    <w:rsid w:val="092217DD"/>
    <w:rsid w:val="09240154"/>
    <w:rsid w:val="09265BCD"/>
    <w:rsid w:val="092B7C9F"/>
    <w:rsid w:val="092F6336"/>
    <w:rsid w:val="09300B06"/>
    <w:rsid w:val="09371E95"/>
    <w:rsid w:val="09376339"/>
    <w:rsid w:val="093A7294"/>
    <w:rsid w:val="09401129"/>
    <w:rsid w:val="09475E50"/>
    <w:rsid w:val="094817DD"/>
    <w:rsid w:val="094B5940"/>
    <w:rsid w:val="09510A7C"/>
    <w:rsid w:val="09552FEF"/>
    <w:rsid w:val="095742E5"/>
    <w:rsid w:val="095C7B4D"/>
    <w:rsid w:val="095E38C5"/>
    <w:rsid w:val="09613E28"/>
    <w:rsid w:val="0969226A"/>
    <w:rsid w:val="09694018"/>
    <w:rsid w:val="096D3B08"/>
    <w:rsid w:val="09714C67"/>
    <w:rsid w:val="0978425B"/>
    <w:rsid w:val="097A7FD3"/>
    <w:rsid w:val="097F1A8E"/>
    <w:rsid w:val="098224D5"/>
    <w:rsid w:val="098350DA"/>
    <w:rsid w:val="09844849"/>
    <w:rsid w:val="0984611E"/>
    <w:rsid w:val="098470A4"/>
    <w:rsid w:val="09886B94"/>
    <w:rsid w:val="098B0432"/>
    <w:rsid w:val="098C5B93"/>
    <w:rsid w:val="098E3A7F"/>
    <w:rsid w:val="098F7F23"/>
    <w:rsid w:val="099168C1"/>
    <w:rsid w:val="09926E4D"/>
    <w:rsid w:val="099346C1"/>
    <w:rsid w:val="099A2423"/>
    <w:rsid w:val="099E0166"/>
    <w:rsid w:val="099F7A3A"/>
    <w:rsid w:val="09A137B2"/>
    <w:rsid w:val="09A17C56"/>
    <w:rsid w:val="09A35B15"/>
    <w:rsid w:val="09AA1703"/>
    <w:rsid w:val="09B253B3"/>
    <w:rsid w:val="09BB6819"/>
    <w:rsid w:val="09BE1A52"/>
    <w:rsid w:val="09C120A6"/>
    <w:rsid w:val="09C1299A"/>
    <w:rsid w:val="09C53944"/>
    <w:rsid w:val="09D121EF"/>
    <w:rsid w:val="09D41DD9"/>
    <w:rsid w:val="09DB3C13"/>
    <w:rsid w:val="09DF68E3"/>
    <w:rsid w:val="09E35B78"/>
    <w:rsid w:val="09E60BC0"/>
    <w:rsid w:val="09E60BF4"/>
    <w:rsid w:val="09E75B73"/>
    <w:rsid w:val="09EB0ED1"/>
    <w:rsid w:val="09EB65C7"/>
    <w:rsid w:val="09ED4C49"/>
    <w:rsid w:val="09EF451D"/>
    <w:rsid w:val="09F10ADE"/>
    <w:rsid w:val="09F4422A"/>
    <w:rsid w:val="09F77876"/>
    <w:rsid w:val="09FC4E8C"/>
    <w:rsid w:val="09FD689E"/>
    <w:rsid w:val="09FF584F"/>
    <w:rsid w:val="0A026946"/>
    <w:rsid w:val="0A083831"/>
    <w:rsid w:val="0A0A75A9"/>
    <w:rsid w:val="0A0B50CF"/>
    <w:rsid w:val="0A173A74"/>
    <w:rsid w:val="0A1755E4"/>
    <w:rsid w:val="0A187AF5"/>
    <w:rsid w:val="0A1B7FBE"/>
    <w:rsid w:val="0A1C108A"/>
    <w:rsid w:val="0A1E3055"/>
    <w:rsid w:val="0A2264AF"/>
    <w:rsid w:val="0A392EC5"/>
    <w:rsid w:val="0A3D5178"/>
    <w:rsid w:val="0A3E36F7"/>
    <w:rsid w:val="0A430D0D"/>
    <w:rsid w:val="0A4707FD"/>
    <w:rsid w:val="0A4A5BF8"/>
    <w:rsid w:val="0A4D1921"/>
    <w:rsid w:val="0A4F6FD0"/>
    <w:rsid w:val="0A553E45"/>
    <w:rsid w:val="0A56459C"/>
    <w:rsid w:val="0A595E3B"/>
    <w:rsid w:val="0A6C2012"/>
    <w:rsid w:val="0A6D18E6"/>
    <w:rsid w:val="0A6D7B38"/>
    <w:rsid w:val="0A762E91"/>
    <w:rsid w:val="0A7C2668"/>
    <w:rsid w:val="0A80786B"/>
    <w:rsid w:val="0A83110A"/>
    <w:rsid w:val="0A8530D4"/>
    <w:rsid w:val="0A886720"/>
    <w:rsid w:val="0A8A2498"/>
    <w:rsid w:val="0A8F3F52"/>
    <w:rsid w:val="0A8F5D00"/>
    <w:rsid w:val="0A981059"/>
    <w:rsid w:val="0A997548"/>
    <w:rsid w:val="0A9B6453"/>
    <w:rsid w:val="0A9F3879"/>
    <w:rsid w:val="0AA03A6A"/>
    <w:rsid w:val="0AA413E9"/>
    <w:rsid w:val="0AA442E9"/>
    <w:rsid w:val="0AA51080"/>
    <w:rsid w:val="0AA6225D"/>
    <w:rsid w:val="0AAB0D8C"/>
    <w:rsid w:val="0AAE35C0"/>
    <w:rsid w:val="0AB35ECF"/>
    <w:rsid w:val="0ABD286D"/>
    <w:rsid w:val="0ACB4F8A"/>
    <w:rsid w:val="0ACE05D7"/>
    <w:rsid w:val="0AD33E3F"/>
    <w:rsid w:val="0AD630BE"/>
    <w:rsid w:val="0ADA51CD"/>
    <w:rsid w:val="0ADE5D3C"/>
    <w:rsid w:val="0AE41BA8"/>
    <w:rsid w:val="0AE71698"/>
    <w:rsid w:val="0AEB5587"/>
    <w:rsid w:val="0AEC6CAF"/>
    <w:rsid w:val="0AF02C43"/>
    <w:rsid w:val="0AF049F1"/>
    <w:rsid w:val="0AF40E28"/>
    <w:rsid w:val="0AFA761E"/>
    <w:rsid w:val="0AFF4C34"/>
    <w:rsid w:val="0B01749D"/>
    <w:rsid w:val="0B04049C"/>
    <w:rsid w:val="0B0C7351"/>
    <w:rsid w:val="0B1D330C"/>
    <w:rsid w:val="0B24469B"/>
    <w:rsid w:val="0B2510BA"/>
    <w:rsid w:val="0B27418B"/>
    <w:rsid w:val="0B2C354F"/>
    <w:rsid w:val="0B380146"/>
    <w:rsid w:val="0B403661"/>
    <w:rsid w:val="0B424B21"/>
    <w:rsid w:val="0B464611"/>
    <w:rsid w:val="0B4821A6"/>
    <w:rsid w:val="0B494101"/>
    <w:rsid w:val="0B5A3A72"/>
    <w:rsid w:val="0B5F1B77"/>
    <w:rsid w:val="0B626F71"/>
    <w:rsid w:val="0B646908"/>
    <w:rsid w:val="0B696551"/>
    <w:rsid w:val="0B6E3B68"/>
    <w:rsid w:val="0B723658"/>
    <w:rsid w:val="0B7373D0"/>
    <w:rsid w:val="0B745622"/>
    <w:rsid w:val="0B7A4555"/>
    <w:rsid w:val="0B7B5325"/>
    <w:rsid w:val="0B811AED"/>
    <w:rsid w:val="0B84410E"/>
    <w:rsid w:val="0B870F82"/>
    <w:rsid w:val="0B957BA3"/>
    <w:rsid w:val="0B974E6D"/>
    <w:rsid w:val="0B9A495D"/>
    <w:rsid w:val="0B9F6417"/>
    <w:rsid w:val="0BA43585"/>
    <w:rsid w:val="0BA650B0"/>
    <w:rsid w:val="0BA74B97"/>
    <w:rsid w:val="0BA93258"/>
    <w:rsid w:val="0BAD4690"/>
    <w:rsid w:val="0BB21CA6"/>
    <w:rsid w:val="0BB94E6C"/>
    <w:rsid w:val="0BC508A7"/>
    <w:rsid w:val="0BC55E7E"/>
    <w:rsid w:val="0BD27BF6"/>
    <w:rsid w:val="0BD3667B"/>
    <w:rsid w:val="0BD55995"/>
    <w:rsid w:val="0BD7795F"/>
    <w:rsid w:val="0BD845F9"/>
    <w:rsid w:val="0BD94AAC"/>
    <w:rsid w:val="0BD95485"/>
    <w:rsid w:val="0BDA11FD"/>
    <w:rsid w:val="0BDC31C7"/>
    <w:rsid w:val="0BE1258C"/>
    <w:rsid w:val="0BE67BA2"/>
    <w:rsid w:val="0BE7798C"/>
    <w:rsid w:val="0BE856C8"/>
    <w:rsid w:val="0BF978D5"/>
    <w:rsid w:val="0BFA364D"/>
    <w:rsid w:val="0C0048F0"/>
    <w:rsid w:val="0C14470F"/>
    <w:rsid w:val="0C1464BD"/>
    <w:rsid w:val="0C17662A"/>
    <w:rsid w:val="0C186B5B"/>
    <w:rsid w:val="0C1B3CF0"/>
    <w:rsid w:val="0C1E0947"/>
    <w:rsid w:val="0C1E558E"/>
    <w:rsid w:val="0C22507E"/>
    <w:rsid w:val="0C234952"/>
    <w:rsid w:val="0C2529C5"/>
    <w:rsid w:val="0C260CA9"/>
    <w:rsid w:val="0C324046"/>
    <w:rsid w:val="0C357A56"/>
    <w:rsid w:val="0C360B29"/>
    <w:rsid w:val="0C3825CF"/>
    <w:rsid w:val="0C405504"/>
    <w:rsid w:val="0C4F3999"/>
    <w:rsid w:val="0C517711"/>
    <w:rsid w:val="0C523489"/>
    <w:rsid w:val="0C607B67"/>
    <w:rsid w:val="0C62191E"/>
    <w:rsid w:val="0C645AF4"/>
    <w:rsid w:val="0C662A91"/>
    <w:rsid w:val="0C6A07D3"/>
    <w:rsid w:val="0C6A432F"/>
    <w:rsid w:val="0C6D3E1F"/>
    <w:rsid w:val="0C6F1945"/>
    <w:rsid w:val="0C716BA6"/>
    <w:rsid w:val="0C721436"/>
    <w:rsid w:val="0C735804"/>
    <w:rsid w:val="0C741652"/>
    <w:rsid w:val="0C786AA5"/>
    <w:rsid w:val="0C7B653C"/>
    <w:rsid w:val="0C7E65A6"/>
    <w:rsid w:val="0C8A2C23"/>
    <w:rsid w:val="0C8D626F"/>
    <w:rsid w:val="0C917B0E"/>
    <w:rsid w:val="0C943AA2"/>
    <w:rsid w:val="0C960828"/>
    <w:rsid w:val="0C9615C8"/>
    <w:rsid w:val="0C9E00D7"/>
    <w:rsid w:val="0C9E02D7"/>
    <w:rsid w:val="0CA44632"/>
    <w:rsid w:val="0CAF051D"/>
    <w:rsid w:val="0CB11F59"/>
    <w:rsid w:val="0CB67574"/>
    <w:rsid w:val="0CBB102F"/>
    <w:rsid w:val="0CBB4B8B"/>
    <w:rsid w:val="0CBF0B1F"/>
    <w:rsid w:val="0CC17E6B"/>
    <w:rsid w:val="0CDA2FAD"/>
    <w:rsid w:val="0CDD2D53"/>
    <w:rsid w:val="0CDD48B1"/>
    <w:rsid w:val="0CDE0FAD"/>
    <w:rsid w:val="0CE642FD"/>
    <w:rsid w:val="0CE73BD2"/>
    <w:rsid w:val="0CEB1914"/>
    <w:rsid w:val="0CEE6D0E"/>
    <w:rsid w:val="0CF32131"/>
    <w:rsid w:val="0CFF53BF"/>
    <w:rsid w:val="0D026C5D"/>
    <w:rsid w:val="0D081CA7"/>
    <w:rsid w:val="0D08247E"/>
    <w:rsid w:val="0D093B48"/>
    <w:rsid w:val="0D0A78C0"/>
    <w:rsid w:val="0D0C2411"/>
    <w:rsid w:val="0D0D0C68"/>
    <w:rsid w:val="0D0E73B0"/>
    <w:rsid w:val="0D0F4ED6"/>
    <w:rsid w:val="0D10137A"/>
    <w:rsid w:val="0D136775"/>
    <w:rsid w:val="0D1A101C"/>
    <w:rsid w:val="0D1C7D1F"/>
    <w:rsid w:val="0D1F336B"/>
    <w:rsid w:val="0D2005D6"/>
    <w:rsid w:val="0D2A3ABE"/>
    <w:rsid w:val="0D336E17"/>
    <w:rsid w:val="0D34161D"/>
    <w:rsid w:val="0D352B8F"/>
    <w:rsid w:val="0D35493D"/>
    <w:rsid w:val="0D3859A2"/>
    <w:rsid w:val="0D3D37F2"/>
    <w:rsid w:val="0D3F57BC"/>
    <w:rsid w:val="0D411050"/>
    <w:rsid w:val="0D4903E8"/>
    <w:rsid w:val="0D4A1E5A"/>
    <w:rsid w:val="0D554FDF"/>
    <w:rsid w:val="0D55637F"/>
    <w:rsid w:val="0D6214AA"/>
    <w:rsid w:val="0D646FD0"/>
    <w:rsid w:val="0D6D057B"/>
    <w:rsid w:val="0D6E04F7"/>
    <w:rsid w:val="0D701E19"/>
    <w:rsid w:val="0D73168E"/>
    <w:rsid w:val="0D735465"/>
    <w:rsid w:val="0D7A7B8E"/>
    <w:rsid w:val="0D7C3B01"/>
    <w:rsid w:val="0D833DFC"/>
    <w:rsid w:val="0D834AA8"/>
    <w:rsid w:val="0D837D9E"/>
    <w:rsid w:val="0D892919"/>
    <w:rsid w:val="0D892EDB"/>
    <w:rsid w:val="0D93340D"/>
    <w:rsid w:val="0D9773A6"/>
    <w:rsid w:val="0D9C49BC"/>
    <w:rsid w:val="0DA05C1B"/>
    <w:rsid w:val="0DA10224"/>
    <w:rsid w:val="0DA11FD2"/>
    <w:rsid w:val="0DB42355"/>
    <w:rsid w:val="0DB51118"/>
    <w:rsid w:val="0DBA3094"/>
    <w:rsid w:val="0DBA7538"/>
    <w:rsid w:val="0DC108C7"/>
    <w:rsid w:val="0DC3421D"/>
    <w:rsid w:val="0DC45CC1"/>
    <w:rsid w:val="0DC53105"/>
    <w:rsid w:val="0DC932D7"/>
    <w:rsid w:val="0DC9777B"/>
    <w:rsid w:val="0DCD445C"/>
    <w:rsid w:val="0DD028B8"/>
    <w:rsid w:val="0DD25EA4"/>
    <w:rsid w:val="0DD34156"/>
    <w:rsid w:val="0DD423A8"/>
    <w:rsid w:val="0DD43EF0"/>
    <w:rsid w:val="0DD73C46"/>
    <w:rsid w:val="0DDC057E"/>
    <w:rsid w:val="0DE469DA"/>
    <w:rsid w:val="0DEE2D3E"/>
    <w:rsid w:val="0DF06AB6"/>
    <w:rsid w:val="0DFC545B"/>
    <w:rsid w:val="0DFD5C6B"/>
    <w:rsid w:val="0E0407B3"/>
    <w:rsid w:val="0E0B5706"/>
    <w:rsid w:val="0E0D7668"/>
    <w:rsid w:val="0E100F06"/>
    <w:rsid w:val="0E110D06"/>
    <w:rsid w:val="0E1B1E7D"/>
    <w:rsid w:val="0E1C78AB"/>
    <w:rsid w:val="0E214EC1"/>
    <w:rsid w:val="0E285C93"/>
    <w:rsid w:val="0E2873B4"/>
    <w:rsid w:val="0E2D7D0A"/>
    <w:rsid w:val="0E2F4C4F"/>
    <w:rsid w:val="0E301273"/>
    <w:rsid w:val="0E303356"/>
    <w:rsid w:val="0E305629"/>
    <w:rsid w:val="0E320723"/>
    <w:rsid w:val="0E364E11"/>
    <w:rsid w:val="0E3746E5"/>
    <w:rsid w:val="0E3A0F99"/>
    <w:rsid w:val="0E3A5F83"/>
    <w:rsid w:val="0E4376A8"/>
    <w:rsid w:val="0E464928"/>
    <w:rsid w:val="0E4F1A2E"/>
    <w:rsid w:val="0E5434E9"/>
    <w:rsid w:val="0E574D87"/>
    <w:rsid w:val="0E6D4EBA"/>
    <w:rsid w:val="0E715E49"/>
    <w:rsid w:val="0E72510F"/>
    <w:rsid w:val="0E790B75"/>
    <w:rsid w:val="0E7F3002"/>
    <w:rsid w:val="0E8F4521"/>
    <w:rsid w:val="0E905A81"/>
    <w:rsid w:val="0E912047"/>
    <w:rsid w:val="0E927B6D"/>
    <w:rsid w:val="0E9B4C74"/>
    <w:rsid w:val="0E9D17C6"/>
    <w:rsid w:val="0E9E29B6"/>
    <w:rsid w:val="0EA004DC"/>
    <w:rsid w:val="0EA37FCC"/>
    <w:rsid w:val="0EAB6D9A"/>
    <w:rsid w:val="0EAD2120"/>
    <w:rsid w:val="0EB45D35"/>
    <w:rsid w:val="0EBE4E06"/>
    <w:rsid w:val="0EC85224"/>
    <w:rsid w:val="0ECB1C73"/>
    <w:rsid w:val="0ECC12D1"/>
    <w:rsid w:val="0ECD1453"/>
    <w:rsid w:val="0EDE423D"/>
    <w:rsid w:val="0EE4486D"/>
    <w:rsid w:val="0EE526EA"/>
    <w:rsid w:val="0EE7120F"/>
    <w:rsid w:val="0EE859DF"/>
    <w:rsid w:val="0EF32D57"/>
    <w:rsid w:val="0EF80E8F"/>
    <w:rsid w:val="0F022F45"/>
    <w:rsid w:val="0F046CBD"/>
    <w:rsid w:val="0F0F67BD"/>
    <w:rsid w:val="0F111837"/>
    <w:rsid w:val="0F13775A"/>
    <w:rsid w:val="0F1A028E"/>
    <w:rsid w:val="0F205C7F"/>
    <w:rsid w:val="0F213C2C"/>
    <w:rsid w:val="0F225395"/>
    <w:rsid w:val="0F2E09A0"/>
    <w:rsid w:val="0F317386"/>
    <w:rsid w:val="0F3375A2"/>
    <w:rsid w:val="0F346E76"/>
    <w:rsid w:val="0F3A17D8"/>
    <w:rsid w:val="0F3C025F"/>
    <w:rsid w:val="0F3E0510"/>
    <w:rsid w:val="0F3E6EA4"/>
    <w:rsid w:val="0F3F5FF6"/>
    <w:rsid w:val="0F3F7CF5"/>
    <w:rsid w:val="0F452E31"/>
    <w:rsid w:val="0F580DB7"/>
    <w:rsid w:val="0F620288"/>
    <w:rsid w:val="0F6634D4"/>
    <w:rsid w:val="0F676B13"/>
    <w:rsid w:val="0F713C26"/>
    <w:rsid w:val="0F7200CA"/>
    <w:rsid w:val="0F7D25CB"/>
    <w:rsid w:val="0F87169C"/>
    <w:rsid w:val="0F8B4CE8"/>
    <w:rsid w:val="0F932BA2"/>
    <w:rsid w:val="0F96520F"/>
    <w:rsid w:val="0F9928EF"/>
    <w:rsid w:val="0F9A050E"/>
    <w:rsid w:val="0F9A112B"/>
    <w:rsid w:val="0FA07BF0"/>
    <w:rsid w:val="0FA1275E"/>
    <w:rsid w:val="0FAD1102"/>
    <w:rsid w:val="0FAF4135"/>
    <w:rsid w:val="0FB01208"/>
    <w:rsid w:val="0FB34BC2"/>
    <w:rsid w:val="0FB51D65"/>
    <w:rsid w:val="0FB56209"/>
    <w:rsid w:val="0FB57FB7"/>
    <w:rsid w:val="0FBD6E6C"/>
    <w:rsid w:val="0FC54AD9"/>
    <w:rsid w:val="0FD04DF1"/>
    <w:rsid w:val="0FD22917"/>
    <w:rsid w:val="0FE8038D"/>
    <w:rsid w:val="0FED3DD2"/>
    <w:rsid w:val="0FED59A3"/>
    <w:rsid w:val="0FED7687"/>
    <w:rsid w:val="0FF1044E"/>
    <w:rsid w:val="0FF52AA9"/>
    <w:rsid w:val="0FF7237E"/>
    <w:rsid w:val="10066A65"/>
    <w:rsid w:val="10086339"/>
    <w:rsid w:val="100910F7"/>
    <w:rsid w:val="100920B1"/>
    <w:rsid w:val="100D1BA1"/>
    <w:rsid w:val="100F5919"/>
    <w:rsid w:val="101051ED"/>
    <w:rsid w:val="10153D18"/>
    <w:rsid w:val="10172A20"/>
    <w:rsid w:val="10202516"/>
    <w:rsid w:val="102313C5"/>
    <w:rsid w:val="10251AC8"/>
    <w:rsid w:val="10274F9A"/>
    <w:rsid w:val="10284C2D"/>
    <w:rsid w:val="10294501"/>
    <w:rsid w:val="103274FC"/>
    <w:rsid w:val="103449ED"/>
    <w:rsid w:val="1034712E"/>
    <w:rsid w:val="10360127"/>
    <w:rsid w:val="1037079D"/>
    <w:rsid w:val="103A58B2"/>
    <w:rsid w:val="103A670E"/>
    <w:rsid w:val="104355C3"/>
    <w:rsid w:val="104A6951"/>
    <w:rsid w:val="10507CE0"/>
    <w:rsid w:val="10525131"/>
    <w:rsid w:val="10532F3B"/>
    <w:rsid w:val="105968CE"/>
    <w:rsid w:val="105A46BB"/>
    <w:rsid w:val="1066305F"/>
    <w:rsid w:val="106D2F64"/>
    <w:rsid w:val="10720430"/>
    <w:rsid w:val="10790FE5"/>
    <w:rsid w:val="107D1AA2"/>
    <w:rsid w:val="107E2A9F"/>
    <w:rsid w:val="10856F1B"/>
    <w:rsid w:val="108B0D18"/>
    <w:rsid w:val="108F6861"/>
    <w:rsid w:val="10933A8A"/>
    <w:rsid w:val="10944070"/>
    <w:rsid w:val="10991559"/>
    <w:rsid w:val="109951E3"/>
    <w:rsid w:val="109C5456"/>
    <w:rsid w:val="10A5002C"/>
    <w:rsid w:val="10A51DDA"/>
    <w:rsid w:val="10A832F4"/>
    <w:rsid w:val="10A83678"/>
    <w:rsid w:val="10AF1D60"/>
    <w:rsid w:val="10B05EDD"/>
    <w:rsid w:val="10B4201D"/>
    <w:rsid w:val="10B63710"/>
    <w:rsid w:val="10BA1AAE"/>
    <w:rsid w:val="10BB33AB"/>
    <w:rsid w:val="10C6786D"/>
    <w:rsid w:val="10C77FA2"/>
    <w:rsid w:val="10CA5CE4"/>
    <w:rsid w:val="10CD30DE"/>
    <w:rsid w:val="10CF32FA"/>
    <w:rsid w:val="10CF355A"/>
    <w:rsid w:val="10D510E7"/>
    <w:rsid w:val="10D8227B"/>
    <w:rsid w:val="10D95F27"/>
    <w:rsid w:val="10DB57FB"/>
    <w:rsid w:val="10E072B6"/>
    <w:rsid w:val="10E675D1"/>
    <w:rsid w:val="10E70644"/>
    <w:rsid w:val="10ED3781"/>
    <w:rsid w:val="10F24710"/>
    <w:rsid w:val="10F44B0F"/>
    <w:rsid w:val="10F863AD"/>
    <w:rsid w:val="10FB33EF"/>
    <w:rsid w:val="10FC5772"/>
    <w:rsid w:val="10FF6CE8"/>
    <w:rsid w:val="11056D1C"/>
    <w:rsid w:val="11143B39"/>
    <w:rsid w:val="111451B1"/>
    <w:rsid w:val="111B209C"/>
    <w:rsid w:val="111C2F7A"/>
    <w:rsid w:val="111D4066"/>
    <w:rsid w:val="111E456B"/>
    <w:rsid w:val="11254CC9"/>
    <w:rsid w:val="112C24FB"/>
    <w:rsid w:val="112C6057"/>
    <w:rsid w:val="112E1DCF"/>
    <w:rsid w:val="113008C4"/>
    <w:rsid w:val="113013DE"/>
    <w:rsid w:val="11365128"/>
    <w:rsid w:val="11390075"/>
    <w:rsid w:val="11447845"/>
    <w:rsid w:val="114E421F"/>
    <w:rsid w:val="11531836"/>
    <w:rsid w:val="115770D7"/>
    <w:rsid w:val="115929AD"/>
    <w:rsid w:val="11651569"/>
    <w:rsid w:val="11660972"/>
    <w:rsid w:val="116A6B7F"/>
    <w:rsid w:val="117153F0"/>
    <w:rsid w:val="11717F0E"/>
    <w:rsid w:val="117479FE"/>
    <w:rsid w:val="117618C6"/>
    <w:rsid w:val="11771BFF"/>
    <w:rsid w:val="11776A7F"/>
    <w:rsid w:val="11780BFF"/>
    <w:rsid w:val="1178129C"/>
    <w:rsid w:val="117A5014"/>
    <w:rsid w:val="117D68B3"/>
    <w:rsid w:val="117E185E"/>
    <w:rsid w:val="117F6ACF"/>
    <w:rsid w:val="11811732"/>
    <w:rsid w:val="118D733C"/>
    <w:rsid w:val="118E0AC0"/>
    <w:rsid w:val="119C5AA8"/>
    <w:rsid w:val="11A05CA3"/>
    <w:rsid w:val="11A16A45"/>
    <w:rsid w:val="11B04EDA"/>
    <w:rsid w:val="11B232FE"/>
    <w:rsid w:val="11B27829"/>
    <w:rsid w:val="11BB73DB"/>
    <w:rsid w:val="11C47BB0"/>
    <w:rsid w:val="11C54C7E"/>
    <w:rsid w:val="11C646FD"/>
    <w:rsid w:val="11C73FD2"/>
    <w:rsid w:val="11C75D80"/>
    <w:rsid w:val="11CC15E8"/>
    <w:rsid w:val="11CE752D"/>
    <w:rsid w:val="11D02E86"/>
    <w:rsid w:val="11D84431"/>
    <w:rsid w:val="11DA3D05"/>
    <w:rsid w:val="11E46AD9"/>
    <w:rsid w:val="11EE77B0"/>
    <w:rsid w:val="11F0177A"/>
    <w:rsid w:val="11F47FFB"/>
    <w:rsid w:val="11F72B09"/>
    <w:rsid w:val="11F76665"/>
    <w:rsid w:val="11FA6155"/>
    <w:rsid w:val="11FC1ECD"/>
    <w:rsid w:val="1202502D"/>
    <w:rsid w:val="12042B30"/>
    <w:rsid w:val="12072620"/>
    <w:rsid w:val="120945EA"/>
    <w:rsid w:val="12152F8F"/>
    <w:rsid w:val="121865DB"/>
    <w:rsid w:val="121A67F7"/>
    <w:rsid w:val="121E62E8"/>
    <w:rsid w:val="121F796A"/>
    <w:rsid w:val="122B06C2"/>
    <w:rsid w:val="122D7F4C"/>
    <w:rsid w:val="122E5DFF"/>
    <w:rsid w:val="12327017"/>
    <w:rsid w:val="1232769D"/>
    <w:rsid w:val="12380A2C"/>
    <w:rsid w:val="12394ECF"/>
    <w:rsid w:val="123B1977"/>
    <w:rsid w:val="1240313D"/>
    <w:rsid w:val="12445622"/>
    <w:rsid w:val="124B4C03"/>
    <w:rsid w:val="124B69B1"/>
    <w:rsid w:val="124D2729"/>
    <w:rsid w:val="12575478"/>
    <w:rsid w:val="125A7AA6"/>
    <w:rsid w:val="125D0492"/>
    <w:rsid w:val="12635AA8"/>
    <w:rsid w:val="126A321F"/>
    <w:rsid w:val="126B2BAF"/>
    <w:rsid w:val="126D2DCB"/>
    <w:rsid w:val="126D6927"/>
    <w:rsid w:val="126E269F"/>
    <w:rsid w:val="12704669"/>
    <w:rsid w:val="12744159"/>
    <w:rsid w:val="12791770"/>
    <w:rsid w:val="127B4807"/>
    <w:rsid w:val="127B49BD"/>
    <w:rsid w:val="12810624"/>
    <w:rsid w:val="12844F29"/>
    <w:rsid w:val="128679E9"/>
    <w:rsid w:val="1289734F"/>
    <w:rsid w:val="128B3251"/>
    <w:rsid w:val="128D0E5D"/>
    <w:rsid w:val="128F7744"/>
    <w:rsid w:val="129E4D32"/>
    <w:rsid w:val="129F0AAB"/>
    <w:rsid w:val="129F5B09"/>
    <w:rsid w:val="12A143E4"/>
    <w:rsid w:val="12A54B95"/>
    <w:rsid w:val="12A604AE"/>
    <w:rsid w:val="12AB56A1"/>
    <w:rsid w:val="12AE3240"/>
    <w:rsid w:val="12B33B56"/>
    <w:rsid w:val="12B5308E"/>
    <w:rsid w:val="12B74046"/>
    <w:rsid w:val="12BA4BDF"/>
    <w:rsid w:val="12BC6158"/>
    <w:rsid w:val="12BC78AF"/>
    <w:rsid w:val="12C05E31"/>
    <w:rsid w:val="12C30D5F"/>
    <w:rsid w:val="12C81DAF"/>
    <w:rsid w:val="12D0352F"/>
    <w:rsid w:val="12D138EB"/>
    <w:rsid w:val="12D44BF8"/>
    <w:rsid w:val="12DB7D35"/>
    <w:rsid w:val="12DC179C"/>
    <w:rsid w:val="12DC3AAD"/>
    <w:rsid w:val="12DD1CFF"/>
    <w:rsid w:val="12DE5B33"/>
    <w:rsid w:val="12E110C3"/>
    <w:rsid w:val="12E267A6"/>
    <w:rsid w:val="12E7492B"/>
    <w:rsid w:val="12E82452"/>
    <w:rsid w:val="12EA61CA"/>
    <w:rsid w:val="12EB3CF0"/>
    <w:rsid w:val="12ED7A68"/>
    <w:rsid w:val="12F2507E"/>
    <w:rsid w:val="12F36DB2"/>
    <w:rsid w:val="12F6691D"/>
    <w:rsid w:val="12F9465F"/>
    <w:rsid w:val="12FB03D7"/>
    <w:rsid w:val="130354DD"/>
    <w:rsid w:val="13071CE4"/>
    <w:rsid w:val="13076D7C"/>
    <w:rsid w:val="13086650"/>
    <w:rsid w:val="130A23C8"/>
    <w:rsid w:val="130C4392"/>
    <w:rsid w:val="130C5FE0"/>
    <w:rsid w:val="130F79DE"/>
    <w:rsid w:val="131119A8"/>
    <w:rsid w:val="13141499"/>
    <w:rsid w:val="13171F28"/>
    <w:rsid w:val="13182D37"/>
    <w:rsid w:val="131836D1"/>
    <w:rsid w:val="1319260B"/>
    <w:rsid w:val="13196AAF"/>
    <w:rsid w:val="131C5101"/>
    <w:rsid w:val="131D659F"/>
    <w:rsid w:val="13201BEB"/>
    <w:rsid w:val="132536A6"/>
    <w:rsid w:val="13272F7A"/>
    <w:rsid w:val="13294F44"/>
    <w:rsid w:val="1336140F"/>
    <w:rsid w:val="133D3E1D"/>
    <w:rsid w:val="133E6515"/>
    <w:rsid w:val="13421B9E"/>
    <w:rsid w:val="13460082"/>
    <w:rsid w:val="13495C7E"/>
    <w:rsid w:val="134F427F"/>
    <w:rsid w:val="13620456"/>
    <w:rsid w:val="13637D2A"/>
    <w:rsid w:val="13702B73"/>
    <w:rsid w:val="13722A67"/>
    <w:rsid w:val="137361BF"/>
    <w:rsid w:val="13743CE5"/>
    <w:rsid w:val="1377358E"/>
    <w:rsid w:val="137837D5"/>
    <w:rsid w:val="137B0136"/>
    <w:rsid w:val="137B5074"/>
    <w:rsid w:val="137D34C8"/>
    <w:rsid w:val="13871C6A"/>
    <w:rsid w:val="13893C35"/>
    <w:rsid w:val="138C102F"/>
    <w:rsid w:val="138C54D3"/>
    <w:rsid w:val="13914897"/>
    <w:rsid w:val="139254CE"/>
    <w:rsid w:val="13951726"/>
    <w:rsid w:val="13A51976"/>
    <w:rsid w:val="13A66F92"/>
    <w:rsid w:val="13B14F39"/>
    <w:rsid w:val="13B660AC"/>
    <w:rsid w:val="13BD38DE"/>
    <w:rsid w:val="13C077F6"/>
    <w:rsid w:val="13C133CE"/>
    <w:rsid w:val="13C1400A"/>
    <w:rsid w:val="13C277AD"/>
    <w:rsid w:val="13C30AFC"/>
    <w:rsid w:val="13CE4568"/>
    <w:rsid w:val="13CE7899"/>
    <w:rsid w:val="13CE7DBD"/>
    <w:rsid w:val="13CF0812"/>
    <w:rsid w:val="13D604FC"/>
    <w:rsid w:val="13DC11B7"/>
    <w:rsid w:val="13E744B7"/>
    <w:rsid w:val="13E858DC"/>
    <w:rsid w:val="13E9022F"/>
    <w:rsid w:val="13F05A62"/>
    <w:rsid w:val="13F07D65"/>
    <w:rsid w:val="13F6026F"/>
    <w:rsid w:val="13FA243C"/>
    <w:rsid w:val="13FA68E0"/>
    <w:rsid w:val="1402475B"/>
    <w:rsid w:val="140B464A"/>
    <w:rsid w:val="140E413A"/>
    <w:rsid w:val="14186D67"/>
    <w:rsid w:val="14197487"/>
    <w:rsid w:val="141E2B33"/>
    <w:rsid w:val="141E70C5"/>
    <w:rsid w:val="14213FC1"/>
    <w:rsid w:val="14215C1B"/>
    <w:rsid w:val="14221EEF"/>
    <w:rsid w:val="14261483"/>
    <w:rsid w:val="14270D58"/>
    <w:rsid w:val="142B6890"/>
    <w:rsid w:val="142D2812"/>
    <w:rsid w:val="142E5135"/>
    <w:rsid w:val="14396509"/>
    <w:rsid w:val="143A6CDD"/>
    <w:rsid w:val="143E42EA"/>
    <w:rsid w:val="143E4A1F"/>
    <w:rsid w:val="143F3336"/>
    <w:rsid w:val="1447165C"/>
    <w:rsid w:val="1448144A"/>
    <w:rsid w:val="14515DD5"/>
    <w:rsid w:val="14575AE1"/>
    <w:rsid w:val="145A737F"/>
    <w:rsid w:val="145C4EA5"/>
    <w:rsid w:val="145E6E6F"/>
    <w:rsid w:val="14611454"/>
    <w:rsid w:val="14636945"/>
    <w:rsid w:val="14643D5A"/>
    <w:rsid w:val="14693C36"/>
    <w:rsid w:val="146D0E60"/>
    <w:rsid w:val="147026FF"/>
    <w:rsid w:val="14733F9D"/>
    <w:rsid w:val="14740441"/>
    <w:rsid w:val="14756348"/>
    <w:rsid w:val="147E16A4"/>
    <w:rsid w:val="148166BA"/>
    <w:rsid w:val="14860174"/>
    <w:rsid w:val="148803C5"/>
    <w:rsid w:val="14885C9A"/>
    <w:rsid w:val="148E02A6"/>
    <w:rsid w:val="148F0807"/>
    <w:rsid w:val="14902DA1"/>
    <w:rsid w:val="149503B7"/>
    <w:rsid w:val="14A16D5C"/>
    <w:rsid w:val="14A300D8"/>
    <w:rsid w:val="14A40884"/>
    <w:rsid w:val="14A960ED"/>
    <w:rsid w:val="14AD5701"/>
    <w:rsid w:val="14B06F9F"/>
    <w:rsid w:val="14B13EF6"/>
    <w:rsid w:val="14B26D4F"/>
    <w:rsid w:val="14B91001"/>
    <w:rsid w:val="14BA1BCC"/>
    <w:rsid w:val="14C1721D"/>
    <w:rsid w:val="14C842E9"/>
    <w:rsid w:val="14C91E0F"/>
    <w:rsid w:val="14CF1B1B"/>
    <w:rsid w:val="14D05CA0"/>
    <w:rsid w:val="14D47131"/>
    <w:rsid w:val="14D709D0"/>
    <w:rsid w:val="14DC7D94"/>
    <w:rsid w:val="14E05AD6"/>
    <w:rsid w:val="14E12169"/>
    <w:rsid w:val="14E8498B"/>
    <w:rsid w:val="14F1476F"/>
    <w:rsid w:val="14F65E5A"/>
    <w:rsid w:val="15003A82"/>
    <w:rsid w:val="15054F9B"/>
    <w:rsid w:val="1505553D"/>
    <w:rsid w:val="150712B5"/>
    <w:rsid w:val="150D619F"/>
    <w:rsid w:val="150F1F18"/>
    <w:rsid w:val="15145780"/>
    <w:rsid w:val="15152C6A"/>
    <w:rsid w:val="151B539B"/>
    <w:rsid w:val="151C63E2"/>
    <w:rsid w:val="15202377"/>
    <w:rsid w:val="15205ED3"/>
    <w:rsid w:val="1525173B"/>
    <w:rsid w:val="1526228F"/>
    <w:rsid w:val="152720EB"/>
    <w:rsid w:val="152A0993"/>
    <w:rsid w:val="152D6842"/>
    <w:rsid w:val="152F6116"/>
    <w:rsid w:val="15363948"/>
    <w:rsid w:val="1537146E"/>
    <w:rsid w:val="153B2D0D"/>
    <w:rsid w:val="15451DDD"/>
    <w:rsid w:val="15453B8B"/>
    <w:rsid w:val="154871D8"/>
    <w:rsid w:val="154A11A2"/>
    <w:rsid w:val="154C6CC8"/>
    <w:rsid w:val="15521101"/>
    <w:rsid w:val="15542020"/>
    <w:rsid w:val="1555138F"/>
    <w:rsid w:val="15570834"/>
    <w:rsid w:val="15571597"/>
    <w:rsid w:val="15595889"/>
    <w:rsid w:val="155C4C28"/>
    <w:rsid w:val="15624F26"/>
    <w:rsid w:val="15634011"/>
    <w:rsid w:val="15694E32"/>
    <w:rsid w:val="156D5C71"/>
    <w:rsid w:val="15744B16"/>
    <w:rsid w:val="157707EC"/>
    <w:rsid w:val="157D4738"/>
    <w:rsid w:val="1585667E"/>
    <w:rsid w:val="15877D00"/>
    <w:rsid w:val="15883A78"/>
    <w:rsid w:val="15897F1C"/>
    <w:rsid w:val="158C17BA"/>
    <w:rsid w:val="159468C1"/>
    <w:rsid w:val="15975949"/>
    <w:rsid w:val="159C3459"/>
    <w:rsid w:val="15A40BEE"/>
    <w:rsid w:val="15A5287C"/>
    <w:rsid w:val="15A9236C"/>
    <w:rsid w:val="15AA6321"/>
    <w:rsid w:val="15AC59B8"/>
    <w:rsid w:val="15AE34DE"/>
    <w:rsid w:val="15BB209F"/>
    <w:rsid w:val="15C72C7C"/>
    <w:rsid w:val="15C90318"/>
    <w:rsid w:val="15CA4090"/>
    <w:rsid w:val="15CB06E2"/>
    <w:rsid w:val="15CE1DD3"/>
    <w:rsid w:val="15D76017"/>
    <w:rsid w:val="15DA0777"/>
    <w:rsid w:val="15E05662"/>
    <w:rsid w:val="15E14523"/>
    <w:rsid w:val="15E46F00"/>
    <w:rsid w:val="15EA64E1"/>
    <w:rsid w:val="15ED707B"/>
    <w:rsid w:val="15F0776C"/>
    <w:rsid w:val="15F66C34"/>
    <w:rsid w:val="15FA2BC8"/>
    <w:rsid w:val="15FD4466"/>
    <w:rsid w:val="15FD6B1B"/>
    <w:rsid w:val="15FD7FC2"/>
    <w:rsid w:val="15FF1F8C"/>
    <w:rsid w:val="1606331B"/>
    <w:rsid w:val="16077A7C"/>
    <w:rsid w:val="160B0931"/>
    <w:rsid w:val="160B1CC9"/>
    <w:rsid w:val="160C46A9"/>
    <w:rsid w:val="160E696E"/>
    <w:rsid w:val="16126189"/>
    <w:rsid w:val="16131283"/>
    <w:rsid w:val="16135A37"/>
    <w:rsid w:val="16147249"/>
    <w:rsid w:val="161C0D90"/>
    <w:rsid w:val="161C2B3E"/>
    <w:rsid w:val="161F262E"/>
    <w:rsid w:val="16213887"/>
    <w:rsid w:val="16225C7A"/>
    <w:rsid w:val="162419F3"/>
    <w:rsid w:val="162C6AF9"/>
    <w:rsid w:val="162E2871"/>
    <w:rsid w:val="162F5EEB"/>
    <w:rsid w:val="16380A5A"/>
    <w:rsid w:val="16386068"/>
    <w:rsid w:val="163F4A7E"/>
    <w:rsid w:val="16411730"/>
    <w:rsid w:val="164707FC"/>
    <w:rsid w:val="1649352F"/>
    <w:rsid w:val="165266F1"/>
    <w:rsid w:val="16531DCD"/>
    <w:rsid w:val="165B64DD"/>
    <w:rsid w:val="165F6ECF"/>
    <w:rsid w:val="16617428"/>
    <w:rsid w:val="166938A9"/>
    <w:rsid w:val="166D55CB"/>
    <w:rsid w:val="166E0EC0"/>
    <w:rsid w:val="16777D74"/>
    <w:rsid w:val="167B7C4B"/>
    <w:rsid w:val="167C44F8"/>
    <w:rsid w:val="167D73BF"/>
    <w:rsid w:val="16826719"/>
    <w:rsid w:val="16873D30"/>
    <w:rsid w:val="16893F4C"/>
    <w:rsid w:val="168B7CC4"/>
    <w:rsid w:val="1694148D"/>
    <w:rsid w:val="169473B0"/>
    <w:rsid w:val="1695469E"/>
    <w:rsid w:val="169C5A2D"/>
    <w:rsid w:val="169E79F7"/>
    <w:rsid w:val="169F551D"/>
    <w:rsid w:val="169F72CB"/>
    <w:rsid w:val="16A81790"/>
    <w:rsid w:val="16AB2114"/>
    <w:rsid w:val="16AD19E8"/>
    <w:rsid w:val="16B014D8"/>
    <w:rsid w:val="16B0768E"/>
    <w:rsid w:val="16B207CA"/>
    <w:rsid w:val="16B9038D"/>
    <w:rsid w:val="16BB3C28"/>
    <w:rsid w:val="16C44AD8"/>
    <w:rsid w:val="16C4566D"/>
    <w:rsid w:val="16CA259A"/>
    <w:rsid w:val="16D276A1"/>
    <w:rsid w:val="16DF3B6C"/>
    <w:rsid w:val="16E82A20"/>
    <w:rsid w:val="16E876F5"/>
    <w:rsid w:val="16EA0926"/>
    <w:rsid w:val="16F45869"/>
    <w:rsid w:val="16FB4332"/>
    <w:rsid w:val="170610F8"/>
    <w:rsid w:val="17066928"/>
    <w:rsid w:val="17150879"/>
    <w:rsid w:val="17171557"/>
    <w:rsid w:val="171F2C3F"/>
    <w:rsid w:val="172120C7"/>
    <w:rsid w:val="17215F32"/>
    <w:rsid w:val="17221F62"/>
    <w:rsid w:val="17285513"/>
    <w:rsid w:val="172C1BA1"/>
    <w:rsid w:val="172F02DA"/>
    <w:rsid w:val="17312D11"/>
    <w:rsid w:val="17342F98"/>
    <w:rsid w:val="17386D59"/>
    <w:rsid w:val="173C34E8"/>
    <w:rsid w:val="1740285C"/>
    <w:rsid w:val="17465999"/>
    <w:rsid w:val="17544559"/>
    <w:rsid w:val="17563E2E"/>
    <w:rsid w:val="17577BA6"/>
    <w:rsid w:val="175E0F34"/>
    <w:rsid w:val="176302F9"/>
    <w:rsid w:val="17666845"/>
    <w:rsid w:val="17696E04"/>
    <w:rsid w:val="176B75F2"/>
    <w:rsid w:val="176C4AB8"/>
    <w:rsid w:val="176C7FAF"/>
    <w:rsid w:val="176D1177"/>
    <w:rsid w:val="176D5A98"/>
    <w:rsid w:val="17701346"/>
    <w:rsid w:val="1770386E"/>
    <w:rsid w:val="177235B3"/>
    <w:rsid w:val="17735226"/>
    <w:rsid w:val="1774180A"/>
    <w:rsid w:val="17797B1C"/>
    <w:rsid w:val="177D49C9"/>
    <w:rsid w:val="17832749"/>
    <w:rsid w:val="17842AD0"/>
    <w:rsid w:val="1787048B"/>
    <w:rsid w:val="17874CA3"/>
    <w:rsid w:val="178B7795"/>
    <w:rsid w:val="178D1819"/>
    <w:rsid w:val="178F7340"/>
    <w:rsid w:val="179606CE"/>
    <w:rsid w:val="17994519"/>
    <w:rsid w:val="17994B59"/>
    <w:rsid w:val="179C49C1"/>
    <w:rsid w:val="179E7583"/>
    <w:rsid w:val="17A06CE7"/>
    <w:rsid w:val="17A728DB"/>
    <w:rsid w:val="17A75F91"/>
    <w:rsid w:val="17AA4179"/>
    <w:rsid w:val="17B631A7"/>
    <w:rsid w:val="17B80644"/>
    <w:rsid w:val="17B91FA2"/>
    <w:rsid w:val="17BB3400"/>
    <w:rsid w:val="17BD3EAD"/>
    <w:rsid w:val="17C074F9"/>
    <w:rsid w:val="17C52D61"/>
    <w:rsid w:val="17D43BE0"/>
    <w:rsid w:val="17DA4A5F"/>
    <w:rsid w:val="17DE2FB7"/>
    <w:rsid w:val="17DE55A1"/>
    <w:rsid w:val="17DF23C2"/>
    <w:rsid w:val="17E21B65"/>
    <w:rsid w:val="17EF6030"/>
    <w:rsid w:val="17F12BE8"/>
    <w:rsid w:val="17F324AA"/>
    <w:rsid w:val="17F93F61"/>
    <w:rsid w:val="17FE5B8E"/>
    <w:rsid w:val="180526B5"/>
    <w:rsid w:val="18055854"/>
    <w:rsid w:val="18094A7F"/>
    <w:rsid w:val="18095344"/>
    <w:rsid w:val="180A2E6A"/>
    <w:rsid w:val="180B1483"/>
    <w:rsid w:val="180D7C95"/>
    <w:rsid w:val="18100480"/>
    <w:rsid w:val="18147845"/>
    <w:rsid w:val="182201B4"/>
    <w:rsid w:val="18226406"/>
    <w:rsid w:val="18295F5F"/>
    <w:rsid w:val="182C4B8E"/>
    <w:rsid w:val="182E0907"/>
    <w:rsid w:val="182E4DAB"/>
    <w:rsid w:val="18351C95"/>
    <w:rsid w:val="183A60CC"/>
    <w:rsid w:val="183D6D9C"/>
    <w:rsid w:val="183E57A4"/>
    <w:rsid w:val="184805D1"/>
    <w:rsid w:val="18550589"/>
    <w:rsid w:val="1869193F"/>
    <w:rsid w:val="186B56B7"/>
    <w:rsid w:val="186F23AF"/>
    <w:rsid w:val="1870214D"/>
    <w:rsid w:val="18714C97"/>
    <w:rsid w:val="187529D9"/>
    <w:rsid w:val="187A1D9E"/>
    <w:rsid w:val="187F1162"/>
    <w:rsid w:val="18826EA4"/>
    <w:rsid w:val="18833979"/>
    <w:rsid w:val="18876269"/>
    <w:rsid w:val="18893D8F"/>
    <w:rsid w:val="188B5D59"/>
    <w:rsid w:val="18956899"/>
    <w:rsid w:val="18982224"/>
    <w:rsid w:val="189B7D38"/>
    <w:rsid w:val="18A46E1B"/>
    <w:rsid w:val="18AA6B24"/>
    <w:rsid w:val="18AF5EEB"/>
    <w:rsid w:val="18B0756E"/>
    <w:rsid w:val="18B21538"/>
    <w:rsid w:val="18B90B18"/>
    <w:rsid w:val="18BC23B6"/>
    <w:rsid w:val="18BF12FA"/>
    <w:rsid w:val="18BF1EA7"/>
    <w:rsid w:val="18C13529"/>
    <w:rsid w:val="18C179CD"/>
    <w:rsid w:val="18C63235"/>
    <w:rsid w:val="18C64FE3"/>
    <w:rsid w:val="18C87522"/>
    <w:rsid w:val="18C96881"/>
    <w:rsid w:val="18CD45C3"/>
    <w:rsid w:val="18CE20EA"/>
    <w:rsid w:val="18D07C10"/>
    <w:rsid w:val="18D72D4C"/>
    <w:rsid w:val="18DD40DB"/>
    <w:rsid w:val="18E35B95"/>
    <w:rsid w:val="18EB67F8"/>
    <w:rsid w:val="18F179C4"/>
    <w:rsid w:val="18FC6C57"/>
    <w:rsid w:val="19033B41"/>
    <w:rsid w:val="190470B1"/>
    <w:rsid w:val="19094547"/>
    <w:rsid w:val="190C5EC1"/>
    <w:rsid w:val="19103908"/>
    <w:rsid w:val="1910625E"/>
    <w:rsid w:val="19121FD6"/>
    <w:rsid w:val="19130CA3"/>
    <w:rsid w:val="19185113"/>
    <w:rsid w:val="192341E3"/>
    <w:rsid w:val="19265A82"/>
    <w:rsid w:val="192D79FD"/>
    <w:rsid w:val="193208CA"/>
    <w:rsid w:val="193645BF"/>
    <w:rsid w:val="19371A3D"/>
    <w:rsid w:val="19436634"/>
    <w:rsid w:val="194F7E45"/>
    <w:rsid w:val="19520625"/>
    <w:rsid w:val="19550115"/>
    <w:rsid w:val="195645B9"/>
    <w:rsid w:val="19570331"/>
    <w:rsid w:val="19572D68"/>
    <w:rsid w:val="195C1FE7"/>
    <w:rsid w:val="195E346D"/>
    <w:rsid w:val="195E521C"/>
    <w:rsid w:val="19650358"/>
    <w:rsid w:val="1968518A"/>
    <w:rsid w:val="1968609A"/>
    <w:rsid w:val="196A0064"/>
    <w:rsid w:val="196F11D7"/>
    <w:rsid w:val="1973708C"/>
    <w:rsid w:val="197762DD"/>
    <w:rsid w:val="19793E03"/>
    <w:rsid w:val="198B3B37"/>
    <w:rsid w:val="1990114D"/>
    <w:rsid w:val="199109E2"/>
    <w:rsid w:val="199E50E5"/>
    <w:rsid w:val="19A05834"/>
    <w:rsid w:val="19A31463"/>
    <w:rsid w:val="19A52E4A"/>
    <w:rsid w:val="19A74E14"/>
    <w:rsid w:val="19AC0CB4"/>
    <w:rsid w:val="19AC5F87"/>
    <w:rsid w:val="19AF7825"/>
    <w:rsid w:val="19B22744"/>
    <w:rsid w:val="19B32771"/>
    <w:rsid w:val="19B337B9"/>
    <w:rsid w:val="19B46FFB"/>
    <w:rsid w:val="19B65058"/>
    <w:rsid w:val="19BB266E"/>
    <w:rsid w:val="19BB441C"/>
    <w:rsid w:val="19BD63E6"/>
    <w:rsid w:val="19BE5CBA"/>
    <w:rsid w:val="19C07C84"/>
    <w:rsid w:val="19CD290A"/>
    <w:rsid w:val="19D63004"/>
    <w:rsid w:val="19D90D46"/>
    <w:rsid w:val="19E03E83"/>
    <w:rsid w:val="19E41BC5"/>
    <w:rsid w:val="19E82D37"/>
    <w:rsid w:val="19E96351"/>
    <w:rsid w:val="19EE2D63"/>
    <w:rsid w:val="19F25F57"/>
    <w:rsid w:val="19F30585"/>
    <w:rsid w:val="19F33BB6"/>
    <w:rsid w:val="19F45B80"/>
    <w:rsid w:val="19FF69FF"/>
    <w:rsid w:val="1A027F67"/>
    <w:rsid w:val="1A0538E9"/>
    <w:rsid w:val="1A057D8D"/>
    <w:rsid w:val="1A09138C"/>
    <w:rsid w:val="1A0C2EC9"/>
    <w:rsid w:val="1A18361C"/>
    <w:rsid w:val="1A1C66C0"/>
    <w:rsid w:val="1A1F0E4F"/>
    <w:rsid w:val="1A27385F"/>
    <w:rsid w:val="1A2D1611"/>
    <w:rsid w:val="1A2E4BEE"/>
    <w:rsid w:val="1A345F7C"/>
    <w:rsid w:val="1A355960"/>
    <w:rsid w:val="1A3F5F9B"/>
    <w:rsid w:val="1A404921"/>
    <w:rsid w:val="1A42393B"/>
    <w:rsid w:val="1A4268EB"/>
    <w:rsid w:val="1A4A57A0"/>
    <w:rsid w:val="1A4B1C44"/>
    <w:rsid w:val="1A4E34E2"/>
    <w:rsid w:val="1A4E4600"/>
    <w:rsid w:val="1A526911"/>
    <w:rsid w:val="1A58610F"/>
    <w:rsid w:val="1A5A4033"/>
    <w:rsid w:val="1A5C6953"/>
    <w:rsid w:val="1A5E6E65"/>
    <w:rsid w:val="1A6745A4"/>
    <w:rsid w:val="1A6751A7"/>
    <w:rsid w:val="1A693E78"/>
    <w:rsid w:val="1A6A7BF0"/>
    <w:rsid w:val="1A6B4FB8"/>
    <w:rsid w:val="1A6C1BBA"/>
    <w:rsid w:val="1A7036F0"/>
    <w:rsid w:val="1A75606A"/>
    <w:rsid w:val="1A766595"/>
    <w:rsid w:val="1A780499"/>
    <w:rsid w:val="1A7A42D7"/>
    <w:rsid w:val="1A7A5E19"/>
    <w:rsid w:val="1A7A7E33"/>
    <w:rsid w:val="1A7D2C10"/>
    <w:rsid w:val="1A7D5B75"/>
    <w:rsid w:val="1A7D7923"/>
    <w:rsid w:val="1A7E53C6"/>
    <w:rsid w:val="1A7F369B"/>
    <w:rsid w:val="1A824F3A"/>
    <w:rsid w:val="1A84670E"/>
    <w:rsid w:val="1A8A7F67"/>
    <w:rsid w:val="1A8C6258"/>
    <w:rsid w:val="1A907657"/>
    <w:rsid w:val="1A924679"/>
    <w:rsid w:val="1A9475CB"/>
    <w:rsid w:val="1A9D4337"/>
    <w:rsid w:val="1AA720D8"/>
    <w:rsid w:val="1AAE5D2F"/>
    <w:rsid w:val="1AB05F4B"/>
    <w:rsid w:val="1AB33345"/>
    <w:rsid w:val="1AB833B2"/>
    <w:rsid w:val="1AB86E8B"/>
    <w:rsid w:val="1AB91166"/>
    <w:rsid w:val="1AB94A4F"/>
    <w:rsid w:val="1ABD41C4"/>
    <w:rsid w:val="1AC60017"/>
    <w:rsid w:val="1AC840ED"/>
    <w:rsid w:val="1AC94917"/>
    <w:rsid w:val="1ACC4D45"/>
    <w:rsid w:val="1ACD2659"/>
    <w:rsid w:val="1ACE4623"/>
    <w:rsid w:val="1ADB5522"/>
    <w:rsid w:val="1AE17EB2"/>
    <w:rsid w:val="1AE35FDC"/>
    <w:rsid w:val="1AE6196C"/>
    <w:rsid w:val="1AE856E5"/>
    <w:rsid w:val="1AEB35C0"/>
    <w:rsid w:val="1AEE7796"/>
    <w:rsid w:val="1AF220BF"/>
    <w:rsid w:val="1AF851FC"/>
    <w:rsid w:val="1AFA70AE"/>
    <w:rsid w:val="1AFB27F7"/>
    <w:rsid w:val="1AFC3E36"/>
    <w:rsid w:val="1B010952"/>
    <w:rsid w:val="1B040045"/>
    <w:rsid w:val="1B046F80"/>
    <w:rsid w:val="1B063DBD"/>
    <w:rsid w:val="1B122762"/>
    <w:rsid w:val="1B1C713C"/>
    <w:rsid w:val="1B1F6C2C"/>
    <w:rsid w:val="1B2E0C1E"/>
    <w:rsid w:val="1B2F50C2"/>
    <w:rsid w:val="1B300E3A"/>
    <w:rsid w:val="1B324BB2"/>
    <w:rsid w:val="1B3267B5"/>
    <w:rsid w:val="1B3501FE"/>
    <w:rsid w:val="1B351FAC"/>
    <w:rsid w:val="1B3705F1"/>
    <w:rsid w:val="1B410951"/>
    <w:rsid w:val="1B4346C9"/>
    <w:rsid w:val="1B4A1EFB"/>
    <w:rsid w:val="1B4B5C73"/>
    <w:rsid w:val="1B4D72F6"/>
    <w:rsid w:val="1B4F12C0"/>
    <w:rsid w:val="1B4F5986"/>
    <w:rsid w:val="1B551BB4"/>
    <w:rsid w:val="1B55264E"/>
    <w:rsid w:val="1B5763C6"/>
    <w:rsid w:val="1B5771AB"/>
    <w:rsid w:val="1B59521E"/>
    <w:rsid w:val="1B5E59A7"/>
    <w:rsid w:val="1B610FF3"/>
    <w:rsid w:val="1B617DDC"/>
    <w:rsid w:val="1B650AE3"/>
    <w:rsid w:val="1B684130"/>
    <w:rsid w:val="1B69745E"/>
    <w:rsid w:val="1B6E246A"/>
    <w:rsid w:val="1B7A02CF"/>
    <w:rsid w:val="1B7A20B5"/>
    <w:rsid w:val="1B827383"/>
    <w:rsid w:val="1B83678C"/>
    <w:rsid w:val="1B8371BB"/>
    <w:rsid w:val="1B866CAC"/>
    <w:rsid w:val="1B8E559D"/>
    <w:rsid w:val="1B917546"/>
    <w:rsid w:val="1B974A15"/>
    <w:rsid w:val="1B9A5E9D"/>
    <w:rsid w:val="1B9B4505"/>
    <w:rsid w:val="1BA17641"/>
    <w:rsid w:val="1BA62EAA"/>
    <w:rsid w:val="1BA809D0"/>
    <w:rsid w:val="1BAD2BF6"/>
    <w:rsid w:val="1BB2184F"/>
    <w:rsid w:val="1BB249FC"/>
    <w:rsid w:val="1BBE1FA1"/>
    <w:rsid w:val="1BC021BE"/>
    <w:rsid w:val="1BC25DC8"/>
    <w:rsid w:val="1BC42F01"/>
    <w:rsid w:val="1BC66BE3"/>
    <w:rsid w:val="1BC752FA"/>
    <w:rsid w:val="1BC81072"/>
    <w:rsid w:val="1BC9004E"/>
    <w:rsid w:val="1BCD6688"/>
    <w:rsid w:val="1BCF3EC0"/>
    <w:rsid w:val="1BD05CC3"/>
    <w:rsid w:val="1BD14CC5"/>
    <w:rsid w:val="1BD25A4D"/>
    <w:rsid w:val="1BD9703F"/>
    <w:rsid w:val="1BDD4B1E"/>
    <w:rsid w:val="1BDF119A"/>
    <w:rsid w:val="1BE13EE2"/>
    <w:rsid w:val="1BE67209"/>
    <w:rsid w:val="1BE85F5C"/>
    <w:rsid w:val="1BEA548C"/>
    <w:rsid w:val="1BF3232F"/>
    <w:rsid w:val="1BF73705"/>
    <w:rsid w:val="1BF87169"/>
    <w:rsid w:val="1BF9747E"/>
    <w:rsid w:val="1BFE4A94"/>
    <w:rsid w:val="1C0B7651"/>
    <w:rsid w:val="1C187CE4"/>
    <w:rsid w:val="1C1918CE"/>
    <w:rsid w:val="1C1E6EE4"/>
    <w:rsid w:val="1C1F6AB3"/>
    <w:rsid w:val="1C297D63"/>
    <w:rsid w:val="1C2C1601"/>
    <w:rsid w:val="1C2E35CB"/>
    <w:rsid w:val="1C316C17"/>
    <w:rsid w:val="1C3861F8"/>
    <w:rsid w:val="1C3D380E"/>
    <w:rsid w:val="1C3F50B7"/>
    <w:rsid w:val="1C495A9D"/>
    <w:rsid w:val="1C4C57FF"/>
    <w:rsid w:val="1C4E0B38"/>
    <w:rsid w:val="1C5341C9"/>
    <w:rsid w:val="1C581518"/>
    <w:rsid w:val="1C5A43C0"/>
    <w:rsid w:val="1C5D5C5E"/>
    <w:rsid w:val="1C5D7A0C"/>
    <w:rsid w:val="1C5E7925"/>
    <w:rsid w:val="1C6A3ED7"/>
    <w:rsid w:val="1C6E1C1A"/>
    <w:rsid w:val="1C7020CB"/>
    <w:rsid w:val="1C704EFA"/>
    <w:rsid w:val="1C712CA5"/>
    <w:rsid w:val="1C735482"/>
    <w:rsid w:val="1C7407BE"/>
    <w:rsid w:val="1C74693C"/>
    <w:rsid w:val="1C780121"/>
    <w:rsid w:val="1C784846"/>
    <w:rsid w:val="1C7A6810"/>
    <w:rsid w:val="1C7C5803"/>
    <w:rsid w:val="1C821221"/>
    <w:rsid w:val="1C827473"/>
    <w:rsid w:val="1C8615F4"/>
    <w:rsid w:val="1C887FC8"/>
    <w:rsid w:val="1C9553F8"/>
    <w:rsid w:val="1C97240B"/>
    <w:rsid w:val="1C976DEE"/>
    <w:rsid w:val="1C9B22E3"/>
    <w:rsid w:val="1CA13D9D"/>
    <w:rsid w:val="1CA27B15"/>
    <w:rsid w:val="1CA636C0"/>
    <w:rsid w:val="1CA76006"/>
    <w:rsid w:val="1CA94A00"/>
    <w:rsid w:val="1CAC44F0"/>
    <w:rsid w:val="1CB02232"/>
    <w:rsid w:val="1CBA6C0D"/>
    <w:rsid w:val="1CBF06C7"/>
    <w:rsid w:val="1CC614DF"/>
    <w:rsid w:val="1CC63804"/>
    <w:rsid w:val="1CCE090A"/>
    <w:rsid w:val="1CCE7662"/>
    <w:rsid w:val="1CD06827"/>
    <w:rsid w:val="1CD11779"/>
    <w:rsid w:val="1CD557F5"/>
    <w:rsid w:val="1CD777BF"/>
    <w:rsid w:val="1CD83537"/>
    <w:rsid w:val="1CD97CE9"/>
    <w:rsid w:val="1CE27F12"/>
    <w:rsid w:val="1CE56751"/>
    <w:rsid w:val="1CEE4B08"/>
    <w:rsid w:val="1CF163A7"/>
    <w:rsid w:val="1CF7783C"/>
    <w:rsid w:val="1CFC0FD3"/>
    <w:rsid w:val="1D0221D5"/>
    <w:rsid w:val="1D037E77"/>
    <w:rsid w:val="1D0B5412"/>
    <w:rsid w:val="1D0D1432"/>
    <w:rsid w:val="1D13631D"/>
    <w:rsid w:val="1D1A55A4"/>
    <w:rsid w:val="1D1E53EE"/>
    <w:rsid w:val="1D1E587E"/>
    <w:rsid w:val="1D2610E3"/>
    <w:rsid w:val="1D28776C"/>
    <w:rsid w:val="1D291FE4"/>
    <w:rsid w:val="1D2B3667"/>
    <w:rsid w:val="1D2B5F1E"/>
    <w:rsid w:val="1D320E99"/>
    <w:rsid w:val="1D343C6E"/>
    <w:rsid w:val="1D3764AF"/>
    <w:rsid w:val="1D3C5874"/>
    <w:rsid w:val="1D3F5364"/>
    <w:rsid w:val="1D454590"/>
    <w:rsid w:val="1D4604A0"/>
    <w:rsid w:val="1D496BFF"/>
    <w:rsid w:val="1D4F1A4B"/>
    <w:rsid w:val="1D50131F"/>
    <w:rsid w:val="1D57445C"/>
    <w:rsid w:val="1D5C4168"/>
    <w:rsid w:val="1D5D57EA"/>
    <w:rsid w:val="1D5F6196"/>
    <w:rsid w:val="1D6132A5"/>
    <w:rsid w:val="1D701DA4"/>
    <w:rsid w:val="1D72517A"/>
    <w:rsid w:val="1D757536"/>
    <w:rsid w:val="1D7F0704"/>
    <w:rsid w:val="1D813BCE"/>
    <w:rsid w:val="1D85652A"/>
    <w:rsid w:val="1D8611E5"/>
    <w:rsid w:val="1D8E56D5"/>
    <w:rsid w:val="1D962329"/>
    <w:rsid w:val="1D9E279F"/>
    <w:rsid w:val="1DA62689"/>
    <w:rsid w:val="1DB541DC"/>
    <w:rsid w:val="1DB722E0"/>
    <w:rsid w:val="1DB814F0"/>
    <w:rsid w:val="1DBE44DB"/>
    <w:rsid w:val="1DC064A5"/>
    <w:rsid w:val="1DC6338F"/>
    <w:rsid w:val="1DC835AB"/>
    <w:rsid w:val="1DCA2E80"/>
    <w:rsid w:val="1DCA7323"/>
    <w:rsid w:val="1DCF66E8"/>
    <w:rsid w:val="1DD27F86"/>
    <w:rsid w:val="1DD72298"/>
    <w:rsid w:val="1DD737EE"/>
    <w:rsid w:val="1DD7559C"/>
    <w:rsid w:val="1DD849C1"/>
    <w:rsid w:val="1DDF4DA5"/>
    <w:rsid w:val="1DE005BB"/>
    <w:rsid w:val="1DE653AC"/>
    <w:rsid w:val="1DE67874"/>
    <w:rsid w:val="1DE76E33"/>
    <w:rsid w:val="1DEA6122"/>
    <w:rsid w:val="1DEB1048"/>
    <w:rsid w:val="1DEC729A"/>
    <w:rsid w:val="1DED6B6E"/>
    <w:rsid w:val="1DEE3DF0"/>
    <w:rsid w:val="1DF234E7"/>
    <w:rsid w:val="1DF47922"/>
    <w:rsid w:val="1DF61EC7"/>
    <w:rsid w:val="1DF63C75"/>
    <w:rsid w:val="1DFC3255"/>
    <w:rsid w:val="1DFE001E"/>
    <w:rsid w:val="1DFE521F"/>
    <w:rsid w:val="1E022BB7"/>
    <w:rsid w:val="1E0F0A85"/>
    <w:rsid w:val="1E1503D5"/>
    <w:rsid w:val="1E1B192D"/>
    <w:rsid w:val="1E1D7157"/>
    <w:rsid w:val="1E214A6A"/>
    <w:rsid w:val="1E222CBC"/>
    <w:rsid w:val="1E2307E2"/>
    <w:rsid w:val="1E2C3B3A"/>
    <w:rsid w:val="1E326C77"/>
    <w:rsid w:val="1E37428D"/>
    <w:rsid w:val="1E3C6829"/>
    <w:rsid w:val="1E3E386E"/>
    <w:rsid w:val="1E3E4729"/>
    <w:rsid w:val="1E400B16"/>
    <w:rsid w:val="1E4946EC"/>
    <w:rsid w:val="1E4A0464"/>
    <w:rsid w:val="1E521E5C"/>
    <w:rsid w:val="1E5A7901"/>
    <w:rsid w:val="1E5D655D"/>
    <w:rsid w:val="1E5F019E"/>
    <w:rsid w:val="1E62755C"/>
    <w:rsid w:val="1E693DBB"/>
    <w:rsid w:val="1E6E627A"/>
    <w:rsid w:val="1E763007"/>
    <w:rsid w:val="1E780D78"/>
    <w:rsid w:val="1E7A43DA"/>
    <w:rsid w:val="1E7B6870"/>
    <w:rsid w:val="1E803E86"/>
    <w:rsid w:val="1E875215"/>
    <w:rsid w:val="1E881EAE"/>
    <w:rsid w:val="1E8E20FF"/>
    <w:rsid w:val="1E8F3F88"/>
    <w:rsid w:val="1E944947"/>
    <w:rsid w:val="1E967206"/>
    <w:rsid w:val="1E976A1F"/>
    <w:rsid w:val="1E9A6CF6"/>
    <w:rsid w:val="1EA36355"/>
    <w:rsid w:val="1EA47B74"/>
    <w:rsid w:val="1EAE7EC3"/>
    <w:rsid w:val="1EB277FE"/>
    <w:rsid w:val="1EB31B66"/>
    <w:rsid w:val="1EB51D82"/>
    <w:rsid w:val="1EBA2EF4"/>
    <w:rsid w:val="1EC11CD6"/>
    <w:rsid w:val="1EC22CE6"/>
    <w:rsid w:val="1EC31592"/>
    <w:rsid w:val="1EC5276A"/>
    <w:rsid w:val="1EC91389"/>
    <w:rsid w:val="1ECE699F"/>
    <w:rsid w:val="1ED02718"/>
    <w:rsid w:val="1ED41ADC"/>
    <w:rsid w:val="1ED44095"/>
    <w:rsid w:val="1EDD3086"/>
    <w:rsid w:val="1EE04FE4"/>
    <w:rsid w:val="1EE52A7C"/>
    <w:rsid w:val="1EE53CE9"/>
    <w:rsid w:val="1EE9589D"/>
    <w:rsid w:val="1EF26B32"/>
    <w:rsid w:val="1EFA027C"/>
    <w:rsid w:val="1EFA0440"/>
    <w:rsid w:val="1EFA1543"/>
    <w:rsid w:val="1EFB52BB"/>
    <w:rsid w:val="1EFD3C62"/>
    <w:rsid w:val="1EFF124F"/>
    <w:rsid w:val="1EFF4DAB"/>
    <w:rsid w:val="1F007446"/>
    <w:rsid w:val="1F074B01"/>
    <w:rsid w:val="1F093E7B"/>
    <w:rsid w:val="1F0B19A2"/>
    <w:rsid w:val="1F0C2860"/>
    <w:rsid w:val="1F0E3240"/>
    <w:rsid w:val="1F122D30"/>
    <w:rsid w:val="1F15637C"/>
    <w:rsid w:val="1F1B4407"/>
    <w:rsid w:val="1F2119CC"/>
    <w:rsid w:val="1F26151A"/>
    <w:rsid w:val="1F262338"/>
    <w:rsid w:val="1F2729AA"/>
    <w:rsid w:val="1F29007A"/>
    <w:rsid w:val="1F2E3015"/>
    <w:rsid w:val="1F354C71"/>
    <w:rsid w:val="1F380677"/>
    <w:rsid w:val="1F38206B"/>
    <w:rsid w:val="1F394761"/>
    <w:rsid w:val="1F3C0611"/>
    <w:rsid w:val="1F4206BA"/>
    <w:rsid w:val="1F43738D"/>
    <w:rsid w:val="1F464788"/>
    <w:rsid w:val="1F477846"/>
    <w:rsid w:val="1F4E5D32"/>
    <w:rsid w:val="1F642E60"/>
    <w:rsid w:val="1F684FAA"/>
    <w:rsid w:val="1F6B0692"/>
    <w:rsid w:val="1F6B1689"/>
    <w:rsid w:val="1F7363E0"/>
    <w:rsid w:val="1F7A6206"/>
    <w:rsid w:val="1F7A6B27"/>
    <w:rsid w:val="1F7C289F"/>
    <w:rsid w:val="1F8710F0"/>
    <w:rsid w:val="1F8A1EBA"/>
    <w:rsid w:val="1F914C18"/>
    <w:rsid w:val="1F923E71"/>
    <w:rsid w:val="1F9279CD"/>
    <w:rsid w:val="1F947BE9"/>
    <w:rsid w:val="1F9D6372"/>
    <w:rsid w:val="1FA2402F"/>
    <w:rsid w:val="1FA47700"/>
    <w:rsid w:val="1FB45B95"/>
    <w:rsid w:val="1FB97650"/>
    <w:rsid w:val="1FC075B8"/>
    <w:rsid w:val="1FC446C3"/>
    <w:rsid w:val="1FC85AE5"/>
    <w:rsid w:val="1FCF0C21"/>
    <w:rsid w:val="1FCF4ADF"/>
    <w:rsid w:val="1FD04999"/>
    <w:rsid w:val="1FD526AF"/>
    <w:rsid w:val="1FD75D28"/>
    <w:rsid w:val="1FD955FC"/>
    <w:rsid w:val="1FDB5917"/>
    <w:rsid w:val="1FDF5A2B"/>
    <w:rsid w:val="1FE25C23"/>
    <w:rsid w:val="1FE7539E"/>
    <w:rsid w:val="1FEC17D3"/>
    <w:rsid w:val="1FF24910"/>
    <w:rsid w:val="1FF468DA"/>
    <w:rsid w:val="1FF71F26"/>
    <w:rsid w:val="1FFC12EA"/>
    <w:rsid w:val="2005311A"/>
    <w:rsid w:val="20084133"/>
    <w:rsid w:val="20087C8F"/>
    <w:rsid w:val="20146634"/>
    <w:rsid w:val="2017373E"/>
    <w:rsid w:val="201D27FE"/>
    <w:rsid w:val="201E5705"/>
    <w:rsid w:val="201E74B3"/>
    <w:rsid w:val="20216FA3"/>
    <w:rsid w:val="20230F6D"/>
    <w:rsid w:val="2027280B"/>
    <w:rsid w:val="202F346E"/>
    <w:rsid w:val="20370574"/>
    <w:rsid w:val="204A2ABA"/>
    <w:rsid w:val="204A3E24"/>
    <w:rsid w:val="204C4020"/>
    <w:rsid w:val="204D3B51"/>
    <w:rsid w:val="204F1D62"/>
    <w:rsid w:val="20515ADA"/>
    <w:rsid w:val="2059673D"/>
    <w:rsid w:val="205C7FDB"/>
    <w:rsid w:val="206155F1"/>
    <w:rsid w:val="20623843"/>
    <w:rsid w:val="20631369"/>
    <w:rsid w:val="20642787"/>
    <w:rsid w:val="206770AC"/>
    <w:rsid w:val="206A26F8"/>
    <w:rsid w:val="206F285C"/>
    <w:rsid w:val="206F41B2"/>
    <w:rsid w:val="20745325"/>
    <w:rsid w:val="207672EF"/>
    <w:rsid w:val="20796DDF"/>
    <w:rsid w:val="207B2B57"/>
    <w:rsid w:val="207D46DD"/>
    <w:rsid w:val="207D4F96"/>
    <w:rsid w:val="2080016D"/>
    <w:rsid w:val="208211C5"/>
    <w:rsid w:val="20823D54"/>
    <w:rsid w:val="208512E0"/>
    <w:rsid w:val="20860302"/>
    <w:rsid w:val="208D2370"/>
    <w:rsid w:val="208E4638"/>
    <w:rsid w:val="209061C6"/>
    <w:rsid w:val="20913FE3"/>
    <w:rsid w:val="2094622D"/>
    <w:rsid w:val="20963CB8"/>
    <w:rsid w:val="209A56C0"/>
    <w:rsid w:val="209E05F3"/>
    <w:rsid w:val="209E23A2"/>
    <w:rsid w:val="209F2C4D"/>
    <w:rsid w:val="20A15D31"/>
    <w:rsid w:val="20A7400A"/>
    <w:rsid w:val="20A8477C"/>
    <w:rsid w:val="20A92DD4"/>
    <w:rsid w:val="20AD0837"/>
    <w:rsid w:val="20B07FB6"/>
    <w:rsid w:val="20B15C43"/>
    <w:rsid w:val="20B240CD"/>
    <w:rsid w:val="20B61A5F"/>
    <w:rsid w:val="20C04A0E"/>
    <w:rsid w:val="20C22534"/>
    <w:rsid w:val="20C33369"/>
    <w:rsid w:val="20C41A43"/>
    <w:rsid w:val="20C95670"/>
    <w:rsid w:val="20D52267"/>
    <w:rsid w:val="20DA089D"/>
    <w:rsid w:val="20DA7812"/>
    <w:rsid w:val="20DD111C"/>
    <w:rsid w:val="20DD55C0"/>
    <w:rsid w:val="20E029BA"/>
    <w:rsid w:val="20E92483"/>
    <w:rsid w:val="20EA55E7"/>
    <w:rsid w:val="20EE50D7"/>
    <w:rsid w:val="20F3403C"/>
    <w:rsid w:val="20F36B91"/>
    <w:rsid w:val="20F63F8C"/>
    <w:rsid w:val="20FA198E"/>
    <w:rsid w:val="2100305C"/>
    <w:rsid w:val="21020B82"/>
    <w:rsid w:val="21022930"/>
    <w:rsid w:val="210764DB"/>
    <w:rsid w:val="210C1A01"/>
    <w:rsid w:val="210F504D"/>
    <w:rsid w:val="211014F1"/>
    <w:rsid w:val="21145FC5"/>
    <w:rsid w:val="211508B6"/>
    <w:rsid w:val="211762CF"/>
    <w:rsid w:val="211F4451"/>
    <w:rsid w:val="21246D4B"/>
    <w:rsid w:val="212705E9"/>
    <w:rsid w:val="213827F6"/>
    <w:rsid w:val="213A544A"/>
    <w:rsid w:val="213B74B1"/>
    <w:rsid w:val="213C22E6"/>
    <w:rsid w:val="213F5933"/>
    <w:rsid w:val="2144119B"/>
    <w:rsid w:val="21455F13"/>
    <w:rsid w:val="214742B5"/>
    <w:rsid w:val="21507B40"/>
    <w:rsid w:val="21537DD8"/>
    <w:rsid w:val="21562C7C"/>
    <w:rsid w:val="21564CC5"/>
    <w:rsid w:val="215869F4"/>
    <w:rsid w:val="215A2310"/>
    <w:rsid w:val="215A6C10"/>
    <w:rsid w:val="215B0293"/>
    <w:rsid w:val="215C2F2C"/>
    <w:rsid w:val="216474C2"/>
    <w:rsid w:val="21696E53"/>
    <w:rsid w:val="216B6728"/>
    <w:rsid w:val="216C4D8D"/>
    <w:rsid w:val="216F0E45"/>
    <w:rsid w:val="2174620A"/>
    <w:rsid w:val="21852C8B"/>
    <w:rsid w:val="218B5160"/>
    <w:rsid w:val="219263AA"/>
    <w:rsid w:val="21933ED0"/>
    <w:rsid w:val="21957C48"/>
    <w:rsid w:val="21AE2AB8"/>
    <w:rsid w:val="21B14C75"/>
    <w:rsid w:val="21B7130E"/>
    <w:rsid w:val="21B856E5"/>
    <w:rsid w:val="21C34E99"/>
    <w:rsid w:val="21C661A1"/>
    <w:rsid w:val="21CF1302"/>
    <w:rsid w:val="21D3043D"/>
    <w:rsid w:val="21D56297"/>
    <w:rsid w:val="21DC74DE"/>
    <w:rsid w:val="21DE318A"/>
    <w:rsid w:val="21DE339D"/>
    <w:rsid w:val="21E03C1E"/>
    <w:rsid w:val="21E13187"/>
    <w:rsid w:val="21E965D1"/>
    <w:rsid w:val="21ED0E6A"/>
    <w:rsid w:val="21EF5B80"/>
    <w:rsid w:val="21F11323"/>
    <w:rsid w:val="21F4496F"/>
    <w:rsid w:val="21FA58CD"/>
    <w:rsid w:val="21FC199D"/>
    <w:rsid w:val="2201708C"/>
    <w:rsid w:val="220B7F0B"/>
    <w:rsid w:val="221B56B0"/>
    <w:rsid w:val="221D1128"/>
    <w:rsid w:val="222608A0"/>
    <w:rsid w:val="222C235B"/>
    <w:rsid w:val="222D26E1"/>
    <w:rsid w:val="22300410"/>
    <w:rsid w:val="22360479"/>
    <w:rsid w:val="223631D9"/>
    <w:rsid w:val="223905D4"/>
    <w:rsid w:val="22396826"/>
    <w:rsid w:val="223F04E2"/>
    <w:rsid w:val="224469E3"/>
    <w:rsid w:val="22464F27"/>
    <w:rsid w:val="22471CDD"/>
    <w:rsid w:val="224D0523"/>
    <w:rsid w:val="224E3F10"/>
    <w:rsid w:val="224F1189"/>
    <w:rsid w:val="22511DC1"/>
    <w:rsid w:val="22560A16"/>
    <w:rsid w:val="22576990"/>
    <w:rsid w:val="225A0088"/>
    <w:rsid w:val="225B2C40"/>
    <w:rsid w:val="225B7477"/>
    <w:rsid w:val="225E36D5"/>
    <w:rsid w:val="2265761B"/>
    <w:rsid w:val="226B52CC"/>
    <w:rsid w:val="2271144C"/>
    <w:rsid w:val="22753050"/>
    <w:rsid w:val="22806203"/>
    <w:rsid w:val="22925F36"/>
    <w:rsid w:val="22943A5C"/>
    <w:rsid w:val="22993768"/>
    <w:rsid w:val="229C4EAB"/>
    <w:rsid w:val="22A85BB1"/>
    <w:rsid w:val="22AA6604"/>
    <w:rsid w:val="22AC24D1"/>
    <w:rsid w:val="22AC2B5D"/>
    <w:rsid w:val="22AF0896"/>
    <w:rsid w:val="22B674CB"/>
    <w:rsid w:val="22B70195"/>
    <w:rsid w:val="22BD1205"/>
    <w:rsid w:val="22BF62A8"/>
    <w:rsid w:val="22C02AA3"/>
    <w:rsid w:val="22C2681B"/>
    <w:rsid w:val="22C2713B"/>
    <w:rsid w:val="22C31AFD"/>
    <w:rsid w:val="22C364EA"/>
    <w:rsid w:val="22CB70E1"/>
    <w:rsid w:val="22D14F59"/>
    <w:rsid w:val="22D50B4C"/>
    <w:rsid w:val="22D66D30"/>
    <w:rsid w:val="22D84291"/>
    <w:rsid w:val="22DB168B"/>
    <w:rsid w:val="22E370DD"/>
    <w:rsid w:val="22E5075C"/>
    <w:rsid w:val="22E9024C"/>
    <w:rsid w:val="22EC0514"/>
    <w:rsid w:val="22EF3388"/>
    <w:rsid w:val="22EF5136"/>
    <w:rsid w:val="22F10325"/>
    <w:rsid w:val="22F32E79"/>
    <w:rsid w:val="22F36224"/>
    <w:rsid w:val="22F72A56"/>
    <w:rsid w:val="22F87F01"/>
    <w:rsid w:val="22F95FB5"/>
    <w:rsid w:val="23005752"/>
    <w:rsid w:val="230307BE"/>
    <w:rsid w:val="230706D2"/>
    <w:rsid w:val="230F1167"/>
    <w:rsid w:val="231057D9"/>
    <w:rsid w:val="23124597"/>
    <w:rsid w:val="23150953"/>
    <w:rsid w:val="23181CF2"/>
    <w:rsid w:val="23187C1A"/>
    <w:rsid w:val="231C2D03"/>
    <w:rsid w:val="23250B58"/>
    <w:rsid w:val="23270D74"/>
    <w:rsid w:val="232A43C0"/>
    <w:rsid w:val="232C1EE7"/>
    <w:rsid w:val="232D0BF2"/>
    <w:rsid w:val="232E2103"/>
    <w:rsid w:val="2331574F"/>
    <w:rsid w:val="23343401"/>
    <w:rsid w:val="23362D65"/>
    <w:rsid w:val="233A4603"/>
    <w:rsid w:val="2346744C"/>
    <w:rsid w:val="234A05BF"/>
    <w:rsid w:val="234B6811"/>
    <w:rsid w:val="234F58A6"/>
    <w:rsid w:val="235002CB"/>
    <w:rsid w:val="2355143D"/>
    <w:rsid w:val="2355768F"/>
    <w:rsid w:val="235A0D1F"/>
    <w:rsid w:val="23607DE2"/>
    <w:rsid w:val="23625212"/>
    <w:rsid w:val="23627FFE"/>
    <w:rsid w:val="236553F8"/>
    <w:rsid w:val="236E6522"/>
    <w:rsid w:val="2371069A"/>
    <w:rsid w:val="23720241"/>
    <w:rsid w:val="23765646"/>
    <w:rsid w:val="2378512C"/>
    <w:rsid w:val="238367CA"/>
    <w:rsid w:val="23871813"/>
    <w:rsid w:val="238A2A88"/>
    <w:rsid w:val="239051F6"/>
    <w:rsid w:val="23975438"/>
    <w:rsid w:val="23983A20"/>
    <w:rsid w:val="239B4F56"/>
    <w:rsid w:val="239D2DE4"/>
    <w:rsid w:val="23A979DB"/>
    <w:rsid w:val="23B00D6A"/>
    <w:rsid w:val="23B24AE2"/>
    <w:rsid w:val="23B4085A"/>
    <w:rsid w:val="23B6403B"/>
    <w:rsid w:val="23BA5744"/>
    <w:rsid w:val="23BE146B"/>
    <w:rsid w:val="23BE2382"/>
    <w:rsid w:val="23C05D79"/>
    <w:rsid w:val="23C10881"/>
    <w:rsid w:val="23C14D25"/>
    <w:rsid w:val="23C16AD3"/>
    <w:rsid w:val="23CA79B4"/>
    <w:rsid w:val="23CD191B"/>
    <w:rsid w:val="23CE11F0"/>
    <w:rsid w:val="23CE7442"/>
    <w:rsid w:val="23D22A8E"/>
    <w:rsid w:val="23D305B4"/>
    <w:rsid w:val="23D74B92"/>
    <w:rsid w:val="23DC3528"/>
    <w:rsid w:val="23DD3EED"/>
    <w:rsid w:val="23DE058B"/>
    <w:rsid w:val="23DE15D6"/>
    <w:rsid w:val="23DE59BA"/>
    <w:rsid w:val="23E17175"/>
    <w:rsid w:val="23E2215F"/>
    <w:rsid w:val="23E32EED"/>
    <w:rsid w:val="23E6478B"/>
    <w:rsid w:val="23EB3172"/>
    <w:rsid w:val="23EF6DDD"/>
    <w:rsid w:val="23F24EDE"/>
    <w:rsid w:val="23F8626D"/>
    <w:rsid w:val="23FA1FE5"/>
    <w:rsid w:val="23FC4938"/>
    <w:rsid w:val="240115C5"/>
    <w:rsid w:val="2406098A"/>
    <w:rsid w:val="24174945"/>
    <w:rsid w:val="241A2687"/>
    <w:rsid w:val="241F0898"/>
    <w:rsid w:val="24373239"/>
    <w:rsid w:val="24383F19"/>
    <w:rsid w:val="24413208"/>
    <w:rsid w:val="24446896"/>
    <w:rsid w:val="244B2840"/>
    <w:rsid w:val="244F2331"/>
    <w:rsid w:val="245060A9"/>
    <w:rsid w:val="24515D4E"/>
    <w:rsid w:val="24547947"/>
    <w:rsid w:val="24661642"/>
    <w:rsid w:val="246851A0"/>
    <w:rsid w:val="246B4E01"/>
    <w:rsid w:val="246C3C2F"/>
    <w:rsid w:val="246E2D16"/>
    <w:rsid w:val="246F4781"/>
    <w:rsid w:val="247022A7"/>
    <w:rsid w:val="247052DC"/>
    <w:rsid w:val="247509BC"/>
    <w:rsid w:val="247578BD"/>
    <w:rsid w:val="247955FF"/>
    <w:rsid w:val="247E6188"/>
    <w:rsid w:val="24822706"/>
    <w:rsid w:val="24853FA4"/>
    <w:rsid w:val="248F6BD1"/>
    <w:rsid w:val="249271CF"/>
    <w:rsid w:val="24957A67"/>
    <w:rsid w:val="249B0953"/>
    <w:rsid w:val="24A0493A"/>
    <w:rsid w:val="24A66AD5"/>
    <w:rsid w:val="24AA57B9"/>
    <w:rsid w:val="24AD349C"/>
    <w:rsid w:val="24B31DC2"/>
    <w:rsid w:val="24B634E8"/>
    <w:rsid w:val="24BB1774"/>
    <w:rsid w:val="24BB2C9E"/>
    <w:rsid w:val="24BB4180"/>
    <w:rsid w:val="24BE6297"/>
    <w:rsid w:val="24C148B0"/>
    <w:rsid w:val="24C20D54"/>
    <w:rsid w:val="24C21763"/>
    <w:rsid w:val="24C30629"/>
    <w:rsid w:val="24C820E3"/>
    <w:rsid w:val="24CA19B7"/>
    <w:rsid w:val="24CA6859"/>
    <w:rsid w:val="24CD76F9"/>
    <w:rsid w:val="24CF3471"/>
    <w:rsid w:val="24DF6C29"/>
    <w:rsid w:val="24E00466"/>
    <w:rsid w:val="24E54A43"/>
    <w:rsid w:val="24E61397"/>
    <w:rsid w:val="24E76A0D"/>
    <w:rsid w:val="24ED56A6"/>
    <w:rsid w:val="24F25D15"/>
    <w:rsid w:val="24F627AC"/>
    <w:rsid w:val="24F66C50"/>
    <w:rsid w:val="24F84776"/>
    <w:rsid w:val="24FA6740"/>
    <w:rsid w:val="24FB4266"/>
    <w:rsid w:val="24FE78B3"/>
    <w:rsid w:val="2503311B"/>
    <w:rsid w:val="250C1FD0"/>
    <w:rsid w:val="250F3DFA"/>
    <w:rsid w:val="25115838"/>
    <w:rsid w:val="25132A7F"/>
    <w:rsid w:val="25186BC6"/>
    <w:rsid w:val="251A293E"/>
    <w:rsid w:val="251F61A7"/>
    <w:rsid w:val="25203CCD"/>
    <w:rsid w:val="252D53FE"/>
    <w:rsid w:val="253B28B5"/>
    <w:rsid w:val="253F0438"/>
    <w:rsid w:val="2540611D"/>
    <w:rsid w:val="25423C43"/>
    <w:rsid w:val="254514FB"/>
    <w:rsid w:val="25467247"/>
    <w:rsid w:val="254B6F9C"/>
    <w:rsid w:val="254E06EB"/>
    <w:rsid w:val="254E083A"/>
    <w:rsid w:val="2551032A"/>
    <w:rsid w:val="255319AC"/>
    <w:rsid w:val="25552D38"/>
    <w:rsid w:val="2557798A"/>
    <w:rsid w:val="256736AA"/>
    <w:rsid w:val="257638ED"/>
    <w:rsid w:val="25783B09"/>
    <w:rsid w:val="25787583"/>
    <w:rsid w:val="257A162F"/>
    <w:rsid w:val="257C53A7"/>
    <w:rsid w:val="2580476C"/>
    <w:rsid w:val="258129BE"/>
    <w:rsid w:val="25820CEA"/>
    <w:rsid w:val="25822292"/>
    <w:rsid w:val="25826736"/>
    <w:rsid w:val="25836D81"/>
    <w:rsid w:val="25853B30"/>
    <w:rsid w:val="25854EB2"/>
    <w:rsid w:val="258C1362"/>
    <w:rsid w:val="258C4EBE"/>
    <w:rsid w:val="258D2BFC"/>
    <w:rsid w:val="25916979"/>
    <w:rsid w:val="25950921"/>
    <w:rsid w:val="259721E1"/>
    <w:rsid w:val="259874E2"/>
    <w:rsid w:val="259A75DB"/>
    <w:rsid w:val="259B0619"/>
    <w:rsid w:val="259C77F7"/>
    <w:rsid w:val="259F4411"/>
    <w:rsid w:val="25A8302D"/>
    <w:rsid w:val="25AF7B21"/>
    <w:rsid w:val="25B6018D"/>
    <w:rsid w:val="25B95E84"/>
    <w:rsid w:val="25BC1737"/>
    <w:rsid w:val="25BD776E"/>
    <w:rsid w:val="25C1725E"/>
    <w:rsid w:val="25C92FE5"/>
    <w:rsid w:val="25CF7214"/>
    <w:rsid w:val="25D074A1"/>
    <w:rsid w:val="25D725DE"/>
    <w:rsid w:val="25D845A8"/>
    <w:rsid w:val="25D961D0"/>
    <w:rsid w:val="25DE1BBE"/>
    <w:rsid w:val="25E60A73"/>
    <w:rsid w:val="25E65AE0"/>
    <w:rsid w:val="25EB42DB"/>
    <w:rsid w:val="25EC2D81"/>
    <w:rsid w:val="25EE5B79"/>
    <w:rsid w:val="25F52A64"/>
    <w:rsid w:val="25F7330A"/>
    <w:rsid w:val="25F74973"/>
    <w:rsid w:val="25FC13BE"/>
    <w:rsid w:val="25FD5DBC"/>
    <w:rsid w:val="25FF1B34"/>
    <w:rsid w:val="26022290"/>
    <w:rsid w:val="260809E9"/>
    <w:rsid w:val="260D24A3"/>
    <w:rsid w:val="26110E6F"/>
    <w:rsid w:val="26121868"/>
    <w:rsid w:val="261730FD"/>
    <w:rsid w:val="26192BF6"/>
    <w:rsid w:val="262072FB"/>
    <w:rsid w:val="26230398"/>
    <w:rsid w:val="2624159B"/>
    <w:rsid w:val="2627191F"/>
    <w:rsid w:val="262A4E03"/>
    <w:rsid w:val="262C1DCB"/>
    <w:rsid w:val="262E5F76"/>
    <w:rsid w:val="26323CB8"/>
    <w:rsid w:val="26377839"/>
    <w:rsid w:val="26413EFB"/>
    <w:rsid w:val="2644502B"/>
    <w:rsid w:val="264528BD"/>
    <w:rsid w:val="26515721"/>
    <w:rsid w:val="26591245"/>
    <w:rsid w:val="265C0D35"/>
    <w:rsid w:val="26606A77"/>
    <w:rsid w:val="2661284D"/>
    <w:rsid w:val="26644B8A"/>
    <w:rsid w:val="26645926"/>
    <w:rsid w:val="26681488"/>
    <w:rsid w:val="266F6CBA"/>
    <w:rsid w:val="26760048"/>
    <w:rsid w:val="2681079B"/>
    <w:rsid w:val="268465AB"/>
    <w:rsid w:val="268828FF"/>
    <w:rsid w:val="268D0EEE"/>
    <w:rsid w:val="268F6768"/>
    <w:rsid w:val="26955FF5"/>
    <w:rsid w:val="269C3827"/>
    <w:rsid w:val="26A36964"/>
    <w:rsid w:val="26AA5F44"/>
    <w:rsid w:val="26AD1F5C"/>
    <w:rsid w:val="26AF5308"/>
    <w:rsid w:val="26B20955"/>
    <w:rsid w:val="26B30632"/>
    <w:rsid w:val="26B7240F"/>
    <w:rsid w:val="26BE72FA"/>
    <w:rsid w:val="26C07516"/>
    <w:rsid w:val="26C37006"/>
    <w:rsid w:val="26CB3A94"/>
    <w:rsid w:val="26D0702D"/>
    <w:rsid w:val="26D554F4"/>
    <w:rsid w:val="26D62895"/>
    <w:rsid w:val="26D94133"/>
    <w:rsid w:val="26DC6C91"/>
    <w:rsid w:val="26E03714"/>
    <w:rsid w:val="26E14D5A"/>
    <w:rsid w:val="26E33204"/>
    <w:rsid w:val="26E47D34"/>
    <w:rsid w:val="26E74AA2"/>
    <w:rsid w:val="26EE087F"/>
    <w:rsid w:val="26EF7DFB"/>
    <w:rsid w:val="26F15921"/>
    <w:rsid w:val="26F40F6D"/>
    <w:rsid w:val="26F60CAF"/>
    <w:rsid w:val="26F61189"/>
    <w:rsid w:val="26FA337A"/>
    <w:rsid w:val="2700492A"/>
    <w:rsid w:val="271967C0"/>
    <w:rsid w:val="271B0BF0"/>
    <w:rsid w:val="27233601"/>
    <w:rsid w:val="272445CF"/>
    <w:rsid w:val="27272151"/>
    <w:rsid w:val="272D447F"/>
    <w:rsid w:val="273306F3"/>
    <w:rsid w:val="27377A67"/>
    <w:rsid w:val="27391076"/>
    <w:rsid w:val="27433CA3"/>
    <w:rsid w:val="274C0DA9"/>
    <w:rsid w:val="274E2D73"/>
    <w:rsid w:val="274F678B"/>
    <w:rsid w:val="2753038A"/>
    <w:rsid w:val="27585A15"/>
    <w:rsid w:val="2758774E"/>
    <w:rsid w:val="27592132"/>
    <w:rsid w:val="275B2D9A"/>
    <w:rsid w:val="275D6B12"/>
    <w:rsid w:val="275E36AF"/>
    <w:rsid w:val="276022BF"/>
    <w:rsid w:val="27604855"/>
    <w:rsid w:val="2762237B"/>
    <w:rsid w:val="27673E35"/>
    <w:rsid w:val="276A7481"/>
    <w:rsid w:val="276E0D20"/>
    <w:rsid w:val="27785804"/>
    <w:rsid w:val="277976C4"/>
    <w:rsid w:val="277B0D7F"/>
    <w:rsid w:val="277B343D"/>
    <w:rsid w:val="277F117F"/>
    <w:rsid w:val="27826579"/>
    <w:rsid w:val="27871DE1"/>
    <w:rsid w:val="278E278E"/>
    <w:rsid w:val="27905EE6"/>
    <w:rsid w:val="27915427"/>
    <w:rsid w:val="27932534"/>
    <w:rsid w:val="279A0D31"/>
    <w:rsid w:val="279D33B3"/>
    <w:rsid w:val="279D7857"/>
    <w:rsid w:val="279F193A"/>
    <w:rsid w:val="27A60C72"/>
    <w:rsid w:val="27AD6260"/>
    <w:rsid w:val="27AD638E"/>
    <w:rsid w:val="27B01338"/>
    <w:rsid w:val="27B30E28"/>
    <w:rsid w:val="27BA5D13"/>
    <w:rsid w:val="27C1173F"/>
    <w:rsid w:val="27C2106B"/>
    <w:rsid w:val="27D15DD1"/>
    <w:rsid w:val="27D74B17"/>
    <w:rsid w:val="27E40FE2"/>
    <w:rsid w:val="27EC60E8"/>
    <w:rsid w:val="27EE09E2"/>
    <w:rsid w:val="27F473D8"/>
    <w:rsid w:val="27F82CDF"/>
    <w:rsid w:val="27FA6426"/>
    <w:rsid w:val="27FB065B"/>
    <w:rsid w:val="27FF7BCA"/>
    <w:rsid w:val="280478D6"/>
    <w:rsid w:val="280653FC"/>
    <w:rsid w:val="28066922"/>
    <w:rsid w:val="28096C9A"/>
    <w:rsid w:val="280B7BC3"/>
    <w:rsid w:val="28164F13"/>
    <w:rsid w:val="281A2C55"/>
    <w:rsid w:val="281F201A"/>
    <w:rsid w:val="28212236"/>
    <w:rsid w:val="28213FE4"/>
    <w:rsid w:val="28230A0D"/>
    <w:rsid w:val="28277120"/>
    <w:rsid w:val="28304CAC"/>
    <w:rsid w:val="2831354D"/>
    <w:rsid w:val="28333D17"/>
    <w:rsid w:val="2833567F"/>
    <w:rsid w:val="28335AC5"/>
    <w:rsid w:val="28337E41"/>
    <w:rsid w:val="28396011"/>
    <w:rsid w:val="283D06F2"/>
    <w:rsid w:val="284C02A7"/>
    <w:rsid w:val="284E0B51"/>
    <w:rsid w:val="284E28FF"/>
    <w:rsid w:val="285223EF"/>
    <w:rsid w:val="28551EE0"/>
    <w:rsid w:val="28572430"/>
    <w:rsid w:val="28580407"/>
    <w:rsid w:val="285C501C"/>
    <w:rsid w:val="285D2B42"/>
    <w:rsid w:val="28650375"/>
    <w:rsid w:val="28652321"/>
    <w:rsid w:val="2869172C"/>
    <w:rsid w:val="28695417"/>
    <w:rsid w:val="286A598B"/>
    <w:rsid w:val="286B34B1"/>
    <w:rsid w:val="286C33DB"/>
    <w:rsid w:val="28702875"/>
    <w:rsid w:val="287560DE"/>
    <w:rsid w:val="2876639C"/>
    <w:rsid w:val="287F0D0A"/>
    <w:rsid w:val="28813F71"/>
    <w:rsid w:val="28814A83"/>
    <w:rsid w:val="28924EE2"/>
    <w:rsid w:val="289447B6"/>
    <w:rsid w:val="2895052E"/>
    <w:rsid w:val="289651BD"/>
    <w:rsid w:val="289E5635"/>
    <w:rsid w:val="28A1297A"/>
    <w:rsid w:val="28A76295"/>
    <w:rsid w:val="28A864B3"/>
    <w:rsid w:val="28B754A4"/>
    <w:rsid w:val="28B8366A"/>
    <w:rsid w:val="28BC7129"/>
    <w:rsid w:val="28C36E49"/>
    <w:rsid w:val="28C606E7"/>
    <w:rsid w:val="28CA01D8"/>
    <w:rsid w:val="28CC21F1"/>
    <w:rsid w:val="28D6244E"/>
    <w:rsid w:val="28DB32AB"/>
    <w:rsid w:val="28DF3C8D"/>
    <w:rsid w:val="28E54BC4"/>
    <w:rsid w:val="28F45255"/>
    <w:rsid w:val="28F9286B"/>
    <w:rsid w:val="28FF5FE7"/>
    <w:rsid w:val="29017971"/>
    <w:rsid w:val="290D27BA"/>
    <w:rsid w:val="29143B49"/>
    <w:rsid w:val="2916166F"/>
    <w:rsid w:val="291D0C4F"/>
    <w:rsid w:val="29206EB8"/>
    <w:rsid w:val="292136CE"/>
    <w:rsid w:val="292518B2"/>
    <w:rsid w:val="292813A2"/>
    <w:rsid w:val="292A511A"/>
    <w:rsid w:val="292D4147"/>
    <w:rsid w:val="292E034E"/>
    <w:rsid w:val="292F2731"/>
    <w:rsid w:val="292F67EE"/>
    <w:rsid w:val="293146FB"/>
    <w:rsid w:val="29324F91"/>
    <w:rsid w:val="29347D47"/>
    <w:rsid w:val="29373393"/>
    <w:rsid w:val="2939710B"/>
    <w:rsid w:val="293E4722"/>
    <w:rsid w:val="29471828"/>
    <w:rsid w:val="294A1318"/>
    <w:rsid w:val="294A3CD7"/>
    <w:rsid w:val="294C22A1"/>
    <w:rsid w:val="294C5091"/>
    <w:rsid w:val="295876D6"/>
    <w:rsid w:val="295E3016"/>
    <w:rsid w:val="29606D8E"/>
    <w:rsid w:val="29634188"/>
    <w:rsid w:val="29656C0E"/>
    <w:rsid w:val="296C128F"/>
    <w:rsid w:val="296C4BAC"/>
    <w:rsid w:val="296D15DA"/>
    <w:rsid w:val="297C5914"/>
    <w:rsid w:val="29852351"/>
    <w:rsid w:val="29890093"/>
    <w:rsid w:val="298D0BC4"/>
    <w:rsid w:val="29932CBF"/>
    <w:rsid w:val="29945C1B"/>
    <w:rsid w:val="29967E2D"/>
    <w:rsid w:val="29982084"/>
    <w:rsid w:val="29A30860"/>
    <w:rsid w:val="29A50C45"/>
    <w:rsid w:val="29A61D7E"/>
    <w:rsid w:val="29AA1DB7"/>
    <w:rsid w:val="29B175E9"/>
    <w:rsid w:val="29B82726"/>
    <w:rsid w:val="29BB32A5"/>
    <w:rsid w:val="29BD08F2"/>
    <w:rsid w:val="29BF1D06"/>
    <w:rsid w:val="29C410CB"/>
    <w:rsid w:val="29C56BF1"/>
    <w:rsid w:val="29C64906"/>
    <w:rsid w:val="29CC7F7F"/>
    <w:rsid w:val="29D60DFE"/>
    <w:rsid w:val="29D63102"/>
    <w:rsid w:val="29DA269C"/>
    <w:rsid w:val="29DA4F25"/>
    <w:rsid w:val="29E17ECF"/>
    <w:rsid w:val="29E325E0"/>
    <w:rsid w:val="29EA6657"/>
    <w:rsid w:val="29EB48A9"/>
    <w:rsid w:val="29EB7E9F"/>
    <w:rsid w:val="29EC23D0"/>
    <w:rsid w:val="29EF43E8"/>
    <w:rsid w:val="29F00112"/>
    <w:rsid w:val="29F5538C"/>
    <w:rsid w:val="29F574D6"/>
    <w:rsid w:val="29F64FFC"/>
    <w:rsid w:val="29FB2071"/>
    <w:rsid w:val="29FF2103"/>
    <w:rsid w:val="2A005FEE"/>
    <w:rsid w:val="2A047719"/>
    <w:rsid w:val="2A0911D4"/>
    <w:rsid w:val="2A0A5FF9"/>
    <w:rsid w:val="2A0C6676"/>
    <w:rsid w:val="2A125012"/>
    <w:rsid w:val="2A163DA4"/>
    <w:rsid w:val="2A1738F0"/>
    <w:rsid w:val="2A263B34"/>
    <w:rsid w:val="2A2A2060"/>
    <w:rsid w:val="2A2D05FF"/>
    <w:rsid w:val="2A346694"/>
    <w:rsid w:val="2A353D77"/>
    <w:rsid w:val="2A366DD9"/>
    <w:rsid w:val="2A375D41"/>
    <w:rsid w:val="2A3A00AE"/>
    <w:rsid w:val="2A3C3357"/>
    <w:rsid w:val="2A403DF7"/>
    <w:rsid w:val="2A4346E5"/>
    <w:rsid w:val="2A452503"/>
    <w:rsid w:val="2A4E308A"/>
    <w:rsid w:val="2A524929"/>
    <w:rsid w:val="2A570191"/>
    <w:rsid w:val="2A581813"/>
    <w:rsid w:val="2A585CB7"/>
    <w:rsid w:val="2A61691A"/>
    <w:rsid w:val="2A6428AE"/>
    <w:rsid w:val="2A643B57"/>
    <w:rsid w:val="2A697EC4"/>
    <w:rsid w:val="2A6B1334"/>
    <w:rsid w:val="2A6D3510"/>
    <w:rsid w:val="2A6F54DA"/>
    <w:rsid w:val="2A73489F"/>
    <w:rsid w:val="2A742AF1"/>
    <w:rsid w:val="2A756869"/>
    <w:rsid w:val="2A78062B"/>
    <w:rsid w:val="2A791292"/>
    <w:rsid w:val="2A794DC8"/>
    <w:rsid w:val="2A7B6309"/>
    <w:rsid w:val="2A7F4FF2"/>
    <w:rsid w:val="2A801755"/>
    <w:rsid w:val="2A814BA8"/>
    <w:rsid w:val="2A88659C"/>
    <w:rsid w:val="2A9211C9"/>
    <w:rsid w:val="2A924FCC"/>
    <w:rsid w:val="2A9767DF"/>
    <w:rsid w:val="2A9C2048"/>
    <w:rsid w:val="2A9D15F2"/>
    <w:rsid w:val="2AA1140C"/>
    <w:rsid w:val="2AA2188F"/>
    <w:rsid w:val="2AA2529F"/>
    <w:rsid w:val="2AA44A58"/>
    <w:rsid w:val="2AA77E46"/>
    <w:rsid w:val="2AAB5DE7"/>
    <w:rsid w:val="2AB00919"/>
    <w:rsid w:val="2AB23619"/>
    <w:rsid w:val="2AB24AC6"/>
    <w:rsid w:val="2AB56C65"/>
    <w:rsid w:val="2ABA24CE"/>
    <w:rsid w:val="2AC12920"/>
    <w:rsid w:val="2AC450FA"/>
    <w:rsid w:val="2AC66B4F"/>
    <w:rsid w:val="2ACD0A78"/>
    <w:rsid w:val="2ACE4132"/>
    <w:rsid w:val="2AD57308"/>
    <w:rsid w:val="2AD6555A"/>
    <w:rsid w:val="2AD757E4"/>
    <w:rsid w:val="2AD905D3"/>
    <w:rsid w:val="2ADC66A8"/>
    <w:rsid w:val="2ADE14E1"/>
    <w:rsid w:val="2AEA21EB"/>
    <w:rsid w:val="2AEF03C9"/>
    <w:rsid w:val="2AF43C32"/>
    <w:rsid w:val="2AF7102C"/>
    <w:rsid w:val="2B033E75"/>
    <w:rsid w:val="2B065713"/>
    <w:rsid w:val="2B0674C1"/>
    <w:rsid w:val="2B0A5203"/>
    <w:rsid w:val="2B0B5E2F"/>
    <w:rsid w:val="2B0C0FDF"/>
    <w:rsid w:val="2B0E3784"/>
    <w:rsid w:val="2B151983"/>
    <w:rsid w:val="2B234681"/>
    <w:rsid w:val="2B277B63"/>
    <w:rsid w:val="2B2838DB"/>
    <w:rsid w:val="2B2C517A"/>
    <w:rsid w:val="2B3B11AE"/>
    <w:rsid w:val="2B3E6C5B"/>
    <w:rsid w:val="2B435C33"/>
    <w:rsid w:val="2B492D8D"/>
    <w:rsid w:val="2B54022C"/>
    <w:rsid w:val="2B5B780D"/>
    <w:rsid w:val="2B5E72FD"/>
    <w:rsid w:val="2B604E23"/>
    <w:rsid w:val="2B612949"/>
    <w:rsid w:val="2B620B9B"/>
    <w:rsid w:val="2B634913"/>
    <w:rsid w:val="2B69017C"/>
    <w:rsid w:val="2B6C62CF"/>
    <w:rsid w:val="2B74267D"/>
    <w:rsid w:val="2B764647"/>
    <w:rsid w:val="2B7B7EAF"/>
    <w:rsid w:val="2B7E34FB"/>
    <w:rsid w:val="2B8723B0"/>
    <w:rsid w:val="2B8C3E6A"/>
    <w:rsid w:val="2B8F5708"/>
    <w:rsid w:val="2B936FA7"/>
    <w:rsid w:val="2B9B0113"/>
    <w:rsid w:val="2B9B22FF"/>
    <w:rsid w:val="2B9B40AD"/>
    <w:rsid w:val="2BA936A8"/>
    <w:rsid w:val="2BAA609E"/>
    <w:rsid w:val="2BAE2033"/>
    <w:rsid w:val="2BAE6156"/>
    <w:rsid w:val="2BB45CC1"/>
    <w:rsid w:val="2BB533C1"/>
    <w:rsid w:val="2BBA5CF7"/>
    <w:rsid w:val="2BBD13CD"/>
    <w:rsid w:val="2BBD4A6B"/>
    <w:rsid w:val="2BC01D66"/>
    <w:rsid w:val="2BC442AE"/>
    <w:rsid w:val="2BC74EA2"/>
    <w:rsid w:val="2BCC29AB"/>
    <w:rsid w:val="2BE23A8A"/>
    <w:rsid w:val="2BE733F6"/>
    <w:rsid w:val="2BEA71D2"/>
    <w:rsid w:val="2BEE242F"/>
    <w:rsid w:val="2BFF4499"/>
    <w:rsid w:val="2BFF63EA"/>
    <w:rsid w:val="2BFF77EC"/>
    <w:rsid w:val="2C0003B4"/>
    <w:rsid w:val="2C025EDA"/>
    <w:rsid w:val="2C0504DF"/>
    <w:rsid w:val="2C063C1D"/>
    <w:rsid w:val="2C11436F"/>
    <w:rsid w:val="2C1300E8"/>
    <w:rsid w:val="2C1856FE"/>
    <w:rsid w:val="2C1874AC"/>
    <w:rsid w:val="2C1945BB"/>
    <w:rsid w:val="2C1A1476"/>
    <w:rsid w:val="2C251BC9"/>
    <w:rsid w:val="2C296E55"/>
    <w:rsid w:val="2C2C3DE8"/>
    <w:rsid w:val="2C2C7879"/>
    <w:rsid w:val="2C302A48"/>
    <w:rsid w:val="2C31218A"/>
    <w:rsid w:val="2C315A5A"/>
    <w:rsid w:val="2C327883"/>
    <w:rsid w:val="2C3A5674"/>
    <w:rsid w:val="2C3C763E"/>
    <w:rsid w:val="2C444745"/>
    <w:rsid w:val="2C46226B"/>
    <w:rsid w:val="2C477D91"/>
    <w:rsid w:val="2C484235"/>
    <w:rsid w:val="2C487FD5"/>
    <w:rsid w:val="2C50426F"/>
    <w:rsid w:val="2C534988"/>
    <w:rsid w:val="2C571A8D"/>
    <w:rsid w:val="2C5950A4"/>
    <w:rsid w:val="2C5D5807"/>
    <w:rsid w:val="2C6426F1"/>
    <w:rsid w:val="2C644CC2"/>
    <w:rsid w:val="2C652EE7"/>
    <w:rsid w:val="2C6754A3"/>
    <w:rsid w:val="2C693389"/>
    <w:rsid w:val="2C6B3A80"/>
    <w:rsid w:val="2C6E531E"/>
    <w:rsid w:val="2C767E53"/>
    <w:rsid w:val="2C782C6F"/>
    <w:rsid w:val="2C7F39CF"/>
    <w:rsid w:val="2C7F4FF3"/>
    <w:rsid w:val="2C815051"/>
    <w:rsid w:val="2C8608B9"/>
    <w:rsid w:val="2C8763E0"/>
    <w:rsid w:val="2C8903AA"/>
    <w:rsid w:val="2C914308"/>
    <w:rsid w:val="2C985B8A"/>
    <w:rsid w:val="2C9E20A7"/>
    <w:rsid w:val="2CA86A82"/>
    <w:rsid w:val="2CB01DDA"/>
    <w:rsid w:val="2CB34EDA"/>
    <w:rsid w:val="2CB77A83"/>
    <w:rsid w:val="2CB90C8F"/>
    <w:rsid w:val="2CBF1BAC"/>
    <w:rsid w:val="2CC213E0"/>
    <w:rsid w:val="2CC413E2"/>
    <w:rsid w:val="2CC66F08"/>
    <w:rsid w:val="2CC80997"/>
    <w:rsid w:val="2CCE400E"/>
    <w:rsid w:val="2CD31625"/>
    <w:rsid w:val="2CD629A7"/>
    <w:rsid w:val="2CD77367"/>
    <w:rsid w:val="2CD979CA"/>
    <w:rsid w:val="2CDD51B6"/>
    <w:rsid w:val="2CE11F94"/>
    <w:rsid w:val="2CF4294C"/>
    <w:rsid w:val="2CFC0B7C"/>
    <w:rsid w:val="2CFF066C"/>
    <w:rsid w:val="2D0143E4"/>
    <w:rsid w:val="2D021ECA"/>
    <w:rsid w:val="2D0619FA"/>
    <w:rsid w:val="2D0D4B37"/>
    <w:rsid w:val="2D105B15"/>
    <w:rsid w:val="2D122D03"/>
    <w:rsid w:val="2D1278E5"/>
    <w:rsid w:val="2D142369"/>
    <w:rsid w:val="2D151C3D"/>
    <w:rsid w:val="2D19172E"/>
    <w:rsid w:val="2D232822"/>
    <w:rsid w:val="2D242F9D"/>
    <w:rsid w:val="2D297497"/>
    <w:rsid w:val="2D2A1671"/>
    <w:rsid w:val="2D2A393B"/>
    <w:rsid w:val="2D2A56E9"/>
    <w:rsid w:val="2D2D51D9"/>
    <w:rsid w:val="2D2E3032"/>
    <w:rsid w:val="2D360531"/>
    <w:rsid w:val="2D3A4195"/>
    <w:rsid w:val="2D3C366E"/>
    <w:rsid w:val="2D4B1056"/>
    <w:rsid w:val="2D616C31"/>
    <w:rsid w:val="2D6741DC"/>
    <w:rsid w:val="2D687AB5"/>
    <w:rsid w:val="2D6C1150"/>
    <w:rsid w:val="2D71156A"/>
    <w:rsid w:val="2D7479D0"/>
    <w:rsid w:val="2D793729"/>
    <w:rsid w:val="2D796670"/>
    <w:rsid w:val="2D7B7EC6"/>
    <w:rsid w:val="2D8D5C78"/>
    <w:rsid w:val="2D9139BA"/>
    <w:rsid w:val="2D940DB4"/>
    <w:rsid w:val="2D956126"/>
    <w:rsid w:val="2D9D4E4A"/>
    <w:rsid w:val="2D9E56F5"/>
    <w:rsid w:val="2D9E60D7"/>
    <w:rsid w:val="2DA03BFD"/>
    <w:rsid w:val="2DA37249"/>
    <w:rsid w:val="2DA82AB1"/>
    <w:rsid w:val="2DAC07F4"/>
    <w:rsid w:val="2DAC392E"/>
    <w:rsid w:val="2DB43204"/>
    <w:rsid w:val="2DB444AD"/>
    <w:rsid w:val="2DB80F46"/>
    <w:rsid w:val="2DBB1EA2"/>
    <w:rsid w:val="2DBC1F60"/>
    <w:rsid w:val="2DBD7E16"/>
    <w:rsid w:val="2DBF4B12"/>
    <w:rsid w:val="2DCD775F"/>
    <w:rsid w:val="2DCE4DDE"/>
    <w:rsid w:val="2DCF003E"/>
    <w:rsid w:val="2DCF214E"/>
    <w:rsid w:val="2DD11160"/>
    <w:rsid w:val="2DD83397"/>
    <w:rsid w:val="2DD87550"/>
    <w:rsid w:val="2DD903A8"/>
    <w:rsid w:val="2DDC770B"/>
    <w:rsid w:val="2DE47F8D"/>
    <w:rsid w:val="2DE57862"/>
    <w:rsid w:val="2DE64EBA"/>
    <w:rsid w:val="2DF06932"/>
    <w:rsid w:val="2DF6381D"/>
    <w:rsid w:val="2DF8162E"/>
    <w:rsid w:val="2DF91E34"/>
    <w:rsid w:val="2DFA0C10"/>
    <w:rsid w:val="2DFA1A5F"/>
    <w:rsid w:val="2DFB13FE"/>
    <w:rsid w:val="2E041312"/>
    <w:rsid w:val="2E075A2A"/>
    <w:rsid w:val="2E087164"/>
    <w:rsid w:val="2E0D0F34"/>
    <w:rsid w:val="2E0F48DF"/>
    <w:rsid w:val="2E183793"/>
    <w:rsid w:val="2E187C37"/>
    <w:rsid w:val="2E1D3465"/>
    <w:rsid w:val="2E1D6FFC"/>
    <w:rsid w:val="2E2307B6"/>
    <w:rsid w:val="2E262354"/>
    <w:rsid w:val="2E291E44"/>
    <w:rsid w:val="2E3572C5"/>
    <w:rsid w:val="2E3877F2"/>
    <w:rsid w:val="2E456552"/>
    <w:rsid w:val="2E4647E1"/>
    <w:rsid w:val="2E47051C"/>
    <w:rsid w:val="2E491A3F"/>
    <w:rsid w:val="2E495111"/>
    <w:rsid w:val="2E496043"/>
    <w:rsid w:val="2E4A4A48"/>
    <w:rsid w:val="2E4E18AB"/>
    <w:rsid w:val="2E575575"/>
    <w:rsid w:val="2E6030FC"/>
    <w:rsid w:val="2E6031F7"/>
    <w:rsid w:val="2E62715D"/>
    <w:rsid w:val="2E6305ED"/>
    <w:rsid w:val="2E6469D8"/>
    <w:rsid w:val="2E652751"/>
    <w:rsid w:val="2E6609A2"/>
    <w:rsid w:val="2E6611AB"/>
    <w:rsid w:val="2E667F96"/>
    <w:rsid w:val="2E6D585E"/>
    <w:rsid w:val="2E703C46"/>
    <w:rsid w:val="2E7117CD"/>
    <w:rsid w:val="2E772BB0"/>
    <w:rsid w:val="2E7A26A0"/>
    <w:rsid w:val="2E7A444E"/>
    <w:rsid w:val="2E7D3F3E"/>
    <w:rsid w:val="2E7D6405"/>
    <w:rsid w:val="2E8226AB"/>
    <w:rsid w:val="2E8227CF"/>
    <w:rsid w:val="2E860B9A"/>
    <w:rsid w:val="2E864BA1"/>
    <w:rsid w:val="2E8D2118"/>
    <w:rsid w:val="2E8E1840"/>
    <w:rsid w:val="2E913546"/>
    <w:rsid w:val="2E921798"/>
    <w:rsid w:val="2E933762"/>
    <w:rsid w:val="2E953036"/>
    <w:rsid w:val="2E9A064C"/>
    <w:rsid w:val="2E9D638E"/>
    <w:rsid w:val="2EA41312"/>
    <w:rsid w:val="2EA414CB"/>
    <w:rsid w:val="2EA677C6"/>
    <w:rsid w:val="2EA91B07"/>
    <w:rsid w:val="2EAD1279"/>
    <w:rsid w:val="2EB0560C"/>
    <w:rsid w:val="2EB711FE"/>
    <w:rsid w:val="2EBC05C2"/>
    <w:rsid w:val="2EC42C7A"/>
    <w:rsid w:val="2EC467A4"/>
    <w:rsid w:val="2EC9206D"/>
    <w:rsid w:val="2ECB4CA9"/>
    <w:rsid w:val="2ECB6A58"/>
    <w:rsid w:val="2ED075DC"/>
    <w:rsid w:val="2ED1017B"/>
    <w:rsid w:val="2ED33B5E"/>
    <w:rsid w:val="2EDB31E4"/>
    <w:rsid w:val="2EE443DB"/>
    <w:rsid w:val="2EE93382"/>
    <w:rsid w:val="2EEA0214"/>
    <w:rsid w:val="2EED2E72"/>
    <w:rsid w:val="2EEE4F05"/>
    <w:rsid w:val="2EF04710"/>
    <w:rsid w:val="2EF139C1"/>
    <w:rsid w:val="2EF17594"/>
    <w:rsid w:val="2EFA558F"/>
    <w:rsid w:val="2EFA733D"/>
    <w:rsid w:val="2F063F34"/>
    <w:rsid w:val="2F0B142F"/>
    <w:rsid w:val="2F0B154A"/>
    <w:rsid w:val="2F0C08F6"/>
    <w:rsid w:val="2F124686"/>
    <w:rsid w:val="2F21465F"/>
    <w:rsid w:val="2F2A7C22"/>
    <w:rsid w:val="2F2F5238"/>
    <w:rsid w:val="2F300FB0"/>
    <w:rsid w:val="2F3D0CEE"/>
    <w:rsid w:val="2F3E191F"/>
    <w:rsid w:val="2F407445"/>
    <w:rsid w:val="2F464330"/>
    <w:rsid w:val="2F4F461B"/>
    <w:rsid w:val="2F4F58DB"/>
    <w:rsid w:val="2F5051AF"/>
    <w:rsid w:val="2F57027C"/>
    <w:rsid w:val="2F575B54"/>
    <w:rsid w:val="2F603644"/>
    <w:rsid w:val="2F633134"/>
    <w:rsid w:val="2F634EE2"/>
    <w:rsid w:val="2F640B79"/>
    <w:rsid w:val="2F64740E"/>
    <w:rsid w:val="2F68699C"/>
    <w:rsid w:val="2F6A44C2"/>
    <w:rsid w:val="2F6B12EF"/>
    <w:rsid w:val="2F6B65A7"/>
    <w:rsid w:val="2F76779B"/>
    <w:rsid w:val="2F7D4F4A"/>
    <w:rsid w:val="2F832C79"/>
    <w:rsid w:val="2F850F05"/>
    <w:rsid w:val="2F874C33"/>
    <w:rsid w:val="2F882B9B"/>
    <w:rsid w:val="2F8F4328"/>
    <w:rsid w:val="2F9627A7"/>
    <w:rsid w:val="2F9652B7"/>
    <w:rsid w:val="2F974B8C"/>
    <w:rsid w:val="2F9E416C"/>
    <w:rsid w:val="2FA15A0A"/>
    <w:rsid w:val="2FA2183B"/>
    <w:rsid w:val="2FA76FD1"/>
    <w:rsid w:val="2FAA0D63"/>
    <w:rsid w:val="2FAD0853"/>
    <w:rsid w:val="2FB4573E"/>
    <w:rsid w:val="2FC00586"/>
    <w:rsid w:val="2FC30453"/>
    <w:rsid w:val="2FC35981"/>
    <w:rsid w:val="2FD45DE0"/>
    <w:rsid w:val="2FD64419"/>
    <w:rsid w:val="2FD7142C"/>
    <w:rsid w:val="2FD8767E"/>
    <w:rsid w:val="2FD944DB"/>
    <w:rsid w:val="2FDE33B6"/>
    <w:rsid w:val="2FE83639"/>
    <w:rsid w:val="2FED29FE"/>
    <w:rsid w:val="2FEE50F3"/>
    <w:rsid w:val="2FEF2D58"/>
    <w:rsid w:val="2FF2263C"/>
    <w:rsid w:val="2FF344B8"/>
    <w:rsid w:val="2FF74010"/>
    <w:rsid w:val="2FFB15BE"/>
    <w:rsid w:val="2FFD0DFC"/>
    <w:rsid w:val="3002033D"/>
    <w:rsid w:val="30030473"/>
    <w:rsid w:val="30032221"/>
    <w:rsid w:val="300466C5"/>
    <w:rsid w:val="30077F63"/>
    <w:rsid w:val="300C7328"/>
    <w:rsid w:val="300F0BC6"/>
    <w:rsid w:val="30102A86"/>
    <w:rsid w:val="3014442E"/>
    <w:rsid w:val="30180F16"/>
    <w:rsid w:val="301B5877"/>
    <w:rsid w:val="301E4E37"/>
    <w:rsid w:val="301F52AD"/>
    <w:rsid w:val="302C7B9D"/>
    <w:rsid w:val="302F2452"/>
    <w:rsid w:val="30335C3C"/>
    <w:rsid w:val="303C4D07"/>
    <w:rsid w:val="303D3985"/>
    <w:rsid w:val="303D5AA8"/>
    <w:rsid w:val="303E4FB3"/>
    <w:rsid w:val="30416A1A"/>
    <w:rsid w:val="30443C64"/>
    <w:rsid w:val="30444D13"/>
    <w:rsid w:val="3046098A"/>
    <w:rsid w:val="304A7E50"/>
    <w:rsid w:val="304E0112"/>
    <w:rsid w:val="304E0CC8"/>
    <w:rsid w:val="305331A8"/>
    <w:rsid w:val="3056544F"/>
    <w:rsid w:val="305667F5"/>
    <w:rsid w:val="30580BC9"/>
    <w:rsid w:val="305F1B4D"/>
    <w:rsid w:val="30657FDD"/>
    <w:rsid w:val="30676C54"/>
    <w:rsid w:val="3069477A"/>
    <w:rsid w:val="307373A7"/>
    <w:rsid w:val="3075311F"/>
    <w:rsid w:val="30785D29"/>
    <w:rsid w:val="307B625B"/>
    <w:rsid w:val="30845298"/>
    <w:rsid w:val="308B2942"/>
    <w:rsid w:val="30915A7F"/>
    <w:rsid w:val="309335A5"/>
    <w:rsid w:val="309612E7"/>
    <w:rsid w:val="30963095"/>
    <w:rsid w:val="309655D5"/>
    <w:rsid w:val="309A2B85"/>
    <w:rsid w:val="309B1AA0"/>
    <w:rsid w:val="309B5A02"/>
    <w:rsid w:val="309D5228"/>
    <w:rsid w:val="30A003C2"/>
    <w:rsid w:val="30A43AF4"/>
    <w:rsid w:val="30A532D8"/>
    <w:rsid w:val="30A9726C"/>
    <w:rsid w:val="30AF64B9"/>
    <w:rsid w:val="30B33C47"/>
    <w:rsid w:val="30B442DC"/>
    <w:rsid w:val="30BC6FA0"/>
    <w:rsid w:val="30C46FA8"/>
    <w:rsid w:val="30C9346B"/>
    <w:rsid w:val="30C96FC7"/>
    <w:rsid w:val="30D065A7"/>
    <w:rsid w:val="30D81136"/>
    <w:rsid w:val="30DA5678"/>
    <w:rsid w:val="30DA6B89"/>
    <w:rsid w:val="30DC4672"/>
    <w:rsid w:val="30DD6F16"/>
    <w:rsid w:val="30DE29C7"/>
    <w:rsid w:val="30E327D8"/>
    <w:rsid w:val="30E3452C"/>
    <w:rsid w:val="30EF0E8C"/>
    <w:rsid w:val="30F57DBC"/>
    <w:rsid w:val="30F87556"/>
    <w:rsid w:val="30FC0F59"/>
    <w:rsid w:val="3102072B"/>
    <w:rsid w:val="31032463"/>
    <w:rsid w:val="310426F5"/>
    <w:rsid w:val="3106646D"/>
    <w:rsid w:val="31070819"/>
    <w:rsid w:val="31083F93"/>
    <w:rsid w:val="310B5831"/>
    <w:rsid w:val="310D15A9"/>
    <w:rsid w:val="31181346"/>
    <w:rsid w:val="311A7304"/>
    <w:rsid w:val="311B250B"/>
    <w:rsid w:val="311D3E91"/>
    <w:rsid w:val="311E2ED7"/>
    <w:rsid w:val="31216E03"/>
    <w:rsid w:val="3126266B"/>
    <w:rsid w:val="313759B1"/>
    <w:rsid w:val="313B2EEB"/>
    <w:rsid w:val="313C3C3D"/>
    <w:rsid w:val="313E1763"/>
    <w:rsid w:val="31411253"/>
    <w:rsid w:val="31490108"/>
    <w:rsid w:val="314A1279"/>
    <w:rsid w:val="314A57DB"/>
    <w:rsid w:val="315076E8"/>
    <w:rsid w:val="315216B2"/>
    <w:rsid w:val="31570A76"/>
    <w:rsid w:val="31572824"/>
    <w:rsid w:val="315C449C"/>
    <w:rsid w:val="31660CB9"/>
    <w:rsid w:val="31677457"/>
    <w:rsid w:val="316D7640"/>
    <w:rsid w:val="317B29B7"/>
    <w:rsid w:val="317E6003"/>
    <w:rsid w:val="317F1D7B"/>
    <w:rsid w:val="317F1F89"/>
    <w:rsid w:val="318B0720"/>
    <w:rsid w:val="318B0BE0"/>
    <w:rsid w:val="318D4B66"/>
    <w:rsid w:val="318D6246"/>
    <w:rsid w:val="31912AE9"/>
    <w:rsid w:val="31943A79"/>
    <w:rsid w:val="319475D5"/>
    <w:rsid w:val="3196684B"/>
    <w:rsid w:val="319A60FC"/>
    <w:rsid w:val="31A31F0E"/>
    <w:rsid w:val="31A5236F"/>
    <w:rsid w:val="31A677D0"/>
    <w:rsid w:val="31AA329C"/>
    <w:rsid w:val="31AF2660"/>
    <w:rsid w:val="31AF440F"/>
    <w:rsid w:val="31B45209"/>
    <w:rsid w:val="31B82709"/>
    <w:rsid w:val="31BA1C29"/>
    <w:rsid w:val="31BE1862"/>
    <w:rsid w:val="31BE4652"/>
    <w:rsid w:val="31C12394"/>
    <w:rsid w:val="31C32EB1"/>
    <w:rsid w:val="31C93EE5"/>
    <w:rsid w:val="31CB55CE"/>
    <w:rsid w:val="31CF4AB1"/>
    <w:rsid w:val="31CF7994"/>
    <w:rsid w:val="31D47C7D"/>
    <w:rsid w:val="31DA35B5"/>
    <w:rsid w:val="31DE6AA2"/>
    <w:rsid w:val="31E3055C"/>
    <w:rsid w:val="31E3230A"/>
    <w:rsid w:val="31E7004C"/>
    <w:rsid w:val="31E76BD8"/>
    <w:rsid w:val="31EC0C04"/>
    <w:rsid w:val="31EE33F5"/>
    <w:rsid w:val="31F14A27"/>
    <w:rsid w:val="31F2254D"/>
    <w:rsid w:val="31FB7654"/>
    <w:rsid w:val="3200110E"/>
    <w:rsid w:val="32025CA4"/>
    <w:rsid w:val="32036508"/>
    <w:rsid w:val="32087FC3"/>
    <w:rsid w:val="32105036"/>
    <w:rsid w:val="32132BEF"/>
    <w:rsid w:val="321D0063"/>
    <w:rsid w:val="32211625"/>
    <w:rsid w:val="322767CF"/>
    <w:rsid w:val="322C3CB1"/>
    <w:rsid w:val="32313075"/>
    <w:rsid w:val="32320699"/>
    <w:rsid w:val="32342B66"/>
    <w:rsid w:val="323F0A79"/>
    <w:rsid w:val="32400B34"/>
    <w:rsid w:val="32405B2A"/>
    <w:rsid w:val="324234D5"/>
    <w:rsid w:val="32430E48"/>
    <w:rsid w:val="32452FC5"/>
    <w:rsid w:val="32454D73"/>
    <w:rsid w:val="32466B96"/>
    <w:rsid w:val="32591540"/>
    <w:rsid w:val="325B78A5"/>
    <w:rsid w:val="32630C08"/>
    <w:rsid w:val="32630FC4"/>
    <w:rsid w:val="326351F9"/>
    <w:rsid w:val="32650F71"/>
    <w:rsid w:val="326E26B3"/>
    <w:rsid w:val="326F1DF0"/>
    <w:rsid w:val="32700042"/>
    <w:rsid w:val="32764F2C"/>
    <w:rsid w:val="3276707E"/>
    <w:rsid w:val="327A2C6E"/>
    <w:rsid w:val="3283501F"/>
    <w:rsid w:val="32866B73"/>
    <w:rsid w:val="32891103"/>
    <w:rsid w:val="328C0BF4"/>
    <w:rsid w:val="32943604"/>
    <w:rsid w:val="32957AA8"/>
    <w:rsid w:val="32991471"/>
    <w:rsid w:val="329D070B"/>
    <w:rsid w:val="329E6876"/>
    <w:rsid w:val="32A25D21"/>
    <w:rsid w:val="32A32356"/>
    <w:rsid w:val="32A41A99"/>
    <w:rsid w:val="32A63A63"/>
    <w:rsid w:val="32A95302"/>
    <w:rsid w:val="32AA2E28"/>
    <w:rsid w:val="32AE7A2B"/>
    <w:rsid w:val="32B37F2E"/>
    <w:rsid w:val="32B53CA7"/>
    <w:rsid w:val="32B82A64"/>
    <w:rsid w:val="32B83797"/>
    <w:rsid w:val="32BD2B5B"/>
    <w:rsid w:val="32BF490D"/>
    <w:rsid w:val="32C75788"/>
    <w:rsid w:val="32CC1EED"/>
    <w:rsid w:val="32CE61B4"/>
    <w:rsid w:val="32CE7231"/>
    <w:rsid w:val="32D103B5"/>
    <w:rsid w:val="32D560F7"/>
    <w:rsid w:val="32DA370D"/>
    <w:rsid w:val="32E26A66"/>
    <w:rsid w:val="32E4633A"/>
    <w:rsid w:val="32E75E2A"/>
    <w:rsid w:val="32F03BA4"/>
    <w:rsid w:val="32F81DE5"/>
    <w:rsid w:val="32FB3683"/>
    <w:rsid w:val="32FD73FC"/>
    <w:rsid w:val="3301513E"/>
    <w:rsid w:val="33072028"/>
    <w:rsid w:val="33092F71"/>
    <w:rsid w:val="330B7D6A"/>
    <w:rsid w:val="330C763F"/>
    <w:rsid w:val="330D3AE3"/>
    <w:rsid w:val="33122EA7"/>
    <w:rsid w:val="33134E71"/>
    <w:rsid w:val="331704BD"/>
    <w:rsid w:val="33184235"/>
    <w:rsid w:val="331F2C8E"/>
    <w:rsid w:val="332215E4"/>
    <w:rsid w:val="332550E3"/>
    <w:rsid w:val="33264770"/>
    <w:rsid w:val="3328091C"/>
    <w:rsid w:val="332B3F69"/>
    <w:rsid w:val="332C4B9E"/>
    <w:rsid w:val="332D1A72"/>
    <w:rsid w:val="332D7CE1"/>
    <w:rsid w:val="332E4F6B"/>
    <w:rsid w:val="333029D5"/>
    <w:rsid w:val="33305A23"/>
    <w:rsid w:val="33386686"/>
    <w:rsid w:val="333D5A4A"/>
    <w:rsid w:val="333E57F9"/>
    <w:rsid w:val="3361459B"/>
    <w:rsid w:val="3369683F"/>
    <w:rsid w:val="337917E5"/>
    <w:rsid w:val="337E22EA"/>
    <w:rsid w:val="337E678E"/>
    <w:rsid w:val="3381627F"/>
    <w:rsid w:val="3386325D"/>
    <w:rsid w:val="33866BEF"/>
    <w:rsid w:val="33882539"/>
    <w:rsid w:val="338D4C23"/>
    <w:rsid w:val="339128A9"/>
    <w:rsid w:val="33941B0E"/>
    <w:rsid w:val="33953AD8"/>
    <w:rsid w:val="33A53D1B"/>
    <w:rsid w:val="33A7639F"/>
    <w:rsid w:val="33B201E6"/>
    <w:rsid w:val="33B37D98"/>
    <w:rsid w:val="33B65F28"/>
    <w:rsid w:val="33B7710D"/>
    <w:rsid w:val="33C30645"/>
    <w:rsid w:val="33C566E9"/>
    <w:rsid w:val="33C63297"/>
    <w:rsid w:val="33CA5530"/>
    <w:rsid w:val="33CB12A8"/>
    <w:rsid w:val="33CD6DCE"/>
    <w:rsid w:val="33D068BE"/>
    <w:rsid w:val="33D934D4"/>
    <w:rsid w:val="33DF6B01"/>
    <w:rsid w:val="33E32A95"/>
    <w:rsid w:val="33F24A86"/>
    <w:rsid w:val="33F829BD"/>
    <w:rsid w:val="33F86541"/>
    <w:rsid w:val="33FB1B8D"/>
    <w:rsid w:val="33FE2F6A"/>
    <w:rsid w:val="33FF738F"/>
    <w:rsid w:val="3401399C"/>
    <w:rsid w:val="34015F0C"/>
    <w:rsid w:val="340A0022"/>
    <w:rsid w:val="340F5638"/>
    <w:rsid w:val="34190265"/>
    <w:rsid w:val="341B222F"/>
    <w:rsid w:val="342563FC"/>
    <w:rsid w:val="34287731"/>
    <w:rsid w:val="342E7FAC"/>
    <w:rsid w:val="34313C5A"/>
    <w:rsid w:val="343155AF"/>
    <w:rsid w:val="3434509F"/>
    <w:rsid w:val="34362BC5"/>
    <w:rsid w:val="343B2D13"/>
    <w:rsid w:val="343D6F56"/>
    <w:rsid w:val="343E47B7"/>
    <w:rsid w:val="3451678A"/>
    <w:rsid w:val="34574764"/>
    <w:rsid w:val="3457548F"/>
    <w:rsid w:val="345B087E"/>
    <w:rsid w:val="345B262C"/>
    <w:rsid w:val="34627928"/>
    <w:rsid w:val="346534AA"/>
    <w:rsid w:val="34670FD0"/>
    <w:rsid w:val="34675474"/>
    <w:rsid w:val="34684D49"/>
    <w:rsid w:val="346911EC"/>
    <w:rsid w:val="346B7135"/>
    <w:rsid w:val="346E6803"/>
    <w:rsid w:val="347150DC"/>
    <w:rsid w:val="34737FC2"/>
    <w:rsid w:val="347C1C67"/>
    <w:rsid w:val="347D6A46"/>
    <w:rsid w:val="347E7F4E"/>
    <w:rsid w:val="34807019"/>
    <w:rsid w:val="34825E0A"/>
    <w:rsid w:val="3489363D"/>
    <w:rsid w:val="34896A42"/>
    <w:rsid w:val="348B76D9"/>
    <w:rsid w:val="348E1040"/>
    <w:rsid w:val="348F6779"/>
    <w:rsid w:val="34977E0F"/>
    <w:rsid w:val="34983880"/>
    <w:rsid w:val="349A13A6"/>
    <w:rsid w:val="349B2A17"/>
    <w:rsid w:val="349D49F2"/>
    <w:rsid w:val="349F6698"/>
    <w:rsid w:val="34A1787D"/>
    <w:rsid w:val="34AC10D9"/>
    <w:rsid w:val="34AE07E1"/>
    <w:rsid w:val="34AE6BFF"/>
    <w:rsid w:val="34B42CD7"/>
    <w:rsid w:val="34B47F8E"/>
    <w:rsid w:val="34BA37F6"/>
    <w:rsid w:val="34BB30CA"/>
    <w:rsid w:val="34BE3FAB"/>
    <w:rsid w:val="34C401D1"/>
    <w:rsid w:val="34C53F49"/>
    <w:rsid w:val="34CB5AE2"/>
    <w:rsid w:val="34CE7CA8"/>
    <w:rsid w:val="34D10B40"/>
    <w:rsid w:val="34E846A5"/>
    <w:rsid w:val="34F5482E"/>
    <w:rsid w:val="34FB5395"/>
    <w:rsid w:val="350727B3"/>
    <w:rsid w:val="350B5E00"/>
    <w:rsid w:val="350C3926"/>
    <w:rsid w:val="35123632"/>
    <w:rsid w:val="35131158"/>
    <w:rsid w:val="351331F9"/>
    <w:rsid w:val="35145978"/>
    <w:rsid w:val="35161C05"/>
    <w:rsid w:val="3518051D"/>
    <w:rsid w:val="351B4977"/>
    <w:rsid w:val="351D286D"/>
    <w:rsid w:val="35225DD1"/>
    <w:rsid w:val="35243365"/>
    <w:rsid w:val="35244754"/>
    <w:rsid w:val="352B31F5"/>
    <w:rsid w:val="352D27C8"/>
    <w:rsid w:val="35305866"/>
    <w:rsid w:val="35344874"/>
    <w:rsid w:val="353A0493"/>
    <w:rsid w:val="353C420B"/>
    <w:rsid w:val="353D61D5"/>
    <w:rsid w:val="353F1F4D"/>
    <w:rsid w:val="35415CC5"/>
    <w:rsid w:val="35417A73"/>
    <w:rsid w:val="354237EC"/>
    <w:rsid w:val="35443D18"/>
    <w:rsid w:val="354B6B44"/>
    <w:rsid w:val="35523A2F"/>
    <w:rsid w:val="35527ED3"/>
    <w:rsid w:val="355C2A85"/>
    <w:rsid w:val="3560099A"/>
    <w:rsid w:val="3560331F"/>
    <w:rsid w:val="35631901"/>
    <w:rsid w:val="35646BA9"/>
    <w:rsid w:val="3569521C"/>
    <w:rsid w:val="356F59EC"/>
    <w:rsid w:val="357716E7"/>
    <w:rsid w:val="357A2F85"/>
    <w:rsid w:val="357A3B1C"/>
    <w:rsid w:val="357C0AAC"/>
    <w:rsid w:val="357D0616"/>
    <w:rsid w:val="3588204A"/>
    <w:rsid w:val="358856A2"/>
    <w:rsid w:val="358931C8"/>
    <w:rsid w:val="358B3826"/>
    <w:rsid w:val="359009FB"/>
    <w:rsid w:val="35944047"/>
    <w:rsid w:val="35977693"/>
    <w:rsid w:val="359A53D6"/>
    <w:rsid w:val="359A63C0"/>
    <w:rsid w:val="359D4169"/>
    <w:rsid w:val="359F0C3E"/>
    <w:rsid w:val="359F64F2"/>
    <w:rsid w:val="35A239BC"/>
    <w:rsid w:val="35A324DC"/>
    <w:rsid w:val="35A46254"/>
    <w:rsid w:val="35A5691A"/>
    <w:rsid w:val="35A6206D"/>
    <w:rsid w:val="35A746CB"/>
    <w:rsid w:val="35AD6EB7"/>
    <w:rsid w:val="35B069A7"/>
    <w:rsid w:val="35B35962"/>
    <w:rsid w:val="35BA15D4"/>
    <w:rsid w:val="35BC0625"/>
    <w:rsid w:val="35BC17F0"/>
    <w:rsid w:val="35BC534C"/>
    <w:rsid w:val="35BE10C4"/>
    <w:rsid w:val="35C04B91"/>
    <w:rsid w:val="35C30488"/>
    <w:rsid w:val="35C366DA"/>
    <w:rsid w:val="35C81F43"/>
    <w:rsid w:val="35CB558F"/>
    <w:rsid w:val="35CD1307"/>
    <w:rsid w:val="35CF6816"/>
    <w:rsid w:val="35D2691D"/>
    <w:rsid w:val="35D501BC"/>
    <w:rsid w:val="35D6457F"/>
    <w:rsid w:val="35E11256"/>
    <w:rsid w:val="35E13004"/>
    <w:rsid w:val="35E6686D"/>
    <w:rsid w:val="35EA7D42"/>
    <w:rsid w:val="35EB5CD8"/>
    <w:rsid w:val="35F24F62"/>
    <w:rsid w:val="35F942DB"/>
    <w:rsid w:val="35FF348B"/>
    <w:rsid w:val="36015455"/>
    <w:rsid w:val="36044CAC"/>
    <w:rsid w:val="36074A7F"/>
    <w:rsid w:val="36080591"/>
    <w:rsid w:val="3608381A"/>
    <w:rsid w:val="360A255B"/>
    <w:rsid w:val="3612197B"/>
    <w:rsid w:val="36162CAE"/>
    <w:rsid w:val="361909F0"/>
    <w:rsid w:val="361F444A"/>
    <w:rsid w:val="36235561"/>
    <w:rsid w:val="36251143"/>
    <w:rsid w:val="362C0724"/>
    <w:rsid w:val="362C2EF1"/>
    <w:rsid w:val="362F1FC2"/>
    <w:rsid w:val="3639699D"/>
    <w:rsid w:val="363B44C3"/>
    <w:rsid w:val="363C023B"/>
    <w:rsid w:val="363C41B2"/>
    <w:rsid w:val="3643115A"/>
    <w:rsid w:val="36432478"/>
    <w:rsid w:val="364A2958"/>
    <w:rsid w:val="36530255"/>
    <w:rsid w:val="3653711E"/>
    <w:rsid w:val="365437D6"/>
    <w:rsid w:val="36545584"/>
    <w:rsid w:val="365612FD"/>
    <w:rsid w:val="365732C7"/>
    <w:rsid w:val="36653C36"/>
    <w:rsid w:val="36681030"/>
    <w:rsid w:val="366D5927"/>
    <w:rsid w:val="366F76E7"/>
    <w:rsid w:val="367141CE"/>
    <w:rsid w:val="36745C27"/>
    <w:rsid w:val="36750A67"/>
    <w:rsid w:val="3679148F"/>
    <w:rsid w:val="367B6FB5"/>
    <w:rsid w:val="36820344"/>
    <w:rsid w:val="368340BC"/>
    <w:rsid w:val="36863834"/>
    <w:rsid w:val="36871691"/>
    <w:rsid w:val="3687277C"/>
    <w:rsid w:val="36891FCF"/>
    <w:rsid w:val="369129F7"/>
    <w:rsid w:val="36923549"/>
    <w:rsid w:val="36966D52"/>
    <w:rsid w:val="369736C3"/>
    <w:rsid w:val="369B3F26"/>
    <w:rsid w:val="36A21135"/>
    <w:rsid w:val="36AC62D8"/>
    <w:rsid w:val="36B240C8"/>
    <w:rsid w:val="36B31729"/>
    <w:rsid w:val="36B60F67"/>
    <w:rsid w:val="36B727F9"/>
    <w:rsid w:val="36B75FBF"/>
    <w:rsid w:val="36BD312A"/>
    <w:rsid w:val="36BE5D93"/>
    <w:rsid w:val="36C32574"/>
    <w:rsid w:val="36C80C21"/>
    <w:rsid w:val="36C827C2"/>
    <w:rsid w:val="36C97D20"/>
    <w:rsid w:val="36CD6D52"/>
    <w:rsid w:val="36D466C5"/>
    <w:rsid w:val="36D8764F"/>
    <w:rsid w:val="36DF5796"/>
    <w:rsid w:val="36E7464B"/>
    <w:rsid w:val="36E94D26"/>
    <w:rsid w:val="36EA57B9"/>
    <w:rsid w:val="36EE7787"/>
    <w:rsid w:val="36F80606"/>
    <w:rsid w:val="36F8396F"/>
    <w:rsid w:val="36FB4891"/>
    <w:rsid w:val="370C40B1"/>
    <w:rsid w:val="37103BA1"/>
    <w:rsid w:val="37107F95"/>
    <w:rsid w:val="37113475"/>
    <w:rsid w:val="37152F66"/>
    <w:rsid w:val="37180CA8"/>
    <w:rsid w:val="371A057C"/>
    <w:rsid w:val="371F3DE4"/>
    <w:rsid w:val="37215DAE"/>
    <w:rsid w:val="37217B5C"/>
    <w:rsid w:val="37257503"/>
    <w:rsid w:val="372C4753"/>
    <w:rsid w:val="372E04CB"/>
    <w:rsid w:val="372E4C5F"/>
    <w:rsid w:val="37305FF2"/>
    <w:rsid w:val="3735592F"/>
    <w:rsid w:val="373F4487"/>
    <w:rsid w:val="37425D25"/>
    <w:rsid w:val="37435CB5"/>
    <w:rsid w:val="37461371"/>
    <w:rsid w:val="37465815"/>
    <w:rsid w:val="37465A08"/>
    <w:rsid w:val="3748158D"/>
    <w:rsid w:val="374A567A"/>
    <w:rsid w:val="374B2E2B"/>
    <w:rsid w:val="374B6987"/>
    <w:rsid w:val="37500442"/>
    <w:rsid w:val="37503F9E"/>
    <w:rsid w:val="375241BA"/>
    <w:rsid w:val="375A4E1C"/>
    <w:rsid w:val="375C3AD3"/>
    <w:rsid w:val="375F0685"/>
    <w:rsid w:val="37643EED"/>
    <w:rsid w:val="37667C65"/>
    <w:rsid w:val="376E73A5"/>
    <w:rsid w:val="37725830"/>
    <w:rsid w:val="37744822"/>
    <w:rsid w:val="37773C20"/>
    <w:rsid w:val="378123A9"/>
    <w:rsid w:val="378325C5"/>
    <w:rsid w:val="378835C5"/>
    <w:rsid w:val="37896E35"/>
    <w:rsid w:val="379501CF"/>
    <w:rsid w:val="379775C4"/>
    <w:rsid w:val="37977BBC"/>
    <w:rsid w:val="37983B97"/>
    <w:rsid w:val="37985D7C"/>
    <w:rsid w:val="379876F3"/>
    <w:rsid w:val="379929F5"/>
    <w:rsid w:val="379B23DD"/>
    <w:rsid w:val="379E11AD"/>
    <w:rsid w:val="37A07DA5"/>
    <w:rsid w:val="37AB1B1C"/>
    <w:rsid w:val="37AB5678"/>
    <w:rsid w:val="37B10249"/>
    <w:rsid w:val="37B27395"/>
    <w:rsid w:val="37B704C1"/>
    <w:rsid w:val="37B7226F"/>
    <w:rsid w:val="37B90489"/>
    <w:rsid w:val="37B95FE7"/>
    <w:rsid w:val="37BC5AD7"/>
    <w:rsid w:val="37BE184F"/>
    <w:rsid w:val="37C52C3A"/>
    <w:rsid w:val="37C64260"/>
    <w:rsid w:val="37C8622A"/>
    <w:rsid w:val="37C93D50"/>
    <w:rsid w:val="37CC393A"/>
    <w:rsid w:val="37CD5B9C"/>
    <w:rsid w:val="37CE75B8"/>
    <w:rsid w:val="37D3697D"/>
    <w:rsid w:val="37D84936"/>
    <w:rsid w:val="37DE5A4E"/>
    <w:rsid w:val="37E128C2"/>
    <w:rsid w:val="37E8177D"/>
    <w:rsid w:val="37EC6D92"/>
    <w:rsid w:val="37ED7A3F"/>
    <w:rsid w:val="37F012DD"/>
    <w:rsid w:val="37F76B0F"/>
    <w:rsid w:val="37FE3BFC"/>
    <w:rsid w:val="37FE7E9E"/>
    <w:rsid w:val="3801173C"/>
    <w:rsid w:val="38066D52"/>
    <w:rsid w:val="380A4A95"/>
    <w:rsid w:val="381551E7"/>
    <w:rsid w:val="38170F5F"/>
    <w:rsid w:val="38172D0E"/>
    <w:rsid w:val="3825542A"/>
    <w:rsid w:val="382B67B9"/>
    <w:rsid w:val="38303DA7"/>
    <w:rsid w:val="3831064E"/>
    <w:rsid w:val="38325D99"/>
    <w:rsid w:val="383428ED"/>
    <w:rsid w:val="38353194"/>
    <w:rsid w:val="3835486A"/>
    <w:rsid w:val="384229DF"/>
    <w:rsid w:val="38467783"/>
    <w:rsid w:val="3848736B"/>
    <w:rsid w:val="384A30E3"/>
    <w:rsid w:val="384E4FBD"/>
    <w:rsid w:val="384F204E"/>
    <w:rsid w:val="384F24A7"/>
    <w:rsid w:val="3851701B"/>
    <w:rsid w:val="38547ABE"/>
    <w:rsid w:val="386046B4"/>
    <w:rsid w:val="38606463"/>
    <w:rsid w:val="38635F53"/>
    <w:rsid w:val="38637D01"/>
    <w:rsid w:val="38657F1D"/>
    <w:rsid w:val="386677F1"/>
    <w:rsid w:val="386D5023"/>
    <w:rsid w:val="386D6DD1"/>
    <w:rsid w:val="386E654A"/>
    <w:rsid w:val="386F3073"/>
    <w:rsid w:val="3872263A"/>
    <w:rsid w:val="387463B2"/>
    <w:rsid w:val="3875408A"/>
    <w:rsid w:val="387C6968"/>
    <w:rsid w:val="387C7014"/>
    <w:rsid w:val="387D044B"/>
    <w:rsid w:val="3885411B"/>
    <w:rsid w:val="388A1787"/>
    <w:rsid w:val="38912AC0"/>
    <w:rsid w:val="38926838"/>
    <w:rsid w:val="389425B0"/>
    <w:rsid w:val="38972D3F"/>
    <w:rsid w:val="389B56ED"/>
    <w:rsid w:val="389F78EA"/>
    <w:rsid w:val="38A65E3F"/>
    <w:rsid w:val="38A81BB8"/>
    <w:rsid w:val="38AA5930"/>
    <w:rsid w:val="38AC5B4C"/>
    <w:rsid w:val="38AD6F2F"/>
    <w:rsid w:val="38B7004D"/>
    <w:rsid w:val="38B86F38"/>
    <w:rsid w:val="38B90459"/>
    <w:rsid w:val="38BA2623"/>
    <w:rsid w:val="38BB18EB"/>
    <w:rsid w:val="38BD1B07"/>
    <w:rsid w:val="38C35493"/>
    <w:rsid w:val="38C42E95"/>
    <w:rsid w:val="38D0417E"/>
    <w:rsid w:val="38D1110E"/>
    <w:rsid w:val="38E075A3"/>
    <w:rsid w:val="38E452E6"/>
    <w:rsid w:val="38E928FC"/>
    <w:rsid w:val="38E946AA"/>
    <w:rsid w:val="38EA21D0"/>
    <w:rsid w:val="38EE040E"/>
    <w:rsid w:val="38F12CD3"/>
    <w:rsid w:val="38F1355F"/>
    <w:rsid w:val="38F27F4A"/>
    <w:rsid w:val="38F94775"/>
    <w:rsid w:val="38FD0155"/>
    <w:rsid w:val="390246F3"/>
    <w:rsid w:val="39070FD4"/>
    <w:rsid w:val="39074B30"/>
    <w:rsid w:val="39113013"/>
    <w:rsid w:val="39162FC5"/>
    <w:rsid w:val="3919532C"/>
    <w:rsid w:val="391B05DB"/>
    <w:rsid w:val="391D4354"/>
    <w:rsid w:val="391D7CAB"/>
    <w:rsid w:val="39246EA0"/>
    <w:rsid w:val="39290F4A"/>
    <w:rsid w:val="392971ED"/>
    <w:rsid w:val="392F4087"/>
    <w:rsid w:val="39331DC9"/>
    <w:rsid w:val="393D2C48"/>
    <w:rsid w:val="39437493"/>
    <w:rsid w:val="39461AFC"/>
    <w:rsid w:val="39471E2C"/>
    <w:rsid w:val="39474BAD"/>
    <w:rsid w:val="39504729"/>
    <w:rsid w:val="39513FFD"/>
    <w:rsid w:val="3953226C"/>
    <w:rsid w:val="3953286E"/>
    <w:rsid w:val="39535FC7"/>
    <w:rsid w:val="39551D3F"/>
    <w:rsid w:val="39561614"/>
    <w:rsid w:val="39581830"/>
    <w:rsid w:val="395A55A8"/>
    <w:rsid w:val="3962620A"/>
    <w:rsid w:val="39671A73"/>
    <w:rsid w:val="39706B79"/>
    <w:rsid w:val="39736669"/>
    <w:rsid w:val="397D3044"/>
    <w:rsid w:val="398054B8"/>
    <w:rsid w:val="3983274D"/>
    <w:rsid w:val="398B750F"/>
    <w:rsid w:val="398C590D"/>
    <w:rsid w:val="399860D0"/>
    <w:rsid w:val="399F120C"/>
    <w:rsid w:val="39A14F85"/>
    <w:rsid w:val="39A86313"/>
    <w:rsid w:val="39AE76A2"/>
    <w:rsid w:val="39B14CB1"/>
    <w:rsid w:val="39B301A7"/>
    <w:rsid w:val="39B36A66"/>
    <w:rsid w:val="39BA4298"/>
    <w:rsid w:val="39BC70BE"/>
    <w:rsid w:val="39BD18DE"/>
    <w:rsid w:val="39C26CA9"/>
    <w:rsid w:val="39C940DD"/>
    <w:rsid w:val="39CE3969"/>
    <w:rsid w:val="39D52E80"/>
    <w:rsid w:val="39D542AD"/>
    <w:rsid w:val="39D54C2E"/>
    <w:rsid w:val="39D7744C"/>
    <w:rsid w:val="39DA0497"/>
    <w:rsid w:val="39DD136A"/>
    <w:rsid w:val="39DF6898"/>
    <w:rsid w:val="39E10598"/>
    <w:rsid w:val="39E6508D"/>
    <w:rsid w:val="39E758BD"/>
    <w:rsid w:val="39E97DA8"/>
    <w:rsid w:val="39ED1F78"/>
    <w:rsid w:val="39F204E9"/>
    <w:rsid w:val="39F2758E"/>
    <w:rsid w:val="39F552D0"/>
    <w:rsid w:val="39F8198E"/>
    <w:rsid w:val="39FA4695"/>
    <w:rsid w:val="39FC26D0"/>
    <w:rsid w:val="3A064DE8"/>
    <w:rsid w:val="3A0B0650"/>
    <w:rsid w:val="3A103EB8"/>
    <w:rsid w:val="3A1A4D37"/>
    <w:rsid w:val="3A1B12AC"/>
    <w:rsid w:val="3A1B478A"/>
    <w:rsid w:val="3A1E073A"/>
    <w:rsid w:val="3A21319F"/>
    <w:rsid w:val="3A29194C"/>
    <w:rsid w:val="3A296D28"/>
    <w:rsid w:val="3A2B3AE8"/>
    <w:rsid w:val="3A2E4B81"/>
    <w:rsid w:val="3A2E7EAC"/>
    <w:rsid w:val="3A306308"/>
    <w:rsid w:val="3A397156"/>
    <w:rsid w:val="3A3C2EFF"/>
    <w:rsid w:val="3A3D7EDC"/>
    <w:rsid w:val="3A410516"/>
    <w:rsid w:val="3A414072"/>
    <w:rsid w:val="3A465B2C"/>
    <w:rsid w:val="3A4A73CA"/>
    <w:rsid w:val="3A53360C"/>
    <w:rsid w:val="3A5448AB"/>
    <w:rsid w:val="3A575643"/>
    <w:rsid w:val="3A59585F"/>
    <w:rsid w:val="3A59760D"/>
    <w:rsid w:val="3A663AD8"/>
    <w:rsid w:val="3A6A6B44"/>
    <w:rsid w:val="3A6D30B9"/>
    <w:rsid w:val="3A751279"/>
    <w:rsid w:val="3A7D23E5"/>
    <w:rsid w:val="3A8723CC"/>
    <w:rsid w:val="3A887EF3"/>
    <w:rsid w:val="3A8B353F"/>
    <w:rsid w:val="3A8D6676"/>
    <w:rsid w:val="3A916DA7"/>
    <w:rsid w:val="3A995C5C"/>
    <w:rsid w:val="3AA26176"/>
    <w:rsid w:val="3AA60379"/>
    <w:rsid w:val="3AB900AC"/>
    <w:rsid w:val="3ABC194A"/>
    <w:rsid w:val="3AC52EF5"/>
    <w:rsid w:val="3AC54CA3"/>
    <w:rsid w:val="3AC56A51"/>
    <w:rsid w:val="3ACF167E"/>
    <w:rsid w:val="3AD849D6"/>
    <w:rsid w:val="3ADA2030"/>
    <w:rsid w:val="3ADB14EF"/>
    <w:rsid w:val="3AE852B6"/>
    <w:rsid w:val="3AEE244B"/>
    <w:rsid w:val="3AF13CEA"/>
    <w:rsid w:val="3AF94C61"/>
    <w:rsid w:val="3AFD4730"/>
    <w:rsid w:val="3AFD5E03"/>
    <w:rsid w:val="3AFD61EB"/>
    <w:rsid w:val="3AFF6407"/>
    <w:rsid w:val="3B082DE1"/>
    <w:rsid w:val="3B111C96"/>
    <w:rsid w:val="3B132EBB"/>
    <w:rsid w:val="3B181276"/>
    <w:rsid w:val="3B2A0FAA"/>
    <w:rsid w:val="3B345984"/>
    <w:rsid w:val="3B36794F"/>
    <w:rsid w:val="3B3763D1"/>
    <w:rsid w:val="3B4402BD"/>
    <w:rsid w:val="3B4406AD"/>
    <w:rsid w:val="3B4B47A2"/>
    <w:rsid w:val="3B5424B5"/>
    <w:rsid w:val="3B5C3046"/>
    <w:rsid w:val="3B5F50F7"/>
    <w:rsid w:val="3B6040E6"/>
    <w:rsid w:val="3B625851"/>
    <w:rsid w:val="3B6B3A9C"/>
    <w:rsid w:val="3B7A5A8D"/>
    <w:rsid w:val="3B81506E"/>
    <w:rsid w:val="3B8738E2"/>
    <w:rsid w:val="3B8B7C9A"/>
    <w:rsid w:val="3B903503"/>
    <w:rsid w:val="3B905FB8"/>
    <w:rsid w:val="3B974891"/>
    <w:rsid w:val="3B9A7EDD"/>
    <w:rsid w:val="3B9D79CE"/>
    <w:rsid w:val="3B9F54F4"/>
    <w:rsid w:val="3BA83D2E"/>
    <w:rsid w:val="3BA90120"/>
    <w:rsid w:val="3BAB7ADE"/>
    <w:rsid w:val="3BAE24DA"/>
    <w:rsid w:val="3BB164CD"/>
    <w:rsid w:val="3BB422D1"/>
    <w:rsid w:val="3BBF7944"/>
    <w:rsid w:val="3BC136BC"/>
    <w:rsid w:val="3BC60CD2"/>
    <w:rsid w:val="3BC70C62"/>
    <w:rsid w:val="3BC9358E"/>
    <w:rsid w:val="3BCE7B87"/>
    <w:rsid w:val="3BD056AD"/>
    <w:rsid w:val="3BD31641"/>
    <w:rsid w:val="3BD72366"/>
    <w:rsid w:val="3BD776DA"/>
    <w:rsid w:val="3BD80A06"/>
    <w:rsid w:val="3BDA29D0"/>
    <w:rsid w:val="3BDC04F6"/>
    <w:rsid w:val="3BDC22A4"/>
    <w:rsid w:val="3BDF1D94"/>
    <w:rsid w:val="3BE03287"/>
    <w:rsid w:val="3BE4509D"/>
    <w:rsid w:val="3BED2703"/>
    <w:rsid w:val="3BEF55D0"/>
    <w:rsid w:val="3BF07775"/>
    <w:rsid w:val="3BF36DBD"/>
    <w:rsid w:val="3BF47E59"/>
    <w:rsid w:val="3BF84C04"/>
    <w:rsid w:val="3BFD046C"/>
    <w:rsid w:val="3C011D0B"/>
    <w:rsid w:val="3C070B8D"/>
    <w:rsid w:val="3C0812EB"/>
    <w:rsid w:val="3C0F6B8E"/>
    <w:rsid w:val="3C1001A0"/>
    <w:rsid w:val="3C166A9C"/>
    <w:rsid w:val="3C1C4D96"/>
    <w:rsid w:val="3C1E436A"/>
    <w:rsid w:val="3C221C81"/>
    <w:rsid w:val="3C222894"/>
    <w:rsid w:val="3C28373B"/>
    <w:rsid w:val="3C2854E9"/>
    <w:rsid w:val="3C2D2B00"/>
    <w:rsid w:val="3C302214"/>
    <w:rsid w:val="3C3072F9"/>
    <w:rsid w:val="3C33736D"/>
    <w:rsid w:val="3C3A4B39"/>
    <w:rsid w:val="3C4165AB"/>
    <w:rsid w:val="3C430575"/>
    <w:rsid w:val="3C4D0211"/>
    <w:rsid w:val="3C4D13F4"/>
    <w:rsid w:val="3C4F06AE"/>
    <w:rsid w:val="3C504A40"/>
    <w:rsid w:val="3C553E04"/>
    <w:rsid w:val="3C6B3628"/>
    <w:rsid w:val="3C6F136A"/>
    <w:rsid w:val="3C700C3E"/>
    <w:rsid w:val="3C7050E2"/>
    <w:rsid w:val="3C791E9A"/>
    <w:rsid w:val="3C7E4C3C"/>
    <w:rsid w:val="3C7F0E81"/>
    <w:rsid w:val="3C7F11EE"/>
    <w:rsid w:val="3C805325"/>
    <w:rsid w:val="3C964B49"/>
    <w:rsid w:val="3C990195"/>
    <w:rsid w:val="3C9C3DF5"/>
    <w:rsid w:val="3C9D52CF"/>
    <w:rsid w:val="3CA01523"/>
    <w:rsid w:val="3CA164D5"/>
    <w:rsid w:val="3CA31F01"/>
    <w:rsid w:val="3CAB7EC8"/>
    <w:rsid w:val="3CAE4BAE"/>
    <w:rsid w:val="3CB02C72"/>
    <w:rsid w:val="3CBB45AF"/>
    <w:rsid w:val="3CBC20D5"/>
    <w:rsid w:val="3CBC5080"/>
    <w:rsid w:val="3CBE19AA"/>
    <w:rsid w:val="3CC03974"/>
    <w:rsid w:val="3CC05722"/>
    <w:rsid w:val="3CC316B6"/>
    <w:rsid w:val="3CCA65A0"/>
    <w:rsid w:val="3CCD3C8C"/>
    <w:rsid w:val="3CDA245A"/>
    <w:rsid w:val="3CE05DC4"/>
    <w:rsid w:val="3CE37662"/>
    <w:rsid w:val="3CE7185D"/>
    <w:rsid w:val="3CEA4A31"/>
    <w:rsid w:val="3CEC4769"/>
    <w:rsid w:val="3CED04E1"/>
    <w:rsid w:val="3CEE0A37"/>
    <w:rsid w:val="3CEF6007"/>
    <w:rsid w:val="3CF03B2D"/>
    <w:rsid w:val="3CF0711C"/>
    <w:rsid w:val="3CF266A6"/>
    <w:rsid w:val="3CFA3924"/>
    <w:rsid w:val="3CFC735A"/>
    <w:rsid w:val="3CFE624A"/>
    <w:rsid w:val="3D011811"/>
    <w:rsid w:val="3D015D3A"/>
    <w:rsid w:val="3D05582A"/>
    <w:rsid w:val="3D056A3F"/>
    <w:rsid w:val="3D070DF4"/>
    <w:rsid w:val="3D0731E6"/>
    <w:rsid w:val="3D0F48FB"/>
    <w:rsid w:val="3D10720F"/>
    <w:rsid w:val="3D193084"/>
    <w:rsid w:val="3D1E4B3E"/>
    <w:rsid w:val="3D2008B6"/>
    <w:rsid w:val="3D221248"/>
    <w:rsid w:val="3D22462E"/>
    <w:rsid w:val="3D242985"/>
    <w:rsid w:val="3D2F0AF9"/>
    <w:rsid w:val="3D3035F9"/>
    <w:rsid w:val="3D344362"/>
    <w:rsid w:val="3D363C36"/>
    <w:rsid w:val="3D3B56F0"/>
    <w:rsid w:val="3D4201BB"/>
    <w:rsid w:val="3D4520CB"/>
    <w:rsid w:val="3D4D6987"/>
    <w:rsid w:val="3D4F2F4A"/>
    <w:rsid w:val="3D4F4CF8"/>
    <w:rsid w:val="3D5F13DF"/>
    <w:rsid w:val="3D5F5CEB"/>
    <w:rsid w:val="3D605157"/>
    <w:rsid w:val="3D624A2B"/>
    <w:rsid w:val="3D6469F5"/>
    <w:rsid w:val="3D670293"/>
    <w:rsid w:val="3D691975"/>
    <w:rsid w:val="3D6A7D83"/>
    <w:rsid w:val="3D6B6BFA"/>
    <w:rsid w:val="3D6B74DB"/>
    <w:rsid w:val="3D6E33D0"/>
    <w:rsid w:val="3D712EC0"/>
    <w:rsid w:val="3D736C38"/>
    <w:rsid w:val="3D785FFC"/>
    <w:rsid w:val="3D7B789B"/>
    <w:rsid w:val="3D7E17DF"/>
    <w:rsid w:val="3D842BF3"/>
    <w:rsid w:val="3D89020A"/>
    <w:rsid w:val="3D8C3FBC"/>
    <w:rsid w:val="3D913562"/>
    <w:rsid w:val="3D995D0E"/>
    <w:rsid w:val="3D9C66F8"/>
    <w:rsid w:val="3D9F17DB"/>
    <w:rsid w:val="3DA2751D"/>
    <w:rsid w:val="3DA47914"/>
    <w:rsid w:val="3DA52B6A"/>
    <w:rsid w:val="3DA7535D"/>
    <w:rsid w:val="3DB813B0"/>
    <w:rsid w:val="3DBB238D"/>
    <w:rsid w:val="3DBD26C3"/>
    <w:rsid w:val="3DBD4357"/>
    <w:rsid w:val="3DC47494"/>
    <w:rsid w:val="3DD35929"/>
    <w:rsid w:val="3DD516A1"/>
    <w:rsid w:val="3DDB2643"/>
    <w:rsid w:val="3DDD2303"/>
    <w:rsid w:val="3DE11078"/>
    <w:rsid w:val="3DE37306"/>
    <w:rsid w:val="3DE713D4"/>
    <w:rsid w:val="3DE73182"/>
    <w:rsid w:val="3DE7342C"/>
    <w:rsid w:val="3DEB2C72"/>
    <w:rsid w:val="3DF31B27"/>
    <w:rsid w:val="3DF37D79"/>
    <w:rsid w:val="3DF96E3A"/>
    <w:rsid w:val="3DFC7B0B"/>
    <w:rsid w:val="3DFD29A6"/>
    <w:rsid w:val="3DFD4754"/>
    <w:rsid w:val="3E02320C"/>
    <w:rsid w:val="3E083824"/>
    <w:rsid w:val="3E0E6961"/>
    <w:rsid w:val="3E104487"/>
    <w:rsid w:val="3E1113DE"/>
    <w:rsid w:val="3E170C82"/>
    <w:rsid w:val="3E18333B"/>
    <w:rsid w:val="3E186F76"/>
    <w:rsid w:val="3E1A5306"/>
    <w:rsid w:val="3E1A6DC1"/>
    <w:rsid w:val="3E1C107E"/>
    <w:rsid w:val="3E1F291C"/>
    <w:rsid w:val="3E23240C"/>
    <w:rsid w:val="3E235794"/>
    <w:rsid w:val="3E247F32"/>
    <w:rsid w:val="3E295549"/>
    <w:rsid w:val="3E2D5039"/>
    <w:rsid w:val="3E377C66"/>
    <w:rsid w:val="3E3C17F0"/>
    <w:rsid w:val="3E3D275E"/>
    <w:rsid w:val="3E3F6B1A"/>
    <w:rsid w:val="3E467DCB"/>
    <w:rsid w:val="3E4827C7"/>
    <w:rsid w:val="3E483C21"/>
    <w:rsid w:val="3E4F1FA4"/>
    <w:rsid w:val="3E693B97"/>
    <w:rsid w:val="3E6A7C37"/>
    <w:rsid w:val="3E6B1623"/>
    <w:rsid w:val="3E767CA2"/>
    <w:rsid w:val="3E78202C"/>
    <w:rsid w:val="3E7C3464"/>
    <w:rsid w:val="3E7C7D6E"/>
    <w:rsid w:val="3E8135D7"/>
    <w:rsid w:val="3E8E35FE"/>
    <w:rsid w:val="3E9055C8"/>
    <w:rsid w:val="3E921340"/>
    <w:rsid w:val="3E936F17"/>
    <w:rsid w:val="3E941710"/>
    <w:rsid w:val="3E95498C"/>
    <w:rsid w:val="3E9712E1"/>
    <w:rsid w:val="3E9A01F4"/>
    <w:rsid w:val="3E9C5D1B"/>
    <w:rsid w:val="3E9D66EF"/>
    <w:rsid w:val="3EA10976"/>
    <w:rsid w:val="3EA11895"/>
    <w:rsid w:val="3EAA142E"/>
    <w:rsid w:val="3EB06725"/>
    <w:rsid w:val="3EB5502E"/>
    <w:rsid w:val="3EB65311"/>
    <w:rsid w:val="3EB9437E"/>
    <w:rsid w:val="3EBA6A8B"/>
    <w:rsid w:val="3EBF1FF6"/>
    <w:rsid w:val="3EC13BAA"/>
    <w:rsid w:val="3EC55195"/>
    <w:rsid w:val="3EC7118D"/>
    <w:rsid w:val="3EC7548D"/>
    <w:rsid w:val="3ECC5112"/>
    <w:rsid w:val="3ED100BA"/>
    <w:rsid w:val="3EDC25BB"/>
    <w:rsid w:val="3EDD198D"/>
    <w:rsid w:val="3EE002FD"/>
    <w:rsid w:val="3EE020AB"/>
    <w:rsid w:val="3EE31B9B"/>
    <w:rsid w:val="3EE86526"/>
    <w:rsid w:val="3EE871B2"/>
    <w:rsid w:val="3EEA4CD8"/>
    <w:rsid w:val="3EEC4EF4"/>
    <w:rsid w:val="3EED2A1A"/>
    <w:rsid w:val="3EED2C60"/>
    <w:rsid w:val="3EF94085"/>
    <w:rsid w:val="3F03223E"/>
    <w:rsid w:val="3F06588A"/>
    <w:rsid w:val="3F0840B9"/>
    <w:rsid w:val="3F0A35CC"/>
    <w:rsid w:val="3F0B2DA6"/>
    <w:rsid w:val="3F0C10F2"/>
    <w:rsid w:val="3F171845"/>
    <w:rsid w:val="3F1E4982"/>
    <w:rsid w:val="3F220916"/>
    <w:rsid w:val="3F281CA4"/>
    <w:rsid w:val="3F2902E2"/>
    <w:rsid w:val="3F3512C1"/>
    <w:rsid w:val="3F375A43"/>
    <w:rsid w:val="3F397A0D"/>
    <w:rsid w:val="3F397DD7"/>
    <w:rsid w:val="3F3E5CD5"/>
    <w:rsid w:val="3F3F3F3A"/>
    <w:rsid w:val="3F3F46D3"/>
    <w:rsid w:val="3F407113"/>
    <w:rsid w:val="3F44662B"/>
    <w:rsid w:val="3F487C50"/>
    <w:rsid w:val="3F4A741D"/>
    <w:rsid w:val="3F4D34B9"/>
    <w:rsid w:val="3F4D4F72"/>
    <w:rsid w:val="3F4D76DD"/>
    <w:rsid w:val="3F5465F5"/>
    <w:rsid w:val="3F5605BF"/>
    <w:rsid w:val="3F56236D"/>
    <w:rsid w:val="3F5900B0"/>
    <w:rsid w:val="3F591E5E"/>
    <w:rsid w:val="3F5973C1"/>
    <w:rsid w:val="3F607592"/>
    <w:rsid w:val="3F660E74"/>
    <w:rsid w:val="3F67457A"/>
    <w:rsid w:val="3F676329"/>
    <w:rsid w:val="3F696545"/>
    <w:rsid w:val="3F6C393F"/>
    <w:rsid w:val="3F6D50FF"/>
    <w:rsid w:val="3F6E19E9"/>
    <w:rsid w:val="3F6F1681"/>
    <w:rsid w:val="3F731171"/>
    <w:rsid w:val="3F7942AE"/>
    <w:rsid w:val="3F7A2278"/>
    <w:rsid w:val="3F7A2500"/>
    <w:rsid w:val="3F7B7B8A"/>
    <w:rsid w:val="3F811F08"/>
    <w:rsid w:val="3F817E67"/>
    <w:rsid w:val="3F9115F7"/>
    <w:rsid w:val="3F9335CD"/>
    <w:rsid w:val="3F995D91"/>
    <w:rsid w:val="3F9966FE"/>
    <w:rsid w:val="3F9D1D4A"/>
    <w:rsid w:val="3FA94B93"/>
    <w:rsid w:val="3FAC01DF"/>
    <w:rsid w:val="3FAE3F57"/>
    <w:rsid w:val="3FAF13AE"/>
    <w:rsid w:val="3FAF7CCF"/>
    <w:rsid w:val="3FB12ADB"/>
    <w:rsid w:val="3FB3156E"/>
    <w:rsid w:val="3FB34C03"/>
    <w:rsid w:val="3FBE7F13"/>
    <w:rsid w:val="3FC75AA0"/>
    <w:rsid w:val="3FC96EB0"/>
    <w:rsid w:val="3FCF2120"/>
    <w:rsid w:val="3FD07349"/>
    <w:rsid w:val="3FD1231A"/>
    <w:rsid w:val="3FD61700"/>
    <w:rsid w:val="3FDA2F9E"/>
    <w:rsid w:val="3FE55985"/>
    <w:rsid w:val="3FEC0F24"/>
    <w:rsid w:val="3FEE6A4A"/>
    <w:rsid w:val="3FF027C2"/>
    <w:rsid w:val="3FF102E8"/>
    <w:rsid w:val="3FF12096"/>
    <w:rsid w:val="3FFA34B2"/>
    <w:rsid w:val="3FFD2A12"/>
    <w:rsid w:val="3FFD4EDF"/>
    <w:rsid w:val="3FFF0C57"/>
    <w:rsid w:val="400647A9"/>
    <w:rsid w:val="400C19E0"/>
    <w:rsid w:val="400E7546"/>
    <w:rsid w:val="4013200C"/>
    <w:rsid w:val="40170548"/>
    <w:rsid w:val="40170617"/>
    <w:rsid w:val="40175FA1"/>
    <w:rsid w:val="40195E74"/>
    <w:rsid w:val="401F4E55"/>
    <w:rsid w:val="40227D90"/>
    <w:rsid w:val="4024246B"/>
    <w:rsid w:val="402814CD"/>
    <w:rsid w:val="402B55A8"/>
    <w:rsid w:val="402E32EA"/>
    <w:rsid w:val="4030560B"/>
    <w:rsid w:val="40307C5E"/>
    <w:rsid w:val="40311450"/>
    <w:rsid w:val="40442B0E"/>
    <w:rsid w:val="404D4928"/>
    <w:rsid w:val="40572841"/>
    <w:rsid w:val="405E3BCF"/>
    <w:rsid w:val="405F1467"/>
    <w:rsid w:val="40630A6C"/>
    <w:rsid w:val="40646D0C"/>
    <w:rsid w:val="406665E0"/>
    <w:rsid w:val="406B009A"/>
    <w:rsid w:val="40723CDF"/>
    <w:rsid w:val="40763704"/>
    <w:rsid w:val="407A6407"/>
    <w:rsid w:val="407A79D6"/>
    <w:rsid w:val="407E5AB6"/>
    <w:rsid w:val="408353E4"/>
    <w:rsid w:val="40866FF7"/>
    <w:rsid w:val="408F7457"/>
    <w:rsid w:val="409018CD"/>
    <w:rsid w:val="40910A42"/>
    <w:rsid w:val="4099146F"/>
    <w:rsid w:val="4099578D"/>
    <w:rsid w:val="409D0A43"/>
    <w:rsid w:val="40A26B64"/>
    <w:rsid w:val="40A57942"/>
    <w:rsid w:val="40A67324"/>
    <w:rsid w:val="40AB5008"/>
    <w:rsid w:val="40AF442B"/>
    <w:rsid w:val="40B56F5A"/>
    <w:rsid w:val="40BB7697"/>
    <w:rsid w:val="40BC26A4"/>
    <w:rsid w:val="40BE0DB2"/>
    <w:rsid w:val="40BE0F76"/>
    <w:rsid w:val="40C1373E"/>
    <w:rsid w:val="40C655E2"/>
    <w:rsid w:val="40C67C6D"/>
    <w:rsid w:val="40C74FEA"/>
    <w:rsid w:val="40C818EC"/>
    <w:rsid w:val="40C8729B"/>
    <w:rsid w:val="40CD582B"/>
    <w:rsid w:val="40CF4866"/>
    <w:rsid w:val="40D07EFD"/>
    <w:rsid w:val="40DA57F1"/>
    <w:rsid w:val="40DE4339"/>
    <w:rsid w:val="40E35E83"/>
    <w:rsid w:val="40EC1096"/>
    <w:rsid w:val="40ED0AAF"/>
    <w:rsid w:val="40F40090"/>
    <w:rsid w:val="40F621C4"/>
    <w:rsid w:val="40F67CBC"/>
    <w:rsid w:val="40FA31CC"/>
    <w:rsid w:val="40FE4A6B"/>
    <w:rsid w:val="40FF07E3"/>
    <w:rsid w:val="410127AD"/>
    <w:rsid w:val="410140EC"/>
    <w:rsid w:val="4101455B"/>
    <w:rsid w:val="41080AFE"/>
    <w:rsid w:val="410D6D4A"/>
    <w:rsid w:val="410E2FA0"/>
    <w:rsid w:val="41171FD0"/>
    <w:rsid w:val="4125649B"/>
    <w:rsid w:val="41281AE7"/>
    <w:rsid w:val="412D48D8"/>
    <w:rsid w:val="412E3DA3"/>
    <w:rsid w:val="41314E40"/>
    <w:rsid w:val="41336AA3"/>
    <w:rsid w:val="41391F47"/>
    <w:rsid w:val="413E093E"/>
    <w:rsid w:val="41441117"/>
    <w:rsid w:val="414B6FDA"/>
    <w:rsid w:val="414D154E"/>
    <w:rsid w:val="414F0FC2"/>
    <w:rsid w:val="415A7E88"/>
    <w:rsid w:val="41641FEF"/>
    <w:rsid w:val="416A0352"/>
    <w:rsid w:val="416D24A3"/>
    <w:rsid w:val="41742F7F"/>
    <w:rsid w:val="41766CF7"/>
    <w:rsid w:val="4177481D"/>
    <w:rsid w:val="417A41A4"/>
    <w:rsid w:val="418105B3"/>
    <w:rsid w:val="41815E93"/>
    <w:rsid w:val="41820F87"/>
    <w:rsid w:val="41831414"/>
    <w:rsid w:val="4189001E"/>
    <w:rsid w:val="418B6F45"/>
    <w:rsid w:val="418E2292"/>
    <w:rsid w:val="41943621"/>
    <w:rsid w:val="419453CF"/>
    <w:rsid w:val="419D24D5"/>
    <w:rsid w:val="41A354FD"/>
    <w:rsid w:val="41A73354"/>
    <w:rsid w:val="41AB3DDC"/>
    <w:rsid w:val="41B21056"/>
    <w:rsid w:val="41B36CDD"/>
    <w:rsid w:val="41BA23CC"/>
    <w:rsid w:val="41BC3913"/>
    <w:rsid w:val="41BE5A2A"/>
    <w:rsid w:val="41C12819"/>
    <w:rsid w:val="41C31810"/>
    <w:rsid w:val="41C63BEE"/>
    <w:rsid w:val="41C662EF"/>
    <w:rsid w:val="41CA7043"/>
    <w:rsid w:val="41CF2217"/>
    <w:rsid w:val="41D103D1"/>
    <w:rsid w:val="41D1217F"/>
    <w:rsid w:val="41D5181B"/>
    <w:rsid w:val="41DC3706"/>
    <w:rsid w:val="41DD28D2"/>
    <w:rsid w:val="41E719A3"/>
    <w:rsid w:val="41E90D89"/>
    <w:rsid w:val="41E952A1"/>
    <w:rsid w:val="41EC6FB9"/>
    <w:rsid w:val="41EE4ADF"/>
    <w:rsid w:val="41F12821"/>
    <w:rsid w:val="41F145CF"/>
    <w:rsid w:val="41F30347"/>
    <w:rsid w:val="41F52311"/>
    <w:rsid w:val="41F61BE6"/>
    <w:rsid w:val="41FA16D6"/>
    <w:rsid w:val="42004812"/>
    <w:rsid w:val="4205007B"/>
    <w:rsid w:val="420E33EE"/>
    <w:rsid w:val="421107CE"/>
    <w:rsid w:val="421502BE"/>
    <w:rsid w:val="421B7C1E"/>
    <w:rsid w:val="421D7172"/>
    <w:rsid w:val="42204EB5"/>
    <w:rsid w:val="42291FBB"/>
    <w:rsid w:val="42295B17"/>
    <w:rsid w:val="423821FE"/>
    <w:rsid w:val="423A0FD9"/>
    <w:rsid w:val="423A3BCC"/>
    <w:rsid w:val="423A41C8"/>
    <w:rsid w:val="424E1A22"/>
    <w:rsid w:val="425154F8"/>
    <w:rsid w:val="4259696B"/>
    <w:rsid w:val="425C413F"/>
    <w:rsid w:val="425D3A13"/>
    <w:rsid w:val="425F2679"/>
    <w:rsid w:val="42612D34"/>
    <w:rsid w:val="42613D98"/>
    <w:rsid w:val="426254CD"/>
    <w:rsid w:val="426C63F2"/>
    <w:rsid w:val="426D634C"/>
    <w:rsid w:val="42721D88"/>
    <w:rsid w:val="42786A9F"/>
    <w:rsid w:val="427C3081"/>
    <w:rsid w:val="42816FF2"/>
    <w:rsid w:val="42843695"/>
    <w:rsid w:val="42843BC2"/>
    <w:rsid w:val="428561CB"/>
    <w:rsid w:val="428C585C"/>
    <w:rsid w:val="428D5E99"/>
    <w:rsid w:val="42903DE8"/>
    <w:rsid w:val="429733C9"/>
    <w:rsid w:val="42A35700"/>
    <w:rsid w:val="42AA5F72"/>
    <w:rsid w:val="42B52239"/>
    <w:rsid w:val="42B5384F"/>
    <w:rsid w:val="42B64197"/>
    <w:rsid w:val="42BD444E"/>
    <w:rsid w:val="42C24102"/>
    <w:rsid w:val="42C341BE"/>
    <w:rsid w:val="42C615B8"/>
    <w:rsid w:val="42D07B11"/>
    <w:rsid w:val="42D07CF3"/>
    <w:rsid w:val="42D4214F"/>
    <w:rsid w:val="42D737C5"/>
    <w:rsid w:val="42DA6266"/>
    <w:rsid w:val="42DA7950"/>
    <w:rsid w:val="42E20147"/>
    <w:rsid w:val="42E3216A"/>
    <w:rsid w:val="42E87780"/>
    <w:rsid w:val="42E934F8"/>
    <w:rsid w:val="42ED1DD1"/>
    <w:rsid w:val="42F0076D"/>
    <w:rsid w:val="42FB23EF"/>
    <w:rsid w:val="43122A4F"/>
    <w:rsid w:val="43140575"/>
    <w:rsid w:val="431542ED"/>
    <w:rsid w:val="431A7B56"/>
    <w:rsid w:val="431D0717"/>
    <w:rsid w:val="431D372B"/>
    <w:rsid w:val="4320516C"/>
    <w:rsid w:val="432602A9"/>
    <w:rsid w:val="43291B47"/>
    <w:rsid w:val="432A3DCF"/>
    <w:rsid w:val="432C7597"/>
    <w:rsid w:val="43302ED5"/>
    <w:rsid w:val="4339622E"/>
    <w:rsid w:val="433A51B1"/>
    <w:rsid w:val="433A6FE6"/>
    <w:rsid w:val="434075BC"/>
    <w:rsid w:val="434123BC"/>
    <w:rsid w:val="43421586"/>
    <w:rsid w:val="43443F1E"/>
    <w:rsid w:val="43454BD3"/>
    <w:rsid w:val="4350713C"/>
    <w:rsid w:val="435B2648"/>
    <w:rsid w:val="435D5832"/>
    <w:rsid w:val="435E4B11"/>
    <w:rsid w:val="436653E0"/>
    <w:rsid w:val="43673409"/>
    <w:rsid w:val="4368266F"/>
    <w:rsid w:val="436D237B"/>
    <w:rsid w:val="43733496"/>
    <w:rsid w:val="437901B2"/>
    <w:rsid w:val="43790D20"/>
    <w:rsid w:val="4379487C"/>
    <w:rsid w:val="43843DC2"/>
    <w:rsid w:val="43866F99"/>
    <w:rsid w:val="4387343D"/>
    <w:rsid w:val="43902128"/>
    <w:rsid w:val="43924F9C"/>
    <w:rsid w:val="43930246"/>
    <w:rsid w:val="439711A6"/>
    <w:rsid w:val="43973DCE"/>
    <w:rsid w:val="439D4A0F"/>
    <w:rsid w:val="43AC6A00"/>
    <w:rsid w:val="43AE6F7D"/>
    <w:rsid w:val="43B9736F"/>
    <w:rsid w:val="43C006FD"/>
    <w:rsid w:val="43C24475"/>
    <w:rsid w:val="43C401ED"/>
    <w:rsid w:val="43C81360"/>
    <w:rsid w:val="43C8760E"/>
    <w:rsid w:val="43CD667C"/>
    <w:rsid w:val="43CE2E1A"/>
    <w:rsid w:val="43D441A9"/>
    <w:rsid w:val="43D45F57"/>
    <w:rsid w:val="43E36C7A"/>
    <w:rsid w:val="43F14D5A"/>
    <w:rsid w:val="44044A8E"/>
    <w:rsid w:val="44071E88"/>
    <w:rsid w:val="440C56F0"/>
    <w:rsid w:val="440C749E"/>
    <w:rsid w:val="440E3217"/>
    <w:rsid w:val="441445A5"/>
    <w:rsid w:val="44175E54"/>
    <w:rsid w:val="441B5933"/>
    <w:rsid w:val="441C7F8A"/>
    <w:rsid w:val="441D78FE"/>
    <w:rsid w:val="44222311"/>
    <w:rsid w:val="44223EC2"/>
    <w:rsid w:val="44226CC2"/>
    <w:rsid w:val="44390965"/>
    <w:rsid w:val="443D58AA"/>
    <w:rsid w:val="443F7874"/>
    <w:rsid w:val="44405F8C"/>
    <w:rsid w:val="4443784A"/>
    <w:rsid w:val="44486501"/>
    <w:rsid w:val="444E13D2"/>
    <w:rsid w:val="44557097"/>
    <w:rsid w:val="44567ED7"/>
    <w:rsid w:val="44590916"/>
    <w:rsid w:val="446175D3"/>
    <w:rsid w:val="44625310"/>
    <w:rsid w:val="44661A1F"/>
    <w:rsid w:val="446E2DED"/>
    <w:rsid w:val="44705C7F"/>
    <w:rsid w:val="4473751E"/>
    <w:rsid w:val="4486116B"/>
    <w:rsid w:val="44872FC9"/>
    <w:rsid w:val="448E7078"/>
    <w:rsid w:val="44A8626A"/>
    <w:rsid w:val="44AE67A8"/>
    <w:rsid w:val="44B042CE"/>
    <w:rsid w:val="44B5165A"/>
    <w:rsid w:val="44B738AE"/>
    <w:rsid w:val="44B85878"/>
    <w:rsid w:val="44B87626"/>
    <w:rsid w:val="44BE2E8F"/>
    <w:rsid w:val="44BF2763"/>
    <w:rsid w:val="44C10289"/>
    <w:rsid w:val="44CB0EE8"/>
    <w:rsid w:val="44CB1108"/>
    <w:rsid w:val="44CB3B1B"/>
    <w:rsid w:val="44CD14E0"/>
    <w:rsid w:val="44D0671E"/>
    <w:rsid w:val="44D37FBC"/>
    <w:rsid w:val="44E81CBA"/>
    <w:rsid w:val="44E83CA9"/>
    <w:rsid w:val="44F06DC0"/>
    <w:rsid w:val="44F42EE1"/>
    <w:rsid w:val="44F63F31"/>
    <w:rsid w:val="44F85C75"/>
    <w:rsid w:val="44F87A23"/>
    <w:rsid w:val="44FA4815"/>
    <w:rsid w:val="45034D45"/>
    <w:rsid w:val="45097E82"/>
    <w:rsid w:val="450B4C3A"/>
    <w:rsid w:val="4511711A"/>
    <w:rsid w:val="451231DA"/>
    <w:rsid w:val="45141548"/>
    <w:rsid w:val="451505D5"/>
    <w:rsid w:val="4517434D"/>
    <w:rsid w:val="451A3E3D"/>
    <w:rsid w:val="451E56DB"/>
    <w:rsid w:val="452409D7"/>
    <w:rsid w:val="45264590"/>
    <w:rsid w:val="453250A1"/>
    <w:rsid w:val="453D4D6F"/>
    <w:rsid w:val="453E3FCF"/>
    <w:rsid w:val="45435142"/>
    <w:rsid w:val="454A2974"/>
    <w:rsid w:val="45505AB1"/>
    <w:rsid w:val="45561AB0"/>
    <w:rsid w:val="45572B91"/>
    <w:rsid w:val="455A06DD"/>
    <w:rsid w:val="455A248C"/>
    <w:rsid w:val="45637592"/>
    <w:rsid w:val="456E41DF"/>
    <w:rsid w:val="456E4C88"/>
    <w:rsid w:val="456F738A"/>
    <w:rsid w:val="457C0A82"/>
    <w:rsid w:val="457E5811"/>
    <w:rsid w:val="458946E9"/>
    <w:rsid w:val="458F3751"/>
    <w:rsid w:val="45911A11"/>
    <w:rsid w:val="45986D8C"/>
    <w:rsid w:val="45992C39"/>
    <w:rsid w:val="459B4382"/>
    <w:rsid w:val="45A16D05"/>
    <w:rsid w:val="45AE54CB"/>
    <w:rsid w:val="45B1654F"/>
    <w:rsid w:val="45B26679"/>
    <w:rsid w:val="45B63B66"/>
    <w:rsid w:val="45B70627"/>
    <w:rsid w:val="45B829C9"/>
    <w:rsid w:val="45C16A25"/>
    <w:rsid w:val="45C94918"/>
    <w:rsid w:val="45CA13BF"/>
    <w:rsid w:val="45CA1598"/>
    <w:rsid w:val="45CA7611"/>
    <w:rsid w:val="45D1274E"/>
    <w:rsid w:val="45DA5812"/>
    <w:rsid w:val="45DE130F"/>
    <w:rsid w:val="45E200A9"/>
    <w:rsid w:val="45E71F71"/>
    <w:rsid w:val="45EA2E9B"/>
    <w:rsid w:val="45F11042"/>
    <w:rsid w:val="45F244DE"/>
    <w:rsid w:val="45F4653A"/>
    <w:rsid w:val="45F67B77"/>
    <w:rsid w:val="45F97EF6"/>
    <w:rsid w:val="460C70AB"/>
    <w:rsid w:val="46101FCC"/>
    <w:rsid w:val="46113D93"/>
    <w:rsid w:val="4618037D"/>
    <w:rsid w:val="461B1C1B"/>
    <w:rsid w:val="461D1E37"/>
    <w:rsid w:val="461F516B"/>
    <w:rsid w:val="46256F3D"/>
    <w:rsid w:val="462A65A2"/>
    <w:rsid w:val="462C02CC"/>
    <w:rsid w:val="462E5CB9"/>
    <w:rsid w:val="462E7BA0"/>
    <w:rsid w:val="46357180"/>
    <w:rsid w:val="46377A12"/>
    <w:rsid w:val="463D7073"/>
    <w:rsid w:val="463E0D14"/>
    <w:rsid w:val="46472607"/>
    <w:rsid w:val="464F5C0D"/>
    <w:rsid w:val="46584C1D"/>
    <w:rsid w:val="46603AD2"/>
    <w:rsid w:val="4665558C"/>
    <w:rsid w:val="46670B8F"/>
    <w:rsid w:val="4670499F"/>
    <w:rsid w:val="46744DE3"/>
    <w:rsid w:val="4674757D"/>
    <w:rsid w:val="46753A21"/>
    <w:rsid w:val="46770F87"/>
    <w:rsid w:val="467852BF"/>
    <w:rsid w:val="467B090B"/>
    <w:rsid w:val="467F21AA"/>
    <w:rsid w:val="46821C9A"/>
    <w:rsid w:val="46873754"/>
    <w:rsid w:val="46916381"/>
    <w:rsid w:val="469B2D5C"/>
    <w:rsid w:val="469E3536"/>
    <w:rsid w:val="46A119EC"/>
    <w:rsid w:val="46AD52B3"/>
    <w:rsid w:val="46AE0CE1"/>
    <w:rsid w:val="46B300A5"/>
    <w:rsid w:val="46B362F7"/>
    <w:rsid w:val="46B424A8"/>
    <w:rsid w:val="46BB787A"/>
    <w:rsid w:val="46BF2EEE"/>
    <w:rsid w:val="46C04C97"/>
    <w:rsid w:val="46C87590"/>
    <w:rsid w:val="46CD355E"/>
    <w:rsid w:val="46CE22A1"/>
    <w:rsid w:val="46D70238"/>
    <w:rsid w:val="46D955A7"/>
    <w:rsid w:val="46D97270"/>
    <w:rsid w:val="46E22739"/>
    <w:rsid w:val="46E42955"/>
    <w:rsid w:val="46E719AA"/>
    <w:rsid w:val="46ED0E13"/>
    <w:rsid w:val="46F106CB"/>
    <w:rsid w:val="46F13E60"/>
    <w:rsid w:val="46F56910"/>
    <w:rsid w:val="46F72688"/>
    <w:rsid w:val="47044DA5"/>
    <w:rsid w:val="470923BB"/>
    <w:rsid w:val="470E2EE7"/>
    <w:rsid w:val="471054F8"/>
    <w:rsid w:val="47133957"/>
    <w:rsid w:val="4714323A"/>
    <w:rsid w:val="471919C1"/>
    <w:rsid w:val="471A69C9"/>
    <w:rsid w:val="471F1BDF"/>
    <w:rsid w:val="472114B3"/>
    <w:rsid w:val="47250D5F"/>
    <w:rsid w:val="472A2E92"/>
    <w:rsid w:val="472D42FC"/>
    <w:rsid w:val="473236C0"/>
    <w:rsid w:val="47335C34"/>
    <w:rsid w:val="47342495"/>
    <w:rsid w:val="47356D0C"/>
    <w:rsid w:val="47370CD6"/>
    <w:rsid w:val="4737208D"/>
    <w:rsid w:val="473E02B7"/>
    <w:rsid w:val="473E2065"/>
    <w:rsid w:val="474451A1"/>
    <w:rsid w:val="47503B46"/>
    <w:rsid w:val="47507FEA"/>
    <w:rsid w:val="47571378"/>
    <w:rsid w:val="475911F7"/>
    <w:rsid w:val="4767532D"/>
    <w:rsid w:val="4779329E"/>
    <w:rsid w:val="477C2B8D"/>
    <w:rsid w:val="477E6905"/>
    <w:rsid w:val="478F28C0"/>
    <w:rsid w:val="47901267"/>
    <w:rsid w:val="47950E01"/>
    <w:rsid w:val="479D0AC1"/>
    <w:rsid w:val="47A07E0C"/>
    <w:rsid w:val="47A619B8"/>
    <w:rsid w:val="47A829EE"/>
    <w:rsid w:val="47AA594C"/>
    <w:rsid w:val="47AD2F34"/>
    <w:rsid w:val="47B746AA"/>
    <w:rsid w:val="47BC11DC"/>
    <w:rsid w:val="47BE6D02"/>
    <w:rsid w:val="47BF7F9B"/>
    <w:rsid w:val="47C6205A"/>
    <w:rsid w:val="47CA7D9C"/>
    <w:rsid w:val="47CF7161"/>
    <w:rsid w:val="47D26C51"/>
    <w:rsid w:val="47DB5B06"/>
    <w:rsid w:val="47DB78B4"/>
    <w:rsid w:val="47DC3CA8"/>
    <w:rsid w:val="47DC523D"/>
    <w:rsid w:val="47DF34E2"/>
    <w:rsid w:val="47E23F21"/>
    <w:rsid w:val="47E81FD1"/>
    <w:rsid w:val="47EF37F7"/>
    <w:rsid w:val="47F6293F"/>
    <w:rsid w:val="47F8383C"/>
    <w:rsid w:val="47FE1C87"/>
    <w:rsid w:val="48054931"/>
    <w:rsid w:val="480A136E"/>
    <w:rsid w:val="480B5E1D"/>
    <w:rsid w:val="481903DC"/>
    <w:rsid w:val="481B05F8"/>
    <w:rsid w:val="481D433B"/>
    <w:rsid w:val="481E59F2"/>
    <w:rsid w:val="481F27F7"/>
    <w:rsid w:val="4820176A"/>
    <w:rsid w:val="48270D4B"/>
    <w:rsid w:val="482B265C"/>
    <w:rsid w:val="482D3E87"/>
    <w:rsid w:val="482E20D9"/>
    <w:rsid w:val="482E33A4"/>
    <w:rsid w:val="48335D86"/>
    <w:rsid w:val="483416BA"/>
    <w:rsid w:val="48345216"/>
    <w:rsid w:val="48457423"/>
    <w:rsid w:val="48484514"/>
    <w:rsid w:val="484E0AD2"/>
    <w:rsid w:val="48523474"/>
    <w:rsid w:val="48561630"/>
    <w:rsid w:val="4856518C"/>
    <w:rsid w:val="48587156"/>
    <w:rsid w:val="485B4F92"/>
    <w:rsid w:val="48642021"/>
    <w:rsid w:val="48650157"/>
    <w:rsid w:val="4867383D"/>
    <w:rsid w:val="486A1C17"/>
    <w:rsid w:val="486D24D6"/>
    <w:rsid w:val="4870272E"/>
    <w:rsid w:val="48723461"/>
    <w:rsid w:val="487A051B"/>
    <w:rsid w:val="487B1097"/>
    <w:rsid w:val="487C1662"/>
    <w:rsid w:val="487F2935"/>
    <w:rsid w:val="48825F81"/>
    <w:rsid w:val="48867CD4"/>
    <w:rsid w:val="4889543F"/>
    <w:rsid w:val="488C32A4"/>
    <w:rsid w:val="488F68F0"/>
    <w:rsid w:val="48900AB0"/>
    <w:rsid w:val="48923C5F"/>
    <w:rsid w:val="489B34E7"/>
    <w:rsid w:val="48A36846"/>
    <w:rsid w:val="48A4239B"/>
    <w:rsid w:val="48A534D7"/>
    <w:rsid w:val="48A64365"/>
    <w:rsid w:val="48A73C3A"/>
    <w:rsid w:val="48AA54D8"/>
    <w:rsid w:val="48AB372A"/>
    <w:rsid w:val="48B325DE"/>
    <w:rsid w:val="48B9571B"/>
    <w:rsid w:val="48BA396D"/>
    <w:rsid w:val="48BB7D26"/>
    <w:rsid w:val="48BC0D87"/>
    <w:rsid w:val="48BD345D"/>
    <w:rsid w:val="48C04DCB"/>
    <w:rsid w:val="48C4659A"/>
    <w:rsid w:val="48C90054"/>
    <w:rsid w:val="48CA7928"/>
    <w:rsid w:val="48CB3DCC"/>
    <w:rsid w:val="48CD108C"/>
    <w:rsid w:val="48CD2E1A"/>
    <w:rsid w:val="48D43A0A"/>
    <w:rsid w:val="48D80297"/>
    <w:rsid w:val="48DB1977"/>
    <w:rsid w:val="48DC7D87"/>
    <w:rsid w:val="48DF0B70"/>
    <w:rsid w:val="48E00EFA"/>
    <w:rsid w:val="48EC6F0F"/>
    <w:rsid w:val="48FA645F"/>
    <w:rsid w:val="48FF2675"/>
    <w:rsid w:val="49042AD4"/>
    <w:rsid w:val="49044BE8"/>
    <w:rsid w:val="490525B3"/>
    <w:rsid w:val="490C7F41"/>
    <w:rsid w:val="490D78A6"/>
    <w:rsid w:val="490E1F0B"/>
    <w:rsid w:val="490E2E80"/>
    <w:rsid w:val="491A265E"/>
    <w:rsid w:val="491D5CAA"/>
    <w:rsid w:val="491F1F8A"/>
    <w:rsid w:val="491F7C74"/>
    <w:rsid w:val="49255DFC"/>
    <w:rsid w:val="4933371F"/>
    <w:rsid w:val="49357497"/>
    <w:rsid w:val="49362ED7"/>
    <w:rsid w:val="49385C0C"/>
    <w:rsid w:val="493C4382"/>
    <w:rsid w:val="493D3419"/>
    <w:rsid w:val="493F54EA"/>
    <w:rsid w:val="49410206"/>
    <w:rsid w:val="494816E4"/>
    <w:rsid w:val="49490E9D"/>
    <w:rsid w:val="494B0A69"/>
    <w:rsid w:val="494B472D"/>
    <w:rsid w:val="494D47E1"/>
    <w:rsid w:val="49520049"/>
    <w:rsid w:val="49585496"/>
    <w:rsid w:val="495A5150"/>
    <w:rsid w:val="495A6EFE"/>
    <w:rsid w:val="495F2766"/>
    <w:rsid w:val="496F62BB"/>
    <w:rsid w:val="4972249A"/>
    <w:rsid w:val="497266D3"/>
    <w:rsid w:val="4977360C"/>
    <w:rsid w:val="498015D8"/>
    <w:rsid w:val="49804BB7"/>
    <w:rsid w:val="49815D26"/>
    <w:rsid w:val="49816239"/>
    <w:rsid w:val="49883A6B"/>
    <w:rsid w:val="49896475"/>
    <w:rsid w:val="498A77E3"/>
    <w:rsid w:val="498B355B"/>
    <w:rsid w:val="498D2E30"/>
    <w:rsid w:val="499046CE"/>
    <w:rsid w:val="499441BE"/>
    <w:rsid w:val="49951AC7"/>
    <w:rsid w:val="499A452E"/>
    <w:rsid w:val="499A72FA"/>
    <w:rsid w:val="499F2B63"/>
    <w:rsid w:val="49A32653"/>
    <w:rsid w:val="49A3380F"/>
    <w:rsid w:val="49A40179"/>
    <w:rsid w:val="49A61BB2"/>
    <w:rsid w:val="49A81A17"/>
    <w:rsid w:val="49A81A70"/>
    <w:rsid w:val="49A91765"/>
    <w:rsid w:val="49A918FB"/>
    <w:rsid w:val="49AA1FDC"/>
    <w:rsid w:val="49AA31B5"/>
    <w:rsid w:val="49AB775A"/>
    <w:rsid w:val="49AE2DA6"/>
    <w:rsid w:val="49B274AE"/>
    <w:rsid w:val="49BA799D"/>
    <w:rsid w:val="49BC2721"/>
    <w:rsid w:val="49C56A6D"/>
    <w:rsid w:val="49C64593"/>
    <w:rsid w:val="49CF169A"/>
    <w:rsid w:val="49D2118A"/>
    <w:rsid w:val="49D40682"/>
    <w:rsid w:val="49D7054F"/>
    <w:rsid w:val="49D767A1"/>
    <w:rsid w:val="49DB5E2A"/>
    <w:rsid w:val="49DC3DB7"/>
    <w:rsid w:val="49DC7715"/>
    <w:rsid w:val="49DE18DD"/>
    <w:rsid w:val="49E01723"/>
    <w:rsid w:val="49E1317B"/>
    <w:rsid w:val="49E968C3"/>
    <w:rsid w:val="49EC224C"/>
    <w:rsid w:val="49ED38CE"/>
    <w:rsid w:val="49F033BE"/>
    <w:rsid w:val="49F650E8"/>
    <w:rsid w:val="49F92273"/>
    <w:rsid w:val="49FC1D63"/>
    <w:rsid w:val="49FD6207"/>
    <w:rsid w:val="4A023139"/>
    <w:rsid w:val="4A0328F9"/>
    <w:rsid w:val="4A062BE2"/>
    <w:rsid w:val="4A0812A6"/>
    <w:rsid w:val="4A0B1FA6"/>
    <w:rsid w:val="4A0D21C2"/>
    <w:rsid w:val="4A0F5F3A"/>
    <w:rsid w:val="4A11580F"/>
    <w:rsid w:val="4A17094B"/>
    <w:rsid w:val="4A174DEF"/>
    <w:rsid w:val="4A1C099C"/>
    <w:rsid w:val="4A1E617D"/>
    <w:rsid w:val="4A247CED"/>
    <w:rsid w:val="4A2A4B22"/>
    <w:rsid w:val="4A2C2648"/>
    <w:rsid w:val="4A2E7C45"/>
    <w:rsid w:val="4A353E64"/>
    <w:rsid w:val="4A3634C7"/>
    <w:rsid w:val="4A371FA0"/>
    <w:rsid w:val="4A3B0ADD"/>
    <w:rsid w:val="4A3C5376"/>
    <w:rsid w:val="4A435BE4"/>
    <w:rsid w:val="4A45195C"/>
    <w:rsid w:val="4A4756D4"/>
    <w:rsid w:val="4A492030"/>
    <w:rsid w:val="4A4D606C"/>
    <w:rsid w:val="4A4E2254"/>
    <w:rsid w:val="4A600544"/>
    <w:rsid w:val="4A612D70"/>
    <w:rsid w:val="4A633B90"/>
    <w:rsid w:val="4A695243"/>
    <w:rsid w:val="4A6A3171"/>
    <w:rsid w:val="4A730277"/>
    <w:rsid w:val="4A767D68"/>
    <w:rsid w:val="4A791606"/>
    <w:rsid w:val="4A7B576F"/>
    <w:rsid w:val="4A7D4C52"/>
    <w:rsid w:val="4A7E09CA"/>
    <w:rsid w:val="4A82495E"/>
    <w:rsid w:val="4A82670C"/>
    <w:rsid w:val="4A835FE1"/>
    <w:rsid w:val="4A857FAB"/>
    <w:rsid w:val="4A8A55C1"/>
    <w:rsid w:val="4A8C38A0"/>
    <w:rsid w:val="4A8E09AD"/>
    <w:rsid w:val="4A8F1A90"/>
    <w:rsid w:val="4A8F2006"/>
    <w:rsid w:val="4A8F4985"/>
    <w:rsid w:val="4A9B05A9"/>
    <w:rsid w:val="4AA30431"/>
    <w:rsid w:val="4AAA6481"/>
    <w:rsid w:val="4AAD305D"/>
    <w:rsid w:val="4AAF6887"/>
    <w:rsid w:val="4AB04516"/>
    <w:rsid w:val="4AB16FF2"/>
    <w:rsid w:val="4AB50890"/>
    <w:rsid w:val="4AB77D82"/>
    <w:rsid w:val="4ABD30CC"/>
    <w:rsid w:val="4AC05487"/>
    <w:rsid w:val="4AC07235"/>
    <w:rsid w:val="4ACA3C0F"/>
    <w:rsid w:val="4ACD77C9"/>
    <w:rsid w:val="4AD0567D"/>
    <w:rsid w:val="4AD11442"/>
    <w:rsid w:val="4AD60806"/>
    <w:rsid w:val="4ADD0B44"/>
    <w:rsid w:val="4ADE7383"/>
    <w:rsid w:val="4ADF355A"/>
    <w:rsid w:val="4AE41175"/>
    <w:rsid w:val="4AE5022F"/>
    <w:rsid w:val="4AE7656F"/>
    <w:rsid w:val="4AEA4061"/>
    <w:rsid w:val="4AEE5B50"/>
    <w:rsid w:val="4AF95AE8"/>
    <w:rsid w:val="4AFD3A95"/>
    <w:rsid w:val="4AFE2ACC"/>
    <w:rsid w:val="4B182BCD"/>
    <w:rsid w:val="4B187071"/>
    <w:rsid w:val="4B1A6945"/>
    <w:rsid w:val="4B1D4687"/>
    <w:rsid w:val="4B1D6435"/>
    <w:rsid w:val="4B221C9D"/>
    <w:rsid w:val="4B271062"/>
    <w:rsid w:val="4B2C48CA"/>
    <w:rsid w:val="4B307F16"/>
    <w:rsid w:val="4B3774F7"/>
    <w:rsid w:val="4B386DCB"/>
    <w:rsid w:val="4B3B1E75"/>
    <w:rsid w:val="4B48362D"/>
    <w:rsid w:val="4B4B41DB"/>
    <w:rsid w:val="4B4C2876"/>
    <w:rsid w:val="4B5A1229"/>
    <w:rsid w:val="4B5C0D0B"/>
    <w:rsid w:val="4B5C2F33"/>
    <w:rsid w:val="4B5F09E6"/>
    <w:rsid w:val="4B6422B6"/>
    <w:rsid w:val="4B6573C5"/>
    <w:rsid w:val="4B683B54"/>
    <w:rsid w:val="4B6978CC"/>
    <w:rsid w:val="4B6C4CC7"/>
    <w:rsid w:val="4B6D2F19"/>
    <w:rsid w:val="4B777E35"/>
    <w:rsid w:val="4B78366B"/>
    <w:rsid w:val="4B797B0F"/>
    <w:rsid w:val="4B7C13AE"/>
    <w:rsid w:val="4B7D55E8"/>
    <w:rsid w:val="4B7F2C4C"/>
    <w:rsid w:val="4B8509FE"/>
    <w:rsid w:val="4B865D88"/>
    <w:rsid w:val="4B8A1D1C"/>
    <w:rsid w:val="4B8C1BDC"/>
    <w:rsid w:val="4B9506C1"/>
    <w:rsid w:val="4B95246F"/>
    <w:rsid w:val="4B9E1324"/>
    <w:rsid w:val="4BA426B2"/>
    <w:rsid w:val="4BA46B58"/>
    <w:rsid w:val="4BA821A3"/>
    <w:rsid w:val="4BA97CC9"/>
    <w:rsid w:val="4BAF1783"/>
    <w:rsid w:val="4BB26B7D"/>
    <w:rsid w:val="4BB52B12"/>
    <w:rsid w:val="4BB53FB0"/>
    <w:rsid w:val="4BBA3C84"/>
    <w:rsid w:val="4BBC5C4E"/>
    <w:rsid w:val="4BBF594C"/>
    <w:rsid w:val="4BC52D55"/>
    <w:rsid w:val="4BC863A1"/>
    <w:rsid w:val="4BC93E36"/>
    <w:rsid w:val="4BD3035B"/>
    <w:rsid w:val="4BD626E7"/>
    <w:rsid w:val="4BD755BD"/>
    <w:rsid w:val="4BD765E4"/>
    <w:rsid w:val="4BD94FE4"/>
    <w:rsid w:val="4BDA60D4"/>
    <w:rsid w:val="4BDE3E16"/>
    <w:rsid w:val="4BE156B5"/>
    <w:rsid w:val="4BE45A77"/>
    <w:rsid w:val="4BEA27BB"/>
    <w:rsid w:val="4BEB6533"/>
    <w:rsid w:val="4BF54CBC"/>
    <w:rsid w:val="4BF70A34"/>
    <w:rsid w:val="4BF76165"/>
    <w:rsid w:val="4BF90C50"/>
    <w:rsid w:val="4BFC604B"/>
    <w:rsid w:val="4BFE0015"/>
    <w:rsid w:val="4BFE1DC3"/>
    <w:rsid w:val="4C0118B3"/>
    <w:rsid w:val="4C0D2006"/>
    <w:rsid w:val="4C107D48"/>
    <w:rsid w:val="4C12586E"/>
    <w:rsid w:val="4C15535E"/>
    <w:rsid w:val="4C196BFC"/>
    <w:rsid w:val="4C215AB1"/>
    <w:rsid w:val="4C2F01CE"/>
    <w:rsid w:val="4C304E69"/>
    <w:rsid w:val="4C3103EA"/>
    <w:rsid w:val="4C343841"/>
    <w:rsid w:val="4C3B6274"/>
    <w:rsid w:val="4C433C79"/>
    <w:rsid w:val="4C435948"/>
    <w:rsid w:val="4C4A0649"/>
    <w:rsid w:val="4C5109B1"/>
    <w:rsid w:val="4C516396"/>
    <w:rsid w:val="4C5F5520"/>
    <w:rsid w:val="4C675BBA"/>
    <w:rsid w:val="4C6B091A"/>
    <w:rsid w:val="4C716A38"/>
    <w:rsid w:val="4C744019"/>
    <w:rsid w:val="4C760341"/>
    <w:rsid w:val="4C804ECE"/>
    <w:rsid w:val="4C863E30"/>
    <w:rsid w:val="4C88610C"/>
    <w:rsid w:val="4C9857B2"/>
    <w:rsid w:val="4C9D782D"/>
    <w:rsid w:val="4CA02E7A"/>
    <w:rsid w:val="4CA26BF2"/>
    <w:rsid w:val="4CA412EE"/>
    <w:rsid w:val="4CA50490"/>
    <w:rsid w:val="4CB22BAD"/>
    <w:rsid w:val="4CBF59F6"/>
    <w:rsid w:val="4CC0176E"/>
    <w:rsid w:val="4CC2206D"/>
    <w:rsid w:val="4CC4300C"/>
    <w:rsid w:val="4CC528E0"/>
    <w:rsid w:val="4CC622E8"/>
    <w:rsid w:val="4CC72AFC"/>
    <w:rsid w:val="4CCD1617"/>
    <w:rsid w:val="4CCE58CF"/>
    <w:rsid w:val="4CCF550D"/>
    <w:rsid w:val="4CD15729"/>
    <w:rsid w:val="4CD40D75"/>
    <w:rsid w:val="4CD4352E"/>
    <w:rsid w:val="4CDD5E7C"/>
    <w:rsid w:val="4CDE0C9F"/>
    <w:rsid w:val="4CE42B3C"/>
    <w:rsid w:val="4CE470D3"/>
    <w:rsid w:val="4CEB6A0D"/>
    <w:rsid w:val="4CEF5BAF"/>
    <w:rsid w:val="4CF65190"/>
    <w:rsid w:val="4CFB6302"/>
    <w:rsid w:val="4D0039E7"/>
    <w:rsid w:val="4D01600E"/>
    <w:rsid w:val="4D023C3A"/>
    <w:rsid w:val="4D0347ED"/>
    <w:rsid w:val="4D04450E"/>
    <w:rsid w:val="4D0A4797"/>
    <w:rsid w:val="4D0D0088"/>
    <w:rsid w:val="4D1004F6"/>
    <w:rsid w:val="4D131804"/>
    <w:rsid w:val="4D1D44CA"/>
    <w:rsid w:val="4D2770F7"/>
    <w:rsid w:val="4D355CB8"/>
    <w:rsid w:val="4D3B1C54"/>
    <w:rsid w:val="4D3F481B"/>
    <w:rsid w:val="4D410CA2"/>
    <w:rsid w:val="4D41465D"/>
    <w:rsid w:val="4D4203D5"/>
    <w:rsid w:val="4D430005"/>
    <w:rsid w:val="4D447CA9"/>
    <w:rsid w:val="4D467EC5"/>
    <w:rsid w:val="4D4A6344"/>
    <w:rsid w:val="4D4B54DB"/>
    <w:rsid w:val="4D4C3002"/>
    <w:rsid w:val="4D5048A0"/>
    <w:rsid w:val="4D511823"/>
    <w:rsid w:val="4D534390"/>
    <w:rsid w:val="4D53613E"/>
    <w:rsid w:val="4D551EB6"/>
    <w:rsid w:val="4D56350C"/>
    <w:rsid w:val="4D5C1497"/>
    <w:rsid w:val="4D5F4AE3"/>
    <w:rsid w:val="4D622825"/>
    <w:rsid w:val="4D64241B"/>
    <w:rsid w:val="4D6473B4"/>
    <w:rsid w:val="4D65092C"/>
    <w:rsid w:val="4D69341E"/>
    <w:rsid w:val="4D70238D"/>
    <w:rsid w:val="4D73058E"/>
    <w:rsid w:val="4D7B212F"/>
    <w:rsid w:val="4D7F6F33"/>
    <w:rsid w:val="4D806F98"/>
    <w:rsid w:val="4D813526"/>
    <w:rsid w:val="4D8E361A"/>
    <w:rsid w:val="4D8F45EB"/>
    <w:rsid w:val="4D956757"/>
    <w:rsid w:val="4D986247"/>
    <w:rsid w:val="4D9E78F3"/>
    <w:rsid w:val="4DA326D4"/>
    <w:rsid w:val="4DA60964"/>
    <w:rsid w:val="4DA67FC9"/>
    <w:rsid w:val="4DA70238"/>
    <w:rsid w:val="4DA846DC"/>
    <w:rsid w:val="4DAE0572"/>
    <w:rsid w:val="4DAE5A6A"/>
    <w:rsid w:val="4DB03590"/>
    <w:rsid w:val="4DB43081"/>
    <w:rsid w:val="4DBC5B34"/>
    <w:rsid w:val="4DC4703C"/>
    <w:rsid w:val="4DC66910"/>
    <w:rsid w:val="4DCD7C9F"/>
    <w:rsid w:val="4DCE2B1A"/>
    <w:rsid w:val="4DDA23BB"/>
    <w:rsid w:val="4DDC73DC"/>
    <w:rsid w:val="4DDF3E76"/>
    <w:rsid w:val="4DE21C50"/>
    <w:rsid w:val="4DEA6AA2"/>
    <w:rsid w:val="4DEC4FB0"/>
    <w:rsid w:val="4DEF6FAE"/>
    <w:rsid w:val="4E031912"/>
    <w:rsid w:val="4E037B64"/>
    <w:rsid w:val="4E061402"/>
    <w:rsid w:val="4E075D8A"/>
    <w:rsid w:val="4E08517B"/>
    <w:rsid w:val="4E0B07C7"/>
    <w:rsid w:val="4E0F6509"/>
    <w:rsid w:val="4E165AE9"/>
    <w:rsid w:val="4E1C6E78"/>
    <w:rsid w:val="4E2312F6"/>
    <w:rsid w:val="4E261AA5"/>
    <w:rsid w:val="4E263853"/>
    <w:rsid w:val="4E265601"/>
    <w:rsid w:val="4E2B4904"/>
    <w:rsid w:val="4E2F00CD"/>
    <w:rsid w:val="4E30022D"/>
    <w:rsid w:val="4E361CE8"/>
    <w:rsid w:val="4E393586"/>
    <w:rsid w:val="4E3E386B"/>
    <w:rsid w:val="4E41243B"/>
    <w:rsid w:val="4E4C150B"/>
    <w:rsid w:val="4E4E3531"/>
    <w:rsid w:val="4E4F21B5"/>
    <w:rsid w:val="4E4F4B57"/>
    <w:rsid w:val="4E5008D0"/>
    <w:rsid w:val="4E516B22"/>
    <w:rsid w:val="4E52289A"/>
    <w:rsid w:val="4E557B71"/>
    <w:rsid w:val="4E590352"/>
    <w:rsid w:val="4E5A2530"/>
    <w:rsid w:val="4E5B17E2"/>
    <w:rsid w:val="4E612B82"/>
    <w:rsid w:val="4E65437B"/>
    <w:rsid w:val="4E6C0560"/>
    <w:rsid w:val="4E6C5709"/>
    <w:rsid w:val="4E7445BE"/>
    <w:rsid w:val="4E755A1A"/>
    <w:rsid w:val="4E7E543D"/>
    <w:rsid w:val="4E87155B"/>
    <w:rsid w:val="4E87437C"/>
    <w:rsid w:val="4E8C15C7"/>
    <w:rsid w:val="4E8C2811"/>
    <w:rsid w:val="4E922C96"/>
    <w:rsid w:val="4E9764FE"/>
    <w:rsid w:val="4E9B7D9D"/>
    <w:rsid w:val="4E9F71CD"/>
    <w:rsid w:val="4EA43198"/>
    <w:rsid w:val="4EA84268"/>
    <w:rsid w:val="4EAA6232"/>
    <w:rsid w:val="4EB23CC9"/>
    <w:rsid w:val="4EB819DC"/>
    <w:rsid w:val="4EB90223"/>
    <w:rsid w:val="4EBE2ACF"/>
    <w:rsid w:val="4EC70B92"/>
    <w:rsid w:val="4EC8490A"/>
    <w:rsid w:val="4EC927B3"/>
    <w:rsid w:val="4ECA68D4"/>
    <w:rsid w:val="4ECD1536"/>
    <w:rsid w:val="4ED17C62"/>
    <w:rsid w:val="4ED355A0"/>
    <w:rsid w:val="4ED3756D"/>
    <w:rsid w:val="4ED432AF"/>
    <w:rsid w:val="4ED4505D"/>
    <w:rsid w:val="4ED92673"/>
    <w:rsid w:val="4EDB288F"/>
    <w:rsid w:val="4EDD03B5"/>
    <w:rsid w:val="4EDF257D"/>
    <w:rsid w:val="4EE17099"/>
    <w:rsid w:val="4EE41F76"/>
    <w:rsid w:val="4EE51C25"/>
    <w:rsid w:val="4EE527CC"/>
    <w:rsid w:val="4EE85483"/>
    <w:rsid w:val="4EEE25C2"/>
    <w:rsid w:val="4EEE4370"/>
    <w:rsid w:val="4EEF1E97"/>
    <w:rsid w:val="4EF474AD"/>
    <w:rsid w:val="4EFD45B3"/>
    <w:rsid w:val="4F0022F6"/>
    <w:rsid w:val="4F041DA9"/>
    <w:rsid w:val="4F053468"/>
    <w:rsid w:val="4F0C0C9A"/>
    <w:rsid w:val="4F0C738D"/>
    <w:rsid w:val="4F0D4088"/>
    <w:rsid w:val="4F0E4A13"/>
    <w:rsid w:val="4F161B19"/>
    <w:rsid w:val="4F1638C7"/>
    <w:rsid w:val="4F2908FF"/>
    <w:rsid w:val="4F2D0968"/>
    <w:rsid w:val="4F2F6737"/>
    <w:rsid w:val="4F334479"/>
    <w:rsid w:val="4F361873"/>
    <w:rsid w:val="4F3855EC"/>
    <w:rsid w:val="4F3B1580"/>
    <w:rsid w:val="4F3D70A6"/>
    <w:rsid w:val="4F4847FE"/>
    <w:rsid w:val="4F4A531F"/>
    <w:rsid w:val="4F4C1097"/>
    <w:rsid w:val="4F4E4E0F"/>
    <w:rsid w:val="4F50502B"/>
    <w:rsid w:val="4F552641"/>
    <w:rsid w:val="4F5A30F9"/>
    <w:rsid w:val="4F5A7C58"/>
    <w:rsid w:val="4F5B752C"/>
    <w:rsid w:val="4F5F0DCA"/>
    <w:rsid w:val="4F6005A7"/>
    <w:rsid w:val="4F636270"/>
    <w:rsid w:val="4F6603AB"/>
    <w:rsid w:val="4F6E725F"/>
    <w:rsid w:val="4F732AC8"/>
    <w:rsid w:val="4F884993"/>
    <w:rsid w:val="4F885589"/>
    <w:rsid w:val="4F8B1BBF"/>
    <w:rsid w:val="4F8E237C"/>
    <w:rsid w:val="4FA40ED3"/>
    <w:rsid w:val="4FA54744"/>
    <w:rsid w:val="4FAA24EE"/>
    <w:rsid w:val="4FAC7D88"/>
    <w:rsid w:val="4FAD422B"/>
    <w:rsid w:val="4FB355BA"/>
    <w:rsid w:val="4FB44097"/>
    <w:rsid w:val="4FBD3D43"/>
    <w:rsid w:val="4FBF7ABB"/>
    <w:rsid w:val="4FC13833"/>
    <w:rsid w:val="4FC357FD"/>
    <w:rsid w:val="4FC43323"/>
    <w:rsid w:val="4FC62A8C"/>
    <w:rsid w:val="4FC6793C"/>
    <w:rsid w:val="4FD5108C"/>
    <w:rsid w:val="4FD74D0A"/>
    <w:rsid w:val="4FD96283"/>
    <w:rsid w:val="4FDC68BF"/>
    <w:rsid w:val="4FE20F0D"/>
    <w:rsid w:val="4FE47521"/>
    <w:rsid w:val="4FE87012"/>
    <w:rsid w:val="4FED182E"/>
    <w:rsid w:val="4FED4628"/>
    <w:rsid w:val="4FF37764"/>
    <w:rsid w:val="4FF94B9B"/>
    <w:rsid w:val="4FFA5313"/>
    <w:rsid w:val="4FFA6D45"/>
    <w:rsid w:val="4FFC2ABD"/>
    <w:rsid w:val="50011E81"/>
    <w:rsid w:val="50045AFA"/>
    <w:rsid w:val="500D0826"/>
    <w:rsid w:val="500D4CCA"/>
    <w:rsid w:val="50100316"/>
    <w:rsid w:val="501047BA"/>
    <w:rsid w:val="50131BB5"/>
    <w:rsid w:val="50152B62"/>
    <w:rsid w:val="50153B7F"/>
    <w:rsid w:val="501B6F55"/>
    <w:rsid w:val="501E5995"/>
    <w:rsid w:val="502301D1"/>
    <w:rsid w:val="502618E8"/>
    <w:rsid w:val="5026469F"/>
    <w:rsid w:val="502D2C76"/>
    <w:rsid w:val="502E7DFF"/>
    <w:rsid w:val="502F2E92"/>
    <w:rsid w:val="503234D1"/>
    <w:rsid w:val="503A5393"/>
    <w:rsid w:val="50412BC6"/>
    <w:rsid w:val="50454464"/>
    <w:rsid w:val="504637E5"/>
    <w:rsid w:val="50466CB3"/>
    <w:rsid w:val="504908E4"/>
    <w:rsid w:val="50493828"/>
    <w:rsid w:val="504A4F1C"/>
    <w:rsid w:val="504B1C98"/>
    <w:rsid w:val="504D156B"/>
    <w:rsid w:val="504F35C5"/>
    <w:rsid w:val="50503AAD"/>
    <w:rsid w:val="50504C4B"/>
    <w:rsid w:val="50546455"/>
    <w:rsid w:val="505521CD"/>
    <w:rsid w:val="50566671"/>
    <w:rsid w:val="50593A6B"/>
    <w:rsid w:val="505C7A00"/>
    <w:rsid w:val="505F4DFA"/>
    <w:rsid w:val="506403BE"/>
    <w:rsid w:val="50650662"/>
    <w:rsid w:val="506A3ECB"/>
    <w:rsid w:val="506B379F"/>
    <w:rsid w:val="506F7733"/>
    <w:rsid w:val="50720FD1"/>
    <w:rsid w:val="50770396"/>
    <w:rsid w:val="507904F4"/>
    <w:rsid w:val="50810B36"/>
    <w:rsid w:val="50830AE8"/>
    <w:rsid w:val="50867BFF"/>
    <w:rsid w:val="508B5BEF"/>
    <w:rsid w:val="508D49F6"/>
    <w:rsid w:val="509623AA"/>
    <w:rsid w:val="509947B0"/>
    <w:rsid w:val="509C6E7C"/>
    <w:rsid w:val="509D6FF7"/>
    <w:rsid w:val="509E57AB"/>
    <w:rsid w:val="50A97291"/>
    <w:rsid w:val="50AA42C7"/>
    <w:rsid w:val="50AD3DB7"/>
    <w:rsid w:val="50B040E7"/>
    <w:rsid w:val="50B11AF9"/>
    <w:rsid w:val="50B43398"/>
    <w:rsid w:val="50B909AE"/>
    <w:rsid w:val="50C15A67"/>
    <w:rsid w:val="50CA6717"/>
    <w:rsid w:val="50D15CF8"/>
    <w:rsid w:val="50D22EE7"/>
    <w:rsid w:val="50DD32E6"/>
    <w:rsid w:val="50DD469C"/>
    <w:rsid w:val="50E84F15"/>
    <w:rsid w:val="50EA4404"/>
    <w:rsid w:val="50ED0658"/>
    <w:rsid w:val="50F352E5"/>
    <w:rsid w:val="50F73284"/>
    <w:rsid w:val="50FE4613"/>
    <w:rsid w:val="51025EB1"/>
    <w:rsid w:val="51037E7B"/>
    <w:rsid w:val="510559A1"/>
    <w:rsid w:val="51121E6C"/>
    <w:rsid w:val="511778D1"/>
    <w:rsid w:val="51220612"/>
    <w:rsid w:val="51226553"/>
    <w:rsid w:val="51271F7E"/>
    <w:rsid w:val="51281690"/>
    <w:rsid w:val="5131339E"/>
    <w:rsid w:val="513168B9"/>
    <w:rsid w:val="513358DF"/>
    <w:rsid w:val="513818DA"/>
    <w:rsid w:val="513A0C0E"/>
    <w:rsid w:val="513A6B13"/>
    <w:rsid w:val="513D513B"/>
    <w:rsid w:val="513E0EB3"/>
    <w:rsid w:val="514402EF"/>
    <w:rsid w:val="514D0982"/>
    <w:rsid w:val="514F4E6E"/>
    <w:rsid w:val="51576E82"/>
    <w:rsid w:val="515801C7"/>
    <w:rsid w:val="51591E29"/>
    <w:rsid w:val="515B595B"/>
    <w:rsid w:val="515E007F"/>
    <w:rsid w:val="516066DB"/>
    <w:rsid w:val="5160707C"/>
    <w:rsid w:val="5162104E"/>
    <w:rsid w:val="51631640"/>
    <w:rsid w:val="516444DE"/>
    <w:rsid w:val="516E6ED8"/>
    <w:rsid w:val="51702517"/>
    <w:rsid w:val="51711289"/>
    <w:rsid w:val="5176064D"/>
    <w:rsid w:val="518A5306"/>
    <w:rsid w:val="518A7817"/>
    <w:rsid w:val="51911B8F"/>
    <w:rsid w:val="519531C9"/>
    <w:rsid w:val="519B00B4"/>
    <w:rsid w:val="51A46F68"/>
    <w:rsid w:val="51A753D3"/>
    <w:rsid w:val="51AE0F7B"/>
    <w:rsid w:val="51B9766F"/>
    <w:rsid w:val="51BA5593"/>
    <w:rsid w:val="51BC0756"/>
    <w:rsid w:val="51C70EA9"/>
    <w:rsid w:val="51CC64BF"/>
    <w:rsid w:val="51D32AE5"/>
    <w:rsid w:val="51DD06CC"/>
    <w:rsid w:val="51DD247A"/>
    <w:rsid w:val="51DF4444"/>
    <w:rsid w:val="51E1562D"/>
    <w:rsid w:val="51E33C89"/>
    <w:rsid w:val="51E41A5B"/>
    <w:rsid w:val="51E65239"/>
    <w:rsid w:val="51EE0B2B"/>
    <w:rsid w:val="51EE28D9"/>
    <w:rsid w:val="51F1661C"/>
    <w:rsid w:val="5204431E"/>
    <w:rsid w:val="52045C59"/>
    <w:rsid w:val="520B348B"/>
    <w:rsid w:val="520E4D2A"/>
    <w:rsid w:val="52122037"/>
    <w:rsid w:val="5215365D"/>
    <w:rsid w:val="52181704"/>
    <w:rsid w:val="521E2410"/>
    <w:rsid w:val="5221680B"/>
    <w:rsid w:val="52217969"/>
    <w:rsid w:val="522400A9"/>
    <w:rsid w:val="52244433"/>
    <w:rsid w:val="52287B99"/>
    <w:rsid w:val="522E717A"/>
    <w:rsid w:val="52320A18"/>
    <w:rsid w:val="5237602E"/>
    <w:rsid w:val="524244DF"/>
    <w:rsid w:val="52426781"/>
    <w:rsid w:val="52462715"/>
    <w:rsid w:val="52483D98"/>
    <w:rsid w:val="524D13AE"/>
    <w:rsid w:val="524E2FBC"/>
    <w:rsid w:val="524E5126"/>
    <w:rsid w:val="52500E9E"/>
    <w:rsid w:val="525057AA"/>
    <w:rsid w:val="525700B0"/>
    <w:rsid w:val="52574ECB"/>
    <w:rsid w:val="52584BD7"/>
    <w:rsid w:val="525941F7"/>
    <w:rsid w:val="525B6CEF"/>
    <w:rsid w:val="525E35BB"/>
    <w:rsid w:val="52636E23"/>
    <w:rsid w:val="527A33E5"/>
    <w:rsid w:val="52834BB8"/>
    <w:rsid w:val="52850AA4"/>
    <w:rsid w:val="528C45CC"/>
    <w:rsid w:val="528E597D"/>
    <w:rsid w:val="528F1410"/>
    <w:rsid w:val="52961E90"/>
    <w:rsid w:val="529671F9"/>
    <w:rsid w:val="52A64F62"/>
    <w:rsid w:val="52C21E54"/>
    <w:rsid w:val="52C27FEE"/>
    <w:rsid w:val="52C5188C"/>
    <w:rsid w:val="52C553E8"/>
    <w:rsid w:val="52C8137C"/>
    <w:rsid w:val="52D73AAB"/>
    <w:rsid w:val="52DD7B03"/>
    <w:rsid w:val="52E53CDC"/>
    <w:rsid w:val="52E8610E"/>
    <w:rsid w:val="52EC33C3"/>
    <w:rsid w:val="52F1442F"/>
    <w:rsid w:val="52F67C97"/>
    <w:rsid w:val="530D4FE1"/>
    <w:rsid w:val="530E3233"/>
    <w:rsid w:val="5310069C"/>
    <w:rsid w:val="53125328"/>
    <w:rsid w:val="532559D6"/>
    <w:rsid w:val="532A16EF"/>
    <w:rsid w:val="532A5B93"/>
    <w:rsid w:val="532C190B"/>
    <w:rsid w:val="532F31A9"/>
    <w:rsid w:val="5330338D"/>
    <w:rsid w:val="53312A7E"/>
    <w:rsid w:val="53397B84"/>
    <w:rsid w:val="533B1BB0"/>
    <w:rsid w:val="533D58C6"/>
    <w:rsid w:val="534851C2"/>
    <w:rsid w:val="535248BD"/>
    <w:rsid w:val="53563F10"/>
    <w:rsid w:val="535B176B"/>
    <w:rsid w:val="535B7AFB"/>
    <w:rsid w:val="535D1AC5"/>
    <w:rsid w:val="535E4EAC"/>
    <w:rsid w:val="536270DB"/>
    <w:rsid w:val="53666D3F"/>
    <w:rsid w:val="53682217"/>
    <w:rsid w:val="536A2433"/>
    <w:rsid w:val="536A41E2"/>
    <w:rsid w:val="536E5A80"/>
    <w:rsid w:val="536F35A6"/>
    <w:rsid w:val="537072BA"/>
    <w:rsid w:val="53715570"/>
    <w:rsid w:val="537231BE"/>
    <w:rsid w:val="53803A05"/>
    <w:rsid w:val="53853AFB"/>
    <w:rsid w:val="538E7ED0"/>
    <w:rsid w:val="538F56F6"/>
    <w:rsid w:val="53936B24"/>
    <w:rsid w:val="5394125E"/>
    <w:rsid w:val="539579A4"/>
    <w:rsid w:val="53961EF1"/>
    <w:rsid w:val="53A039CC"/>
    <w:rsid w:val="53A1505A"/>
    <w:rsid w:val="53A169D4"/>
    <w:rsid w:val="53A21BCD"/>
    <w:rsid w:val="53A45945"/>
    <w:rsid w:val="53AA4158"/>
    <w:rsid w:val="53AE2320"/>
    <w:rsid w:val="53B32279"/>
    <w:rsid w:val="53B33222"/>
    <w:rsid w:val="53B92A73"/>
    <w:rsid w:val="53BF452D"/>
    <w:rsid w:val="53C20A91"/>
    <w:rsid w:val="53C25DCC"/>
    <w:rsid w:val="53C32D17"/>
    <w:rsid w:val="53C41B44"/>
    <w:rsid w:val="53C64D9B"/>
    <w:rsid w:val="53D14261"/>
    <w:rsid w:val="53DA3115"/>
    <w:rsid w:val="53DD49B3"/>
    <w:rsid w:val="53E05348"/>
    <w:rsid w:val="53E43F94"/>
    <w:rsid w:val="53E92248"/>
    <w:rsid w:val="53EB5322"/>
    <w:rsid w:val="53FD2283"/>
    <w:rsid w:val="53FF49A6"/>
    <w:rsid w:val="5400590F"/>
    <w:rsid w:val="540168F4"/>
    <w:rsid w:val="540463E4"/>
    <w:rsid w:val="54063E08"/>
    <w:rsid w:val="54091C4C"/>
    <w:rsid w:val="541F321E"/>
    <w:rsid w:val="5428092D"/>
    <w:rsid w:val="542A5BF1"/>
    <w:rsid w:val="542B3971"/>
    <w:rsid w:val="542E520F"/>
    <w:rsid w:val="543162F7"/>
    <w:rsid w:val="54330A77"/>
    <w:rsid w:val="543437E8"/>
    <w:rsid w:val="543547EF"/>
    <w:rsid w:val="5435659E"/>
    <w:rsid w:val="54377B7E"/>
    <w:rsid w:val="5438706C"/>
    <w:rsid w:val="544B7822"/>
    <w:rsid w:val="544D38E7"/>
    <w:rsid w:val="544D7D8B"/>
    <w:rsid w:val="54520EFE"/>
    <w:rsid w:val="5452177E"/>
    <w:rsid w:val="545D78A2"/>
    <w:rsid w:val="545E3D46"/>
    <w:rsid w:val="5461213E"/>
    <w:rsid w:val="54617393"/>
    <w:rsid w:val="5463135D"/>
    <w:rsid w:val="54660E4D"/>
    <w:rsid w:val="546B0211"/>
    <w:rsid w:val="546B4BDF"/>
    <w:rsid w:val="546B6463"/>
    <w:rsid w:val="546E7D01"/>
    <w:rsid w:val="54770964"/>
    <w:rsid w:val="547A0454"/>
    <w:rsid w:val="547A48F8"/>
    <w:rsid w:val="548337AD"/>
    <w:rsid w:val="54857525"/>
    <w:rsid w:val="548B440F"/>
    <w:rsid w:val="548E5CAE"/>
    <w:rsid w:val="548F594D"/>
    <w:rsid w:val="5492579E"/>
    <w:rsid w:val="54936E88"/>
    <w:rsid w:val="54971006"/>
    <w:rsid w:val="54990ADB"/>
    <w:rsid w:val="54A43723"/>
    <w:rsid w:val="54A576B4"/>
    <w:rsid w:val="54A6749B"/>
    <w:rsid w:val="54A85393"/>
    <w:rsid w:val="54AB6860"/>
    <w:rsid w:val="54AC278A"/>
    <w:rsid w:val="54B03EEA"/>
    <w:rsid w:val="54B167A5"/>
    <w:rsid w:val="54B25E40"/>
    <w:rsid w:val="54B5164D"/>
    <w:rsid w:val="54B60678"/>
    <w:rsid w:val="54BC6CBF"/>
    <w:rsid w:val="54C33BA9"/>
    <w:rsid w:val="54C37597"/>
    <w:rsid w:val="54C60539"/>
    <w:rsid w:val="54C70191"/>
    <w:rsid w:val="54CD2165"/>
    <w:rsid w:val="54CE5923"/>
    <w:rsid w:val="54CE6966"/>
    <w:rsid w:val="54D172DA"/>
    <w:rsid w:val="54D47B64"/>
    <w:rsid w:val="54DA0EF3"/>
    <w:rsid w:val="54E16725"/>
    <w:rsid w:val="54EA6368"/>
    <w:rsid w:val="54EB1352"/>
    <w:rsid w:val="54EB72AE"/>
    <w:rsid w:val="54EE1700"/>
    <w:rsid w:val="54F010B9"/>
    <w:rsid w:val="54F71AA5"/>
    <w:rsid w:val="550223C7"/>
    <w:rsid w:val="55052414"/>
    <w:rsid w:val="550A7A2A"/>
    <w:rsid w:val="550C37A2"/>
    <w:rsid w:val="550D751A"/>
    <w:rsid w:val="55116D87"/>
    <w:rsid w:val="5512068D"/>
    <w:rsid w:val="55191A1B"/>
    <w:rsid w:val="55195ED1"/>
    <w:rsid w:val="552265B5"/>
    <w:rsid w:val="552865AE"/>
    <w:rsid w:val="552B0F6D"/>
    <w:rsid w:val="552C5BF2"/>
    <w:rsid w:val="5536095F"/>
    <w:rsid w:val="55384597"/>
    <w:rsid w:val="553D1BAE"/>
    <w:rsid w:val="553D6B7E"/>
    <w:rsid w:val="55402455"/>
    <w:rsid w:val="55424033"/>
    <w:rsid w:val="55432F3C"/>
    <w:rsid w:val="554967A4"/>
    <w:rsid w:val="554B0437"/>
    <w:rsid w:val="554B0F1D"/>
    <w:rsid w:val="554C1DF1"/>
    <w:rsid w:val="554E3DBB"/>
    <w:rsid w:val="554E7A8C"/>
    <w:rsid w:val="554F5B03"/>
    <w:rsid w:val="555313D1"/>
    <w:rsid w:val="5553570E"/>
    <w:rsid w:val="55567D78"/>
    <w:rsid w:val="555869E7"/>
    <w:rsid w:val="555962BC"/>
    <w:rsid w:val="55620AD4"/>
    <w:rsid w:val="55652944"/>
    <w:rsid w:val="5566599F"/>
    <w:rsid w:val="557219C2"/>
    <w:rsid w:val="557450CC"/>
    <w:rsid w:val="557650C0"/>
    <w:rsid w:val="557C1FAA"/>
    <w:rsid w:val="557F21C6"/>
    <w:rsid w:val="55801A9A"/>
    <w:rsid w:val="558570B1"/>
    <w:rsid w:val="558772CD"/>
    <w:rsid w:val="558C6691"/>
    <w:rsid w:val="558F6181"/>
    <w:rsid w:val="558F6A10"/>
    <w:rsid w:val="559106BB"/>
    <w:rsid w:val="55914F40"/>
    <w:rsid w:val="55935C72"/>
    <w:rsid w:val="559B174B"/>
    <w:rsid w:val="559D43FA"/>
    <w:rsid w:val="55A03EEB"/>
    <w:rsid w:val="55A27C63"/>
    <w:rsid w:val="55A41C2D"/>
    <w:rsid w:val="55A72E04"/>
    <w:rsid w:val="55A76221"/>
    <w:rsid w:val="55A9466F"/>
    <w:rsid w:val="55AC6D33"/>
    <w:rsid w:val="55AE6607"/>
    <w:rsid w:val="55B160F8"/>
    <w:rsid w:val="55B17EA6"/>
    <w:rsid w:val="55B41744"/>
    <w:rsid w:val="55B856D8"/>
    <w:rsid w:val="55C0458D"/>
    <w:rsid w:val="55C207CD"/>
    <w:rsid w:val="55C55AC1"/>
    <w:rsid w:val="55C7591B"/>
    <w:rsid w:val="55C94D0E"/>
    <w:rsid w:val="55CA0F67"/>
    <w:rsid w:val="55CE0CF4"/>
    <w:rsid w:val="55D342C0"/>
    <w:rsid w:val="55D41DE6"/>
    <w:rsid w:val="55D6790C"/>
    <w:rsid w:val="55D818D6"/>
    <w:rsid w:val="55D93ED6"/>
    <w:rsid w:val="55DD6EED"/>
    <w:rsid w:val="55E6461A"/>
    <w:rsid w:val="55EA33B8"/>
    <w:rsid w:val="55F304BE"/>
    <w:rsid w:val="55FF3307"/>
    <w:rsid w:val="56075D18"/>
    <w:rsid w:val="56114DE8"/>
    <w:rsid w:val="5612303A"/>
    <w:rsid w:val="56156687"/>
    <w:rsid w:val="561641AD"/>
    <w:rsid w:val="56190555"/>
    <w:rsid w:val="561C2065"/>
    <w:rsid w:val="561D19DF"/>
    <w:rsid w:val="56237FD6"/>
    <w:rsid w:val="562E14F6"/>
    <w:rsid w:val="562F67CA"/>
    <w:rsid w:val="563053E6"/>
    <w:rsid w:val="56332FB1"/>
    <w:rsid w:val="563565ED"/>
    <w:rsid w:val="56356D29"/>
    <w:rsid w:val="563740DE"/>
    <w:rsid w:val="56466840"/>
    <w:rsid w:val="564B02FA"/>
    <w:rsid w:val="564B654C"/>
    <w:rsid w:val="564C327E"/>
    <w:rsid w:val="56502E20"/>
    <w:rsid w:val="56505911"/>
    <w:rsid w:val="565114C6"/>
    <w:rsid w:val="565371AF"/>
    <w:rsid w:val="56554CD5"/>
    <w:rsid w:val="5666172C"/>
    <w:rsid w:val="56665134"/>
    <w:rsid w:val="56666EE2"/>
    <w:rsid w:val="56674A08"/>
    <w:rsid w:val="56692432"/>
    <w:rsid w:val="566D3E5D"/>
    <w:rsid w:val="566D52ED"/>
    <w:rsid w:val="56717635"/>
    <w:rsid w:val="567333AD"/>
    <w:rsid w:val="56847368"/>
    <w:rsid w:val="56867733"/>
    <w:rsid w:val="568832FC"/>
    <w:rsid w:val="568B6949"/>
    <w:rsid w:val="5691462E"/>
    <w:rsid w:val="56925F29"/>
    <w:rsid w:val="56927CD7"/>
    <w:rsid w:val="56962345"/>
    <w:rsid w:val="569C0B56"/>
    <w:rsid w:val="56A31EE4"/>
    <w:rsid w:val="56A93273"/>
    <w:rsid w:val="56A96DCF"/>
    <w:rsid w:val="56AE4F0A"/>
    <w:rsid w:val="56B0015D"/>
    <w:rsid w:val="56B13CD2"/>
    <w:rsid w:val="56B14607"/>
    <w:rsid w:val="56B22A9C"/>
    <w:rsid w:val="56C9121F"/>
    <w:rsid w:val="56CE62D0"/>
    <w:rsid w:val="56D54257"/>
    <w:rsid w:val="56D976B4"/>
    <w:rsid w:val="56D97F48"/>
    <w:rsid w:val="56DE45CD"/>
    <w:rsid w:val="56DF0A43"/>
    <w:rsid w:val="56E16569"/>
    <w:rsid w:val="56EE5B8F"/>
    <w:rsid w:val="56EF512A"/>
    <w:rsid w:val="56F42740"/>
    <w:rsid w:val="56F664B8"/>
    <w:rsid w:val="56F73FDE"/>
    <w:rsid w:val="56FC33A3"/>
    <w:rsid w:val="56FE35BF"/>
    <w:rsid w:val="57007337"/>
    <w:rsid w:val="57064221"/>
    <w:rsid w:val="57106E4E"/>
    <w:rsid w:val="57122BC6"/>
    <w:rsid w:val="5712706A"/>
    <w:rsid w:val="57137C33"/>
    <w:rsid w:val="57154464"/>
    <w:rsid w:val="57196706"/>
    <w:rsid w:val="571B7CCD"/>
    <w:rsid w:val="5721105B"/>
    <w:rsid w:val="57270A88"/>
    <w:rsid w:val="572A3955"/>
    <w:rsid w:val="572C2786"/>
    <w:rsid w:val="57364B06"/>
    <w:rsid w:val="573963A5"/>
    <w:rsid w:val="573E7E5F"/>
    <w:rsid w:val="573F15EA"/>
    <w:rsid w:val="57430FD1"/>
    <w:rsid w:val="574436DA"/>
    <w:rsid w:val="574511ED"/>
    <w:rsid w:val="57456BD3"/>
    <w:rsid w:val="57476652"/>
    <w:rsid w:val="57482A8C"/>
    <w:rsid w:val="5749020C"/>
    <w:rsid w:val="57547004"/>
    <w:rsid w:val="5755300C"/>
    <w:rsid w:val="5758646C"/>
    <w:rsid w:val="575B27BF"/>
    <w:rsid w:val="575B456D"/>
    <w:rsid w:val="575B774B"/>
    <w:rsid w:val="575C2093"/>
    <w:rsid w:val="575D644F"/>
    <w:rsid w:val="57601B83"/>
    <w:rsid w:val="576553EC"/>
    <w:rsid w:val="57672F12"/>
    <w:rsid w:val="57680A38"/>
    <w:rsid w:val="576C64D8"/>
    <w:rsid w:val="576F0018"/>
    <w:rsid w:val="5774562F"/>
    <w:rsid w:val="57762B00"/>
    <w:rsid w:val="57776ECD"/>
    <w:rsid w:val="577B4C0F"/>
    <w:rsid w:val="577C44E3"/>
    <w:rsid w:val="57882E88"/>
    <w:rsid w:val="578C0BCA"/>
    <w:rsid w:val="578F4217"/>
    <w:rsid w:val="57904B13"/>
    <w:rsid w:val="579161E1"/>
    <w:rsid w:val="579D05A5"/>
    <w:rsid w:val="579E26AC"/>
    <w:rsid w:val="57A203EE"/>
    <w:rsid w:val="57AA72A2"/>
    <w:rsid w:val="57AB72DA"/>
    <w:rsid w:val="57AE6D93"/>
    <w:rsid w:val="57AF2B0B"/>
    <w:rsid w:val="57B13CA2"/>
    <w:rsid w:val="57B1418D"/>
    <w:rsid w:val="57B20595"/>
    <w:rsid w:val="57B34FC6"/>
    <w:rsid w:val="57B51D71"/>
    <w:rsid w:val="57B72A76"/>
    <w:rsid w:val="57BB7557"/>
    <w:rsid w:val="57BE194A"/>
    <w:rsid w:val="57BE5D7F"/>
    <w:rsid w:val="57C049B1"/>
    <w:rsid w:val="57C10AC3"/>
    <w:rsid w:val="57C96694"/>
    <w:rsid w:val="57CB5604"/>
    <w:rsid w:val="57D165DD"/>
    <w:rsid w:val="57D66BD7"/>
    <w:rsid w:val="57D86F9C"/>
    <w:rsid w:val="57D91936"/>
    <w:rsid w:val="57DA3E17"/>
    <w:rsid w:val="57DB571A"/>
    <w:rsid w:val="57DD31D4"/>
    <w:rsid w:val="57E427B4"/>
    <w:rsid w:val="57E75E01"/>
    <w:rsid w:val="57F56CC7"/>
    <w:rsid w:val="57FB7462"/>
    <w:rsid w:val="57FE314A"/>
    <w:rsid w:val="58021527"/>
    <w:rsid w:val="58027680"/>
    <w:rsid w:val="58042493"/>
    <w:rsid w:val="580764A3"/>
    <w:rsid w:val="58077BB0"/>
    <w:rsid w:val="580C1D0B"/>
    <w:rsid w:val="580F2368"/>
    <w:rsid w:val="581110D0"/>
    <w:rsid w:val="5814471C"/>
    <w:rsid w:val="58215A55"/>
    <w:rsid w:val="58244F2D"/>
    <w:rsid w:val="58256929"/>
    <w:rsid w:val="58273B30"/>
    <w:rsid w:val="5827444F"/>
    <w:rsid w:val="582806CF"/>
    <w:rsid w:val="582B03E3"/>
    <w:rsid w:val="582B57B9"/>
    <w:rsid w:val="582E7AAF"/>
    <w:rsid w:val="583077A8"/>
    <w:rsid w:val="58315248"/>
    <w:rsid w:val="583542BF"/>
    <w:rsid w:val="583628E4"/>
    <w:rsid w:val="583E06A5"/>
    <w:rsid w:val="584204B6"/>
    <w:rsid w:val="58421289"/>
    <w:rsid w:val="584274DB"/>
    <w:rsid w:val="585B059D"/>
    <w:rsid w:val="585F111F"/>
    <w:rsid w:val="58647451"/>
    <w:rsid w:val="586C27AA"/>
    <w:rsid w:val="586D5636"/>
    <w:rsid w:val="58704048"/>
    <w:rsid w:val="58737694"/>
    <w:rsid w:val="587753D7"/>
    <w:rsid w:val="58791C73"/>
    <w:rsid w:val="58847AF3"/>
    <w:rsid w:val="588E44CE"/>
    <w:rsid w:val="58923090"/>
    <w:rsid w:val="589870FB"/>
    <w:rsid w:val="589B2863"/>
    <w:rsid w:val="589C1963"/>
    <w:rsid w:val="589C4E3D"/>
    <w:rsid w:val="58A3441E"/>
    <w:rsid w:val="58A610F9"/>
    <w:rsid w:val="58AD0727"/>
    <w:rsid w:val="58AE691E"/>
    <w:rsid w:val="58B73A25"/>
    <w:rsid w:val="58BC54DF"/>
    <w:rsid w:val="58BE32CF"/>
    <w:rsid w:val="58C1194C"/>
    <w:rsid w:val="58CD2411"/>
    <w:rsid w:val="58D04AE7"/>
    <w:rsid w:val="58D345D7"/>
    <w:rsid w:val="58D42829"/>
    <w:rsid w:val="58D74519"/>
    <w:rsid w:val="58DA7713"/>
    <w:rsid w:val="58E14F46"/>
    <w:rsid w:val="58E379EF"/>
    <w:rsid w:val="58E467E4"/>
    <w:rsid w:val="58E662A8"/>
    <w:rsid w:val="58E90251"/>
    <w:rsid w:val="58E93DFA"/>
    <w:rsid w:val="58EE31BF"/>
    <w:rsid w:val="58F509F1"/>
    <w:rsid w:val="59044790"/>
    <w:rsid w:val="59077622"/>
    <w:rsid w:val="590824D3"/>
    <w:rsid w:val="590A49E9"/>
    <w:rsid w:val="590D7AE9"/>
    <w:rsid w:val="590F3E15"/>
    <w:rsid w:val="591250FF"/>
    <w:rsid w:val="5914119B"/>
    <w:rsid w:val="5915699E"/>
    <w:rsid w:val="591623EB"/>
    <w:rsid w:val="591841DB"/>
    <w:rsid w:val="591946E0"/>
    <w:rsid w:val="591C2557"/>
    <w:rsid w:val="591C7D2C"/>
    <w:rsid w:val="591F6730"/>
    <w:rsid w:val="59282B75"/>
    <w:rsid w:val="593212FE"/>
    <w:rsid w:val="59350DEE"/>
    <w:rsid w:val="593626AB"/>
    <w:rsid w:val="59372DB8"/>
    <w:rsid w:val="5939268C"/>
    <w:rsid w:val="593E7CA2"/>
    <w:rsid w:val="593F3A1A"/>
    <w:rsid w:val="59411DC7"/>
    <w:rsid w:val="594A4899"/>
    <w:rsid w:val="595219A0"/>
    <w:rsid w:val="59544FF5"/>
    <w:rsid w:val="595B6AA6"/>
    <w:rsid w:val="595D2309"/>
    <w:rsid w:val="59653481"/>
    <w:rsid w:val="596D0588"/>
    <w:rsid w:val="596D2336"/>
    <w:rsid w:val="596D67DA"/>
    <w:rsid w:val="597263D6"/>
    <w:rsid w:val="59796F2C"/>
    <w:rsid w:val="597F2FE0"/>
    <w:rsid w:val="59822285"/>
    <w:rsid w:val="598237B0"/>
    <w:rsid w:val="5983774C"/>
    <w:rsid w:val="5988716F"/>
    <w:rsid w:val="598A738C"/>
    <w:rsid w:val="598B7AD8"/>
    <w:rsid w:val="59936A31"/>
    <w:rsid w:val="599C2C1B"/>
    <w:rsid w:val="599C4367"/>
    <w:rsid w:val="599E2524"/>
    <w:rsid w:val="59A34D8E"/>
    <w:rsid w:val="59A541C5"/>
    <w:rsid w:val="59A87812"/>
    <w:rsid w:val="59AA453F"/>
    <w:rsid w:val="59AA5338"/>
    <w:rsid w:val="59AC7302"/>
    <w:rsid w:val="59AF6DF2"/>
    <w:rsid w:val="59B2243E"/>
    <w:rsid w:val="59B526F2"/>
    <w:rsid w:val="59B57AB7"/>
    <w:rsid w:val="59B63CDD"/>
    <w:rsid w:val="59BE7035"/>
    <w:rsid w:val="59C12681"/>
    <w:rsid w:val="59C3464B"/>
    <w:rsid w:val="59C54E94"/>
    <w:rsid w:val="59C82CB8"/>
    <w:rsid w:val="59C97EB4"/>
    <w:rsid w:val="59CA7788"/>
    <w:rsid w:val="59CF4D9E"/>
    <w:rsid w:val="59D03A04"/>
    <w:rsid w:val="59D12BC9"/>
    <w:rsid w:val="59D2488F"/>
    <w:rsid w:val="59D57095"/>
    <w:rsid w:val="59DD6583"/>
    <w:rsid w:val="59DF7BD4"/>
    <w:rsid w:val="59E051FD"/>
    <w:rsid w:val="59E51BA8"/>
    <w:rsid w:val="59EA1BD8"/>
    <w:rsid w:val="59F40CA9"/>
    <w:rsid w:val="59F6007B"/>
    <w:rsid w:val="59F73AC1"/>
    <w:rsid w:val="59F8263F"/>
    <w:rsid w:val="5A094754"/>
    <w:rsid w:val="5A0F41EE"/>
    <w:rsid w:val="5A1F56FD"/>
    <w:rsid w:val="5A2275C4"/>
    <w:rsid w:val="5A236E98"/>
    <w:rsid w:val="5A277C43"/>
    <w:rsid w:val="5A296BA4"/>
    <w:rsid w:val="5A2E1F00"/>
    <w:rsid w:val="5A3115B5"/>
    <w:rsid w:val="5A380B96"/>
    <w:rsid w:val="5A3A490E"/>
    <w:rsid w:val="5A3C747D"/>
    <w:rsid w:val="5A407A4A"/>
    <w:rsid w:val="5A4237C2"/>
    <w:rsid w:val="5A4455DB"/>
    <w:rsid w:val="5A490FF5"/>
    <w:rsid w:val="5A4A4609"/>
    <w:rsid w:val="5A4E0252"/>
    <w:rsid w:val="5A50597F"/>
    <w:rsid w:val="5A555C7D"/>
    <w:rsid w:val="5A5906B0"/>
    <w:rsid w:val="5A6019BB"/>
    <w:rsid w:val="5A655703"/>
    <w:rsid w:val="5A6730BD"/>
    <w:rsid w:val="5A6951F3"/>
    <w:rsid w:val="5A6E45B7"/>
    <w:rsid w:val="5A716D8E"/>
    <w:rsid w:val="5A7410C5"/>
    <w:rsid w:val="5A805270"/>
    <w:rsid w:val="5A841270"/>
    <w:rsid w:val="5A89083A"/>
    <w:rsid w:val="5A8913F1"/>
    <w:rsid w:val="5A8C2C8F"/>
    <w:rsid w:val="5AA1498D"/>
    <w:rsid w:val="5AA47FD9"/>
    <w:rsid w:val="5AB02E22"/>
    <w:rsid w:val="5AB04F68"/>
    <w:rsid w:val="5ABA3F0F"/>
    <w:rsid w:val="5ABC3575"/>
    <w:rsid w:val="5ABE2233"/>
    <w:rsid w:val="5ABF12B7"/>
    <w:rsid w:val="5AC02939"/>
    <w:rsid w:val="5AC061CA"/>
    <w:rsid w:val="5AC468CD"/>
    <w:rsid w:val="5AC81FAD"/>
    <w:rsid w:val="5ACD7DA0"/>
    <w:rsid w:val="5ACE63A1"/>
    <w:rsid w:val="5ADA34F9"/>
    <w:rsid w:val="5ADC59C5"/>
    <w:rsid w:val="5AE55CE6"/>
    <w:rsid w:val="5AE605F2"/>
    <w:rsid w:val="5AF160F4"/>
    <w:rsid w:val="5AF56A87"/>
    <w:rsid w:val="5AFC6067"/>
    <w:rsid w:val="5AFC7E15"/>
    <w:rsid w:val="5AFE3B8D"/>
    <w:rsid w:val="5AFF16B3"/>
    <w:rsid w:val="5B01542B"/>
    <w:rsid w:val="5B0B1E06"/>
    <w:rsid w:val="5B13515F"/>
    <w:rsid w:val="5B1909C7"/>
    <w:rsid w:val="5B1F079D"/>
    <w:rsid w:val="5B1F58B2"/>
    <w:rsid w:val="5B276D18"/>
    <w:rsid w:val="5B297096"/>
    <w:rsid w:val="5B33135D"/>
    <w:rsid w:val="5B3529C3"/>
    <w:rsid w:val="5B363143"/>
    <w:rsid w:val="5B4D5DFB"/>
    <w:rsid w:val="5B4D68C3"/>
    <w:rsid w:val="5B5437AD"/>
    <w:rsid w:val="5B597015"/>
    <w:rsid w:val="5B5A4B3C"/>
    <w:rsid w:val="5B5B5B3E"/>
    <w:rsid w:val="5B5C08B4"/>
    <w:rsid w:val="5B5E3454"/>
    <w:rsid w:val="5B6065F6"/>
    <w:rsid w:val="5B6139D7"/>
    <w:rsid w:val="5B61411C"/>
    <w:rsid w:val="5B6C3CDC"/>
    <w:rsid w:val="5B7200D7"/>
    <w:rsid w:val="5B7213D8"/>
    <w:rsid w:val="5B765E19"/>
    <w:rsid w:val="5B7C4516"/>
    <w:rsid w:val="5B7E082A"/>
    <w:rsid w:val="5B800A46"/>
    <w:rsid w:val="5B804F69"/>
    <w:rsid w:val="5B8322E4"/>
    <w:rsid w:val="5B863B83"/>
    <w:rsid w:val="5B9444F1"/>
    <w:rsid w:val="5B962018"/>
    <w:rsid w:val="5B995664"/>
    <w:rsid w:val="5B9960CD"/>
    <w:rsid w:val="5BA34735"/>
    <w:rsid w:val="5BA74225"/>
    <w:rsid w:val="5BAC15F8"/>
    <w:rsid w:val="5BAC2986"/>
    <w:rsid w:val="5BB02677"/>
    <w:rsid w:val="5BB5294E"/>
    <w:rsid w:val="5BD42B40"/>
    <w:rsid w:val="5BD5353A"/>
    <w:rsid w:val="5BD67531"/>
    <w:rsid w:val="5BD75AB2"/>
    <w:rsid w:val="5BD82630"/>
    <w:rsid w:val="5BD91B0B"/>
    <w:rsid w:val="5BDF5D95"/>
    <w:rsid w:val="5BE00642"/>
    <w:rsid w:val="5BE978C8"/>
    <w:rsid w:val="5BEC1C38"/>
    <w:rsid w:val="5BED775E"/>
    <w:rsid w:val="5BF31960"/>
    <w:rsid w:val="5BF64864"/>
    <w:rsid w:val="5BF8281F"/>
    <w:rsid w:val="5BFF4CBE"/>
    <w:rsid w:val="5C042965"/>
    <w:rsid w:val="5C0827EA"/>
    <w:rsid w:val="5C0C4E98"/>
    <w:rsid w:val="5C0E3BCB"/>
    <w:rsid w:val="5C1271C4"/>
    <w:rsid w:val="5C151583"/>
    <w:rsid w:val="5C190553"/>
    <w:rsid w:val="5C1967A5"/>
    <w:rsid w:val="5C1B076F"/>
    <w:rsid w:val="5C1B251D"/>
    <w:rsid w:val="5C2238AB"/>
    <w:rsid w:val="5C225659"/>
    <w:rsid w:val="5C2313D1"/>
    <w:rsid w:val="5C237623"/>
    <w:rsid w:val="5C2440E9"/>
    <w:rsid w:val="5C2B0664"/>
    <w:rsid w:val="5C2F421A"/>
    <w:rsid w:val="5C34538D"/>
    <w:rsid w:val="5C3559D8"/>
    <w:rsid w:val="5C3933B5"/>
    <w:rsid w:val="5C4850FD"/>
    <w:rsid w:val="5C485468"/>
    <w:rsid w:val="5C4E28BC"/>
    <w:rsid w:val="5C5305C6"/>
    <w:rsid w:val="5C553C81"/>
    <w:rsid w:val="5C58551F"/>
    <w:rsid w:val="5C5C1087"/>
    <w:rsid w:val="5C62639E"/>
    <w:rsid w:val="5C65155C"/>
    <w:rsid w:val="5C663787"/>
    <w:rsid w:val="5C6E7D9F"/>
    <w:rsid w:val="5C757E7F"/>
    <w:rsid w:val="5C7D31D8"/>
    <w:rsid w:val="5C7E4CC3"/>
    <w:rsid w:val="5C8509BC"/>
    <w:rsid w:val="5C86208C"/>
    <w:rsid w:val="5C877BB2"/>
    <w:rsid w:val="5C8E7193"/>
    <w:rsid w:val="5C91458D"/>
    <w:rsid w:val="5C9E33F5"/>
    <w:rsid w:val="5C9F4EFC"/>
    <w:rsid w:val="5CA16EC6"/>
    <w:rsid w:val="5CA2679A"/>
    <w:rsid w:val="5CA42512"/>
    <w:rsid w:val="5CA64CDB"/>
    <w:rsid w:val="5CA93FCD"/>
    <w:rsid w:val="5CAB49EC"/>
    <w:rsid w:val="5CBC5AAE"/>
    <w:rsid w:val="5CBF10FA"/>
    <w:rsid w:val="5CC05F06"/>
    <w:rsid w:val="5CC26E3C"/>
    <w:rsid w:val="5CC606DB"/>
    <w:rsid w:val="5CC6692D"/>
    <w:rsid w:val="5CC74949"/>
    <w:rsid w:val="5CC932A2"/>
    <w:rsid w:val="5CCD7CBB"/>
    <w:rsid w:val="5CD1707F"/>
    <w:rsid w:val="5CD32DF8"/>
    <w:rsid w:val="5CD76373"/>
    <w:rsid w:val="5CD765E0"/>
    <w:rsid w:val="5CDC7EFE"/>
    <w:rsid w:val="5CE172C2"/>
    <w:rsid w:val="5CEA4796"/>
    <w:rsid w:val="5CEB3BAF"/>
    <w:rsid w:val="5CEC5C67"/>
    <w:rsid w:val="5CED0456"/>
    <w:rsid w:val="5CEE378D"/>
    <w:rsid w:val="5CF54079"/>
    <w:rsid w:val="5CFB5EAA"/>
    <w:rsid w:val="5D0531AA"/>
    <w:rsid w:val="5D082FB3"/>
    <w:rsid w:val="5D1256CE"/>
    <w:rsid w:val="5D1551BE"/>
    <w:rsid w:val="5D1B2582"/>
    <w:rsid w:val="5D1D22C5"/>
    <w:rsid w:val="5D1D3926"/>
    <w:rsid w:val="5D1D77F0"/>
    <w:rsid w:val="5D235B2D"/>
    <w:rsid w:val="5D246CC2"/>
    <w:rsid w:val="5D2D075A"/>
    <w:rsid w:val="5D2E6280"/>
    <w:rsid w:val="5D355860"/>
    <w:rsid w:val="5D35760E"/>
    <w:rsid w:val="5D37598E"/>
    <w:rsid w:val="5D395350"/>
    <w:rsid w:val="5D3C099D"/>
    <w:rsid w:val="5D3F223B"/>
    <w:rsid w:val="5D42314C"/>
    <w:rsid w:val="5D494E68"/>
    <w:rsid w:val="5D506C47"/>
    <w:rsid w:val="5D5C103F"/>
    <w:rsid w:val="5D616655"/>
    <w:rsid w:val="5D6B7618"/>
    <w:rsid w:val="5D7235D2"/>
    <w:rsid w:val="5D730D16"/>
    <w:rsid w:val="5D78456B"/>
    <w:rsid w:val="5D7874FB"/>
    <w:rsid w:val="5D7C523D"/>
    <w:rsid w:val="5D7E0FB5"/>
    <w:rsid w:val="5D814602"/>
    <w:rsid w:val="5D821189"/>
    <w:rsid w:val="5D87291D"/>
    <w:rsid w:val="5D900CE9"/>
    <w:rsid w:val="5D931964"/>
    <w:rsid w:val="5D94616F"/>
    <w:rsid w:val="5D955EEB"/>
    <w:rsid w:val="5D9A7B05"/>
    <w:rsid w:val="5DB171DF"/>
    <w:rsid w:val="5DB577BD"/>
    <w:rsid w:val="5DB90A1A"/>
    <w:rsid w:val="5DB93D9B"/>
    <w:rsid w:val="5DBC6D53"/>
    <w:rsid w:val="5DC866D4"/>
    <w:rsid w:val="5DD1456E"/>
    <w:rsid w:val="5DD40BD5"/>
    <w:rsid w:val="5DDB1F64"/>
    <w:rsid w:val="5DDE6C37"/>
    <w:rsid w:val="5DE057CC"/>
    <w:rsid w:val="5DE0757A"/>
    <w:rsid w:val="5DE415FC"/>
    <w:rsid w:val="5DEB63BE"/>
    <w:rsid w:val="5DEC4171"/>
    <w:rsid w:val="5DF3340F"/>
    <w:rsid w:val="5DF41277"/>
    <w:rsid w:val="5DF64FF0"/>
    <w:rsid w:val="5DF87A0F"/>
    <w:rsid w:val="5DFF2729"/>
    <w:rsid w:val="5E044CCE"/>
    <w:rsid w:val="5E0A1E55"/>
    <w:rsid w:val="5E0C3C77"/>
    <w:rsid w:val="5E0F35C8"/>
    <w:rsid w:val="5E122843"/>
    <w:rsid w:val="5E176D14"/>
    <w:rsid w:val="5E18501A"/>
    <w:rsid w:val="5E192A8C"/>
    <w:rsid w:val="5E337FF2"/>
    <w:rsid w:val="5E3D49CC"/>
    <w:rsid w:val="5E40270F"/>
    <w:rsid w:val="5E40626B"/>
    <w:rsid w:val="5E447AB7"/>
    <w:rsid w:val="5E483371"/>
    <w:rsid w:val="5E4915C3"/>
    <w:rsid w:val="5E4C10B3"/>
    <w:rsid w:val="5E512226"/>
    <w:rsid w:val="5E541D16"/>
    <w:rsid w:val="5E547F68"/>
    <w:rsid w:val="5E56783C"/>
    <w:rsid w:val="5E5D0BCB"/>
    <w:rsid w:val="5E653F23"/>
    <w:rsid w:val="5E6774CF"/>
    <w:rsid w:val="5E695530"/>
    <w:rsid w:val="5E6C3604"/>
    <w:rsid w:val="5E6D5004"/>
    <w:rsid w:val="5E710B1A"/>
    <w:rsid w:val="5E745F14"/>
    <w:rsid w:val="5E781EA8"/>
    <w:rsid w:val="5E7A1EB6"/>
    <w:rsid w:val="5E7A3283"/>
    <w:rsid w:val="5E7B278E"/>
    <w:rsid w:val="5E7D126D"/>
    <w:rsid w:val="5E806C53"/>
    <w:rsid w:val="5E892B2C"/>
    <w:rsid w:val="5E8E347A"/>
    <w:rsid w:val="5E913942"/>
    <w:rsid w:val="5E916AC6"/>
    <w:rsid w:val="5E9842F9"/>
    <w:rsid w:val="5EA20CD3"/>
    <w:rsid w:val="5EA66A16"/>
    <w:rsid w:val="5EA92062"/>
    <w:rsid w:val="5EA92521"/>
    <w:rsid w:val="5EAB5E7A"/>
    <w:rsid w:val="5EAE1426"/>
    <w:rsid w:val="5EB06860"/>
    <w:rsid w:val="5EB66A16"/>
    <w:rsid w:val="5EC073AC"/>
    <w:rsid w:val="5EC73D97"/>
    <w:rsid w:val="5EC92704"/>
    <w:rsid w:val="5ECA48B8"/>
    <w:rsid w:val="5ECF37B3"/>
    <w:rsid w:val="5ED115B9"/>
    <w:rsid w:val="5ED6097D"/>
    <w:rsid w:val="5ED846F5"/>
    <w:rsid w:val="5EDC303D"/>
    <w:rsid w:val="5EE4753E"/>
    <w:rsid w:val="5EE66E12"/>
    <w:rsid w:val="5EE80859"/>
    <w:rsid w:val="5EE82168"/>
    <w:rsid w:val="5EEE5CC7"/>
    <w:rsid w:val="5EF62DCD"/>
    <w:rsid w:val="5EF77271"/>
    <w:rsid w:val="5F0059FA"/>
    <w:rsid w:val="5F013C4C"/>
    <w:rsid w:val="5F061E42"/>
    <w:rsid w:val="5F08322C"/>
    <w:rsid w:val="5F092B01"/>
    <w:rsid w:val="5F0E45BB"/>
    <w:rsid w:val="5F0E7E34"/>
    <w:rsid w:val="5F13572D"/>
    <w:rsid w:val="5F1576F7"/>
    <w:rsid w:val="5F1A2B43"/>
    <w:rsid w:val="5F1D035A"/>
    <w:rsid w:val="5F1F2324"/>
    <w:rsid w:val="5F21088D"/>
    <w:rsid w:val="5F245B8C"/>
    <w:rsid w:val="5F2A478A"/>
    <w:rsid w:val="5F2C67EF"/>
    <w:rsid w:val="5F2F7495"/>
    <w:rsid w:val="5F304531"/>
    <w:rsid w:val="5F3F4090"/>
    <w:rsid w:val="5F405364"/>
    <w:rsid w:val="5F4A7642"/>
    <w:rsid w:val="5F4B3F80"/>
    <w:rsid w:val="5F517FA0"/>
    <w:rsid w:val="5F5226F9"/>
    <w:rsid w:val="5F546472"/>
    <w:rsid w:val="5F574DB8"/>
    <w:rsid w:val="5F577D10"/>
    <w:rsid w:val="5F5A6C59"/>
    <w:rsid w:val="5F5F4E16"/>
    <w:rsid w:val="5F675A73"/>
    <w:rsid w:val="5F6B7317"/>
    <w:rsid w:val="5F6D12E1"/>
    <w:rsid w:val="5F700DD2"/>
    <w:rsid w:val="5F752C58"/>
    <w:rsid w:val="5F75455E"/>
    <w:rsid w:val="5F761608"/>
    <w:rsid w:val="5F7D704B"/>
    <w:rsid w:val="5F7E34EF"/>
    <w:rsid w:val="5F8605F5"/>
    <w:rsid w:val="5F8623A3"/>
    <w:rsid w:val="5F8C218A"/>
    <w:rsid w:val="5F8D4DCC"/>
    <w:rsid w:val="5F8D54E0"/>
    <w:rsid w:val="5F8E1258"/>
    <w:rsid w:val="5F920D48"/>
    <w:rsid w:val="5FA34D03"/>
    <w:rsid w:val="5FA42829"/>
    <w:rsid w:val="5FA8056B"/>
    <w:rsid w:val="5FAA6092"/>
    <w:rsid w:val="5FAD000C"/>
    <w:rsid w:val="5FB31BE9"/>
    <w:rsid w:val="5FB36ECE"/>
    <w:rsid w:val="5FB707AE"/>
    <w:rsid w:val="5FB837BB"/>
    <w:rsid w:val="5FBA204D"/>
    <w:rsid w:val="5FBD3482"/>
    <w:rsid w:val="5FBE38EB"/>
    <w:rsid w:val="5FC773F1"/>
    <w:rsid w:val="5FCB6008"/>
    <w:rsid w:val="5FCD1D80"/>
    <w:rsid w:val="5FD27396"/>
    <w:rsid w:val="5FD44EBD"/>
    <w:rsid w:val="5FDA65D9"/>
    <w:rsid w:val="5FE23F34"/>
    <w:rsid w:val="5FE315A4"/>
    <w:rsid w:val="5FED41D0"/>
    <w:rsid w:val="5FEF619A"/>
    <w:rsid w:val="5FF732A1"/>
    <w:rsid w:val="5FF7504F"/>
    <w:rsid w:val="5FFF04A2"/>
    <w:rsid w:val="60002155"/>
    <w:rsid w:val="600357A2"/>
    <w:rsid w:val="60065E0F"/>
    <w:rsid w:val="600D44FB"/>
    <w:rsid w:val="600E3E9F"/>
    <w:rsid w:val="60125EE4"/>
    <w:rsid w:val="60165DCB"/>
    <w:rsid w:val="601A63AB"/>
    <w:rsid w:val="602A71D2"/>
    <w:rsid w:val="602C4CF9"/>
    <w:rsid w:val="603911C4"/>
    <w:rsid w:val="603F6369"/>
    <w:rsid w:val="60402552"/>
    <w:rsid w:val="60432479"/>
    <w:rsid w:val="6047263F"/>
    <w:rsid w:val="60477D84"/>
    <w:rsid w:val="604D4C6F"/>
    <w:rsid w:val="6054424F"/>
    <w:rsid w:val="60594A54"/>
    <w:rsid w:val="60737D20"/>
    <w:rsid w:val="607D004F"/>
    <w:rsid w:val="607E307A"/>
    <w:rsid w:val="60880F62"/>
    <w:rsid w:val="608F34D9"/>
    <w:rsid w:val="60912DAE"/>
    <w:rsid w:val="60917251"/>
    <w:rsid w:val="6098413C"/>
    <w:rsid w:val="60986577"/>
    <w:rsid w:val="60997EB4"/>
    <w:rsid w:val="609D069B"/>
    <w:rsid w:val="609D11F2"/>
    <w:rsid w:val="609D79A4"/>
    <w:rsid w:val="609E371C"/>
    <w:rsid w:val="60A07495"/>
    <w:rsid w:val="60A56859"/>
    <w:rsid w:val="60A76A75"/>
    <w:rsid w:val="60AC1FF9"/>
    <w:rsid w:val="60AE14F9"/>
    <w:rsid w:val="60B13610"/>
    <w:rsid w:val="60B22A8D"/>
    <w:rsid w:val="60B66CA1"/>
    <w:rsid w:val="60B66CB8"/>
    <w:rsid w:val="60BF5B6D"/>
    <w:rsid w:val="60C07B37"/>
    <w:rsid w:val="60CC3634"/>
    <w:rsid w:val="60D55390"/>
    <w:rsid w:val="60D86C2E"/>
    <w:rsid w:val="60D96503"/>
    <w:rsid w:val="60DC5CFA"/>
    <w:rsid w:val="60E02B13"/>
    <w:rsid w:val="60E37E0A"/>
    <w:rsid w:val="60E76E71"/>
    <w:rsid w:val="60E9572D"/>
    <w:rsid w:val="60EE1FAE"/>
    <w:rsid w:val="60EF48AF"/>
    <w:rsid w:val="60F34B93"/>
    <w:rsid w:val="60F872D1"/>
    <w:rsid w:val="60F9034D"/>
    <w:rsid w:val="60F90953"/>
    <w:rsid w:val="60FD6695"/>
    <w:rsid w:val="60FF41BB"/>
    <w:rsid w:val="61016185"/>
    <w:rsid w:val="610D1BF1"/>
    <w:rsid w:val="610E08A2"/>
    <w:rsid w:val="610F7301"/>
    <w:rsid w:val="611063C8"/>
    <w:rsid w:val="61165902"/>
    <w:rsid w:val="611834CF"/>
    <w:rsid w:val="6124686E"/>
    <w:rsid w:val="6129748A"/>
    <w:rsid w:val="612B4CC9"/>
    <w:rsid w:val="612B4FB0"/>
    <w:rsid w:val="612F6F8F"/>
    <w:rsid w:val="613025C6"/>
    <w:rsid w:val="613F0A5C"/>
    <w:rsid w:val="61436FDD"/>
    <w:rsid w:val="615053A3"/>
    <w:rsid w:val="6151253D"/>
    <w:rsid w:val="6152204F"/>
    <w:rsid w:val="61595DDF"/>
    <w:rsid w:val="615D7134"/>
    <w:rsid w:val="615F10FE"/>
    <w:rsid w:val="61602923"/>
    <w:rsid w:val="6162299C"/>
    <w:rsid w:val="61700C15"/>
    <w:rsid w:val="6170768E"/>
    <w:rsid w:val="617213B6"/>
    <w:rsid w:val="617526CF"/>
    <w:rsid w:val="617701F5"/>
    <w:rsid w:val="61783F6D"/>
    <w:rsid w:val="6178408E"/>
    <w:rsid w:val="617A7CE6"/>
    <w:rsid w:val="617E77D6"/>
    <w:rsid w:val="61A15272"/>
    <w:rsid w:val="61A158C4"/>
    <w:rsid w:val="61A170E7"/>
    <w:rsid w:val="61A91D7E"/>
    <w:rsid w:val="61AF035B"/>
    <w:rsid w:val="61AF5FAD"/>
    <w:rsid w:val="61B131B0"/>
    <w:rsid w:val="61B256D1"/>
    <w:rsid w:val="61B56F70"/>
    <w:rsid w:val="61B96A60"/>
    <w:rsid w:val="61BC02FE"/>
    <w:rsid w:val="61BE4076"/>
    <w:rsid w:val="61BF1B9C"/>
    <w:rsid w:val="61C80A51"/>
    <w:rsid w:val="61CA2A1B"/>
    <w:rsid w:val="61CB46C0"/>
    <w:rsid w:val="61CB62CF"/>
    <w:rsid w:val="61CF0031"/>
    <w:rsid w:val="61D373F6"/>
    <w:rsid w:val="61D70C94"/>
    <w:rsid w:val="61D86D49"/>
    <w:rsid w:val="61E03976"/>
    <w:rsid w:val="61E32DD8"/>
    <w:rsid w:val="61E37639"/>
    <w:rsid w:val="61E57855"/>
    <w:rsid w:val="61E909C7"/>
    <w:rsid w:val="61EB473F"/>
    <w:rsid w:val="61EF4230"/>
    <w:rsid w:val="61F01D56"/>
    <w:rsid w:val="61F950AE"/>
    <w:rsid w:val="62020581"/>
    <w:rsid w:val="62033E14"/>
    <w:rsid w:val="620A72BB"/>
    <w:rsid w:val="621D6ED0"/>
    <w:rsid w:val="622A1441"/>
    <w:rsid w:val="622A5268"/>
    <w:rsid w:val="622C5484"/>
    <w:rsid w:val="62312A9A"/>
    <w:rsid w:val="6232236E"/>
    <w:rsid w:val="62364782"/>
    <w:rsid w:val="62375AF0"/>
    <w:rsid w:val="62397551"/>
    <w:rsid w:val="623A66C4"/>
    <w:rsid w:val="623B7475"/>
    <w:rsid w:val="623E47E2"/>
    <w:rsid w:val="623E6F65"/>
    <w:rsid w:val="623F6839"/>
    <w:rsid w:val="62457A71"/>
    <w:rsid w:val="62483940"/>
    <w:rsid w:val="624A1848"/>
    <w:rsid w:val="624F1172"/>
    <w:rsid w:val="62514EEA"/>
    <w:rsid w:val="625304A7"/>
    <w:rsid w:val="62540537"/>
    <w:rsid w:val="625422E5"/>
    <w:rsid w:val="625B18C5"/>
    <w:rsid w:val="625B3673"/>
    <w:rsid w:val="62636AC5"/>
    <w:rsid w:val="62650996"/>
    <w:rsid w:val="62665185"/>
    <w:rsid w:val="626B762E"/>
    <w:rsid w:val="626F35C2"/>
    <w:rsid w:val="626F778E"/>
    <w:rsid w:val="627012E0"/>
    <w:rsid w:val="62740BD9"/>
    <w:rsid w:val="62783599"/>
    <w:rsid w:val="62791D4B"/>
    <w:rsid w:val="627C742C"/>
    <w:rsid w:val="628250A4"/>
    <w:rsid w:val="628506F0"/>
    <w:rsid w:val="6286301C"/>
    <w:rsid w:val="62864468"/>
    <w:rsid w:val="62894684"/>
    <w:rsid w:val="628A21AA"/>
    <w:rsid w:val="628C7CD0"/>
    <w:rsid w:val="62946DCA"/>
    <w:rsid w:val="62950184"/>
    <w:rsid w:val="62975F54"/>
    <w:rsid w:val="629F3071"/>
    <w:rsid w:val="62A052B7"/>
    <w:rsid w:val="62A27CA7"/>
    <w:rsid w:val="62A768B8"/>
    <w:rsid w:val="62AA63A9"/>
    <w:rsid w:val="62AE5E99"/>
    <w:rsid w:val="62B114E5"/>
    <w:rsid w:val="62B2525D"/>
    <w:rsid w:val="62B47227"/>
    <w:rsid w:val="62BD2580"/>
    <w:rsid w:val="62BF7FA3"/>
    <w:rsid w:val="62C0797A"/>
    <w:rsid w:val="62C31218"/>
    <w:rsid w:val="62CC4571"/>
    <w:rsid w:val="62CE3B87"/>
    <w:rsid w:val="62D376AD"/>
    <w:rsid w:val="62D94DD2"/>
    <w:rsid w:val="62DE6052"/>
    <w:rsid w:val="62E23D94"/>
    <w:rsid w:val="62E418BB"/>
    <w:rsid w:val="62EC4C13"/>
    <w:rsid w:val="62F0280B"/>
    <w:rsid w:val="62F5014F"/>
    <w:rsid w:val="62F87114"/>
    <w:rsid w:val="62FD297C"/>
    <w:rsid w:val="6308735D"/>
    <w:rsid w:val="630A6E47"/>
    <w:rsid w:val="630B32EB"/>
    <w:rsid w:val="630B4F5E"/>
    <w:rsid w:val="631B1054"/>
    <w:rsid w:val="631F28F3"/>
    <w:rsid w:val="63205C13"/>
    <w:rsid w:val="63225184"/>
    <w:rsid w:val="63235063"/>
    <w:rsid w:val="63286F28"/>
    <w:rsid w:val="632A1297"/>
    <w:rsid w:val="63332842"/>
    <w:rsid w:val="633765BE"/>
    <w:rsid w:val="633914DA"/>
    <w:rsid w:val="633D18C0"/>
    <w:rsid w:val="633D2BD8"/>
    <w:rsid w:val="63416D0D"/>
    <w:rsid w:val="63436152"/>
    <w:rsid w:val="63446617"/>
    <w:rsid w:val="634632A4"/>
    <w:rsid w:val="63471E49"/>
    <w:rsid w:val="63493E13"/>
    <w:rsid w:val="634C7460"/>
    <w:rsid w:val="63541245"/>
    <w:rsid w:val="63554566"/>
    <w:rsid w:val="63556314"/>
    <w:rsid w:val="635D78BF"/>
    <w:rsid w:val="63650337"/>
    <w:rsid w:val="6367429A"/>
    <w:rsid w:val="636C365E"/>
    <w:rsid w:val="637013A0"/>
    <w:rsid w:val="63711839"/>
    <w:rsid w:val="637644DD"/>
    <w:rsid w:val="637C31BE"/>
    <w:rsid w:val="63811F35"/>
    <w:rsid w:val="63847915"/>
    <w:rsid w:val="63870498"/>
    <w:rsid w:val="63881DBD"/>
    <w:rsid w:val="63883103"/>
    <w:rsid w:val="638D4E7E"/>
    <w:rsid w:val="63952BB5"/>
    <w:rsid w:val="639808F7"/>
    <w:rsid w:val="639A466F"/>
    <w:rsid w:val="639C03E7"/>
    <w:rsid w:val="63A252D2"/>
    <w:rsid w:val="63A46FFC"/>
    <w:rsid w:val="63A849D2"/>
    <w:rsid w:val="63A94039"/>
    <w:rsid w:val="63AB4186"/>
    <w:rsid w:val="63B05C41"/>
    <w:rsid w:val="63B76FCF"/>
    <w:rsid w:val="63C33BC6"/>
    <w:rsid w:val="63C4349A"/>
    <w:rsid w:val="63C86A2B"/>
    <w:rsid w:val="63D40BE9"/>
    <w:rsid w:val="63DD455C"/>
    <w:rsid w:val="63E0211F"/>
    <w:rsid w:val="63E1404C"/>
    <w:rsid w:val="63E37DC4"/>
    <w:rsid w:val="63E678B4"/>
    <w:rsid w:val="63EB4ECB"/>
    <w:rsid w:val="63EC4EF3"/>
    <w:rsid w:val="63ED29F1"/>
    <w:rsid w:val="63F64E5D"/>
    <w:rsid w:val="63F82E35"/>
    <w:rsid w:val="6405643E"/>
    <w:rsid w:val="64061D04"/>
    <w:rsid w:val="640815D9"/>
    <w:rsid w:val="6408782B"/>
    <w:rsid w:val="640B731B"/>
    <w:rsid w:val="6410048D"/>
    <w:rsid w:val="64191A38"/>
    <w:rsid w:val="64195594"/>
    <w:rsid w:val="641E0DFC"/>
    <w:rsid w:val="641E704E"/>
    <w:rsid w:val="641F6922"/>
    <w:rsid w:val="642167B4"/>
    <w:rsid w:val="642B3519"/>
    <w:rsid w:val="643E0E5C"/>
    <w:rsid w:val="643E5117"/>
    <w:rsid w:val="64432611"/>
    <w:rsid w:val="64485E79"/>
    <w:rsid w:val="644B034C"/>
    <w:rsid w:val="644E3D19"/>
    <w:rsid w:val="644F0FB6"/>
    <w:rsid w:val="64505BE2"/>
    <w:rsid w:val="64524F4A"/>
    <w:rsid w:val="64534785"/>
    <w:rsid w:val="64547F2D"/>
    <w:rsid w:val="64552344"/>
    <w:rsid w:val="645667E8"/>
    <w:rsid w:val="645B3DFE"/>
    <w:rsid w:val="645C7B76"/>
    <w:rsid w:val="645E38EF"/>
    <w:rsid w:val="645F0A48"/>
    <w:rsid w:val="646A2293"/>
    <w:rsid w:val="647535D9"/>
    <w:rsid w:val="647640BA"/>
    <w:rsid w:val="647749B0"/>
    <w:rsid w:val="647C3D75"/>
    <w:rsid w:val="6487551C"/>
    <w:rsid w:val="648917D7"/>
    <w:rsid w:val="648A46E4"/>
    <w:rsid w:val="648A7941"/>
    <w:rsid w:val="649308CA"/>
    <w:rsid w:val="649317EA"/>
    <w:rsid w:val="649E3CEB"/>
    <w:rsid w:val="64A4355C"/>
    <w:rsid w:val="64A70DF2"/>
    <w:rsid w:val="64AD3F2E"/>
    <w:rsid w:val="64B35D5A"/>
    <w:rsid w:val="64B55F14"/>
    <w:rsid w:val="64BE438D"/>
    <w:rsid w:val="64BF68B6"/>
    <w:rsid w:val="64C00105"/>
    <w:rsid w:val="64C45AF8"/>
    <w:rsid w:val="64C644FC"/>
    <w:rsid w:val="64C64FF0"/>
    <w:rsid w:val="64C72B4C"/>
    <w:rsid w:val="64C84907"/>
    <w:rsid w:val="64C97967"/>
    <w:rsid w:val="64CB5679"/>
    <w:rsid w:val="64CC2606"/>
    <w:rsid w:val="64D15E6F"/>
    <w:rsid w:val="64DB4055"/>
    <w:rsid w:val="64DB6CED"/>
    <w:rsid w:val="64DF43D9"/>
    <w:rsid w:val="64E41150"/>
    <w:rsid w:val="64E75692"/>
    <w:rsid w:val="64EA33D4"/>
    <w:rsid w:val="64EC08CE"/>
    <w:rsid w:val="64EC2CA8"/>
    <w:rsid w:val="64FB738F"/>
    <w:rsid w:val="64FF0C2E"/>
    <w:rsid w:val="6502071E"/>
    <w:rsid w:val="650B6F5C"/>
    <w:rsid w:val="650F65D3"/>
    <w:rsid w:val="65110961"/>
    <w:rsid w:val="65136487"/>
    <w:rsid w:val="651569E0"/>
    <w:rsid w:val="651D5558"/>
    <w:rsid w:val="65200BA4"/>
    <w:rsid w:val="65230BB9"/>
    <w:rsid w:val="6525705F"/>
    <w:rsid w:val="652B54CB"/>
    <w:rsid w:val="652E1513"/>
    <w:rsid w:val="653463FD"/>
    <w:rsid w:val="65373578"/>
    <w:rsid w:val="653A02CF"/>
    <w:rsid w:val="65442AE4"/>
    <w:rsid w:val="65474383"/>
    <w:rsid w:val="654E74BF"/>
    <w:rsid w:val="655467D1"/>
    <w:rsid w:val="655D3BA6"/>
    <w:rsid w:val="6560179B"/>
    <w:rsid w:val="65624D19"/>
    <w:rsid w:val="656D4024"/>
    <w:rsid w:val="65711400"/>
    <w:rsid w:val="65711DFC"/>
    <w:rsid w:val="65747D87"/>
    <w:rsid w:val="65756075"/>
    <w:rsid w:val="657809E0"/>
    <w:rsid w:val="657F1404"/>
    <w:rsid w:val="657F3B1C"/>
    <w:rsid w:val="65856C59"/>
    <w:rsid w:val="658630FD"/>
    <w:rsid w:val="65896749"/>
    <w:rsid w:val="658C6239"/>
    <w:rsid w:val="65960165"/>
    <w:rsid w:val="65997102"/>
    <w:rsid w:val="659D21F5"/>
    <w:rsid w:val="65A11CE5"/>
    <w:rsid w:val="65B4371E"/>
    <w:rsid w:val="65C14135"/>
    <w:rsid w:val="65C459D3"/>
    <w:rsid w:val="65C71020"/>
    <w:rsid w:val="65C94D98"/>
    <w:rsid w:val="65CC6636"/>
    <w:rsid w:val="65D025CA"/>
    <w:rsid w:val="65D16249"/>
    <w:rsid w:val="65DC5DBF"/>
    <w:rsid w:val="65DE6309"/>
    <w:rsid w:val="65E472BA"/>
    <w:rsid w:val="65F004D2"/>
    <w:rsid w:val="65F067C8"/>
    <w:rsid w:val="65F938CF"/>
    <w:rsid w:val="65FD2C93"/>
    <w:rsid w:val="65FE1159"/>
    <w:rsid w:val="65FF6A0B"/>
    <w:rsid w:val="660109D5"/>
    <w:rsid w:val="66017C1F"/>
    <w:rsid w:val="6603474E"/>
    <w:rsid w:val="66063C4D"/>
    <w:rsid w:val="66065FEC"/>
    <w:rsid w:val="660B1854"/>
    <w:rsid w:val="66122D27"/>
    <w:rsid w:val="6612673F"/>
    <w:rsid w:val="661C3F42"/>
    <w:rsid w:val="662045C9"/>
    <w:rsid w:val="66245681"/>
    <w:rsid w:val="6624697A"/>
    <w:rsid w:val="66280D11"/>
    <w:rsid w:val="662841B4"/>
    <w:rsid w:val="662A1D70"/>
    <w:rsid w:val="662D5327"/>
    <w:rsid w:val="66342B59"/>
    <w:rsid w:val="6639338A"/>
    <w:rsid w:val="663E0BF4"/>
    <w:rsid w:val="663E5786"/>
    <w:rsid w:val="663F0955"/>
    <w:rsid w:val="66434B4A"/>
    <w:rsid w:val="66476DEF"/>
    <w:rsid w:val="664B7EA3"/>
    <w:rsid w:val="664D7777"/>
    <w:rsid w:val="66527760"/>
    <w:rsid w:val="6655487D"/>
    <w:rsid w:val="665E3732"/>
    <w:rsid w:val="665E7BD6"/>
    <w:rsid w:val="66717F05"/>
    <w:rsid w:val="66763171"/>
    <w:rsid w:val="667967BE"/>
    <w:rsid w:val="667A4B61"/>
    <w:rsid w:val="668313EA"/>
    <w:rsid w:val="668533B4"/>
    <w:rsid w:val="66854445"/>
    <w:rsid w:val="668D2269"/>
    <w:rsid w:val="668E3573"/>
    <w:rsid w:val="669B2BD8"/>
    <w:rsid w:val="669B6734"/>
    <w:rsid w:val="66A15D14"/>
    <w:rsid w:val="66A3383B"/>
    <w:rsid w:val="66A6332B"/>
    <w:rsid w:val="66A870A3"/>
    <w:rsid w:val="66AB0941"/>
    <w:rsid w:val="66B141AA"/>
    <w:rsid w:val="66B23203"/>
    <w:rsid w:val="66B772E6"/>
    <w:rsid w:val="66BB7D21"/>
    <w:rsid w:val="66C17E25"/>
    <w:rsid w:val="66C57C55"/>
    <w:rsid w:val="66CF2882"/>
    <w:rsid w:val="66CF4630"/>
    <w:rsid w:val="66D165FA"/>
    <w:rsid w:val="66D63C10"/>
    <w:rsid w:val="66DB6DE2"/>
    <w:rsid w:val="66DD63E5"/>
    <w:rsid w:val="66EA76BB"/>
    <w:rsid w:val="66EC6F90"/>
    <w:rsid w:val="66F36075"/>
    <w:rsid w:val="66F4477F"/>
    <w:rsid w:val="66FD73EF"/>
    <w:rsid w:val="67000C8D"/>
    <w:rsid w:val="671A2875"/>
    <w:rsid w:val="671A63CB"/>
    <w:rsid w:val="672030DD"/>
    <w:rsid w:val="67211A19"/>
    <w:rsid w:val="67220C03"/>
    <w:rsid w:val="67295A58"/>
    <w:rsid w:val="672C6851"/>
    <w:rsid w:val="672D4457"/>
    <w:rsid w:val="672F1572"/>
    <w:rsid w:val="67380715"/>
    <w:rsid w:val="673F2C7A"/>
    <w:rsid w:val="674072DB"/>
    <w:rsid w:val="674A094A"/>
    <w:rsid w:val="675016C2"/>
    <w:rsid w:val="67540894"/>
    <w:rsid w:val="675B4115"/>
    <w:rsid w:val="675C1C7E"/>
    <w:rsid w:val="676254A4"/>
    <w:rsid w:val="6765041B"/>
    <w:rsid w:val="676C4A3A"/>
    <w:rsid w:val="676E3E49"/>
    <w:rsid w:val="676F196F"/>
    <w:rsid w:val="676F274E"/>
    <w:rsid w:val="6773320D"/>
    <w:rsid w:val="67786A75"/>
    <w:rsid w:val="677B6565"/>
    <w:rsid w:val="6780592A"/>
    <w:rsid w:val="678278F4"/>
    <w:rsid w:val="67841F6B"/>
    <w:rsid w:val="6784366C"/>
    <w:rsid w:val="67883798"/>
    <w:rsid w:val="67896ED4"/>
    <w:rsid w:val="678B49FB"/>
    <w:rsid w:val="678E0047"/>
    <w:rsid w:val="678E6299"/>
    <w:rsid w:val="67900263"/>
    <w:rsid w:val="67982C74"/>
    <w:rsid w:val="679A2E90"/>
    <w:rsid w:val="679B1BC9"/>
    <w:rsid w:val="67A00AF3"/>
    <w:rsid w:val="67A05409"/>
    <w:rsid w:val="67A20640"/>
    <w:rsid w:val="67A26575"/>
    <w:rsid w:val="67B33F51"/>
    <w:rsid w:val="67C24194"/>
    <w:rsid w:val="67C63C85"/>
    <w:rsid w:val="67CC0B6F"/>
    <w:rsid w:val="67CF2049"/>
    <w:rsid w:val="67D11A4E"/>
    <w:rsid w:val="67D411EB"/>
    <w:rsid w:val="67DD4B2A"/>
    <w:rsid w:val="67DE4BC3"/>
    <w:rsid w:val="67E301C9"/>
    <w:rsid w:val="67E97973"/>
    <w:rsid w:val="67EB7247"/>
    <w:rsid w:val="67EC1211"/>
    <w:rsid w:val="67F51E74"/>
    <w:rsid w:val="67F73E3E"/>
    <w:rsid w:val="67FA1B80"/>
    <w:rsid w:val="6804655B"/>
    <w:rsid w:val="6805760C"/>
    <w:rsid w:val="680577D0"/>
    <w:rsid w:val="68071BA7"/>
    <w:rsid w:val="680B5B3B"/>
    <w:rsid w:val="680E1188"/>
    <w:rsid w:val="68106CAE"/>
    <w:rsid w:val="6818054C"/>
    <w:rsid w:val="68183DB4"/>
    <w:rsid w:val="68191A91"/>
    <w:rsid w:val="681B464D"/>
    <w:rsid w:val="681F15E7"/>
    <w:rsid w:val="681F5143"/>
    <w:rsid w:val="681F6961"/>
    <w:rsid w:val="682054F9"/>
    <w:rsid w:val="68240B89"/>
    <w:rsid w:val="6826136B"/>
    <w:rsid w:val="68297D70"/>
    <w:rsid w:val="682B7F8C"/>
    <w:rsid w:val="68342513"/>
    <w:rsid w:val="683F3A37"/>
    <w:rsid w:val="68400EBA"/>
    <w:rsid w:val="68407A25"/>
    <w:rsid w:val="68506E3A"/>
    <w:rsid w:val="68541CB5"/>
    <w:rsid w:val="685A66F9"/>
    <w:rsid w:val="685F2D49"/>
    <w:rsid w:val="68610A2F"/>
    <w:rsid w:val="68721717"/>
    <w:rsid w:val="687F3E33"/>
    <w:rsid w:val="68802085"/>
    <w:rsid w:val="68805514"/>
    <w:rsid w:val="688171D5"/>
    <w:rsid w:val="688651C2"/>
    <w:rsid w:val="688B0A2A"/>
    <w:rsid w:val="688C138F"/>
    <w:rsid w:val="688D2CA3"/>
    <w:rsid w:val="689063CF"/>
    <w:rsid w:val="68953657"/>
    <w:rsid w:val="689A15B9"/>
    <w:rsid w:val="68A13DAA"/>
    <w:rsid w:val="68A36A6C"/>
    <w:rsid w:val="68A839E0"/>
    <w:rsid w:val="68A84B24"/>
    <w:rsid w:val="68AA7FC8"/>
    <w:rsid w:val="68AE0E91"/>
    <w:rsid w:val="68AF296B"/>
    <w:rsid w:val="68B03FED"/>
    <w:rsid w:val="68B2355C"/>
    <w:rsid w:val="68BD6421"/>
    <w:rsid w:val="68BE495C"/>
    <w:rsid w:val="68C006D4"/>
    <w:rsid w:val="68C55CEA"/>
    <w:rsid w:val="68CB7079"/>
    <w:rsid w:val="68D43ED1"/>
    <w:rsid w:val="68D979E8"/>
    <w:rsid w:val="68DB72BC"/>
    <w:rsid w:val="68E31C7D"/>
    <w:rsid w:val="68E343C2"/>
    <w:rsid w:val="68E36170"/>
    <w:rsid w:val="68E57D0D"/>
    <w:rsid w:val="68EC771B"/>
    <w:rsid w:val="68F00A95"/>
    <w:rsid w:val="68F20AA9"/>
    <w:rsid w:val="68F55EA4"/>
    <w:rsid w:val="68F5745F"/>
    <w:rsid w:val="68FB795E"/>
    <w:rsid w:val="68FE744E"/>
    <w:rsid w:val="6905258B"/>
    <w:rsid w:val="6907588C"/>
    <w:rsid w:val="69097CDB"/>
    <w:rsid w:val="690D040B"/>
    <w:rsid w:val="690D7691"/>
    <w:rsid w:val="690E2DE0"/>
    <w:rsid w:val="69164798"/>
    <w:rsid w:val="69180510"/>
    <w:rsid w:val="691931E5"/>
    <w:rsid w:val="69196036"/>
    <w:rsid w:val="691D3B46"/>
    <w:rsid w:val="69256789"/>
    <w:rsid w:val="692F717A"/>
    <w:rsid w:val="69310AF9"/>
    <w:rsid w:val="69326F4E"/>
    <w:rsid w:val="693D7F76"/>
    <w:rsid w:val="694110E9"/>
    <w:rsid w:val="6942033D"/>
    <w:rsid w:val="69435DD0"/>
    <w:rsid w:val="69490210"/>
    <w:rsid w:val="694A3DEF"/>
    <w:rsid w:val="694C1F68"/>
    <w:rsid w:val="694E2071"/>
    <w:rsid w:val="694F3806"/>
    <w:rsid w:val="69535A05"/>
    <w:rsid w:val="69562DE6"/>
    <w:rsid w:val="69586B5E"/>
    <w:rsid w:val="695A5F7D"/>
    <w:rsid w:val="695B21AB"/>
    <w:rsid w:val="695E1C9B"/>
    <w:rsid w:val="695E7B16"/>
    <w:rsid w:val="695E7EED"/>
    <w:rsid w:val="69603C65"/>
    <w:rsid w:val="69603DA2"/>
    <w:rsid w:val="69683798"/>
    <w:rsid w:val="696A6E60"/>
    <w:rsid w:val="69715E72"/>
    <w:rsid w:val="697A3B33"/>
    <w:rsid w:val="69852275"/>
    <w:rsid w:val="69881641"/>
    <w:rsid w:val="69884824"/>
    <w:rsid w:val="698A0CE2"/>
    <w:rsid w:val="698C6808"/>
    <w:rsid w:val="698E2580"/>
    <w:rsid w:val="699D6C67"/>
    <w:rsid w:val="699E2456"/>
    <w:rsid w:val="699F256D"/>
    <w:rsid w:val="69A200AE"/>
    <w:rsid w:val="69A2602B"/>
    <w:rsid w:val="69B0699A"/>
    <w:rsid w:val="69B144C0"/>
    <w:rsid w:val="69BA15C7"/>
    <w:rsid w:val="69BA59A8"/>
    <w:rsid w:val="69BE2739"/>
    <w:rsid w:val="69C441F4"/>
    <w:rsid w:val="69C46CC3"/>
    <w:rsid w:val="69CC12FA"/>
    <w:rsid w:val="69CD614F"/>
    <w:rsid w:val="69D0459A"/>
    <w:rsid w:val="69D16911"/>
    <w:rsid w:val="69D72179"/>
    <w:rsid w:val="69DB153D"/>
    <w:rsid w:val="69DD7064"/>
    <w:rsid w:val="69DE3DEE"/>
    <w:rsid w:val="69DF4B8A"/>
    <w:rsid w:val="69E84666"/>
    <w:rsid w:val="69ED735F"/>
    <w:rsid w:val="69EE301F"/>
    <w:rsid w:val="69F30635"/>
    <w:rsid w:val="69F744EC"/>
    <w:rsid w:val="69FC345A"/>
    <w:rsid w:val="69FF522C"/>
    <w:rsid w:val="6A004944"/>
    <w:rsid w:val="6A0A597F"/>
    <w:rsid w:val="6A0C7949"/>
    <w:rsid w:val="6A197154"/>
    <w:rsid w:val="6A2627B9"/>
    <w:rsid w:val="6A2904FB"/>
    <w:rsid w:val="6A294057"/>
    <w:rsid w:val="6A2B4273"/>
    <w:rsid w:val="6A2F590D"/>
    <w:rsid w:val="6A30161E"/>
    <w:rsid w:val="6A330AD1"/>
    <w:rsid w:val="6A356EA0"/>
    <w:rsid w:val="6A3C3973"/>
    <w:rsid w:val="6A42336B"/>
    <w:rsid w:val="6A440EE5"/>
    <w:rsid w:val="6A4B0471"/>
    <w:rsid w:val="6A4B06F6"/>
    <w:rsid w:val="6A4B322E"/>
    <w:rsid w:val="6A4C5F97"/>
    <w:rsid w:val="6A4E7F61"/>
    <w:rsid w:val="6A575068"/>
    <w:rsid w:val="6A5A06B4"/>
    <w:rsid w:val="6A5B5CB8"/>
    <w:rsid w:val="6A611A43"/>
    <w:rsid w:val="6A640209"/>
    <w:rsid w:val="6A652FD8"/>
    <w:rsid w:val="6A6534F3"/>
    <w:rsid w:val="6A6921D7"/>
    <w:rsid w:val="6A696B49"/>
    <w:rsid w:val="6A6A3122"/>
    <w:rsid w:val="6A6C09FE"/>
    <w:rsid w:val="6A6E6B49"/>
    <w:rsid w:val="6A731776"/>
    <w:rsid w:val="6A796A9F"/>
    <w:rsid w:val="6A7A2B04"/>
    <w:rsid w:val="6A7E25F5"/>
    <w:rsid w:val="6A8676FB"/>
    <w:rsid w:val="6A9260A0"/>
    <w:rsid w:val="6A927E4E"/>
    <w:rsid w:val="6A9516EC"/>
    <w:rsid w:val="6A995680"/>
    <w:rsid w:val="6A99742E"/>
    <w:rsid w:val="6A9A0CA2"/>
    <w:rsid w:val="6A9E0AB3"/>
    <w:rsid w:val="6AA302AD"/>
    <w:rsid w:val="6AA61BD5"/>
    <w:rsid w:val="6AA72412"/>
    <w:rsid w:val="6AAB53B4"/>
    <w:rsid w:val="6AAB7162"/>
    <w:rsid w:val="6AAC3883"/>
    <w:rsid w:val="6AB06526"/>
    <w:rsid w:val="6AB627B0"/>
    <w:rsid w:val="6AB726A3"/>
    <w:rsid w:val="6AB75B07"/>
    <w:rsid w:val="6AC645F4"/>
    <w:rsid w:val="6AC83D20"/>
    <w:rsid w:val="6ACA583A"/>
    <w:rsid w:val="6ACF10A2"/>
    <w:rsid w:val="6AD05952"/>
    <w:rsid w:val="6AD12861"/>
    <w:rsid w:val="6AD246EE"/>
    <w:rsid w:val="6ADA2581"/>
    <w:rsid w:val="6AEA7C8A"/>
    <w:rsid w:val="6AF02DC7"/>
    <w:rsid w:val="6AF7022D"/>
    <w:rsid w:val="6AF86168"/>
    <w:rsid w:val="6AF97ECD"/>
    <w:rsid w:val="6B00125C"/>
    <w:rsid w:val="6B054472"/>
    <w:rsid w:val="6B0D0D45"/>
    <w:rsid w:val="6B0E1E52"/>
    <w:rsid w:val="6B0F4184"/>
    <w:rsid w:val="6B0F5943"/>
    <w:rsid w:val="6B0F71E2"/>
    <w:rsid w:val="6B1116BB"/>
    <w:rsid w:val="6B142F59"/>
    <w:rsid w:val="6B170353"/>
    <w:rsid w:val="6B1747F7"/>
    <w:rsid w:val="6B1B42E7"/>
    <w:rsid w:val="6B1E7934"/>
    <w:rsid w:val="6B1F5FA9"/>
    <w:rsid w:val="6B217424"/>
    <w:rsid w:val="6B2A277C"/>
    <w:rsid w:val="6B2B454C"/>
    <w:rsid w:val="6B322639"/>
    <w:rsid w:val="6B347157"/>
    <w:rsid w:val="6B364C7D"/>
    <w:rsid w:val="6B4078AA"/>
    <w:rsid w:val="6B413622"/>
    <w:rsid w:val="6B4B3B36"/>
    <w:rsid w:val="6B4C48E8"/>
    <w:rsid w:val="6B5363CE"/>
    <w:rsid w:val="6B5430AF"/>
    <w:rsid w:val="6B555ED8"/>
    <w:rsid w:val="6B56531F"/>
    <w:rsid w:val="6B572E49"/>
    <w:rsid w:val="6B573788"/>
    <w:rsid w:val="6B581098"/>
    <w:rsid w:val="6B5B4551"/>
    <w:rsid w:val="6B6617F9"/>
    <w:rsid w:val="6B6932A5"/>
    <w:rsid w:val="6B6C3431"/>
    <w:rsid w:val="6B7439F8"/>
    <w:rsid w:val="6B76151E"/>
    <w:rsid w:val="6B7D3DF4"/>
    <w:rsid w:val="6B824366"/>
    <w:rsid w:val="6B8D6867"/>
    <w:rsid w:val="6B8E2D0B"/>
    <w:rsid w:val="6B930322"/>
    <w:rsid w:val="6B9B2D32"/>
    <w:rsid w:val="6B9E0765"/>
    <w:rsid w:val="6BAC3191"/>
    <w:rsid w:val="6BB43DF4"/>
    <w:rsid w:val="6BB838E4"/>
    <w:rsid w:val="6BB9765C"/>
    <w:rsid w:val="6BBA3B00"/>
    <w:rsid w:val="6BBD0EFB"/>
    <w:rsid w:val="6BCE3108"/>
    <w:rsid w:val="6BCE4EB6"/>
    <w:rsid w:val="6BD12AD1"/>
    <w:rsid w:val="6BD526E8"/>
    <w:rsid w:val="6BDD7547"/>
    <w:rsid w:val="6BE40B7D"/>
    <w:rsid w:val="6BEA5A68"/>
    <w:rsid w:val="6BF5165A"/>
    <w:rsid w:val="6BF568E6"/>
    <w:rsid w:val="6BF6440D"/>
    <w:rsid w:val="6BF7466E"/>
    <w:rsid w:val="6BF95CAB"/>
    <w:rsid w:val="6BFB1A23"/>
    <w:rsid w:val="6BFD1C3F"/>
    <w:rsid w:val="6BFF1513"/>
    <w:rsid w:val="6C005EAC"/>
    <w:rsid w:val="6C0E1756"/>
    <w:rsid w:val="6C0E79A8"/>
    <w:rsid w:val="6C0F54CE"/>
    <w:rsid w:val="6C101972"/>
    <w:rsid w:val="6C117498"/>
    <w:rsid w:val="6C136D6D"/>
    <w:rsid w:val="6C155E31"/>
    <w:rsid w:val="6C165A05"/>
    <w:rsid w:val="6C183322"/>
    <w:rsid w:val="6C1F3963"/>
    <w:rsid w:val="6C214EA2"/>
    <w:rsid w:val="6C223454"/>
    <w:rsid w:val="6C2B2308"/>
    <w:rsid w:val="6C2B3654"/>
    <w:rsid w:val="6C2C6080"/>
    <w:rsid w:val="6C2D1FAE"/>
    <w:rsid w:val="6C33740F"/>
    <w:rsid w:val="6C3513D9"/>
    <w:rsid w:val="6C3867D3"/>
    <w:rsid w:val="6C3D028D"/>
    <w:rsid w:val="6C417D7E"/>
    <w:rsid w:val="6C496C32"/>
    <w:rsid w:val="6C4C0AD1"/>
    <w:rsid w:val="6C4E742C"/>
    <w:rsid w:val="6C543A21"/>
    <w:rsid w:val="6C586E75"/>
    <w:rsid w:val="6C594CBF"/>
    <w:rsid w:val="6C5B1319"/>
    <w:rsid w:val="6C5B6D25"/>
    <w:rsid w:val="6C5E2E70"/>
    <w:rsid w:val="6C621AA2"/>
    <w:rsid w:val="6C636C38"/>
    <w:rsid w:val="6C6475C8"/>
    <w:rsid w:val="6C6677E4"/>
    <w:rsid w:val="6C733CAF"/>
    <w:rsid w:val="6C7C1405"/>
    <w:rsid w:val="6C7F4402"/>
    <w:rsid w:val="6C830396"/>
    <w:rsid w:val="6C847C6A"/>
    <w:rsid w:val="6C8E6D3B"/>
    <w:rsid w:val="6C9102FF"/>
    <w:rsid w:val="6C92218A"/>
    <w:rsid w:val="6C937EAD"/>
    <w:rsid w:val="6C9500C9"/>
    <w:rsid w:val="6CA34594"/>
    <w:rsid w:val="6CAE6A95"/>
    <w:rsid w:val="6CAF12FD"/>
    <w:rsid w:val="6CB06CB1"/>
    <w:rsid w:val="6CB423CE"/>
    <w:rsid w:val="6CBC5656"/>
    <w:rsid w:val="6CBD693E"/>
    <w:rsid w:val="6CBF0CA2"/>
    <w:rsid w:val="6CC16DF1"/>
    <w:rsid w:val="6CC664D5"/>
    <w:rsid w:val="6CC722F0"/>
    <w:rsid w:val="6CD3474E"/>
    <w:rsid w:val="6CDE55CC"/>
    <w:rsid w:val="6CE32BE3"/>
    <w:rsid w:val="6CE4695B"/>
    <w:rsid w:val="6CE60925"/>
    <w:rsid w:val="6CEB0E5F"/>
    <w:rsid w:val="6CEB120D"/>
    <w:rsid w:val="6CF52916"/>
    <w:rsid w:val="6CF63A92"/>
    <w:rsid w:val="6CFC5A53"/>
    <w:rsid w:val="6CFF0B45"/>
    <w:rsid w:val="6D026DC6"/>
    <w:rsid w:val="6D0512FF"/>
    <w:rsid w:val="6D0B4F67"/>
    <w:rsid w:val="6D0B73F9"/>
    <w:rsid w:val="6D154D66"/>
    <w:rsid w:val="6D194857"/>
    <w:rsid w:val="6D1E1E6D"/>
    <w:rsid w:val="6D2154B9"/>
    <w:rsid w:val="6D267B26"/>
    <w:rsid w:val="6D2A6A64"/>
    <w:rsid w:val="6D2C27DC"/>
    <w:rsid w:val="6D390568"/>
    <w:rsid w:val="6D3A657B"/>
    <w:rsid w:val="6D3C1731"/>
    <w:rsid w:val="6D4274C8"/>
    <w:rsid w:val="6D435308"/>
    <w:rsid w:val="6D4B3F19"/>
    <w:rsid w:val="6D4F0278"/>
    <w:rsid w:val="6D515941"/>
    <w:rsid w:val="6D543AE1"/>
    <w:rsid w:val="6D592EA5"/>
    <w:rsid w:val="6D602485"/>
    <w:rsid w:val="6D605FE2"/>
    <w:rsid w:val="6D617FAC"/>
    <w:rsid w:val="6D673814"/>
    <w:rsid w:val="6D6A6E60"/>
    <w:rsid w:val="6D6E6E45"/>
    <w:rsid w:val="6D723F67"/>
    <w:rsid w:val="6D741A8D"/>
    <w:rsid w:val="6D7766CE"/>
    <w:rsid w:val="6D7B2E1B"/>
    <w:rsid w:val="6D82064E"/>
    <w:rsid w:val="6D864791"/>
    <w:rsid w:val="6D8A7502"/>
    <w:rsid w:val="6D8C14BB"/>
    <w:rsid w:val="6D8C327A"/>
    <w:rsid w:val="6D8D2B4F"/>
    <w:rsid w:val="6D997745"/>
    <w:rsid w:val="6D9A2D85"/>
    <w:rsid w:val="6D9C0FE4"/>
    <w:rsid w:val="6D9C504D"/>
    <w:rsid w:val="6DA926D7"/>
    <w:rsid w:val="6DAA1953"/>
    <w:rsid w:val="6DB069FA"/>
    <w:rsid w:val="6DB157EC"/>
    <w:rsid w:val="6DB34098"/>
    <w:rsid w:val="6DB545B6"/>
    <w:rsid w:val="6DBC594E"/>
    <w:rsid w:val="6DBE0F5A"/>
    <w:rsid w:val="6DC02C1E"/>
    <w:rsid w:val="6DC16B04"/>
    <w:rsid w:val="6DC42A14"/>
    <w:rsid w:val="6DC9627D"/>
    <w:rsid w:val="6DD51ED2"/>
    <w:rsid w:val="6DD54C21"/>
    <w:rsid w:val="6DD86E68"/>
    <w:rsid w:val="6DD9192B"/>
    <w:rsid w:val="6DDA1931"/>
    <w:rsid w:val="6DDF4286"/>
    <w:rsid w:val="6DE07122"/>
    <w:rsid w:val="6DE44E65"/>
    <w:rsid w:val="6DE9247B"/>
    <w:rsid w:val="6DE94229"/>
    <w:rsid w:val="6DEE2714"/>
    <w:rsid w:val="6DF130DE"/>
    <w:rsid w:val="6DF826BE"/>
    <w:rsid w:val="6DF901E4"/>
    <w:rsid w:val="6DFA4688"/>
    <w:rsid w:val="6DFB1424"/>
    <w:rsid w:val="6DFD7CD4"/>
    <w:rsid w:val="6E001573"/>
    <w:rsid w:val="6E072901"/>
    <w:rsid w:val="6E0A6EA2"/>
    <w:rsid w:val="6E0B036D"/>
    <w:rsid w:val="6E0B4EFC"/>
    <w:rsid w:val="6E1B281B"/>
    <w:rsid w:val="6E22598D"/>
    <w:rsid w:val="6E227042"/>
    <w:rsid w:val="6E22773B"/>
    <w:rsid w:val="6E2407C0"/>
    <w:rsid w:val="6E2434B3"/>
    <w:rsid w:val="6E245261"/>
    <w:rsid w:val="6E2B2A93"/>
    <w:rsid w:val="6E2C2368"/>
    <w:rsid w:val="6E430122"/>
    <w:rsid w:val="6E4375A0"/>
    <w:rsid w:val="6E4504C3"/>
    <w:rsid w:val="6E493F8C"/>
    <w:rsid w:val="6E496F01"/>
    <w:rsid w:val="6E4E6782"/>
    <w:rsid w:val="6E5024FA"/>
    <w:rsid w:val="6E514CED"/>
    <w:rsid w:val="6E5518BE"/>
    <w:rsid w:val="6E587601"/>
    <w:rsid w:val="6E597DC9"/>
    <w:rsid w:val="6E5D4C17"/>
    <w:rsid w:val="6E5D6D8A"/>
    <w:rsid w:val="6E5F44EB"/>
    <w:rsid w:val="6E625D89"/>
    <w:rsid w:val="6E650E15"/>
    <w:rsid w:val="6E76798E"/>
    <w:rsid w:val="6E786E93"/>
    <w:rsid w:val="6E79491A"/>
    <w:rsid w:val="6E906D9A"/>
    <w:rsid w:val="6E91666F"/>
    <w:rsid w:val="6E941144"/>
    <w:rsid w:val="6E985C4F"/>
    <w:rsid w:val="6E9F6FDD"/>
    <w:rsid w:val="6EA510B2"/>
    <w:rsid w:val="6EB41E64"/>
    <w:rsid w:val="6EB563D5"/>
    <w:rsid w:val="6EBA6F09"/>
    <w:rsid w:val="6EBC36EB"/>
    <w:rsid w:val="6EBD7464"/>
    <w:rsid w:val="6EC407F2"/>
    <w:rsid w:val="6EC46A44"/>
    <w:rsid w:val="6EC72090"/>
    <w:rsid w:val="6ECA1007"/>
    <w:rsid w:val="6ECB7DD2"/>
    <w:rsid w:val="6EDA0016"/>
    <w:rsid w:val="6EDC0332"/>
    <w:rsid w:val="6EDE1721"/>
    <w:rsid w:val="6EDF562C"/>
    <w:rsid w:val="6EE3336E"/>
    <w:rsid w:val="6EED1FF5"/>
    <w:rsid w:val="6EED5F9B"/>
    <w:rsid w:val="6EF235B1"/>
    <w:rsid w:val="6EF54E4F"/>
    <w:rsid w:val="6EFC4430"/>
    <w:rsid w:val="6EFD5AB2"/>
    <w:rsid w:val="6F0532E4"/>
    <w:rsid w:val="6F0D03EB"/>
    <w:rsid w:val="6F1144B0"/>
    <w:rsid w:val="6F126B79"/>
    <w:rsid w:val="6F152DFC"/>
    <w:rsid w:val="6F1C1F3D"/>
    <w:rsid w:val="6F225983"/>
    <w:rsid w:val="6F2319BD"/>
    <w:rsid w:val="6F287F6F"/>
    <w:rsid w:val="6F2D45E9"/>
    <w:rsid w:val="6F2F65B3"/>
    <w:rsid w:val="6F345978"/>
    <w:rsid w:val="6F3757AB"/>
    <w:rsid w:val="6F394D3C"/>
    <w:rsid w:val="6F3E67F6"/>
    <w:rsid w:val="6F433E0D"/>
    <w:rsid w:val="6F4B0F13"/>
    <w:rsid w:val="6F4D4C8B"/>
    <w:rsid w:val="6F5007E2"/>
    <w:rsid w:val="6F5A4CB2"/>
    <w:rsid w:val="6F5D2C01"/>
    <w:rsid w:val="6F60676D"/>
    <w:rsid w:val="6F6124E5"/>
    <w:rsid w:val="6F644787"/>
    <w:rsid w:val="6F673B85"/>
    <w:rsid w:val="6F6A0833"/>
    <w:rsid w:val="6F6D491A"/>
    <w:rsid w:val="6F715165"/>
    <w:rsid w:val="6F72517F"/>
    <w:rsid w:val="6F7904EA"/>
    <w:rsid w:val="6F7F743C"/>
    <w:rsid w:val="6F8F1B70"/>
    <w:rsid w:val="6F934682"/>
    <w:rsid w:val="6F9B1553"/>
    <w:rsid w:val="6FA279E0"/>
    <w:rsid w:val="6FA34A20"/>
    <w:rsid w:val="6FA80114"/>
    <w:rsid w:val="6FAC19B2"/>
    <w:rsid w:val="6FB03B79"/>
    <w:rsid w:val="6FB12BB4"/>
    <w:rsid w:val="6FB371D3"/>
    <w:rsid w:val="6FB7699D"/>
    <w:rsid w:val="6FBA17E0"/>
    <w:rsid w:val="6FBC37DE"/>
    <w:rsid w:val="6FC247B9"/>
    <w:rsid w:val="6FC50CC6"/>
    <w:rsid w:val="6FC52A74"/>
    <w:rsid w:val="6FCA1E38"/>
    <w:rsid w:val="6FCA62DC"/>
    <w:rsid w:val="6FCC077A"/>
    <w:rsid w:val="6FD11419"/>
    <w:rsid w:val="6FD20CED"/>
    <w:rsid w:val="6FD311BE"/>
    <w:rsid w:val="6FD35191"/>
    <w:rsid w:val="6FDF69AC"/>
    <w:rsid w:val="6FE27182"/>
    <w:rsid w:val="6FE27A2C"/>
    <w:rsid w:val="6FE3114C"/>
    <w:rsid w:val="6FE50A20"/>
    <w:rsid w:val="6FE543B9"/>
    <w:rsid w:val="6FE85244"/>
    <w:rsid w:val="6FEA072C"/>
    <w:rsid w:val="6FED5B27"/>
    <w:rsid w:val="6FEE1FCA"/>
    <w:rsid w:val="6FEF2BB1"/>
    <w:rsid w:val="6FF61A33"/>
    <w:rsid w:val="6FF84BF7"/>
    <w:rsid w:val="6FF869A5"/>
    <w:rsid w:val="6FFA3B3C"/>
    <w:rsid w:val="6FFC5590"/>
    <w:rsid w:val="6FFD220E"/>
    <w:rsid w:val="6FFD3FBC"/>
    <w:rsid w:val="70003AAC"/>
    <w:rsid w:val="701337DF"/>
    <w:rsid w:val="70141305"/>
    <w:rsid w:val="70144C09"/>
    <w:rsid w:val="70175A87"/>
    <w:rsid w:val="70186826"/>
    <w:rsid w:val="701A4AAA"/>
    <w:rsid w:val="70221C74"/>
    <w:rsid w:val="70231548"/>
    <w:rsid w:val="7024192F"/>
    <w:rsid w:val="7029639C"/>
    <w:rsid w:val="702E0844"/>
    <w:rsid w:val="702E3539"/>
    <w:rsid w:val="702E686B"/>
    <w:rsid w:val="702F4391"/>
    <w:rsid w:val="70301DA3"/>
    <w:rsid w:val="7036571F"/>
    <w:rsid w:val="70383246"/>
    <w:rsid w:val="704327AC"/>
    <w:rsid w:val="70473489"/>
    <w:rsid w:val="70497201"/>
    <w:rsid w:val="704C0A9F"/>
    <w:rsid w:val="70531E2E"/>
    <w:rsid w:val="70540F89"/>
    <w:rsid w:val="70585696"/>
    <w:rsid w:val="70593891"/>
    <w:rsid w:val="70691651"/>
    <w:rsid w:val="70696F3D"/>
    <w:rsid w:val="706A63CD"/>
    <w:rsid w:val="706D1DD0"/>
    <w:rsid w:val="706D7810"/>
    <w:rsid w:val="706E6C67"/>
    <w:rsid w:val="70717342"/>
    <w:rsid w:val="70765B1C"/>
    <w:rsid w:val="707A560C"/>
    <w:rsid w:val="707A59BC"/>
    <w:rsid w:val="707B3132"/>
    <w:rsid w:val="70840239"/>
    <w:rsid w:val="70856B87"/>
    <w:rsid w:val="70891CF3"/>
    <w:rsid w:val="708E25E0"/>
    <w:rsid w:val="708E730A"/>
    <w:rsid w:val="708F6BDE"/>
    <w:rsid w:val="70935816"/>
    <w:rsid w:val="70986DE0"/>
    <w:rsid w:val="709A5CAE"/>
    <w:rsid w:val="709B291A"/>
    <w:rsid w:val="709E4AA2"/>
    <w:rsid w:val="70AC7790"/>
    <w:rsid w:val="70B34FC2"/>
    <w:rsid w:val="70B54896"/>
    <w:rsid w:val="70B623BC"/>
    <w:rsid w:val="70BD3C3C"/>
    <w:rsid w:val="70C42D2B"/>
    <w:rsid w:val="70C660AD"/>
    <w:rsid w:val="70CC398E"/>
    <w:rsid w:val="70D171F6"/>
    <w:rsid w:val="70D527EE"/>
    <w:rsid w:val="70DF5DB7"/>
    <w:rsid w:val="70E1568B"/>
    <w:rsid w:val="70E160FF"/>
    <w:rsid w:val="70E231B1"/>
    <w:rsid w:val="70E605BB"/>
    <w:rsid w:val="70E7115A"/>
    <w:rsid w:val="70F30C50"/>
    <w:rsid w:val="70F80C27"/>
    <w:rsid w:val="70F829D5"/>
    <w:rsid w:val="7104581E"/>
    <w:rsid w:val="71066EA0"/>
    <w:rsid w:val="710851C5"/>
    <w:rsid w:val="710A276A"/>
    <w:rsid w:val="710D46D2"/>
    <w:rsid w:val="710E3140"/>
    <w:rsid w:val="7112100E"/>
    <w:rsid w:val="71121CE9"/>
    <w:rsid w:val="7113780F"/>
    <w:rsid w:val="71174061"/>
    <w:rsid w:val="71186BD3"/>
    <w:rsid w:val="711A0B9D"/>
    <w:rsid w:val="71220086"/>
    <w:rsid w:val="71257C6E"/>
    <w:rsid w:val="71311217"/>
    <w:rsid w:val="71347EB1"/>
    <w:rsid w:val="7137174F"/>
    <w:rsid w:val="713A4D9B"/>
    <w:rsid w:val="714025F2"/>
    <w:rsid w:val="71410FFA"/>
    <w:rsid w:val="7141437C"/>
    <w:rsid w:val="71494FDF"/>
    <w:rsid w:val="714B6FA9"/>
    <w:rsid w:val="715B3690"/>
    <w:rsid w:val="715B5300"/>
    <w:rsid w:val="715C11B6"/>
    <w:rsid w:val="715D3781"/>
    <w:rsid w:val="715F4BD7"/>
    <w:rsid w:val="71692DEE"/>
    <w:rsid w:val="71695F16"/>
    <w:rsid w:val="716A5681"/>
    <w:rsid w:val="716C66CF"/>
    <w:rsid w:val="716D6F1F"/>
    <w:rsid w:val="71702252"/>
    <w:rsid w:val="71727542"/>
    <w:rsid w:val="717958C4"/>
    <w:rsid w:val="717A67EB"/>
    <w:rsid w:val="717C41F3"/>
    <w:rsid w:val="71810C1C"/>
    <w:rsid w:val="71946BA2"/>
    <w:rsid w:val="71985ADC"/>
    <w:rsid w:val="719D6674"/>
    <w:rsid w:val="719E474F"/>
    <w:rsid w:val="71A67840"/>
    <w:rsid w:val="71A861A9"/>
    <w:rsid w:val="71AB48B1"/>
    <w:rsid w:val="71AF3F93"/>
    <w:rsid w:val="71B132B0"/>
    <w:rsid w:val="71B52674"/>
    <w:rsid w:val="71B903B6"/>
    <w:rsid w:val="71BD7E79"/>
    <w:rsid w:val="71BE6D71"/>
    <w:rsid w:val="71C22866"/>
    <w:rsid w:val="71C56D5B"/>
    <w:rsid w:val="71C6373E"/>
    <w:rsid w:val="71C72AD3"/>
    <w:rsid w:val="71CD79BE"/>
    <w:rsid w:val="71D27F8A"/>
    <w:rsid w:val="71E06A73"/>
    <w:rsid w:val="71E511AB"/>
    <w:rsid w:val="71ED21B3"/>
    <w:rsid w:val="71EF202A"/>
    <w:rsid w:val="71F413EE"/>
    <w:rsid w:val="71F744C6"/>
    <w:rsid w:val="71F92EA9"/>
    <w:rsid w:val="71F960CF"/>
    <w:rsid w:val="7206664B"/>
    <w:rsid w:val="72084E9A"/>
    <w:rsid w:val="72090091"/>
    <w:rsid w:val="72113D47"/>
    <w:rsid w:val="72135089"/>
    <w:rsid w:val="7214383E"/>
    <w:rsid w:val="72144E11"/>
    <w:rsid w:val="72165809"/>
    <w:rsid w:val="721675B7"/>
    <w:rsid w:val="721750DD"/>
    <w:rsid w:val="72203F91"/>
    <w:rsid w:val="72206F55"/>
    <w:rsid w:val="72226347"/>
    <w:rsid w:val="72232B8E"/>
    <w:rsid w:val="722717C4"/>
    <w:rsid w:val="722F2426"/>
    <w:rsid w:val="72330169"/>
    <w:rsid w:val="723F48B4"/>
    <w:rsid w:val="724063E2"/>
    <w:rsid w:val="7241451B"/>
    <w:rsid w:val="7243340D"/>
    <w:rsid w:val="72435ED2"/>
    <w:rsid w:val="72442376"/>
    <w:rsid w:val="72457E9C"/>
    <w:rsid w:val="7249040E"/>
    <w:rsid w:val="7249798C"/>
    <w:rsid w:val="724A3704"/>
    <w:rsid w:val="724C2FD8"/>
    <w:rsid w:val="724C4D86"/>
    <w:rsid w:val="724D0AFE"/>
    <w:rsid w:val="724F7474"/>
    <w:rsid w:val="72516841"/>
    <w:rsid w:val="72563E57"/>
    <w:rsid w:val="725E2D0C"/>
    <w:rsid w:val="72620A4E"/>
    <w:rsid w:val="7264459B"/>
    <w:rsid w:val="726B1116"/>
    <w:rsid w:val="726F6CC7"/>
    <w:rsid w:val="7275721E"/>
    <w:rsid w:val="727A5D97"/>
    <w:rsid w:val="72842772"/>
    <w:rsid w:val="728564EA"/>
    <w:rsid w:val="72862DE7"/>
    <w:rsid w:val="728E091D"/>
    <w:rsid w:val="72914E8F"/>
    <w:rsid w:val="729329B5"/>
    <w:rsid w:val="7295497F"/>
    <w:rsid w:val="7297664B"/>
    <w:rsid w:val="7298446F"/>
    <w:rsid w:val="729B7ABC"/>
    <w:rsid w:val="72A04DED"/>
    <w:rsid w:val="72A42E14"/>
    <w:rsid w:val="72A5555B"/>
    <w:rsid w:val="72A61BB4"/>
    <w:rsid w:val="72A9418F"/>
    <w:rsid w:val="72A9667D"/>
    <w:rsid w:val="72AB13CD"/>
    <w:rsid w:val="72AC5C73"/>
    <w:rsid w:val="72AE3C93"/>
    <w:rsid w:val="72AF5690"/>
    <w:rsid w:val="72B172DF"/>
    <w:rsid w:val="72B7421D"/>
    <w:rsid w:val="72BB170D"/>
    <w:rsid w:val="72C131B2"/>
    <w:rsid w:val="72C214EC"/>
    <w:rsid w:val="72C76912"/>
    <w:rsid w:val="72C93C83"/>
    <w:rsid w:val="72C963D7"/>
    <w:rsid w:val="72D73968"/>
    <w:rsid w:val="72D80D10"/>
    <w:rsid w:val="72DA3A73"/>
    <w:rsid w:val="72DD00D4"/>
    <w:rsid w:val="72E75119"/>
    <w:rsid w:val="72E90827"/>
    <w:rsid w:val="72E94CCB"/>
    <w:rsid w:val="72E96A79"/>
    <w:rsid w:val="72F0391D"/>
    <w:rsid w:val="72F31907"/>
    <w:rsid w:val="72FA74C9"/>
    <w:rsid w:val="72FB055A"/>
    <w:rsid w:val="72FD42D3"/>
    <w:rsid w:val="73027B3B"/>
    <w:rsid w:val="73065FC6"/>
    <w:rsid w:val="730833A3"/>
    <w:rsid w:val="73092C77"/>
    <w:rsid w:val="73117D7E"/>
    <w:rsid w:val="731A30D6"/>
    <w:rsid w:val="731C2459"/>
    <w:rsid w:val="731F5D5E"/>
    <w:rsid w:val="73221F8B"/>
    <w:rsid w:val="7327064F"/>
    <w:rsid w:val="7329331A"/>
    <w:rsid w:val="73353A6C"/>
    <w:rsid w:val="733817AF"/>
    <w:rsid w:val="73397A01"/>
    <w:rsid w:val="733F2B3D"/>
    <w:rsid w:val="73426189"/>
    <w:rsid w:val="73487C44"/>
    <w:rsid w:val="734A6FCB"/>
    <w:rsid w:val="734A7BDE"/>
    <w:rsid w:val="734E2D80"/>
    <w:rsid w:val="73530396"/>
    <w:rsid w:val="735465E8"/>
    <w:rsid w:val="73555EBD"/>
    <w:rsid w:val="735635E4"/>
    <w:rsid w:val="73584555"/>
    <w:rsid w:val="7359395E"/>
    <w:rsid w:val="735C1231"/>
    <w:rsid w:val="735D79A5"/>
    <w:rsid w:val="735E1215"/>
    <w:rsid w:val="735E1E53"/>
    <w:rsid w:val="736032BE"/>
    <w:rsid w:val="73626993"/>
    <w:rsid w:val="736305DA"/>
    <w:rsid w:val="736D1458"/>
    <w:rsid w:val="737067CE"/>
    <w:rsid w:val="737B402A"/>
    <w:rsid w:val="737F73DD"/>
    <w:rsid w:val="7383282E"/>
    <w:rsid w:val="7386076C"/>
    <w:rsid w:val="73886292"/>
    <w:rsid w:val="738B7B30"/>
    <w:rsid w:val="738F520D"/>
    <w:rsid w:val="7398711B"/>
    <w:rsid w:val="739C1D3D"/>
    <w:rsid w:val="739C3AEB"/>
    <w:rsid w:val="739F3D64"/>
    <w:rsid w:val="73A115C0"/>
    <w:rsid w:val="73AB1F81"/>
    <w:rsid w:val="73B132F9"/>
    <w:rsid w:val="73B726D3"/>
    <w:rsid w:val="73BB1DFB"/>
    <w:rsid w:val="73BF31E9"/>
    <w:rsid w:val="73C13552"/>
    <w:rsid w:val="73C179F6"/>
    <w:rsid w:val="73C81B59"/>
    <w:rsid w:val="73CC2623"/>
    <w:rsid w:val="73D028F7"/>
    <w:rsid w:val="73D2575F"/>
    <w:rsid w:val="73D26A12"/>
    <w:rsid w:val="73D72D76"/>
    <w:rsid w:val="73DC213A"/>
    <w:rsid w:val="73DC4E36"/>
    <w:rsid w:val="73DF642C"/>
    <w:rsid w:val="73E01C2A"/>
    <w:rsid w:val="73E32748"/>
    <w:rsid w:val="73EA3012"/>
    <w:rsid w:val="73F27BAF"/>
    <w:rsid w:val="73F61F09"/>
    <w:rsid w:val="73F97190"/>
    <w:rsid w:val="74017DF2"/>
    <w:rsid w:val="74031DBD"/>
    <w:rsid w:val="74082FD3"/>
    <w:rsid w:val="740C48D9"/>
    <w:rsid w:val="741915E0"/>
    <w:rsid w:val="741E793C"/>
    <w:rsid w:val="74213FF1"/>
    <w:rsid w:val="742400E9"/>
    <w:rsid w:val="74277E3A"/>
    <w:rsid w:val="742C4E6F"/>
    <w:rsid w:val="742D1BD6"/>
    <w:rsid w:val="74324450"/>
    <w:rsid w:val="743326A2"/>
    <w:rsid w:val="74357542"/>
    <w:rsid w:val="74381A66"/>
    <w:rsid w:val="743C0E2B"/>
    <w:rsid w:val="743D52CE"/>
    <w:rsid w:val="743D707D"/>
    <w:rsid w:val="74410A17"/>
    <w:rsid w:val="744523D5"/>
    <w:rsid w:val="74457850"/>
    <w:rsid w:val="74487DCD"/>
    <w:rsid w:val="744C72C0"/>
    <w:rsid w:val="74510D7A"/>
    <w:rsid w:val="7452064E"/>
    <w:rsid w:val="74523F55"/>
    <w:rsid w:val="74566390"/>
    <w:rsid w:val="74575798"/>
    <w:rsid w:val="745A0F89"/>
    <w:rsid w:val="74631ADE"/>
    <w:rsid w:val="74640AAD"/>
    <w:rsid w:val="746565D3"/>
    <w:rsid w:val="74675EA7"/>
    <w:rsid w:val="746C7962"/>
    <w:rsid w:val="746D092B"/>
    <w:rsid w:val="74734539"/>
    <w:rsid w:val="74745F38"/>
    <w:rsid w:val="7476301D"/>
    <w:rsid w:val="7476433D"/>
    <w:rsid w:val="74784559"/>
    <w:rsid w:val="74793E2D"/>
    <w:rsid w:val="747C2324"/>
    <w:rsid w:val="74806E03"/>
    <w:rsid w:val="748527D2"/>
    <w:rsid w:val="748702F8"/>
    <w:rsid w:val="748C590E"/>
    <w:rsid w:val="748D49CD"/>
    <w:rsid w:val="749444D3"/>
    <w:rsid w:val="74962C31"/>
    <w:rsid w:val="7499002B"/>
    <w:rsid w:val="749B0247"/>
    <w:rsid w:val="749B1FF5"/>
    <w:rsid w:val="749B5C86"/>
    <w:rsid w:val="749D6880"/>
    <w:rsid w:val="749D7B1B"/>
    <w:rsid w:val="74A50BEC"/>
    <w:rsid w:val="74A52E74"/>
    <w:rsid w:val="74AC35B3"/>
    <w:rsid w:val="74AE3AD6"/>
    <w:rsid w:val="74AE4B4E"/>
    <w:rsid w:val="74B135C7"/>
    <w:rsid w:val="74B314A3"/>
    <w:rsid w:val="74B60BDD"/>
    <w:rsid w:val="74B64406"/>
    <w:rsid w:val="74B9390F"/>
    <w:rsid w:val="74BA31C7"/>
    <w:rsid w:val="74BE7A92"/>
    <w:rsid w:val="74C351B8"/>
    <w:rsid w:val="74C432FA"/>
    <w:rsid w:val="74C4779E"/>
    <w:rsid w:val="74C50E20"/>
    <w:rsid w:val="74CC2B9D"/>
    <w:rsid w:val="74D472B5"/>
    <w:rsid w:val="74D63B2B"/>
    <w:rsid w:val="74D97E42"/>
    <w:rsid w:val="74DD6779"/>
    <w:rsid w:val="74DE2DFA"/>
    <w:rsid w:val="74E05C5A"/>
    <w:rsid w:val="74E221F2"/>
    <w:rsid w:val="74E25E76"/>
    <w:rsid w:val="74E97204"/>
    <w:rsid w:val="74EC45FF"/>
    <w:rsid w:val="74EF50AE"/>
    <w:rsid w:val="74F87447"/>
    <w:rsid w:val="74FC2045"/>
    <w:rsid w:val="74FD4A5E"/>
    <w:rsid w:val="7503583D"/>
    <w:rsid w:val="75071439"/>
    <w:rsid w:val="750D643F"/>
    <w:rsid w:val="751653F3"/>
    <w:rsid w:val="751A59DC"/>
    <w:rsid w:val="75241FEA"/>
    <w:rsid w:val="752975C2"/>
    <w:rsid w:val="752C70F1"/>
    <w:rsid w:val="752D7D55"/>
    <w:rsid w:val="752F1C88"/>
    <w:rsid w:val="7532211D"/>
    <w:rsid w:val="75357D54"/>
    <w:rsid w:val="75394CD8"/>
    <w:rsid w:val="75395FF8"/>
    <w:rsid w:val="753F0BD2"/>
    <w:rsid w:val="753F6E24"/>
    <w:rsid w:val="75412B9C"/>
    <w:rsid w:val="7548217D"/>
    <w:rsid w:val="75510906"/>
    <w:rsid w:val="75625823"/>
    <w:rsid w:val="75630D65"/>
    <w:rsid w:val="75662603"/>
    <w:rsid w:val="75693EA1"/>
    <w:rsid w:val="756B19C7"/>
    <w:rsid w:val="75703448"/>
    <w:rsid w:val="75734D20"/>
    <w:rsid w:val="75792336"/>
    <w:rsid w:val="757B16F4"/>
    <w:rsid w:val="757C3BD5"/>
    <w:rsid w:val="7581743D"/>
    <w:rsid w:val="75846F2D"/>
    <w:rsid w:val="758B0767"/>
    <w:rsid w:val="758D193E"/>
    <w:rsid w:val="758D75E2"/>
    <w:rsid w:val="758F1B5A"/>
    <w:rsid w:val="75986327"/>
    <w:rsid w:val="759A04FF"/>
    <w:rsid w:val="759C7DD3"/>
    <w:rsid w:val="759F4EC0"/>
    <w:rsid w:val="75A44E30"/>
    <w:rsid w:val="75AA17D7"/>
    <w:rsid w:val="75AD1FE0"/>
    <w:rsid w:val="75B05A3E"/>
    <w:rsid w:val="75BC0475"/>
    <w:rsid w:val="75BE0ADD"/>
    <w:rsid w:val="75C05533"/>
    <w:rsid w:val="75C67E24"/>
    <w:rsid w:val="75CA04F1"/>
    <w:rsid w:val="75CB06B8"/>
    <w:rsid w:val="75D25EEA"/>
    <w:rsid w:val="75D70D73"/>
    <w:rsid w:val="75E8126A"/>
    <w:rsid w:val="75EA6D90"/>
    <w:rsid w:val="75EB2B08"/>
    <w:rsid w:val="75EF0F06"/>
    <w:rsid w:val="75F06371"/>
    <w:rsid w:val="75FE45EA"/>
    <w:rsid w:val="7610431D"/>
    <w:rsid w:val="7613626B"/>
    <w:rsid w:val="761402B1"/>
    <w:rsid w:val="76157B85"/>
    <w:rsid w:val="761734C3"/>
    <w:rsid w:val="761C7166"/>
    <w:rsid w:val="76206C56"/>
    <w:rsid w:val="762115A2"/>
    <w:rsid w:val="762229CE"/>
    <w:rsid w:val="76263B40"/>
    <w:rsid w:val="76283D5C"/>
    <w:rsid w:val="76312C11"/>
    <w:rsid w:val="76341118"/>
    <w:rsid w:val="76366479"/>
    <w:rsid w:val="763E70DC"/>
    <w:rsid w:val="76423EBA"/>
    <w:rsid w:val="764364A0"/>
    <w:rsid w:val="76465F91"/>
    <w:rsid w:val="76472434"/>
    <w:rsid w:val="764864EC"/>
    <w:rsid w:val="764865EB"/>
    <w:rsid w:val="764D19B8"/>
    <w:rsid w:val="765B5EE0"/>
    <w:rsid w:val="765E777E"/>
    <w:rsid w:val="765F789E"/>
    <w:rsid w:val="7662726E"/>
    <w:rsid w:val="76642E13"/>
    <w:rsid w:val="76650B0D"/>
    <w:rsid w:val="766823AB"/>
    <w:rsid w:val="766E5C13"/>
    <w:rsid w:val="76736211"/>
    <w:rsid w:val="76746FA2"/>
    <w:rsid w:val="767945B8"/>
    <w:rsid w:val="767A350B"/>
    <w:rsid w:val="767C3D9A"/>
    <w:rsid w:val="767E008B"/>
    <w:rsid w:val="767E397C"/>
    <w:rsid w:val="767F6B9B"/>
    <w:rsid w:val="76866C66"/>
    <w:rsid w:val="76880357"/>
    <w:rsid w:val="7688510D"/>
    <w:rsid w:val="768C7E47"/>
    <w:rsid w:val="76927701"/>
    <w:rsid w:val="769413F2"/>
    <w:rsid w:val="769A6A08"/>
    <w:rsid w:val="769B008A"/>
    <w:rsid w:val="76A258BD"/>
    <w:rsid w:val="76A333E3"/>
    <w:rsid w:val="76A553AD"/>
    <w:rsid w:val="76AA5987"/>
    <w:rsid w:val="76AB19E8"/>
    <w:rsid w:val="76AE24B4"/>
    <w:rsid w:val="76BD44A5"/>
    <w:rsid w:val="76C269AB"/>
    <w:rsid w:val="76C27D0D"/>
    <w:rsid w:val="76CE1B2D"/>
    <w:rsid w:val="76D717A6"/>
    <w:rsid w:val="76DE441B"/>
    <w:rsid w:val="76E45ED5"/>
    <w:rsid w:val="76E6765B"/>
    <w:rsid w:val="76E77774"/>
    <w:rsid w:val="76E97048"/>
    <w:rsid w:val="76EA1012"/>
    <w:rsid w:val="76ED1FB3"/>
    <w:rsid w:val="76ED7ABE"/>
    <w:rsid w:val="76F61765"/>
    <w:rsid w:val="76F62D49"/>
    <w:rsid w:val="76F65C09"/>
    <w:rsid w:val="76FD2AF3"/>
    <w:rsid w:val="77101B8D"/>
    <w:rsid w:val="77113FA7"/>
    <w:rsid w:val="771542E1"/>
    <w:rsid w:val="771D3195"/>
    <w:rsid w:val="771D36E6"/>
    <w:rsid w:val="771F319A"/>
    <w:rsid w:val="77271704"/>
    <w:rsid w:val="77274B25"/>
    <w:rsid w:val="77297EB7"/>
    <w:rsid w:val="772C33D8"/>
    <w:rsid w:val="772C5186"/>
    <w:rsid w:val="772D6C40"/>
    <w:rsid w:val="772E7150"/>
    <w:rsid w:val="773330BD"/>
    <w:rsid w:val="77336515"/>
    <w:rsid w:val="7735567E"/>
    <w:rsid w:val="77387FCF"/>
    <w:rsid w:val="773A5AF5"/>
    <w:rsid w:val="773F310C"/>
    <w:rsid w:val="77426B90"/>
    <w:rsid w:val="774271E1"/>
    <w:rsid w:val="774D25F6"/>
    <w:rsid w:val="775947BB"/>
    <w:rsid w:val="77597468"/>
    <w:rsid w:val="775F555C"/>
    <w:rsid w:val="77613082"/>
    <w:rsid w:val="77707E71"/>
    <w:rsid w:val="77735147"/>
    <w:rsid w:val="77762421"/>
    <w:rsid w:val="77763CE3"/>
    <w:rsid w:val="77784870"/>
    <w:rsid w:val="77796881"/>
    <w:rsid w:val="77846CDF"/>
    <w:rsid w:val="778A2F0E"/>
    <w:rsid w:val="779276DF"/>
    <w:rsid w:val="7794468F"/>
    <w:rsid w:val="779A0FFD"/>
    <w:rsid w:val="779E0807"/>
    <w:rsid w:val="77A15B74"/>
    <w:rsid w:val="77AB69F3"/>
    <w:rsid w:val="77B6195A"/>
    <w:rsid w:val="77B95E16"/>
    <w:rsid w:val="77BA0F87"/>
    <w:rsid w:val="77BC475C"/>
    <w:rsid w:val="77BF3969"/>
    <w:rsid w:val="77C11D73"/>
    <w:rsid w:val="77C27899"/>
    <w:rsid w:val="77CC444C"/>
    <w:rsid w:val="77D777E8"/>
    <w:rsid w:val="77D96FB3"/>
    <w:rsid w:val="77E37AD6"/>
    <w:rsid w:val="77E421DC"/>
    <w:rsid w:val="77E55684"/>
    <w:rsid w:val="77E77FA4"/>
    <w:rsid w:val="77EA751B"/>
    <w:rsid w:val="77ED2B68"/>
    <w:rsid w:val="77F02797"/>
    <w:rsid w:val="77FC0FFD"/>
    <w:rsid w:val="780103C1"/>
    <w:rsid w:val="78016613"/>
    <w:rsid w:val="7805518F"/>
    <w:rsid w:val="780600CD"/>
    <w:rsid w:val="780B1240"/>
    <w:rsid w:val="780D4FB8"/>
    <w:rsid w:val="780F09F4"/>
    <w:rsid w:val="78111AD0"/>
    <w:rsid w:val="78146346"/>
    <w:rsid w:val="78186399"/>
    <w:rsid w:val="781A1483"/>
    <w:rsid w:val="782374D1"/>
    <w:rsid w:val="78276D39"/>
    <w:rsid w:val="782B18E2"/>
    <w:rsid w:val="782D565A"/>
    <w:rsid w:val="782F1C1A"/>
    <w:rsid w:val="78324A1E"/>
    <w:rsid w:val="78342545"/>
    <w:rsid w:val="78380F8C"/>
    <w:rsid w:val="783C1535"/>
    <w:rsid w:val="783E7867"/>
    <w:rsid w:val="78454752"/>
    <w:rsid w:val="784F02E1"/>
    <w:rsid w:val="7851759A"/>
    <w:rsid w:val="785229A8"/>
    <w:rsid w:val="785901FD"/>
    <w:rsid w:val="785F0F7A"/>
    <w:rsid w:val="7860333A"/>
    <w:rsid w:val="786453D8"/>
    <w:rsid w:val="786B1CDE"/>
    <w:rsid w:val="786C52AB"/>
    <w:rsid w:val="78751757"/>
    <w:rsid w:val="78760DAF"/>
    <w:rsid w:val="78793171"/>
    <w:rsid w:val="787943FB"/>
    <w:rsid w:val="787D20B0"/>
    <w:rsid w:val="787E5EB6"/>
    <w:rsid w:val="78810287"/>
    <w:rsid w:val="78824593"/>
    <w:rsid w:val="788449C2"/>
    <w:rsid w:val="788860C0"/>
    <w:rsid w:val="788B412F"/>
    <w:rsid w:val="788D5D25"/>
    <w:rsid w:val="789254BD"/>
    <w:rsid w:val="78945CCD"/>
    <w:rsid w:val="78964FAD"/>
    <w:rsid w:val="789C4F47"/>
    <w:rsid w:val="78A11715"/>
    <w:rsid w:val="78A37DFC"/>
    <w:rsid w:val="78A90480"/>
    <w:rsid w:val="78AC0BE6"/>
    <w:rsid w:val="78AC47D1"/>
    <w:rsid w:val="78B1554E"/>
    <w:rsid w:val="78B43685"/>
    <w:rsid w:val="78BF6EF7"/>
    <w:rsid w:val="78C00903"/>
    <w:rsid w:val="78C31B1A"/>
    <w:rsid w:val="78C7785D"/>
    <w:rsid w:val="78C9311B"/>
    <w:rsid w:val="78CC351E"/>
    <w:rsid w:val="78D35BBD"/>
    <w:rsid w:val="78D37FAF"/>
    <w:rsid w:val="78D646F6"/>
    <w:rsid w:val="78D67AA0"/>
    <w:rsid w:val="78DA7590"/>
    <w:rsid w:val="78DC47C4"/>
    <w:rsid w:val="78DE6954"/>
    <w:rsid w:val="78E163DA"/>
    <w:rsid w:val="78E20A03"/>
    <w:rsid w:val="78E26444"/>
    <w:rsid w:val="78E30EC4"/>
    <w:rsid w:val="78E75809"/>
    <w:rsid w:val="78E8315E"/>
    <w:rsid w:val="78EE303B"/>
    <w:rsid w:val="78EE4DE9"/>
    <w:rsid w:val="78F10436"/>
    <w:rsid w:val="78F574E2"/>
    <w:rsid w:val="78F817C4"/>
    <w:rsid w:val="78F9201C"/>
    <w:rsid w:val="78FD0B56"/>
    <w:rsid w:val="7904104F"/>
    <w:rsid w:val="790463BB"/>
    <w:rsid w:val="79055C6B"/>
    <w:rsid w:val="790939D1"/>
    <w:rsid w:val="790D1571"/>
    <w:rsid w:val="790E7239"/>
    <w:rsid w:val="79122B54"/>
    <w:rsid w:val="791650FE"/>
    <w:rsid w:val="791660EE"/>
    <w:rsid w:val="79175833"/>
    <w:rsid w:val="7919798C"/>
    <w:rsid w:val="791D747D"/>
    <w:rsid w:val="791F1447"/>
    <w:rsid w:val="7927654D"/>
    <w:rsid w:val="79297BCF"/>
    <w:rsid w:val="792A1B99"/>
    <w:rsid w:val="792C4CC9"/>
    <w:rsid w:val="79312F28"/>
    <w:rsid w:val="79330A4E"/>
    <w:rsid w:val="79352A18"/>
    <w:rsid w:val="7936053E"/>
    <w:rsid w:val="793B7903"/>
    <w:rsid w:val="793C3418"/>
    <w:rsid w:val="7940316B"/>
    <w:rsid w:val="79404F19"/>
    <w:rsid w:val="79442C5B"/>
    <w:rsid w:val="79490AB5"/>
    <w:rsid w:val="794C38BE"/>
    <w:rsid w:val="79507900"/>
    <w:rsid w:val="79594081"/>
    <w:rsid w:val="796D289A"/>
    <w:rsid w:val="796E46DA"/>
    <w:rsid w:val="79717E77"/>
    <w:rsid w:val="79752E15"/>
    <w:rsid w:val="79761652"/>
    <w:rsid w:val="79780B57"/>
    <w:rsid w:val="797C0647"/>
    <w:rsid w:val="79811327"/>
    <w:rsid w:val="798219D5"/>
    <w:rsid w:val="79876FEC"/>
    <w:rsid w:val="798B0086"/>
    <w:rsid w:val="798C63B0"/>
    <w:rsid w:val="798D4602"/>
    <w:rsid w:val="798E3ED6"/>
    <w:rsid w:val="798E437D"/>
    <w:rsid w:val="79905EA0"/>
    <w:rsid w:val="79935991"/>
    <w:rsid w:val="79951709"/>
    <w:rsid w:val="79974728"/>
    <w:rsid w:val="79983E20"/>
    <w:rsid w:val="799D236B"/>
    <w:rsid w:val="79A11E5C"/>
    <w:rsid w:val="79A37DA9"/>
    <w:rsid w:val="79A67472"/>
    <w:rsid w:val="79AC0800"/>
    <w:rsid w:val="79B43D9D"/>
    <w:rsid w:val="79B74AA6"/>
    <w:rsid w:val="79B778D1"/>
    <w:rsid w:val="79B86634"/>
    <w:rsid w:val="79BE0C60"/>
    <w:rsid w:val="79C03F87"/>
    <w:rsid w:val="79C124FE"/>
    <w:rsid w:val="79D42231"/>
    <w:rsid w:val="79D45972"/>
    <w:rsid w:val="79DB76E8"/>
    <w:rsid w:val="79DD4AE3"/>
    <w:rsid w:val="79E104AA"/>
    <w:rsid w:val="79E7730A"/>
    <w:rsid w:val="79E93803"/>
    <w:rsid w:val="79ED50A1"/>
    <w:rsid w:val="79F24465"/>
    <w:rsid w:val="79F62EF9"/>
    <w:rsid w:val="79FE72AE"/>
    <w:rsid w:val="7A1121F7"/>
    <w:rsid w:val="7A137FC7"/>
    <w:rsid w:val="7A1E16FE"/>
    <w:rsid w:val="7A1F0FD2"/>
    <w:rsid w:val="7A22231A"/>
    <w:rsid w:val="7A24780B"/>
    <w:rsid w:val="7A274CFC"/>
    <w:rsid w:val="7A293BFF"/>
    <w:rsid w:val="7A2A3180"/>
    <w:rsid w:val="7A2B5BC9"/>
    <w:rsid w:val="7A316DFD"/>
    <w:rsid w:val="7A364017"/>
    <w:rsid w:val="7A3B22B0"/>
    <w:rsid w:val="7A3E3B4E"/>
    <w:rsid w:val="7A48677B"/>
    <w:rsid w:val="7A5E1AFB"/>
    <w:rsid w:val="7A665F33"/>
    <w:rsid w:val="7A6660F8"/>
    <w:rsid w:val="7A6B1967"/>
    <w:rsid w:val="7A6D48C0"/>
    <w:rsid w:val="7A6F3D08"/>
    <w:rsid w:val="7A70182E"/>
    <w:rsid w:val="7A715CD2"/>
    <w:rsid w:val="7A7C3632"/>
    <w:rsid w:val="7A7C6425"/>
    <w:rsid w:val="7A804167"/>
    <w:rsid w:val="7A8265E1"/>
    <w:rsid w:val="7A8377B3"/>
    <w:rsid w:val="7A886347"/>
    <w:rsid w:val="7A8A0B42"/>
    <w:rsid w:val="7A903C7E"/>
    <w:rsid w:val="7A9B4AFD"/>
    <w:rsid w:val="7A9D67A7"/>
    <w:rsid w:val="7AA00365"/>
    <w:rsid w:val="7AA5772A"/>
    <w:rsid w:val="7AB07CD4"/>
    <w:rsid w:val="7AB21E46"/>
    <w:rsid w:val="7AB94F83"/>
    <w:rsid w:val="7ABE0549"/>
    <w:rsid w:val="7AC04563"/>
    <w:rsid w:val="7AC314BE"/>
    <w:rsid w:val="7AC322A6"/>
    <w:rsid w:val="7AC3298E"/>
    <w:rsid w:val="7AC57DCC"/>
    <w:rsid w:val="7ACC2F08"/>
    <w:rsid w:val="7AD60594"/>
    <w:rsid w:val="7AD86316"/>
    <w:rsid w:val="7AD926AB"/>
    <w:rsid w:val="7ADA3941"/>
    <w:rsid w:val="7ADF6323"/>
    <w:rsid w:val="7AE475C4"/>
    <w:rsid w:val="7AE9497B"/>
    <w:rsid w:val="7AF10BC1"/>
    <w:rsid w:val="7AF34939"/>
    <w:rsid w:val="7AFA2D33"/>
    <w:rsid w:val="7B000E04"/>
    <w:rsid w:val="7B0A57DF"/>
    <w:rsid w:val="7B14665D"/>
    <w:rsid w:val="7B187EFC"/>
    <w:rsid w:val="7B1D19B6"/>
    <w:rsid w:val="7B1D5512"/>
    <w:rsid w:val="7B247BEC"/>
    <w:rsid w:val="7B260AB7"/>
    <w:rsid w:val="7B272834"/>
    <w:rsid w:val="7B2A7C2F"/>
    <w:rsid w:val="7B2C3224"/>
    <w:rsid w:val="7B3650A3"/>
    <w:rsid w:val="7B3867F0"/>
    <w:rsid w:val="7B3B008E"/>
    <w:rsid w:val="7B3B410F"/>
    <w:rsid w:val="7B42766E"/>
    <w:rsid w:val="7B43689E"/>
    <w:rsid w:val="7B4738E3"/>
    <w:rsid w:val="7B486307"/>
    <w:rsid w:val="7B4927AB"/>
    <w:rsid w:val="7B4E1B6F"/>
    <w:rsid w:val="7B4E6013"/>
    <w:rsid w:val="7B5178B1"/>
    <w:rsid w:val="7B537186"/>
    <w:rsid w:val="7B5770BD"/>
    <w:rsid w:val="7B58479C"/>
    <w:rsid w:val="7B5B4FD1"/>
    <w:rsid w:val="7B5E1E17"/>
    <w:rsid w:val="7B5E43AD"/>
    <w:rsid w:val="7B643141"/>
    <w:rsid w:val="7B686D42"/>
    <w:rsid w:val="7B694BFB"/>
    <w:rsid w:val="7B6969A9"/>
    <w:rsid w:val="7B6A54D9"/>
    <w:rsid w:val="7B727A53"/>
    <w:rsid w:val="7B74267B"/>
    <w:rsid w:val="7B7470FC"/>
    <w:rsid w:val="7B7A0FC8"/>
    <w:rsid w:val="7B7D06A6"/>
    <w:rsid w:val="7B7F61CD"/>
    <w:rsid w:val="7B841746"/>
    <w:rsid w:val="7B854078"/>
    <w:rsid w:val="7B8940DC"/>
    <w:rsid w:val="7B8B207E"/>
    <w:rsid w:val="7B8B4B71"/>
    <w:rsid w:val="7B8D7AD7"/>
    <w:rsid w:val="7B901128"/>
    <w:rsid w:val="7B917878"/>
    <w:rsid w:val="7B925FE7"/>
    <w:rsid w:val="7B9559F0"/>
    <w:rsid w:val="7B955AA9"/>
    <w:rsid w:val="7B98103C"/>
    <w:rsid w:val="7B9A3A6E"/>
    <w:rsid w:val="7B9A4DB4"/>
    <w:rsid w:val="7B9A4F9A"/>
    <w:rsid w:val="7B9D6653"/>
    <w:rsid w:val="7BA14395"/>
    <w:rsid w:val="7BA53E28"/>
    <w:rsid w:val="7BA63759"/>
    <w:rsid w:val="7BA94FF8"/>
    <w:rsid w:val="7BAE0225"/>
    <w:rsid w:val="7BAE6AC1"/>
    <w:rsid w:val="7BD06A28"/>
    <w:rsid w:val="7BD3786A"/>
    <w:rsid w:val="7BD561AA"/>
    <w:rsid w:val="7BD61B65"/>
    <w:rsid w:val="7BD858DD"/>
    <w:rsid w:val="7BE2675B"/>
    <w:rsid w:val="7BE55C9F"/>
    <w:rsid w:val="7BE6624C"/>
    <w:rsid w:val="7BFA3C79"/>
    <w:rsid w:val="7C0045FA"/>
    <w:rsid w:val="7C04545E"/>
    <w:rsid w:val="7C06069C"/>
    <w:rsid w:val="7C075F3B"/>
    <w:rsid w:val="7C090359"/>
    <w:rsid w:val="7C1032C9"/>
    <w:rsid w:val="7C1508DF"/>
    <w:rsid w:val="7C181810"/>
    <w:rsid w:val="7C1B0ED7"/>
    <w:rsid w:val="7C241CA2"/>
    <w:rsid w:val="7C246915"/>
    <w:rsid w:val="7C2823C0"/>
    <w:rsid w:val="7C330D65"/>
    <w:rsid w:val="7C3E1BE4"/>
    <w:rsid w:val="7C3F3BAE"/>
    <w:rsid w:val="7C4116D4"/>
    <w:rsid w:val="7C464F3C"/>
    <w:rsid w:val="7C484810"/>
    <w:rsid w:val="7C4C69A8"/>
    <w:rsid w:val="7C4F3DF1"/>
    <w:rsid w:val="7C5076B5"/>
    <w:rsid w:val="7C570EF7"/>
    <w:rsid w:val="7C611D76"/>
    <w:rsid w:val="7C631EB1"/>
    <w:rsid w:val="7C6347E5"/>
    <w:rsid w:val="7C63789C"/>
    <w:rsid w:val="7C644183"/>
    <w:rsid w:val="7C644564"/>
    <w:rsid w:val="7C653614"/>
    <w:rsid w:val="7C6F6241"/>
    <w:rsid w:val="7C730E76"/>
    <w:rsid w:val="7C743857"/>
    <w:rsid w:val="7C7E46D6"/>
    <w:rsid w:val="7C7F3FAA"/>
    <w:rsid w:val="7C865339"/>
    <w:rsid w:val="7C896BD7"/>
    <w:rsid w:val="7C8D3F98"/>
    <w:rsid w:val="7C8D4919"/>
    <w:rsid w:val="7C943EFA"/>
    <w:rsid w:val="7C950E2A"/>
    <w:rsid w:val="7C952014"/>
    <w:rsid w:val="7C9663A3"/>
    <w:rsid w:val="7C9712F4"/>
    <w:rsid w:val="7C9757B5"/>
    <w:rsid w:val="7C98391B"/>
    <w:rsid w:val="7C9C6796"/>
    <w:rsid w:val="7CA52E86"/>
    <w:rsid w:val="7CA67789"/>
    <w:rsid w:val="7CA83501"/>
    <w:rsid w:val="7CB9570E"/>
    <w:rsid w:val="7CBC0D5A"/>
    <w:rsid w:val="7CBC51FE"/>
    <w:rsid w:val="7CBF37B9"/>
    <w:rsid w:val="7CC3658D"/>
    <w:rsid w:val="7CCA3477"/>
    <w:rsid w:val="7CCF0A8E"/>
    <w:rsid w:val="7CCF4C6B"/>
    <w:rsid w:val="7CD2057E"/>
    <w:rsid w:val="7CD20D82"/>
    <w:rsid w:val="7CD460A4"/>
    <w:rsid w:val="7CD73DE6"/>
    <w:rsid w:val="7CDE5175"/>
    <w:rsid w:val="7CE00658"/>
    <w:rsid w:val="7CE00EED"/>
    <w:rsid w:val="7CE26411"/>
    <w:rsid w:val="7CE309DD"/>
    <w:rsid w:val="7CE502B1"/>
    <w:rsid w:val="7CE7227B"/>
    <w:rsid w:val="7CED7B72"/>
    <w:rsid w:val="7CF24F98"/>
    <w:rsid w:val="7CF25824"/>
    <w:rsid w:val="7CF36423"/>
    <w:rsid w:val="7CF93D5D"/>
    <w:rsid w:val="7D020E63"/>
    <w:rsid w:val="7D0239FF"/>
    <w:rsid w:val="7D034BDB"/>
    <w:rsid w:val="7D0428EB"/>
    <w:rsid w:val="7D0467C0"/>
    <w:rsid w:val="7D0A41BC"/>
    <w:rsid w:val="7D0D15B6"/>
    <w:rsid w:val="7D0E1EA7"/>
    <w:rsid w:val="7D115EA6"/>
    <w:rsid w:val="7D1312C2"/>
    <w:rsid w:val="7D142945"/>
    <w:rsid w:val="7D1666BD"/>
    <w:rsid w:val="7D186509"/>
    <w:rsid w:val="7D21405B"/>
    <w:rsid w:val="7D225061"/>
    <w:rsid w:val="7D23702C"/>
    <w:rsid w:val="7D284642"/>
    <w:rsid w:val="7D33726F"/>
    <w:rsid w:val="7D344D95"/>
    <w:rsid w:val="7D37575A"/>
    <w:rsid w:val="7D3D2AA8"/>
    <w:rsid w:val="7D3F0F24"/>
    <w:rsid w:val="7D4204E9"/>
    <w:rsid w:val="7D4274B2"/>
    <w:rsid w:val="7D4476CE"/>
    <w:rsid w:val="7D4A45B8"/>
    <w:rsid w:val="7D513B99"/>
    <w:rsid w:val="7D52346D"/>
    <w:rsid w:val="7D562F5D"/>
    <w:rsid w:val="7D580A83"/>
    <w:rsid w:val="7D5B67C5"/>
    <w:rsid w:val="7D5E40CD"/>
    <w:rsid w:val="7D605B8A"/>
    <w:rsid w:val="7D6500F5"/>
    <w:rsid w:val="7D6531A0"/>
    <w:rsid w:val="7D693BED"/>
    <w:rsid w:val="7D694C7C"/>
    <w:rsid w:val="7D6C2781"/>
    <w:rsid w:val="7D705BFF"/>
    <w:rsid w:val="7D711B45"/>
    <w:rsid w:val="7D74266F"/>
    <w:rsid w:val="7D7D04EA"/>
    <w:rsid w:val="7D824B7F"/>
    <w:rsid w:val="7D8335F7"/>
    <w:rsid w:val="7D8950E1"/>
    <w:rsid w:val="7D8F0799"/>
    <w:rsid w:val="7D944F65"/>
    <w:rsid w:val="7D9558DE"/>
    <w:rsid w:val="7D957F29"/>
    <w:rsid w:val="7D972EFD"/>
    <w:rsid w:val="7D983576"/>
    <w:rsid w:val="7D9B2E98"/>
    <w:rsid w:val="7D9C6ED4"/>
    <w:rsid w:val="7D9D6DDE"/>
    <w:rsid w:val="7D9F0BCB"/>
    <w:rsid w:val="7DA0067C"/>
    <w:rsid w:val="7DA0242A"/>
    <w:rsid w:val="7DA45501"/>
    <w:rsid w:val="7DA61F6B"/>
    <w:rsid w:val="7DA63EE4"/>
    <w:rsid w:val="7DB06B11"/>
    <w:rsid w:val="7DB3215D"/>
    <w:rsid w:val="7DB92447"/>
    <w:rsid w:val="7DBA173E"/>
    <w:rsid w:val="7DC10D1E"/>
    <w:rsid w:val="7DC51888"/>
    <w:rsid w:val="7DC600E3"/>
    <w:rsid w:val="7DC92BE0"/>
    <w:rsid w:val="7DCB394B"/>
    <w:rsid w:val="7DCE51E9"/>
    <w:rsid w:val="7DD00F61"/>
    <w:rsid w:val="7DD338F9"/>
    <w:rsid w:val="7DD37B87"/>
    <w:rsid w:val="7DD44EEC"/>
    <w:rsid w:val="7DD722F0"/>
    <w:rsid w:val="7DD81BC4"/>
    <w:rsid w:val="7DD86068"/>
    <w:rsid w:val="7DDE34B5"/>
    <w:rsid w:val="7DDF2F52"/>
    <w:rsid w:val="7DEB7B49"/>
    <w:rsid w:val="7DEC556A"/>
    <w:rsid w:val="7DF06F0E"/>
    <w:rsid w:val="7DF12C86"/>
    <w:rsid w:val="7DF34C50"/>
    <w:rsid w:val="7DF5428B"/>
    <w:rsid w:val="7DFA5FDE"/>
    <w:rsid w:val="7E040C0B"/>
    <w:rsid w:val="7E052BDE"/>
    <w:rsid w:val="7E057D7A"/>
    <w:rsid w:val="7E0B440B"/>
    <w:rsid w:val="7E132BFC"/>
    <w:rsid w:val="7E1532BF"/>
    <w:rsid w:val="7E1A042F"/>
    <w:rsid w:val="7E1A6BBD"/>
    <w:rsid w:val="7E1B52D0"/>
    <w:rsid w:val="7E1D118B"/>
    <w:rsid w:val="7E1D624C"/>
    <w:rsid w:val="7E2117BD"/>
    <w:rsid w:val="7E24305B"/>
    <w:rsid w:val="7E246BF6"/>
    <w:rsid w:val="7E2E5C88"/>
    <w:rsid w:val="7E370FE0"/>
    <w:rsid w:val="7E3C666E"/>
    <w:rsid w:val="7E3D5ECB"/>
    <w:rsid w:val="7E3E411D"/>
    <w:rsid w:val="7E4B05E8"/>
    <w:rsid w:val="7E4D6024"/>
    <w:rsid w:val="7E4E04C2"/>
    <w:rsid w:val="7E5020A2"/>
    <w:rsid w:val="7E50377C"/>
    <w:rsid w:val="7E5637D7"/>
    <w:rsid w:val="7E58122B"/>
    <w:rsid w:val="7E5D0F7F"/>
    <w:rsid w:val="7E5F4093"/>
    <w:rsid w:val="7E5F7640"/>
    <w:rsid w:val="7E6873EC"/>
    <w:rsid w:val="7E6D1E3F"/>
    <w:rsid w:val="7E6D67B0"/>
    <w:rsid w:val="7E6E2528"/>
    <w:rsid w:val="7E762DB4"/>
    <w:rsid w:val="7E782D27"/>
    <w:rsid w:val="7E7A0ECD"/>
    <w:rsid w:val="7E7B3C1E"/>
    <w:rsid w:val="7E7C69F3"/>
    <w:rsid w:val="7E8104AE"/>
    <w:rsid w:val="7E81225C"/>
    <w:rsid w:val="7E8A1149"/>
    <w:rsid w:val="7E8B30DA"/>
    <w:rsid w:val="7E8D6E52"/>
    <w:rsid w:val="7E9401E1"/>
    <w:rsid w:val="7E941FD6"/>
    <w:rsid w:val="7E9521CD"/>
    <w:rsid w:val="7EA30424"/>
    <w:rsid w:val="7EA33FDE"/>
    <w:rsid w:val="7EA40AE0"/>
    <w:rsid w:val="7EAB552B"/>
    <w:rsid w:val="7EB264E4"/>
    <w:rsid w:val="7EB42631"/>
    <w:rsid w:val="7EB46E8D"/>
    <w:rsid w:val="7EB56F67"/>
    <w:rsid w:val="7EB72EE7"/>
    <w:rsid w:val="7EB837A6"/>
    <w:rsid w:val="7EBB6578"/>
    <w:rsid w:val="7EBE0DBA"/>
    <w:rsid w:val="7EC65EC0"/>
    <w:rsid w:val="7EC860DC"/>
    <w:rsid w:val="7EC86835"/>
    <w:rsid w:val="7ECD36F3"/>
    <w:rsid w:val="7ED455CC"/>
    <w:rsid w:val="7ED4682F"/>
    <w:rsid w:val="7ED46C5A"/>
    <w:rsid w:val="7ED71E7C"/>
    <w:rsid w:val="7ED92098"/>
    <w:rsid w:val="7EDC56E4"/>
    <w:rsid w:val="7EE527EB"/>
    <w:rsid w:val="7EE822DB"/>
    <w:rsid w:val="7EEC08D3"/>
    <w:rsid w:val="7EEF18BB"/>
    <w:rsid w:val="7EF20AA2"/>
    <w:rsid w:val="7EF42A2E"/>
    <w:rsid w:val="7EF961DF"/>
    <w:rsid w:val="7F0709B3"/>
    <w:rsid w:val="7F0A6D29"/>
    <w:rsid w:val="7F0B7D77"/>
    <w:rsid w:val="7F0D1D41"/>
    <w:rsid w:val="7F10538E"/>
    <w:rsid w:val="7F1629A4"/>
    <w:rsid w:val="7F182238"/>
    <w:rsid w:val="7F1950C0"/>
    <w:rsid w:val="7F1B7CAE"/>
    <w:rsid w:val="7F250E39"/>
    <w:rsid w:val="7F264BB1"/>
    <w:rsid w:val="7F2D7CEE"/>
    <w:rsid w:val="7F3124A9"/>
    <w:rsid w:val="7F364DF4"/>
    <w:rsid w:val="7F405C73"/>
    <w:rsid w:val="7F435763"/>
    <w:rsid w:val="7F4A08A0"/>
    <w:rsid w:val="7F4A6AF1"/>
    <w:rsid w:val="7F4C4618"/>
    <w:rsid w:val="7F58120E"/>
    <w:rsid w:val="7F597551"/>
    <w:rsid w:val="7F625BE9"/>
    <w:rsid w:val="7F6B48D1"/>
    <w:rsid w:val="7F6C6A68"/>
    <w:rsid w:val="7F6F0306"/>
    <w:rsid w:val="7F74591C"/>
    <w:rsid w:val="7F7A0869"/>
    <w:rsid w:val="7F7D0C75"/>
    <w:rsid w:val="7F7D2A23"/>
    <w:rsid w:val="7F7E49ED"/>
    <w:rsid w:val="7F7F7177"/>
    <w:rsid w:val="7F916650"/>
    <w:rsid w:val="7F9D1317"/>
    <w:rsid w:val="7F9F508F"/>
    <w:rsid w:val="7FA12C09"/>
    <w:rsid w:val="7FA1658D"/>
    <w:rsid w:val="7FA206DC"/>
    <w:rsid w:val="7FA2692E"/>
    <w:rsid w:val="7FA44DC6"/>
    <w:rsid w:val="7FA91A6A"/>
    <w:rsid w:val="7FA96067"/>
    <w:rsid w:val="7FB421BD"/>
    <w:rsid w:val="7FB83A5B"/>
    <w:rsid w:val="7FB87EFF"/>
    <w:rsid w:val="7FBD3767"/>
    <w:rsid w:val="7FBE40A5"/>
    <w:rsid w:val="7FBE43E0"/>
    <w:rsid w:val="7FC00B62"/>
    <w:rsid w:val="7FC37379"/>
    <w:rsid w:val="7FCC39AA"/>
    <w:rsid w:val="7FD5285F"/>
    <w:rsid w:val="7FDB04BF"/>
    <w:rsid w:val="7FDF527F"/>
    <w:rsid w:val="7FE24F7C"/>
    <w:rsid w:val="7FE47E50"/>
    <w:rsid w:val="7FE76BED"/>
    <w:rsid w:val="7FEE3921"/>
    <w:rsid w:val="7FF57F11"/>
    <w:rsid w:val="7FF75A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nhideWhenUsed="0" w:uiPriority="99"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ocked="1"/>
    <w:lsdException w:qFormat="1" w:uiPriority="39" w:semiHidden="0" w:name="toc 2" w:locked="1"/>
    <w:lsdException w:qFormat="1" w:unhideWhenUsed="0" w:uiPriority="0" w:semiHidden="0" w:name="toc 3" w:locked="1"/>
    <w:lsdException w:unhideWhenUsed="0" w:uiPriority="0" w:semiHidden="0" w:name="toc 4" w:locked="1"/>
    <w:lsdException w:unhideWhenUsed="0" w:uiPriority="0" w:semiHidden="0" w:name="toc 5" w:locked="1"/>
    <w:lsdException w:qFormat="1"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ocked="1"/>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ocked="1"/>
    <w:lsdException w:qFormat="1" w:unhideWhenUsed="0" w:uiPriority="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link w:val="14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link w:val="142"/>
    <w:qFormat/>
    <w:locked/>
    <w:uiPriority w:val="0"/>
    <w:pPr>
      <w:keepNext/>
      <w:keepLines/>
      <w:spacing w:before="260" w:after="260" w:line="416" w:lineRule="auto"/>
      <w:outlineLvl w:val="1"/>
    </w:pPr>
    <w:rPr>
      <w:rFonts w:ascii="Arial" w:hAnsi="Arial" w:eastAsia="黑体"/>
      <w:b/>
      <w:bCs/>
      <w:sz w:val="32"/>
      <w:szCs w:val="32"/>
    </w:rPr>
  </w:style>
  <w:style w:type="paragraph" w:styleId="6">
    <w:name w:val="heading 3"/>
    <w:basedOn w:val="1"/>
    <w:next w:val="1"/>
    <w:qFormat/>
    <w:locked/>
    <w:uiPriority w:val="0"/>
    <w:pPr>
      <w:numPr>
        <w:ilvl w:val="2"/>
        <w:numId w:val="1"/>
      </w:numPr>
      <w:spacing w:before="50" w:beforeLines="50"/>
      <w:ind w:left="0" w:firstLine="0"/>
      <w:jc w:val="left"/>
      <w:outlineLvl w:val="2"/>
    </w:pPr>
    <w:rPr>
      <w:b/>
      <w:sz w:val="28"/>
    </w:rPr>
  </w:style>
  <w:style w:type="paragraph" w:styleId="7">
    <w:name w:val="heading 4"/>
    <w:basedOn w:val="1"/>
    <w:next w:val="1"/>
    <w:qFormat/>
    <w:locked/>
    <w:uiPriority w:val="99"/>
    <w:pPr>
      <w:keepNext/>
      <w:keepLines/>
      <w:numPr>
        <w:ilvl w:val="3"/>
        <w:numId w:val="1"/>
      </w:numPr>
      <w:ind w:left="0" w:firstLine="0"/>
      <w:jc w:val="left"/>
      <w:outlineLvl w:val="3"/>
    </w:pPr>
    <w:rPr>
      <w:b/>
      <w:bCs/>
      <w:szCs w:val="28"/>
    </w:rPr>
  </w:style>
  <w:style w:type="character" w:default="1" w:styleId="40">
    <w:name w:val="Default Paragraph Font"/>
    <w:semiHidden/>
    <w:unhideWhenUsed/>
    <w:qFormat/>
    <w:uiPriority w:val="1"/>
  </w:style>
  <w:style w:type="table" w:default="1" w:styleId="38">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customStyle="1" w:styleId="2">
    <w:name w:val="Default"/>
    <w:basedOn w:val="3"/>
    <w:qFormat/>
    <w:uiPriority w:val="0"/>
    <w:pPr>
      <w:widowControl w:val="0"/>
      <w:autoSpaceDE w:val="0"/>
      <w:autoSpaceDN w:val="0"/>
    </w:pPr>
    <w:rPr>
      <w:color w:val="000000"/>
    </w:rPr>
  </w:style>
  <w:style w:type="paragraph" w:customStyle="1" w:styleId="3">
    <w:name w:val="纯文本1"/>
    <w:qFormat/>
    <w:uiPriority w:val="0"/>
    <w:pPr>
      <w:adjustRightInd w:val="0"/>
      <w:jc w:val="center"/>
      <w:textAlignment w:val="baseline"/>
    </w:pPr>
    <w:rPr>
      <w:rFonts w:ascii="宋体" w:hAnsi="Courier New" w:eastAsia="宋体" w:cs="Times New Roman"/>
      <w:sz w:val="24"/>
      <w:lang w:val="en-US" w:eastAsia="zh-CN" w:bidi="ar-SA"/>
    </w:rPr>
  </w:style>
  <w:style w:type="paragraph" w:styleId="8">
    <w:name w:val="Normal Indent"/>
    <w:basedOn w:val="1"/>
    <w:next w:val="1"/>
    <w:qFormat/>
    <w:uiPriority w:val="0"/>
    <w:pPr>
      <w:spacing w:line="460" w:lineRule="atLeast"/>
      <w:ind w:firstLine="420"/>
    </w:pPr>
    <w:rPr>
      <w:szCs w:val="20"/>
    </w:rPr>
  </w:style>
  <w:style w:type="paragraph" w:styleId="9">
    <w:name w:val="caption"/>
    <w:basedOn w:val="1"/>
    <w:next w:val="1"/>
    <w:qFormat/>
    <w:locked/>
    <w:uiPriority w:val="0"/>
    <w:rPr>
      <w:rFonts w:ascii="Arial" w:hAnsi="Arial" w:eastAsia="黑体"/>
      <w:sz w:val="20"/>
      <w:szCs w:val="20"/>
    </w:rPr>
  </w:style>
  <w:style w:type="paragraph" w:styleId="10">
    <w:name w:val="annotation text"/>
    <w:basedOn w:val="1"/>
    <w:next w:val="11"/>
    <w:link w:val="52"/>
    <w:semiHidden/>
    <w:qFormat/>
    <w:uiPriority w:val="0"/>
    <w:pPr>
      <w:jc w:val="left"/>
    </w:pPr>
    <w:rPr>
      <w:kern w:val="0"/>
      <w:sz w:val="20"/>
    </w:rPr>
  </w:style>
  <w:style w:type="paragraph" w:styleId="11">
    <w:name w:val="Body Text Indent 3"/>
    <w:basedOn w:val="1"/>
    <w:next w:val="12"/>
    <w:qFormat/>
    <w:uiPriority w:val="0"/>
    <w:pPr>
      <w:spacing w:after="120"/>
      <w:ind w:left="420" w:leftChars="200"/>
    </w:pPr>
    <w:rPr>
      <w:sz w:val="16"/>
      <w:szCs w:val="16"/>
    </w:rPr>
  </w:style>
  <w:style w:type="paragraph" w:styleId="12">
    <w:name w:val="Balloon Text"/>
    <w:basedOn w:val="1"/>
    <w:next w:val="13"/>
    <w:link w:val="56"/>
    <w:semiHidden/>
    <w:qFormat/>
    <w:uiPriority w:val="0"/>
    <w:rPr>
      <w:sz w:val="18"/>
      <w:szCs w:val="18"/>
    </w:rPr>
  </w:style>
  <w:style w:type="paragraph" w:styleId="13">
    <w:name w:val="Block Text"/>
    <w:basedOn w:val="1"/>
    <w:next w:val="1"/>
    <w:qFormat/>
    <w:uiPriority w:val="0"/>
    <w:pPr>
      <w:spacing w:line="240" w:lineRule="auto"/>
      <w:ind w:left="113" w:right="113" w:firstLine="3584"/>
      <w:jc w:val="center"/>
    </w:pPr>
  </w:style>
  <w:style w:type="paragraph" w:styleId="14">
    <w:name w:val="Body Text"/>
    <w:basedOn w:val="1"/>
    <w:next w:val="15"/>
    <w:link w:val="53"/>
    <w:qFormat/>
    <w:uiPriority w:val="0"/>
    <w:pPr>
      <w:widowControl/>
      <w:snapToGrid w:val="0"/>
      <w:spacing w:before="60" w:after="160" w:line="259" w:lineRule="auto"/>
      <w:ind w:right="113"/>
    </w:pPr>
    <w:rPr>
      <w:kern w:val="0"/>
      <w:sz w:val="18"/>
      <w:szCs w:val="18"/>
    </w:rPr>
  </w:style>
  <w:style w:type="paragraph" w:customStyle="1" w:styleId="15">
    <w:name w:val="Normal (Web)1"/>
    <w:basedOn w:val="1"/>
    <w:next w:val="16"/>
    <w:qFormat/>
    <w:uiPriority w:val="0"/>
    <w:pPr>
      <w:widowControl/>
    </w:pPr>
    <w:rPr>
      <w:rFonts w:ascii="宋体"/>
      <w:sz w:val="24"/>
      <w:szCs w:val="21"/>
    </w:rPr>
  </w:style>
  <w:style w:type="paragraph" w:customStyle="1" w:styleId="16">
    <w:name w:val="Date1"/>
    <w:basedOn w:val="1"/>
    <w:next w:val="1"/>
    <w:qFormat/>
    <w:uiPriority w:val="0"/>
    <w:pPr>
      <w:ind w:left="2500" w:leftChars="2500"/>
    </w:pPr>
  </w:style>
  <w:style w:type="paragraph" w:styleId="17">
    <w:name w:val="Body Text Indent"/>
    <w:basedOn w:val="1"/>
    <w:next w:val="18"/>
    <w:link w:val="54"/>
    <w:semiHidden/>
    <w:qFormat/>
    <w:uiPriority w:val="0"/>
    <w:pPr>
      <w:spacing w:after="120"/>
      <w:ind w:left="420" w:leftChars="200"/>
    </w:pPr>
  </w:style>
  <w:style w:type="paragraph" w:customStyle="1" w:styleId="18">
    <w:name w:val="样式 正文文本缩进 + 行距: 1.5 倍行距"/>
    <w:basedOn w:val="19"/>
    <w:qFormat/>
    <w:uiPriority w:val="0"/>
    <w:pPr>
      <w:spacing w:after="120"/>
      <w:ind w:left="90" w:leftChars="32" w:firstLine="560" w:firstLineChars="200"/>
    </w:pPr>
    <w:rPr>
      <w:rFonts w:cs="宋体"/>
    </w:rPr>
  </w:style>
  <w:style w:type="paragraph" w:customStyle="1" w:styleId="19">
    <w:name w:val="Body Text Indent"/>
    <w:basedOn w:val="1"/>
    <w:next w:val="18"/>
    <w:qFormat/>
    <w:uiPriority w:val="0"/>
    <w:pPr>
      <w:spacing w:after="120" w:afterLines="0"/>
      <w:ind w:left="420" w:leftChars="200"/>
    </w:pPr>
    <w:rPr>
      <w:rFonts w:ascii="Times New Roman" w:hAnsi="Times New Roman" w:eastAsia="宋体"/>
      <w:sz w:val="24"/>
    </w:rPr>
  </w:style>
  <w:style w:type="paragraph" w:styleId="20">
    <w:name w:val="toc 3"/>
    <w:basedOn w:val="1"/>
    <w:next w:val="1"/>
    <w:qFormat/>
    <w:locked/>
    <w:uiPriority w:val="0"/>
    <w:pPr>
      <w:ind w:left="840" w:leftChars="400"/>
    </w:pPr>
  </w:style>
  <w:style w:type="paragraph" w:styleId="21">
    <w:name w:val="Plain Text"/>
    <w:basedOn w:val="1"/>
    <w:next w:val="1"/>
    <w:qFormat/>
    <w:uiPriority w:val="0"/>
    <w:rPr>
      <w:rFonts w:ascii="宋体" w:hAnsi="Courier New" w:cs="Courier New"/>
      <w:szCs w:val="21"/>
    </w:rPr>
  </w:style>
  <w:style w:type="paragraph" w:styleId="22">
    <w:name w:val="List Bullet 5"/>
    <w:basedOn w:val="1"/>
    <w:qFormat/>
    <w:uiPriority w:val="0"/>
    <w:pPr>
      <w:numPr>
        <w:ilvl w:val="0"/>
        <w:numId w:val="2"/>
      </w:numPr>
    </w:pPr>
  </w:style>
  <w:style w:type="paragraph" w:styleId="23">
    <w:name w:val="Date"/>
    <w:basedOn w:val="1"/>
    <w:next w:val="1"/>
    <w:link w:val="55"/>
    <w:qFormat/>
    <w:uiPriority w:val="0"/>
    <w:pPr>
      <w:ind w:left="100" w:leftChars="2500"/>
    </w:pPr>
    <w:rPr>
      <w:kern w:val="0"/>
      <w:sz w:val="20"/>
    </w:rPr>
  </w:style>
  <w:style w:type="paragraph" w:styleId="24">
    <w:name w:val="Body Text Indent 2"/>
    <w:basedOn w:val="1"/>
    <w:qFormat/>
    <w:uiPriority w:val="0"/>
    <w:pPr>
      <w:spacing w:after="120" w:line="480" w:lineRule="auto"/>
      <w:ind w:left="420" w:leftChars="200"/>
    </w:pPr>
  </w:style>
  <w:style w:type="paragraph" w:styleId="25">
    <w:name w:val="footer"/>
    <w:basedOn w:val="1"/>
    <w:link w:val="57"/>
    <w:qFormat/>
    <w:uiPriority w:val="0"/>
    <w:pPr>
      <w:tabs>
        <w:tab w:val="center" w:pos="4153"/>
        <w:tab w:val="right" w:pos="8306"/>
      </w:tabs>
      <w:snapToGrid w:val="0"/>
      <w:jc w:val="left"/>
    </w:pPr>
    <w:rPr>
      <w:sz w:val="18"/>
      <w:szCs w:val="18"/>
    </w:rPr>
  </w:style>
  <w:style w:type="paragraph" w:styleId="26">
    <w:name w:val="header"/>
    <w:basedOn w:val="1"/>
    <w:next w:val="27"/>
    <w:link w:val="58"/>
    <w:qFormat/>
    <w:uiPriority w:val="0"/>
    <w:pPr>
      <w:pBdr>
        <w:bottom w:val="single" w:color="auto" w:sz="6" w:space="1"/>
      </w:pBdr>
      <w:tabs>
        <w:tab w:val="center" w:pos="4153"/>
        <w:tab w:val="right" w:pos="8306"/>
      </w:tabs>
      <w:snapToGrid w:val="0"/>
      <w:jc w:val="center"/>
    </w:pPr>
    <w:rPr>
      <w:sz w:val="18"/>
      <w:szCs w:val="18"/>
    </w:rPr>
  </w:style>
  <w:style w:type="paragraph" w:customStyle="1" w:styleId="27">
    <w:name w:val="样式5"/>
    <w:basedOn w:val="1"/>
    <w:qFormat/>
    <w:uiPriority w:val="0"/>
    <w:pPr>
      <w:spacing w:line="380" w:lineRule="exact"/>
      <w:ind w:firstLine="566" w:firstLineChars="202"/>
    </w:pPr>
    <w:rPr>
      <w:rFonts w:eastAsia="华文行楷"/>
    </w:rPr>
  </w:style>
  <w:style w:type="paragraph" w:styleId="28">
    <w:name w:val="toc 1"/>
    <w:basedOn w:val="1"/>
    <w:next w:val="1"/>
    <w:qFormat/>
    <w:locked/>
    <w:uiPriority w:val="0"/>
    <w:pPr>
      <w:spacing w:line="360" w:lineRule="auto"/>
    </w:pPr>
    <w:rPr>
      <w:b/>
      <w:sz w:val="24"/>
    </w:rPr>
  </w:style>
  <w:style w:type="paragraph" w:styleId="29">
    <w:name w:val="List"/>
    <w:basedOn w:val="1"/>
    <w:qFormat/>
    <w:uiPriority w:val="0"/>
    <w:pPr>
      <w:ind w:left="200" w:hanging="200" w:hangingChars="200"/>
    </w:pPr>
  </w:style>
  <w:style w:type="paragraph" w:styleId="30">
    <w:name w:val="toc 6"/>
    <w:basedOn w:val="1"/>
    <w:next w:val="1"/>
    <w:qFormat/>
    <w:locked/>
    <w:uiPriority w:val="0"/>
    <w:pPr>
      <w:ind w:left="2100" w:leftChars="1000"/>
    </w:pPr>
  </w:style>
  <w:style w:type="paragraph" w:styleId="31">
    <w:name w:val="table of figures"/>
    <w:basedOn w:val="1"/>
    <w:next w:val="1"/>
    <w:qFormat/>
    <w:uiPriority w:val="0"/>
    <w:pPr>
      <w:autoSpaceDE w:val="0"/>
      <w:autoSpaceDN w:val="0"/>
      <w:spacing w:line="360" w:lineRule="auto"/>
      <w:ind w:left="200" w:leftChars="200" w:hanging="200" w:hangingChars="200"/>
    </w:pPr>
    <w:rPr>
      <w:sz w:val="28"/>
      <w:szCs w:val="20"/>
    </w:rPr>
  </w:style>
  <w:style w:type="paragraph" w:styleId="32">
    <w:name w:val="toc 2"/>
    <w:basedOn w:val="1"/>
    <w:next w:val="1"/>
    <w:unhideWhenUsed/>
    <w:qFormat/>
    <w:locked/>
    <w:uiPriority w:val="39"/>
    <w:pPr>
      <w:ind w:left="420" w:leftChars="200"/>
    </w:pPr>
    <w:rPr>
      <w:rFonts w:ascii="Calibri" w:hAnsi="Calibri"/>
    </w:rPr>
  </w:style>
  <w:style w:type="paragraph" w:styleId="33">
    <w:name w:val="Message Header"/>
    <w:basedOn w:val="1"/>
    <w:semiHidden/>
    <w:qFormat/>
    <w:uiPriority w:val="0"/>
    <w:pPr>
      <w:widowControl/>
      <w:pBdr>
        <w:top w:val="single" w:color="auto" w:sz="6" w:space="1"/>
        <w:left w:val="single" w:color="auto" w:sz="6" w:space="1"/>
        <w:bottom w:val="single" w:color="auto" w:sz="6" w:space="1"/>
        <w:right w:val="single" w:color="auto" w:sz="6" w:space="1"/>
      </w:pBdr>
      <w:shd w:val="pct20" w:color="auto" w:fill="auto"/>
      <w:spacing w:line="520" w:lineRule="exact"/>
      <w:ind w:left="1080" w:leftChars="500" w:hanging="1080" w:hangingChars="500"/>
    </w:pPr>
    <w:rPr>
      <w:rFonts w:ascii="Arial" w:hAnsi="Arial" w:cs="Arial"/>
      <w:bCs/>
      <w:kern w:val="0"/>
      <w:sz w:val="24"/>
    </w:rPr>
  </w:style>
  <w:style w:type="paragraph" w:styleId="34">
    <w:name w:val="Normal (Web)"/>
    <w:basedOn w:val="1"/>
    <w:link w:val="59"/>
    <w:qFormat/>
    <w:uiPriority w:val="0"/>
    <w:pPr>
      <w:widowControl/>
      <w:spacing w:before="100" w:beforeAutospacing="1" w:after="100" w:afterAutospacing="1"/>
      <w:jc w:val="left"/>
    </w:pPr>
    <w:rPr>
      <w:rFonts w:ascii="宋体" w:hAnsi="宋体"/>
      <w:kern w:val="0"/>
      <w:sz w:val="24"/>
    </w:rPr>
  </w:style>
  <w:style w:type="paragraph" w:styleId="35">
    <w:name w:val="annotation subject"/>
    <w:basedOn w:val="10"/>
    <w:next w:val="10"/>
    <w:link w:val="60"/>
    <w:semiHidden/>
    <w:qFormat/>
    <w:uiPriority w:val="0"/>
    <w:rPr>
      <w:b/>
      <w:bCs/>
    </w:rPr>
  </w:style>
  <w:style w:type="paragraph" w:styleId="36">
    <w:name w:val="Body Text First Indent"/>
    <w:basedOn w:val="1"/>
    <w:next w:val="1"/>
    <w:qFormat/>
    <w:uiPriority w:val="0"/>
    <w:pPr>
      <w:ind w:firstLine="420" w:firstLineChars="100"/>
    </w:pPr>
  </w:style>
  <w:style w:type="paragraph" w:styleId="37">
    <w:name w:val="Body Text First Indent 2"/>
    <w:basedOn w:val="17"/>
    <w:next w:val="36"/>
    <w:qFormat/>
    <w:uiPriority w:val="0"/>
    <w:pPr>
      <w:adjustRightInd/>
      <w:spacing w:after="120" w:line="240" w:lineRule="auto"/>
      <w:ind w:left="420" w:leftChars="200" w:firstLine="420" w:firstLineChars="200"/>
    </w:pPr>
    <w:rPr>
      <w:rFonts w:ascii="Times New Roman" w:hAnsi="Times New Roman" w:eastAsia="宋体" w:cs="Times New Roman"/>
      <w:color w:val="auto"/>
      <w:sz w:val="21"/>
      <w:szCs w:val="21"/>
    </w:rPr>
  </w:style>
  <w:style w:type="table" w:styleId="39">
    <w:name w:val="Table Grid"/>
    <w:basedOn w:val="3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1">
    <w:name w:val="Strong"/>
    <w:qFormat/>
    <w:locked/>
    <w:uiPriority w:val="0"/>
    <w:rPr>
      <w:b/>
    </w:rPr>
  </w:style>
  <w:style w:type="character" w:styleId="42">
    <w:name w:val="page number"/>
    <w:basedOn w:val="40"/>
    <w:qFormat/>
    <w:uiPriority w:val="0"/>
    <w:rPr>
      <w:rFonts w:hint="default" w:ascii="Times New Roman" w:hAnsi="Times New Roman" w:cs="Times New Roman"/>
    </w:rPr>
  </w:style>
  <w:style w:type="character" w:styleId="43">
    <w:name w:val="FollowedHyperlink"/>
    <w:basedOn w:val="40"/>
    <w:qFormat/>
    <w:uiPriority w:val="0"/>
    <w:rPr>
      <w:color w:val="185ECF"/>
      <w:u w:val="none"/>
    </w:rPr>
  </w:style>
  <w:style w:type="character" w:styleId="44">
    <w:name w:val="Emphasis"/>
    <w:qFormat/>
    <w:locked/>
    <w:uiPriority w:val="0"/>
    <w:rPr>
      <w:i/>
    </w:rPr>
  </w:style>
  <w:style w:type="character" w:styleId="45">
    <w:name w:val="Hyperlink"/>
    <w:qFormat/>
    <w:uiPriority w:val="0"/>
    <w:rPr>
      <w:color w:val="0000FF"/>
      <w:u w:val="single"/>
    </w:rPr>
  </w:style>
  <w:style w:type="character" w:styleId="46">
    <w:name w:val="annotation reference"/>
    <w:semiHidden/>
    <w:qFormat/>
    <w:uiPriority w:val="0"/>
    <w:rPr>
      <w:sz w:val="21"/>
    </w:rPr>
  </w:style>
  <w:style w:type="paragraph" w:customStyle="1" w:styleId="47">
    <w:name w:val="_Style 4"/>
    <w:qFormat/>
    <w:uiPriority w:val="1"/>
    <w:pPr>
      <w:widowControl w:val="0"/>
      <w:jc w:val="both"/>
    </w:pPr>
    <w:rPr>
      <w:rFonts w:ascii="Calibri" w:hAnsi="Calibri" w:eastAsia="仿宋_GB2312" w:cs="Times New Roman"/>
      <w:kern w:val="2"/>
      <w:sz w:val="24"/>
      <w:szCs w:val="22"/>
      <w:lang w:val="en-US" w:eastAsia="zh-CN" w:bidi="ar-SA"/>
    </w:rPr>
  </w:style>
  <w:style w:type="paragraph" w:customStyle="1" w:styleId="48">
    <w:name w:val="样式 正文首行缩进 + 首行缩进:  2 字符1"/>
    <w:basedOn w:val="36"/>
    <w:next w:val="28"/>
    <w:qFormat/>
    <w:uiPriority w:val="0"/>
    <w:pPr>
      <w:spacing w:line="360" w:lineRule="auto"/>
      <w:ind w:firstLine="480" w:firstLineChars="200"/>
    </w:pPr>
    <w:rPr>
      <w:sz w:val="24"/>
    </w:rPr>
  </w:style>
  <w:style w:type="paragraph" w:customStyle="1" w:styleId="49">
    <w:name w:val="表头"/>
    <w:basedOn w:val="29"/>
    <w:next w:val="1"/>
    <w:qFormat/>
    <w:uiPriority w:val="0"/>
    <w:rPr>
      <w:rFonts w:eastAsia="黑体"/>
    </w:rPr>
  </w:style>
  <w:style w:type="paragraph" w:customStyle="1" w:styleId="50">
    <w:name w:val="xl27"/>
    <w:basedOn w:val="1"/>
    <w:qFormat/>
    <w:uiPriority w:val="99"/>
    <w:pPr>
      <w:widowControl/>
      <w:pBdr>
        <w:top w:val="single" w:color="auto" w:sz="8" w:space="0"/>
        <w:left w:val="single" w:color="auto" w:sz="8" w:space="0"/>
        <w:right w:val="single" w:color="auto" w:sz="8" w:space="0"/>
      </w:pBdr>
      <w:spacing w:before="100" w:beforeAutospacing="1" w:after="100" w:afterAutospacing="1"/>
      <w:jc w:val="center"/>
    </w:pPr>
    <w:rPr>
      <w:rFonts w:ascii="Arial Unicode MS" w:hAnsi="Arial Unicode MS" w:eastAsia="Arial Unicode MS"/>
      <w:sz w:val="22"/>
      <w:szCs w:val="22"/>
    </w:rPr>
  </w:style>
  <w:style w:type="paragraph" w:customStyle="1" w:styleId="51">
    <w:name w:val="内容"/>
    <w:basedOn w:val="1"/>
    <w:qFormat/>
    <w:uiPriority w:val="0"/>
    <w:pPr>
      <w:spacing w:beforeLines="50" w:afterLines="50"/>
      <w:ind w:firstLine="200" w:firstLineChars="200"/>
    </w:pPr>
    <w:rPr>
      <w:color w:val="000000"/>
      <w:sz w:val="24"/>
    </w:rPr>
  </w:style>
  <w:style w:type="character" w:customStyle="1" w:styleId="52">
    <w:name w:val="批注文字 字符"/>
    <w:link w:val="10"/>
    <w:qFormat/>
    <w:locked/>
    <w:uiPriority w:val="0"/>
    <w:rPr>
      <w:rFonts w:ascii="Times New Roman" w:hAnsi="Times New Roman" w:eastAsia="宋体"/>
      <w:sz w:val="24"/>
    </w:rPr>
  </w:style>
  <w:style w:type="character" w:customStyle="1" w:styleId="53">
    <w:name w:val="正文文本 字符"/>
    <w:link w:val="14"/>
    <w:qFormat/>
    <w:locked/>
    <w:uiPriority w:val="0"/>
    <w:rPr>
      <w:sz w:val="18"/>
    </w:rPr>
  </w:style>
  <w:style w:type="character" w:customStyle="1" w:styleId="54">
    <w:name w:val="正文文本缩进 字符"/>
    <w:link w:val="17"/>
    <w:semiHidden/>
    <w:qFormat/>
    <w:locked/>
    <w:uiPriority w:val="0"/>
    <w:rPr>
      <w:rFonts w:ascii="Times New Roman" w:hAnsi="Times New Roman" w:eastAsia="宋体" w:cs="Times New Roman"/>
      <w:sz w:val="24"/>
      <w:szCs w:val="24"/>
    </w:rPr>
  </w:style>
  <w:style w:type="character" w:customStyle="1" w:styleId="55">
    <w:name w:val="日期 字符1"/>
    <w:link w:val="23"/>
    <w:qFormat/>
    <w:locked/>
    <w:uiPriority w:val="0"/>
    <w:rPr>
      <w:rFonts w:ascii="Times New Roman" w:hAnsi="Times New Roman" w:eastAsia="宋体"/>
      <w:sz w:val="24"/>
    </w:rPr>
  </w:style>
  <w:style w:type="character" w:customStyle="1" w:styleId="56">
    <w:name w:val="批注框文本 字符"/>
    <w:link w:val="12"/>
    <w:semiHidden/>
    <w:qFormat/>
    <w:locked/>
    <w:uiPriority w:val="0"/>
    <w:rPr>
      <w:rFonts w:ascii="Times New Roman" w:hAnsi="Times New Roman" w:eastAsia="宋体" w:cs="Times New Roman"/>
      <w:sz w:val="18"/>
      <w:szCs w:val="18"/>
    </w:rPr>
  </w:style>
  <w:style w:type="character" w:customStyle="1" w:styleId="57">
    <w:name w:val="页脚 字符"/>
    <w:link w:val="25"/>
    <w:qFormat/>
    <w:locked/>
    <w:uiPriority w:val="0"/>
    <w:rPr>
      <w:rFonts w:cs="Times New Roman"/>
      <w:sz w:val="18"/>
      <w:szCs w:val="18"/>
    </w:rPr>
  </w:style>
  <w:style w:type="character" w:customStyle="1" w:styleId="58">
    <w:name w:val="页眉 字符1"/>
    <w:link w:val="26"/>
    <w:qFormat/>
    <w:locked/>
    <w:uiPriority w:val="0"/>
    <w:rPr>
      <w:rFonts w:cs="Times New Roman"/>
      <w:sz w:val="18"/>
      <w:szCs w:val="18"/>
    </w:rPr>
  </w:style>
  <w:style w:type="character" w:customStyle="1" w:styleId="59">
    <w:name w:val="普通(网站) 字符"/>
    <w:link w:val="34"/>
    <w:qFormat/>
    <w:locked/>
    <w:uiPriority w:val="0"/>
    <w:rPr>
      <w:rFonts w:ascii="宋体" w:hAnsi="宋体" w:eastAsia="宋体"/>
      <w:sz w:val="24"/>
    </w:rPr>
  </w:style>
  <w:style w:type="character" w:customStyle="1" w:styleId="60">
    <w:name w:val="批注主题 字符"/>
    <w:link w:val="35"/>
    <w:semiHidden/>
    <w:qFormat/>
    <w:locked/>
    <w:uiPriority w:val="0"/>
    <w:rPr>
      <w:rFonts w:cs="Times New Roman"/>
      <w:b/>
      <w:bCs/>
      <w:kern w:val="2"/>
      <w:szCs w:val="24"/>
    </w:rPr>
  </w:style>
  <w:style w:type="character" w:customStyle="1" w:styleId="61">
    <w:name w:val="页眉 字符"/>
    <w:qFormat/>
    <w:uiPriority w:val="0"/>
    <w:rPr>
      <w:rFonts w:hint="default" w:ascii="Calibri" w:hAnsi="Calibri" w:cs="Calibri"/>
    </w:rPr>
  </w:style>
  <w:style w:type="character" w:customStyle="1" w:styleId="62">
    <w:name w:val="普通(网站) Char"/>
    <w:qFormat/>
    <w:locked/>
    <w:uiPriority w:val="0"/>
    <w:rPr>
      <w:rFonts w:ascii="宋体" w:hAnsi="宋体" w:eastAsia="宋体"/>
      <w:sz w:val="24"/>
    </w:rPr>
  </w:style>
  <w:style w:type="character" w:customStyle="1" w:styleId="63">
    <w:name w:val="日期 字符"/>
    <w:semiHidden/>
    <w:qFormat/>
    <w:uiPriority w:val="0"/>
    <w:rPr>
      <w:rFonts w:ascii="Times New Roman" w:hAnsi="Times New Roman" w:eastAsia="宋体" w:cs="Times New Roman"/>
      <w:sz w:val="24"/>
      <w:szCs w:val="24"/>
    </w:rPr>
  </w:style>
  <w:style w:type="character" w:customStyle="1" w:styleId="64">
    <w:name w:val="批注文字 字符1"/>
    <w:semiHidden/>
    <w:qFormat/>
    <w:uiPriority w:val="0"/>
    <w:rPr>
      <w:rFonts w:ascii="Times New Roman" w:hAnsi="Times New Roman" w:eastAsia="宋体" w:cs="Times New Roman"/>
      <w:sz w:val="24"/>
      <w:szCs w:val="24"/>
    </w:rPr>
  </w:style>
  <w:style w:type="character" w:customStyle="1" w:styleId="65">
    <w:name w:val="正文文本 字符1"/>
    <w:semiHidden/>
    <w:qFormat/>
    <w:uiPriority w:val="0"/>
    <w:rPr>
      <w:rFonts w:ascii="Times New Roman" w:hAnsi="Times New Roman" w:eastAsia="宋体" w:cs="Times New Roman"/>
      <w:sz w:val="24"/>
      <w:szCs w:val="24"/>
    </w:rPr>
  </w:style>
  <w:style w:type="character" w:customStyle="1" w:styleId="66">
    <w:name w:val="表格 Char"/>
    <w:link w:val="67"/>
    <w:qFormat/>
    <w:locked/>
    <w:uiPriority w:val="0"/>
    <w:rPr>
      <w:rFonts w:ascii="宋体"/>
      <w:sz w:val="21"/>
    </w:rPr>
  </w:style>
  <w:style w:type="paragraph" w:customStyle="1" w:styleId="67">
    <w:name w:val="表格"/>
    <w:basedOn w:val="8"/>
    <w:next w:val="1"/>
    <w:link w:val="66"/>
    <w:qFormat/>
    <w:uiPriority w:val="0"/>
    <w:pPr>
      <w:adjustRightInd w:val="0"/>
      <w:snapToGrid w:val="0"/>
      <w:spacing w:beforeLines="10" w:afterLines="10" w:line="259" w:lineRule="auto"/>
      <w:jc w:val="center"/>
    </w:pPr>
    <w:rPr>
      <w:rFonts w:ascii="宋体"/>
      <w:kern w:val="0"/>
      <w:sz w:val="20"/>
      <w:szCs w:val="21"/>
    </w:rPr>
  </w:style>
  <w:style w:type="character" w:customStyle="1" w:styleId="68">
    <w:name w:val="apple-converted-space"/>
    <w:qFormat/>
    <w:uiPriority w:val="0"/>
    <w:rPr>
      <w:rFonts w:hint="default" w:ascii="Times New Roman" w:hAnsi="Times New Roman" w:cs="Times New Roman"/>
    </w:rPr>
  </w:style>
  <w:style w:type="paragraph" w:customStyle="1" w:styleId="69">
    <w:name w:val="样式 标题 1 + 首行缩进:  2 字符"/>
    <w:basedOn w:val="4"/>
    <w:qFormat/>
    <w:uiPriority w:val="0"/>
    <w:pPr>
      <w:spacing w:before="0" w:after="0" w:line="720" w:lineRule="auto"/>
      <w:ind w:firstLine="200" w:firstLineChars="200"/>
      <w:jc w:val="center"/>
    </w:pPr>
    <w:rPr>
      <w:rFonts w:ascii="黑体" w:cs="宋体"/>
      <w:kern w:val="2"/>
      <w:sz w:val="36"/>
      <w:szCs w:val="20"/>
    </w:rPr>
  </w:style>
  <w:style w:type="paragraph" w:customStyle="1" w:styleId="70">
    <w:name w:val="报告表正文"/>
    <w:basedOn w:val="71"/>
    <w:qFormat/>
    <w:uiPriority w:val="0"/>
    <w:pPr>
      <w:adjustRightInd w:val="0"/>
      <w:spacing w:line="312" w:lineRule="auto"/>
      <w:ind w:left="113" w:right="113" w:firstLine="482"/>
      <w:jc w:val="left"/>
      <w:textAlignment w:val="baseline"/>
    </w:pPr>
    <w:rPr>
      <w:kern w:val="0"/>
      <w:sz w:val="24"/>
    </w:rPr>
  </w:style>
  <w:style w:type="paragraph" w:customStyle="1" w:styleId="71">
    <w:name w:val="CM4"/>
    <w:basedOn w:val="1"/>
    <w:next w:val="1"/>
    <w:qFormat/>
    <w:uiPriority w:val="0"/>
    <w:pPr>
      <w:keepNext/>
      <w:spacing w:line="520" w:lineRule="exact"/>
      <w:jc w:val="center"/>
    </w:pPr>
    <w:rPr>
      <w:b/>
      <w:kern w:val="0"/>
      <w:szCs w:val="21"/>
    </w:rPr>
  </w:style>
  <w:style w:type="paragraph" w:customStyle="1" w:styleId="72">
    <w:name w:val="表格标题"/>
    <w:basedOn w:val="73"/>
    <w:next w:val="73"/>
    <w:qFormat/>
    <w:uiPriority w:val="0"/>
    <w:pPr>
      <w:tabs>
        <w:tab w:val="left" w:pos="567"/>
        <w:tab w:val="left" w:pos="5400"/>
      </w:tabs>
      <w:spacing w:before="156" w:beforeLines="50" w:after="156" w:afterLines="50" w:line="400" w:lineRule="exact"/>
      <w:jc w:val="center"/>
    </w:pPr>
    <w:rPr>
      <w:rFonts w:ascii="黑体" w:hAnsi="宋体" w:eastAsia="黑体"/>
      <w:color w:val="000000"/>
      <w:spacing w:val="4"/>
      <w:sz w:val="24"/>
    </w:rPr>
  </w:style>
  <w:style w:type="paragraph" w:customStyle="1" w:styleId="73">
    <w:name w:val="正文1"/>
    <w:basedOn w:val="74"/>
    <w:qFormat/>
    <w:uiPriority w:val="0"/>
    <w:pPr>
      <w:widowControl w:val="0"/>
      <w:tabs>
        <w:tab w:val="left" w:pos="567"/>
      </w:tabs>
      <w:adjustRightInd w:val="0"/>
      <w:spacing w:line="360" w:lineRule="atLeast"/>
    </w:pPr>
    <w:rPr>
      <w:rFonts w:ascii="宋体" w:hAnsi="宋体"/>
      <w:sz w:val="24"/>
      <w:lang w:val="en-US" w:eastAsia="zh-CN" w:bidi="ar-SA"/>
    </w:rPr>
  </w:style>
  <w:style w:type="paragraph" w:customStyle="1" w:styleId="74">
    <w:name w:val="正文11"/>
    <w:qFormat/>
    <w:uiPriority w:val="0"/>
    <w:pPr>
      <w:widowControl w:val="0"/>
      <w:tabs>
        <w:tab w:val="left" w:pos="567"/>
      </w:tabs>
      <w:adjustRightInd w:val="0"/>
      <w:spacing w:line="360" w:lineRule="atLeast"/>
      <w:ind w:left="567" w:hanging="567"/>
      <w:textAlignment w:val="baseline"/>
    </w:pPr>
    <w:rPr>
      <w:rFonts w:ascii="宋体" w:hAnsi="Times New Roman" w:eastAsia="宋体" w:cs="Times New Roman"/>
      <w:sz w:val="24"/>
      <w:lang w:val="en-US" w:eastAsia="zh-CN" w:bidi="ar-SA"/>
    </w:rPr>
  </w:style>
  <w:style w:type="paragraph" w:customStyle="1" w:styleId="75">
    <w:name w:val="【表头】"/>
    <w:basedOn w:val="1"/>
    <w:next w:val="1"/>
    <w:qFormat/>
    <w:uiPriority w:val="0"/>
    <w:pPr>
      <w:spacing w:line="460" w:lineRule="exact"/>
      <w:jc w:val="center"/>
    </w:pPr>
    <w:rPr>
      <w:rFonts w:eastAsia="黑体"/>
      <w:sz w:val="24"/>
    </w:rPr>
  </w:style>
  <w:style w:type="paragraph" w:customStyle="1" w:styleId="76">
    <w:name w:val="【正文】"/>
    <w:basedOn w:val="1"/>
    <w:next w:val="33"/>
    <w:qFormat/>
    <w:uiPriority w:val="0"/>
    <w:pPr>
      <w:spacing w:line="440" w:lineRule="exact"/>
      <w:ind w:firstLine="544"/>
    </w:pPr>
    <w:rPr>
      <w:rFonts w:cs="宋体"/>
      <w:szCs w:val="20"/>
    </w:rPr>
  </w:style>
  <w:style w:type="paragraph" w:customStyle="1" w:styleId="77">
    <w:name w:val="正文00"/>
    <w:basedOn w:val="1"/>
    <w:qFormat/>
    <w:uiPriority w:val="0"/>
    <w:pPr>
      <w:widowControl/>
      <w:spacing w:line="425" w:lineRule="atLeast"/>
      <w:ind w:left="107" w:leftChars="51" w:right="124" w:rightChars="59" w:firstLine="480"/>
      <w:textAlignment w:val="baseline"/>
    </w:pPr>
    <w:rPr>
      <w:rFonts w:ascii="Calibri"/>
      <w:sz w:val="28"/>
    </w:rPr>
  </w:style>
  <w:style w:type="paragraph" w:customStyle="1" w:styleId="78">
    <w:name w:val="样式4"/>
    <w:basedOn w:val="14"/>
    <w:qFormat/>
    <w:uiPriority w:val="0"/>
    <w:pPr>
      <w:adjustRightInd w:val="0"/>
      <w:jc w:val="center"/>
    </w:pPr>
    <w:rPr>
      <w:sz w:val="24"/>
    </w:rPr>
  </w:style>
  <w:style w:type="paragraph" w:customStyle="1" w:styleId="79">
    <w:name w:val="Table Paragraph"/>
    <w:basedOn w:val="1"/>
    <w:unhideWhenUsed/>
    <w:qFormat/>
    <w:uiPriority w:val="1"/>
    <w:rPr>
      <w:sz w:val="24"/>
    </w:rPr>
  </w:style>
  <w:style w:type="paragraph" w:customStyle="1" w:styleId="80">
    <w:name w:val="煤炭资源普查报告格式"/>
    <w:basedOn w:val="1"/>
    <w:qFormat/>
    <w:uiPriority w:val="0"/>
    <w:pPr>
      <w:spacing w:line="500" w:lineRule="exact"/>
    </w:pPr>
  </w:style>
  <w:style w:type="paragraph" w:customStyle="1" w:styleId="81">
    <w:name w:val="表头文字"/>
    <w:basedOn w:val="1"/>
    <w:qFormat/>
    <w:uiPriority w:val="0"/>
    <w:pPr>
      <w:adjustRightInd w:val="0"/>
      <w:jc w:val="center"/>
    </w:pPr>
    <w:rPr>
      <w:sz w:val="28"/>
      <w:szCs w:val="20"/>
    </w:rPr>
  </w:style>
  <w:style w:type="paragraph" w:customStyle="1" w:styleId="82">
    <w:name w:val="标题4"/>
    <w:basedOn w:val="77"/>
    <w:qFormat/>
    <w:uiPriority w:val="0"/>
    <w:pPr>
      <w:ind w:left="51" w:right="59" w:firstLine="100" w:firstLineChars="100"/>
    </w:pPr>
    <w:rPr>
      <w:b/>
    </w:rPr>
  </w:style>
  <w:style w:type="paragraph" w:customStyle="1" w:styleId="83">
    <w:name w:val="正文----------------"/>
    <w:basedOn w:val="1"/>
    <w:qFormat/>
    <w:uiPriority w:val="0"/>
    <w:pPr>
      <w:spacing w:line="440" w:lineRule="exact"/>
      <w:ind w:firstLine="544" w:firstLineChars="200"/>
    </w:pPr>
    <w:rPr>
      <w:rFonts w:ascii="Calibri" w:cs="宋体"/>
      <w:spacing w:val="16"/>
      <w:szCs w:val="20"/>
    </w:rPr>
  </w:style>
  <w:style w:type="paragraph" w:customStyle="1" w:styleId="84">
    <w:name w:val="表文"/>
    <w:basedOn w:val="1"/>
    <w:qFormat/>
    <w:uiPriority w:val="0"/>
    <w:pPr>
      <w:tabs>
        <w:tab w:val="left" w:pos="6480"/>
      </w:tabs>
      <w:spacing w:line="360" w:lineRule="exact"/>
    </w:pPr>
    <w:rPr>
      <w:rFonts w:ascii="宋体" w:hAnsi="宋体"/>
      <w:sz w:val="24"/>
    </w:rPr>
  </w:style>
  <w:style w:type="paragraph" w:customStyle="1" w:styleId="85">
    <w:name w:val="表格文字"/>
    <w:basedOn w:val="14"/>
    <w:link w:val="154"/>
    <w:qFormat/>
    <w:uiPriority w:val="0"/>
    <w:pPr>
      <w:jc w:val="center"/>
    </w:pPr>
    <w:rPr>
      <w:rFonts w:ascii="new times roma" w:hAnsi="new times roma"/>
    </w:rPr>
  </w:style>
  <w:style w:type="paragraph" w:styleId="86">
    <w:name w:val="No Spacing"/>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87">
    <w:name w:val="表格内容"/>
    <w:basedOn w:val="88"/>
    <w:qFormat/>
    <w:uiPriority w:val="0"/>
    <w:pPr>
      <w:spacing w:line="240" w:lineRule="exact"/>
    </w:pPr>
    <w:rPr>
      <w:snapToGrid w:val="0"/>
      <w:color w:val="FF0000"/>
      <w:kern w:val="0"/>
      <w:sz w:val="21"/>
      <w:szCs w:val="21"/>
    </w:rPr>
  </w:style>
  <w:style w:type="paragraph" w:customStyle="1" w:styleId="88">
    <w:name w:val="封皮-证书编号"/>
    <w:basedOn w:val="1"/>
    <w:qFormat/>
    <w:uiPriority w:val="0"/>
    <w:pPr>
      <w:jc w:val="center"/>
    </w:pPr>
    <w:rPr>
      <w:rFonts w:eastAsia="黑体"/>
      <w:sz w:val="28"/>
    </w:rPr>
  </w:style>
  <w:style w:type="paragraph" w:customStyle="1" w:styleId="89">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90">
    <w:name w:val="表头-------------"/>
    <w:basedOn w:val="1"/>
    <w:qFormat/>
    <w:uiPriority w:val="0"/>
    <w:pPr>
      <w:spacing w:line="460" w:lineRule="exact"/>
      <w:jc w:val="center"/>
    </w:pPr>
    <w:rPr>
      <w:rFonts w:ascii="Calibri" w:eastAsia="黑体" w:cs="宋体"/>
      <w:szCs w:val="20"/>
    </w:rPr>
  </w:style>
  <w:style w:type="paragraph" w:customStyle="1" w:styleId="91">
    <w:name w:val="BodyText"/>
    <w:basedOn w:val="1"/>
    <w:qFormat/>
    <w:uiPriority w:val="0"/>
    <w:pPr>
      <w:textAlignment w:val="baseline"/>
    </w:pPr>
    <w:rPr>
      <w:rFonts w:ascii="宋体" w:hAnsi="宋体"/>
      <w:szCs w:val="21"/>
    </w:rPr>
  </w:style>
  <w:style w:type="paragraph" w:customStyle="1" w:styleId="92">
    <w:name w:val="正文01"/>
    <w:basedOn w:val="1"/>
    <w:qFormat/>
    <w:uiPriority w:val="0"/>
    <w:pPr>
      <w:spacing w:before="60" w:line="460" w:lineRule="exact"/>
      <w:ind w:firstLine="200" w:firstLineChars="200"/>
    </w:pPr>
    <w:rPr>
      <w:snapToGrid w:val="0"/>
      <w:kern w:val="0"/>
      <w:sz w:val="24"/>
    </w:rPr>
  </w:style>
  <w:style w:type="paragraph" w:customStyle="1" w:styleId="93">
    <w:name w:val="样式 正文文字-1 + 首行缩进:  2.1 字符1"/>
    <w:basedOn w:val="94"/>
    <w:qFormat/>
    <w:uiPriority w:val="0"/>
    <w:pPr>
      <w:spacing w:line="440" w:lineRule="exact"/>
      <w:ind w:firstLine="210"/>
    </w:pPr>
    <w:rPr>
      <w:rFonts w:cs="宋体"/>
      <w:szCs w:val="20"/>
    </w:rPr>
  </w:style>
  <w:style w:type="paragraph" w:customStyle="1" w:styleId="94">
    <w:name w:val="正文文字-1 Char"/>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paragraph" w:customStyle="1" w:styleId="95">
    <w:name w:val="表格正文"/>
    <w:basedOn w:val="1"/>
    <w:qFormat/>
    <w:uiPriority w:val="0"/>
    <w:pPr>
      <w:spacing w:line="360" w:lineRule="exact"/>
      <w:ind w:firstLine="640" w:firstLineChars="200"/>
      <w:jc w:val="center"/>
    </w:pPr>
    <w:rPr>
      <w:sz w:val="28"/>
      <w:szCs w:val="28"/>
    </w:rPr>
  </w:style>
  <w:style w:type="paragraph" w:customStyle="1" w:styleId="96">
    <w:name w:val="Table caption|1"/>
    <w:basedOn w:val="1"/>
    <w:qFormat/>
    <w:uiPriority w:val="0"/>
    <w:rPr>
      <w:rFonts w:ascii="宋体" w:hAnsi="宋体" w:cs="宋体"/>
      <w:sz w:val="13"/>
      <w:szCs w:val="13"/>
      <w:lang w:val="zh-TW" w:eastAsia="zh-TW" w:bidi="zh-TW"/>
    </w:rPr>
  </w:style>
  <w:style w:type="paragraph" w:customStyle="1" w:styleId="97">
    <w:name w:val="报告书正文"/>
    <w:basedOn w:val="1"/>
    <w:qFormat/>
    <w:uiPriority w:val="0"/>
    <w:pPr>
      <w:adjustRightInd w:val="0"/>
      <w:snapToGrid w:val="0"/>
      <w:spacing w:line="360" w:lineRule="auto"/>
      <w:ind w:firstLine="425"/>
      <w:textAlignment w:val="baseline"/>
    </w:pPr>
    <w:rPr>
      <w:rFonts w:ascii="Arial" w:hAnsi="Arial"/>
      <w:kern w:val="0"/>
      <w:sz w:val="24"/>
    </w:rPr>
  </w:style>
  <w:style w:type="paragraph" w:customStyle="1" w:styleId="98">
    <w:name w:val="正文样式1"/>
    <w:basedOn w:val="1"/>
    <w:qFormat/>
    <w:uiPriority w:val="0"/>
    <w:pPr>
      <w:adjustRightInd w:val="0"/>
      <w:spacing w:line="288" w:lineRule="auto"/>
      <w:ind w:firstLine="360" w:firstLineChars="150"/>
      <w:textAlignment w:val="baseline"/>
    </w:pPr>
    <w:rPr>
      <w:kern w:val="0"/>
      <w:sz w:val="24"/>
      <w:szCs w:val="20"/>
    </w:rPr>
  </w:style>
  <w:style w:type="paragraph" w:customStyle="1" w:styleId="99">
    <w:name w:val="正文_14"/>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00">
    <w:name w:val="正文_15"/>
    <w:qFormat/>
    <w:uiPriority w:val="0"/>
    <w:pPr>
      <w:widowControl w:val="0"/>
      <w:jc w:val="both"/>
    </w:pPr>
    <w:rPr>
      <w:rFonts w:ascii="Times New Roman" w:hAnsi="Times New Roman" w:eastAsia="宋体" w:cs="Times New Roman"/>
      <w:kern w:val="2"/>
      <w:sz w:val="21"/>
      <w:lang w:val="en-US" w:eastAsia="zh-CN" w:bidi="ar-SA"/>
    </w:rPr>
  </w:style>
  <w:style w:type="paragraph" w:styleId="101">
    <w:name w:val="List Paragraph"/>
    <w:basedOn w:val="1"/>
    <w:qFormat/>
    <w:uiPriority w:val="34"/>
    <w:pPr>
      <w:ind w:firstLine="420" w:firstLineChars="200"/>
    </w:pPr>
    <w:rPr>
      <w:szCs w:val="22"/>
    </w:rPr>
  </w:style>
  <w:style w:type="paragraph" w:customStyle="1" w:styleId="102">
    <w:name w:val="表中字"/>
    <w:qFormat/>
    <w:uiPriority w:val="0"/>
    <w:pPr>
      <w:jc w:val="center"/>
    </w:pPr>
    <w:rPr>
      <w:rFonts w:ascii="Times New Roman" w:hAnsi="Times New Roman" w:eastAsia="宋体" w:cs="Times New Roman"/>
      <w:kern w:val="2"/>
      <w:sz w:val="21"/>
      <w:szCs w:val="22"/>
      <w:lang w:val="zh-CN" w:eastAsia="zh-CN" w:bidi="ar-SA"/>
    </w:rPr>
  </w:style>
  <w:style w:type="paragraph" w:customStyle="1" w:styleId="103">
    <w:name w:val="样式 Times New Roman 五号 居中1"/>
    <w:basedOn w:val="1"/>
    <w:qFormat/>
    <w:uiPriority w:val="0"/>
    <w:pPr>
      <w:jc w:val="center"/>
    </w:pPr>
    <w:rPr>
      <w:rFonts w:cs="宋体"/>
      <w:szCs w:val="20"/>
    </w:rPr>
  </w:style>
  <w:style w:type="paragraph" w:customStyle="1" w:styleId="104">
    <w:name w:val="_Style 3"/>
    <w:basedOn w:val="1"/>
    <w:qFormat/>
    <w:uiPriority w:val="34"/>
    <w:pPr>
      <w:ind w:firstLine="420" w:firstLineChars="200"/>
    </w:pPr>
    <w:rPr>
      <w:rFonts w:ascii="Calibri" w:hAnsi="Calibri"/>
      <w:szCs w:val="22"/>
    </w:rPr>
  </w:style>
  <w:style w:type="paragraph" w:customStyle="1" w:styleId="105">
    <w:name w:val="表1"/>
    <w:next w:val="1"/>
    <w:qFormat/>
    <w:uiPriority w:val="0"/>
    <w:pPr>
      <w:adjustRightInd w:val="0"/>
      <w:snapToGrid w:val="0"/>
      <w:jc w:val="center"/>
    </w:pPr>
    <w:rPr>
      <w:rFonts w:ascii="宋体" w:hAnsi="Times New Roman" w:eastAsia="宋体" w:cs="Times New Roman"/>
      <w:sz w:val="21"/>
      <w:lang w:val="en-US" w:eastAsia="zh-CN" w:bidi="ar-SA"/>
    </w:rPr>
  </w:style>
  <w:style w:type="paragraph" w:customStyle="1" w:styleId="106">
    <w:name w:val="Body text|4"/>
    <w:basedOn w:val="1"/>
    <w:qFormat/>
    <w:uiPriority w:val="0"/>
    <w:pPr>
      <w:spacing w:line="434" w:lineRule="auto"/>
      <w:ind w:firstLine="500"/>
    </w:pPr>
    <w:rPr>
      <w:color w:val="FF0000"/>
    </w:rPr>
  </w:style>
  <w:style w:type="paragraph" w:customStyle="1" w:styleId="107">
    <w:name w:val="Body text|1"/>
    <w:basedOn w:val="1"/>
    <w:qFormat/>
    <w:uiPriority w:val="0"/>
    <w:pPr>
      <w:spacing w:line="480" w:lineRule="auto"/>
      <w:ind w:firstLine="400"/>
    </w:pPr>
    <w:rPr>
      <w:rFonts w:ascii="宋体" w:hAnsi="宋体" w:cs="宋体"/>
      <w:sz w:val="22"/>
      <w:szCs w:val="22"/>
      <w:lang w:val="zh-TW" w:eastAsia="zh-TW" w:bidi="zh-TW"/>
    </w:rPr>
  </w:style>
  <w:style w:type="paragraph" w:customStyle="1" w:styleId="108">
    <w:name w:val="Other|1"/>
    <w:basedOn w:val="1"/>
    <w:qFormat/>
    <w:uiPriority w:val="0"/>
    <w:pPr>
      <w:jc w:val="center"/>
    </w:pPr>
    <w:rPr>
      <w:rFonts w:ascii="宋体" w:hAnsi="宋体" w:cs="宋体"/>
      <w:sz w:val="20"/>
      <w:szCs w:val="20"/>
      <w:lang w:val="zh-TW" w:eastAsia="zh-TW" w:bidi="zh-TW"/>
    </w:rPr>
  </w:style>
  <w:style w:type="paragraph" w:customStyle="1" w:styleId="109">
    <w:name w:val="首行缩进表格正文"/>
    <w:basedOn w:val="1"/>
    <w:qFormat/>
    <w:uiPriority w:val="0"/>
    <w:pPr>
      <w:spacing w:line="360" w:lineRule="auto"/>
      <w:ind w:firstLine="720" w:firstLineChars="200"/>
      <w:jc w:val="left"/>
    </w:pPr>
  </w:style>
  <w:style w:type="paragraph" w:customStyle="1" w:styleId="110">
    <w:name w:val="C首行缩进正文"/>
    <w:basedOn w:val="76"/>
    <w:qFormat/>
    <w:uiPriority w:val="0"/>
    <w:pPr>
      <w:spacing w:line="360" w:lineRule="auto"/>
      <w:ind w:firstLine="200"/>
    </w:pPr>
    <w:rPr>
      <w:color w:val="000000"/>
    </w:rPr>
  </w:style>
  <w:style w:type="paragraph" w:customStyle="1" w:styleId="111">
    <w:name w:val="C【表中文字】-"/>
    <w:basedOn w:val="1"/>
    <w:qFormat/>
    <w:uiPriority w:val="0"/>
    <w:pPr>
      <w:adjustRightInd w:val="0"/>
      <w:snapToGrid w:val="0"/>
      <w:jc w:val="center"/>
    </w:pPr>
    <w:rPr>
      <w:kern w:val="0"/>
      <w:szCs w:val="20"/>
    </w:rPr>
  </w:style>
  <w:style w:type="paragraph" w:customStyle="1" w:styleId="112">
    <w:name w:val="正文_6"/>
    <w:qFormat/>
    <w:uiPriority w:val="0"/>
    <w:pPr>
      <w:widowControl w:val="0"/>
      <w:jc w:val="both"/>
    </w:pPr>
    <w:rPr>
      <w:rFonts w:ascii="Calibri" w:hAnsi="Calibri" w:eastAsia="宋体" w:cs="Times New Roman"/>
      <w:kern w:val="2"/>
      <w:sz w:val="21"/>
      <w:lang w:val="en-US" w:eastAsia="zh-CN" w:bidi="ar-SA"/>
    </w:rPr>
  </w:style>
  <w:style w:type="paragraph" w:customStyle="1" w:styleId="113">
    <w:name w:val="11111"/>
    <w:basedOn w:val="1"/>
    <w:next w:val="1"/>
    <w:qFormat/>
    <w:uiPriority w:val="0"/>
    <w:pPr>
      <w:spacing w:line="360" w:lineRule="auto"/>
      <w:ind w:firstLine="200" w:firstLineChars="200"/>
    </w:pPr>
    <w:rPr>
      <w:rFonts w:hAnsi="宋体" w:cs="宋体"/>
    </w:rPr>
  </w:style>
  <w:style w:type="character" w:customStyle="1" w:styleId="114">
    <w:name w:val="chakan"/>
    <w:basedOn w:val="40"/>
    <w:qFormat/>
    <w:uiPriority w:val="0"/>
    <w:rPr>
      <w:color w:val="0064EA"/>
    </w:rPr>
  </w:style>
  <w:style w:type="character" w:customStyle="1" w:styleId="115">
    <w:name w:val="checkbox2"/>
    <w:basedOn w:val="40"/>
    <w:qFormat/>
    <w:uiPriority w:val="0"/>
  </w:style>
  <w:style w:type="character" w:customStyle="1" w:styleId="116">
    <w:name w:val="shenbao"/>
    <w:basedOn w:val="40"/>
    <w:qFormat/>
    <w:uiPriority w:val="0"/>
    <w:rPr>
      <w:color w:val="EF6334"/>
    </w:rPr>
  </w:style>
  <w:style w:type="character" w:customStyle="1" w:styleId="117">
    <w:name w:val="checkbox"/>
    <w:basedOn w:val="40"/>
    <w:qFormat/>
    <w:uiPriority w:val="0"/>
  </w:style>
  <w:style w:type="paragraph" w:customStyle="1" w:styleId="118">
    <w:name w:val="表中"/>
    <w:basedOn w:val="1"/>
    <w:qFormat/>
    <w:uiPriority w:val="0"/>
    <w:pPr>
      <w:spacing w:line="240" w:lineRule="exact"/>
    </w:pPr>
    <w:rPr>
      <w:szCs w:val="21"/>
    </w:rPr>
  </w:style>
  <w:style w:type="paragraph" w:customStyle="1" w:styleId="119">
    <w:name w:val="TOC2"/>
    <w:basedOn w:val="1"/>
    <w:next w:val="1"/>
    <w:qFormat/>
    <w:uiPriority w:val="0"/>
    <w:pPr>
      <w:widowControl/>
      <w:spacing w:after="100" w:line="276" w:lineRule="auto"/>
      <w:ind w:left="220"/>
      <w:jc w:val="left"/>
      <w:textAlignment w:val="baseline"/>
    </w:pPr>
    <w:rPr>
      <w:rFonts w:ascii="Calibri" w:hAnsi="Calibri"/>
      <w:kern w:val="0"/>
      <w:sz w:val="22"/>
      <w:szCs w:val="22"/>
    </w:rPr>
  </w:style>
  <w:style w:type="paragraph" w:customStyle="1" w:styleId="120">
    <w:name w:val="中文报告书样式"/>
    <w:basedOn w:val="1"/>
    <w:qFormat/>
    <w:uiPriority w:val="0"/>
    <w:pPr>
      <w:adjustRightInd w:val="0"/>
      <w:spacing w:line="480" w:lineRule="atLeast"/>
      <w:ind w:firstLine="482"/>
      <w:textAlignment w:val="baseline"/>
    </w:pPr>
    <w:rPr>
      <w:kern w:val="24"/>
      <w:szCs w:val="20"/>
    </w:rPr>
  </w:style>
  <w:style w:type="paragraph" w:customStyle="1" w:styleId="121">
    <w:name w:val="UserStyle_0"/>
    <w:basedOn w:val="122"/>
    <w:next w:val="123"/>
    <w:qFormat/>
    <w:uiPriority w:val="0"/>
    <w:pPr>
      <w:spacing w:line="360" w:lineRule="auto"/>
      <w:ind w:firstLine="480" w:firstLineChars="200"/>
    </w:pPr>
    <w:rPr>
      <w:rFonts w:ascii="Calibri" w:hAnsi="Calibri"/>
      <w:sz w:val="24"/>
      <w:szCs w:val="22"/>
    </w:rPr>
  </w:style>
  <w:style w:type="paragraph" w:customStyle="1" w:styleId="122">
    <w:name w:val="UserStyle_1"/>
    <w:basedOn w:val="1"/>
    <w:next w:val="1"/>
    <w:qFormat/>
    <w:uiPriority w:val="0"/>
    <w:pPr>
      <w:spacing w:after="120"/>
      <w:textAlignment w:val="baseline"/>
    </w:pPr>
  </w:style>
  <w:style w:type="paragraph" w:customStyle="1" w:styleId="123">
    <w:name w:val="TOC1"/>
    <w:basedOn w:val="1"/>
    <w:next w:val="1"/>
    <w:qFormat/>
    <w:uiPriority w:val="0"/>
    <w:pPr>
      <w:spacing w:line="360" w:lineRule="auto"/>
      <w:textAlignment w:val="baseline"/>
    </w:pPr>
    <w:rPr>
      <w:rFonts w:ascii="Calibri" w:hAnsi="Calibri"/>
      <w:b/>
      <w:sz w:val="24"/>
      <w:szCs w:val="22"/>
    </w:rPr>
  </w:style>
  <w:style w:type="character" w:customStyle="1" w:styleId="124">
    <w:name w:val="NormalCharacter"/>
    <w:qFormat/>
    <w:uiPriority w:val="0"/>
    <w:rPr>
      <w:kern w:val="2"/>
      <w:sz w:val="21"/>
      <w:szCs w:val="24"/>
      <w:lang w:val="en-US" w:eastAsia="zh-CN" w:bidi="ar-SA"/>
    </w:rPr>
  </w:style>
  <w:style w:type="paragraph" w:customStyle="1" w:styleId="125">
    <w:name w:val="表头1"/>
    <w:basedOn w:val="126"/>
    <w:next w:val="1"/>
    <w:qFormat/>
    <w:uiPriority w:val="0"/>
    <w:pPr>
      <w:spacing w:before="120" w:beforeLines="50"/>
    </w:pPr>
  </w:style>
  <w:style w:type="paragraph" w:customStyle="1" w:styleId="126">
    <w:name w:val="文华表标题"/>
    <w:basedOn w:val="127"/>
    <w:qFormat/>
    <w:uiPriority w:val="0"/>
    <w:pPr>
      <w:spacing w:line="240" w:lineRule="auto"/>
      <w:ind w:firstLine="0"/>
      <w:jc w:val="center"/>
    </w:pPr>
    <w:rPr>
      <w:rFonts w:eastAsia="黑体"/>
    </w:rPr>
  </w:style>
  <w:style w:type="paragraph" w:customStyle="1" w:styleId="127">
    <w:name w:val="文华表正文"/>
    <w:basedOn w:val="70"/>
    <w:qFormat/>
    <w:uiPriority w:val="0"/>
  </w:style>
  <w:style w:type="paragraph" w:customStyle="1" w:styleId="128">
    <w:name w:val="xl25"/>
    <w:basedOn w:val="1"/>
    <w:qFormat/>
    <w:uiPriority w:val="0"/>
    <w:pPr>
      <w:widowControl/>
      <w:pBdr>
        <w:bottom w:val="single" w:color="auto" w:sz="4" w:space="0"/>
        <w:right w:val="single" w:color="auto" w:sz="4" w:space="0"/>
      </w:pBdr>
      <w:spacing w:before="100" w:beforeAutospacing="1" w:after="100" w:afterAutospacing="1"/>
    </w:pPr>
    <w:rPr>
      <w:kern w:val="0"/>
      <w:szCs w:val="21"/>
    </w:rPr>
  </w:style>
  <w:style w:type="paragraph" w:customStyle="1" w:styleId="129">
    <w:name w:val="xl36"/>
    <w:basedOn w:val="1"/>
    <w:qFormat/>
    <w:uiPriority w:val="0"/>
    <w:pPr>
      <w:widowControl/>
      <w:pBdr>
        <w:left w:val="single" w:color="auto" w:sz="4" w:space="0"/>
        <w:right w:val="single" w:color="auto" w:sz="4" w:space="0"/>
      </w:pBdr>
      <w:spacing w:before="100" w:beforeAutospacing="1" w:after="100" w:afterAutospacing="1"/>
      <w:jc w:val="center"/>
      <w:textAlignment w:val="top"/>
    </w:pPr>
    <w:rPr>
      <w:kern w:val="0"/>
      <w:sz w:val="24"/>
    </w:rPr>
  </w:style>
  <w:style w:type="paragraph" w:customStyle="1" w:styleId="130">
    <w:name w:val="文华表1级标题1"/>
    <w:basedOn w:val="4"/>
    <w:next w:val="131"/>
    <w:qFormat/>
    <w:uiPriority w:val="0"/>
    <w:pPr>
      <w:keepNext w:val="0"/>
    </w:pPr>
    <w:rPr>
      <w:kern w:val="4"/>
      <w:sz w:val="28"/>
    </w:rPr>
  </w:style>
  <w:style w:type="paragraph" w:customStyle="1" w:styleId="131">
    <w:name w:val="文本正文"/>
    <w:basedOn w:val="1"/>
    <w:qFormat/>
    <w:uiPriority w:val="0"/>
    <w:pPr>
      <w:spacing w:line="360" w:lineRule="auto"/>
      <w:ind w:firstLine="480" w:firstLineChars="200"/>
    </w:pPr>
    <w:rPr>
      <w:rFonts w:ascii="Calibri" w:hAnsi="Calibri"/>
      <w:sz w:val="24"/>
    </w:rPr>
  </w:style>
  <w:style w:type="paragraph" w:customStyle="1" w:styleId="132">
    <w:name w:val="zxzx书正文"/>
    <w:basedOn w:val="1"/>
    <w:qFormat/>
    <w:uiPriority w:val="0"/>
    <w:pPr>
      <w:widowControl/>
      <w:spacing w:line="440" w:lineRule="exact"/>
      <w:ind w:firstLine="880" w:firstLineChars="200"/>
      <w:jc w:val="left"/>
    </w:pPr>
    <w:rPr>
      <w:sz w:val="24"/>
    </w:rPr>
  </w:style>
  <w:style w:type="paragraph" w:customStyle="1" w:styleId="133">
    <w:name w:val="正文--环评"/>
    <w:basedOn w:val="1"/>
    <w:qFormat/>
    <w:uiPriority w:val="0"/>
    <w:pPr>
      <w:spacing w:line="360" w:lineRule="auto"/>
      <w:ind w:firstLine="480" w:firstLineChars="200"/>
    </w:pPr>
    <w:rPr>
      <w:rFonts w:cs="宋体"/>
      <w:color w:val="000000"/>
      <w:spacing w:val="0"/>
      <w:sz w:val="24"/>
    </w:rPr>
  </w:style>
  <w:style w:type="paragraph" w:customStyle="1" w:styleId="134">
    <w:name w:val="表中文字（工大）"/>
    <w:basedOn w:val="1"/>
    <w:qFormat/>
    <w:uiPriority w:val="0"/>
    <w:pPr>
      <w:spacing w:line="440" w:lineRule="exact"/>
      <w:jc w:val="center"/>
    </w:pPr>
    <w:rPr>
      <w:sz w:val="21"/>
      <w:szCs w:val="20"/>
    </w:rPr>
  </w:style>
  <w:style w:type="character" w:customStyle="1" w:styleId="135">
    <w:name w:val="font11"/>
    <w:basedOn w:val="40"/>
    <w:qFormat/>
    <w:uiPriority w:val="0"/>
    <w:rPr>
      <w:rFonts w:hint="default" w:ascii="Times New Roman" w:hAnsi="Times New Roman" w:cs="Times New Roman"/>
      <w:color w:val="000000"/>
      <w:sz w:val="18"/>
      <w:szCs w:val="18"/>
      <w:u w:val="none"/>
    </w:rPr>
  </w:style>
  <w:style w:type="character" w:customStyle="1" w:styleId="136">
    <w:name w:val="font21"/>
    <w:basedOn w:val="40"/>
    <w:qFormat/>
    <w:uiPriority w:val="0"/>
    <w:rPr>
      <w:rFonts w:hint="eastAsia" w:ascii="宋体" w:hAnsi="宋体" w:eastAsia="宋体" w:cs="宋体"/>
      <w:color w:val="000000"/>
      <w:sz w:val="18"/>
      <w:szCs w:val="18"/>
      <w:u w:val="none"/>
    </w:rPr>
  </w:style>
  <w:style w:type="paragraph" w:customStyle="1" w:styleId="137">
    <w:name w:val="文本框样式"/>
    <w:basedOn w:val="1"/>
    <w:qFormat/>
    <w:uiPriority w:val="0"/>
    <w:pPr>
      <w:spacing w:line="240" w:lineRule="auto"/>
      <w:ind w:firstLine="0" w:firstLineChars="0"/>
      <w:jc w:val="center"/>
    </w:pPr>
    <w:rPr>
      <w:sz w:val="21"/>
    </w:rPr>
  </w:style>
  <w:style w:type="paragraph" w:customStyle="1" w:styleId="138">
    <w:name w:val="表"/>
    <w:qFormat/>
    <w:uiPriority w:val="0"/>
    <w:pPr>
      <w:spacing w:line="440" w:lineRule="exact"/>
      <w:ind w:firstLine="200" w:firstLineChars="200"/>
      <w:jc w:val="both"/>
    </w:pPr>
    <w:rPr>
      <w:rFonts w:ascii="Calibri" w:hAnsi="Calibri" w:eastAsia="宋体" w:cs="Times New Roman"/>
      <w:sz w:val="24"/>
      <w:lang w:val="en-US" w:eastAsia="zh-CN" w:bidi="ar-SA"/>
    </w:rPr>
  </w:style>
  <w:style w:type="paragraph" w:customStyle="1" w:styleId="139">
    <w:name w:val="cucd-0"/>
    <w:qFormat/>
    <w:uiPriority w:val="0"/>
    <w:pPr>
      <w:numPr>
        <w:ilvl w:val="0"/>
        <w:numId w:val="3"/>
      </w:numPr>
      <w:tabs>
        <w:tab w:val="left" w:pos="3485"/>
      </w:tabs>
      <w:spacing w:line="360" w:lineRule="auto"/>
    </w:pPr>
    <w:rPr>
      <w:rFonts w:ascii="Times New Roman" w:hAnsi="Times New Roman" w:eastAsia="宋体" w:cs="Times New Roman"/>
      <w:kern w:val="2"/>
      <w:sz w:val="24"/>
      <w:szCs w:val="24"/>
      <w:lang w:val="en-US" w:eastAsia="zh-CN" w:bidi="ar-SA"/>
    </w:rPr>
  </w:style>
  <w:style w:type="paragraph" w:customStyle="1" w:styleId="140">
    <w:name w:val="段落正文"/>
    <w:basedOn w:val="1"/>
    <w:qFormat/>
    <w:uiPriority w:val="0"/>
    <w:pPr>
      <w:widowControl w:val="0"/>
      <w:spacing w:line="500" w:lineRule="atLeast"/>
    </w:pPr>
    <w:rPr>
      <w:rFonts w:eastAsia="仿宋_GB2312"/>
      <w:szCs w:val="28"/>
    </w:rPr>
  </w:style>
  <w:style w:type="character" w:customStyle="1" w:styleId="141">
    <w:name w:val="标题 1 Char1"/>
    <w:link w:val="4"/>
    <w:qFormat/>
    <w:uiPriority w:val="0"/>
    <w:rPr>
      <w:rFonts w:eastAsia="黑体"/>
      <w:b/>
      <w:bCs/>
      <w:color w:val="000000"/>
      <w:kern w:val="44"/>
      <w:sz w:val="30"/>
      <w:szCs w:val="30"/>
    </w:rPr>
  </w:style>
  <w:style w:type="character" w:customStyle="1" w:styleId="142">
    <w:name w:val="标题 2 Char"/>
    <w:link w:val="5"/>
    <w:qFormat/>
    <w:uiPriority w:val="0"/>
    <w:rPr>
      <w:rFonts w:ascii="Arial" w:hAnsi="Arial" w:eastAsia="黑体"/>
      <w:b/>
      <w:bCs/>
      <w:sz w:val="32"/>
      <w:szCs w:val="32"/>
    </w:rPr>
  </w:style>
  <w:style w:type="paragraph" w:customStyle="1" w:styleId="143">
    <w:name w:val="表体"/>
    <w:basedOn w:val="1"/>
    <w:qFormat/>
    <w:uiPriority w:val="0"/>
    <w:pPr>
      <w:spacing w:line="240" w:lineRule="auto"/>
    </w:pPr>
    <w:rPr>
      <w:sz w:val="21"/>
      <w:szCs w:val="21"/>
    </w:rPr>
  </w:style>
  <w:style w:type="paragraph" w:customStyle="1" w:styleId="144">
    <w:name w:val="Char Char Char Char Char Char Char2"/>
    <w:basedOn w:val="1"/>
    <w:qFormat/>
    <w:uiPriority w:val="0"/>
    <w:pPr>
      <w:snapToGrid w:val="0"/>
      <w:spacing w:line="360" w:lineRule="auto"/>
      <w:ind w:firstLine="529" w:firstLineChars="200"/>
    </w:pPr>
  </w:style>
  <w:style w:type="paragraph" w:customStyle="1" w:styleId="145">
    <w:name w:val="表格题目"/>
    <w:basedOn w:val="1"/>
    <w:qFormat/>
    <w:uiPriority w:val="0"/>
    <w:pPr>
      <w:spacing w:line="240" w:lineRule="atLeast"/>
      <w:jc w:val="center"/>
    </w:pPr>
    <w:rPr>
      <w:rFonts w:ascii="黑体" w:hAnsi="宋体" w:eastAsia="黑体"/>
      <w:sz w:val="24"/>
    </w:rPr>
  </w:style>
  <w:style w:type="table" w:customStyle="1" w:styleId="146">
    <w:name w:val="Table Normal"/>
    <w:semiHidden/>
    <w:unhideWhenUsed/>
    <w:qFormat/>
    <w:uiPriority w:val="0"/>
    <w:tblPr>
      <w:tblCellMar>
        <w:top w:w="0" w:type="dxa"/>
        <w:left w:w="0" w:type="dxa"/>
        <w:bottom w:w="0" w:type="dxa"/>
        <w:right w:w="0" w:type="dxa"/>
      </w:tblCellMar>
    </w:tblPr>
  </w:style>
  <w:style w:type="character" w:customStyle="1" w:styleId="147">
    <w:name w:val="正文（首行缩进两字） Char"/>
    <w:qFormat/>
    <w:uiPriority w:val="0"/>
    <w:rPr>
      <w:rFonts w:eastAsia="宋体"/>
      <w:kern w:val="2"/>
      <w:sz w:val="24"/>
      <w:lang w:val="en-US" w:eastAsia="zh-CN"/>
    </w:rPr>
  </w:style>
  <w:style w:type="paragraph" w:customStyle="1" w:styleId="148">
    <w:name w:val="表中文字"/>
    <w:basedOn w:val="1"/>
    <w:next w:val="1"/>
    <w:qFormat/>
    <w:uiPriority w:val="0"/>
    <w:pPr>
      <w:jc w:val="center"/>
    </w:pPr>
    <w:rPr>
      <w:szCs w:val="20"/>
    </w:rPr>
  </w:style>
  <w:style w:type="paragraph" w:customStyle="1" w:styleId="149">
    <w:name w:val="正文格式"/>
    <w:basedOn w:val="1"/>
    <w:qFormat/>
    <w:uiPriority w:val="0"/>
    <w:pPr>
      <w:spacing w:line="360" w:lineRule="auto"/>
      <w:ind w:firstLine="482"/>
    </w:pPr>
  </w:style>
  <w:style w:type="paragraph" w:customStyle="1" w:styleId="150">
    <w:name w:val="Table Text"/>
    <w:basedOn w:val="1"/>
    <w:semiHidden/>
    <w:qFormat/>
    <w:uiPriority w:val="0"/>
    <w:rPr>
      <w:rFonts w:ascii="宋体" w:hAnsi="宋体" w:eastAsia="宋体" w:cs="宋体"/>
      <w:sz w:val="24"/>
      <w:szCs w:val="24"/>
      <w:lang w:val="en-US" w:eastAsia="en-US" w:bidi="ar-SA"/>
    </w:rPr>
  </w:style>
  <w:style w:type="paragraph" w:customStyle="1" w:styleId="151">
    <w:name w:val="【表中文字】"/>
    <w:basedOn w:val="152"/>
    <w:qFormat/>
    <w:uiPriority w:val="0"/>
    <w:pPr>
      <w:jc w:val="center"/>
    </w:pPr>
    <w:rPr>
      <w:kern w:val="0"/>
      <w:szCs w:val="20"/>
    </w:rPr>
  </w:style>
  <w:style w:type="paragraph" w:customStyle="1" w:styleId="152">
    <w:name w:val=".表1-1-1内容"/>
    <w:basedOn w:val="1"/>
    <w:qFormat/>
    <w:uiPriority w:val="0"/>
    <w:pPr>
      <w:spacing w:line="300" w:lineRule="exact"/>
      <w:jc w:val="center"/>
    </w:pPr>
    <w:rPr>
      <w:kern w:val="0"/>
      <w:szCs w:val="21"/>
    </w:rPr>
  </w:style>
  <w:style w:type="paragraph" w:customStyle="1" w:styleId="153">
    <w:name w:val="a正文"/>
    <w:basedOn w:val="149"/>
    <w:qFormat/>
    <w:uiPriority w:val="0"/>
    <w:pPr>
      <w:spacing w:line="520" w:lineRule="exact"/>
      <w:ind w:firstLine="200" w:firstLineChars="200"/>
    </w:pPr>
    <w:rPr>
      <w:kern w:val="0"/>
      <w:szCs w:val="21"/>
    </w:rPr>
  </w:style>
  <w:style w:type="character" w:customStyle="1" w:styleId="154">
    <w:name w:val="表格文字 Char"/>
    <w:link w:val="85"/>
    <w:qFormat/>
    <w:uiPriority w:val="0"/>
    <w:rPr>
      <w:rFonts w:ascii="new times roma" w:hAnsi="new times roma"/>
    </w:rPr>
  </w:style>
  <w:style w:type="paragraph" w:customStyle="1" w:styleId="155">
    <w:name w:val="表表头"/>
    <w:basedOn w:val="1"/>
    <w:qFormat/>
    <w:uiPriority w:val="0"/>
    <w:pPr>
      <w:jc w:val="center"/>
    </w:pPr>
    <w:rPr>
      <w:rFonts w:ascii="Calibri" w:hAnsi="Calibri" w:eastAsia="黑体"/>
    </w:rPr>
  </w:style>
  <w:style w:type="character" w:customStyle="1" w:styleId="156">
    <w:name w:val="【正文】 Char1"/>
    <w:qFormat/>
    <w:locked/>
    <w:uiPriority w:val="0"/>
    <w:rPr>
      <w:rFonts w:ascii="Times New Roman" w:hAnsi="Times New Roman" w:eastAsia="宋体" w:cs="Times New Roman"/>
      <w:sz w:val="24"/>
      <w:szCs w:val="24"/>
    </w:rPr>
  </w:style>
  <w:style w:type="paragraph" w:customStyle="1" w:styleId="157">
    <w:name w:val="正文首行缩进1"/>
    <w:basedOn w:val="1"/>
    <w:qFormat/>
    <w:uiPriority w:val="0"/>
    <w:pPr>
      <w:widowControl w:val="0"/>
      <w:snapToGrid/>
      <w:spacing w:before="0" w:after="120" w:line="240" w:lineRule="auto"/>
      <w:ind w:right="0" w:firstLine="420" w:firstLineChars="100"/>
    </w:pPr>
    <w:rPr>
      <w:kern w:val="2"/>
      <w:sz w:val="21"/>
      <w:szCs w:val="24"/>
    </w:rPr>
  </w:style>
  <w:style w:type="paragraph" w:customStyle="1" w:styleId="158">
    <w:name w:val="正文缩进1"/>
    <w:basedOn w:val="1"/>
    <w:qFormat/>
    <w:uiPriority w:val="0"/>
    <w:pPr>
      <w:ind w:firstLine="420"/>
    </w:pPr>
    <w:rPr>
      <w:rFonts w:eastAsia="宋体"/>
      <w:sz w:val="28"/>
    </w:rPr>
  </w:style>
  <w:style w:type="paragraph" w:customStyle="1" w:styleId="159">
    <w:name w:val="专篇正文"/>
    <w:basedOn w:val="76"/>
    <w:qFormat/>
    <w:uiPriority w:val="0"/>
  </w:style>
  <w:style w:type="paragraph" w:customStyle="1" w:styleId="160">
    <w:name w:val="a表格标题"/>
    <w:basedOn w:val="1"/>
    <w:qFormat/>
    <w:uiPriority w:val="0"/>
    <w:pPr>
      <w:widowControl/>
      <w:spacing w:line="360" w:lineRule="auto"/>
      <w:jc w:val="center"/>
    </w:pPr>
    <w:rPr>
      <w:b/>
      <w:kern w:val="0"/>
      <w:szCs w:val="21"/>
    </w:rPr>
  </w:style>
  <w:style w:type="paragraph" w:customStyle="1" w:styleId="161">
    <w:name w:val="盂县"/>
    <w:basedOn w:val="1"/>
    <w:qFormat/>
    <w:uiPriority w:val="0"/>
    <w:pPr>
      <w:adjustRightInd w:val="0"/>
      <w:snapToGrid w:val="0"/>
      <w:spacing w:line="312" w:lineRule="auto"/>
      <w:ind w:firstLine="560" w:firstLineChars="200"/>
    </w:pPr>
    <w:rPr>
      <w:sz w:val="28"/>
    </w:rPr>
  </w:style>
  <w:style w:type="paragraph" w:customStyle="1" w:styleId="162">
    <w:name w:val="填表样式"/>
    <w:qFormat/>
    <w:uiPriority w:val="0"/>
    <w:pPr>
      <w:widowControl w:val="0"/>
      <w:adjustRightInd w:val="0"/>
      <w:snapToGrid w:val="0"/>
      <w:spacing w:line="360" w:lineRule="auto"/>
      <w:ind w:firstLine="720" w:firstLineChars="200"/>
      <w:jc w:val="both"/>
    </w:pPr>
    <w:rPr>
      <w:rFonts w:ascii="Times New Roman" w:hAnsi="Times New Roman" w:eastAsia="宋体" w:cs="Times New Roman"/>
      <w:kern w:val="2"/>
      <w:sz w:val="21"/>
      <w:szCs w:val="24"/>
      <w:lang w:val="en-US" w:eastAsia="zh-CN" w:bidi="ar-SA"/>
    </w:rPr>
  </w:style>
  <w:style w:type="paragraph" w:customStyle="1" w:styleId="163">
    <w:name w:val="C【表头】"/>
    <w:basedOn w:val="1"/>
    <w:qFormat/>
    <w:uiPriority w:val="0"/>
    <w:pPr>
      <w:widowControl/>
      <w:adjustRightInd w:val="0"/>
      <w:snapToGrid w:val="0"/>
      <w:jc w:val="center"/>
    </w:pPr>
    <w:rPr>
      <w:rFonts w:eastAsia="黑体" w:cs="宋体"/>
      <w:kern w:val="0"/>
      <w:sz w:val="24"/>
      <w:szCs w:val="20"/>
    </w:rPr>
  </w:style>
  <w:style w:type="paragraph" w:customStyle="1" w:styleId="164">
    <w:name w:val="C表两端"/>
    <w:basedOn w:val="1"/>
    <w:qFormat/>
    <w:uiPriority w:val="0"/>
    <w:pPr>
      <w:adjustRightInd w:val="0"/>
      <w:snapToGrid w:val="0"/>
    </w:pPr>
    <w:rPr>
      <w:kern w:val="0"/>
      <w:szCs w:val="20"/>
    </w:rPr>
  </w:style>
  <w:style w:type="paragraph" w:customStyle="1" w:styleId="165">
    <w:name w:val="正文小"/>
    <w:basedOn w:val="1"/>
    <w:qFormat/>
    <w:uiPriority w:val="0"/>
    <w:pPr>
      <w:keepNext w:val="0"/>
      <w:keepLines w:val="0"/>
      <w:spacing w:line="560" w:lineRule="exact"/>
      <w:ind w:left="0" w:firstLine="1440" w:firstLineChars="200"/>
      <w:outlineLvl w:val="9"/>
    </w:pPr>
    <w:rPr>
      <w:rFonts w:hint="eastAsia" w:ascii="Times New Roman" w:hAnsi="Times New Roman" w:eastAsia="仿宋_GB2312"/>
      <w:sz w:val="28"/>
      <w:szCs w:val="32"/>
    </w:rPr>
  </w:style>
  <w:style w:type="paragraph" w:customStyle="1" w:styleId="166">
    <w:name w:val="WPSOffice手动目录 1"/>
    <w:qFormat/>
    <w:uiPriority w:val="0"/>
    <w:pPr>
      <w:ind w:leftChars="0"/>
    </w:pPr>
    <w:rPr>
      <w:rFonts w:ascii="Times New Roman" w:hAnsi="Times New Roman" w:eastAsia="宋体" w:cs="Times New Roman"/>
      <w:sz w:val="20"/>
      <w:szCs w:val="20"/>
    </w:rPr>
  </w:style>
  <w:style w:type="paragraph" w:customStyle="1" w:styleId="167">
    <w:name w:val="表格里"/>
    <w:basedOn w:val="73"/>
    <w:next w:val="73"/>
    <w:qFormat/>
    <w:uiPriority w:val="0"/>
    <w:pPr>
      <w:spacing w:line="240" w:lineRule="auto"/>
      <w:ind w:left="0" w:firstLine="0" w:firstLineChars="0"/>
      <w:jc w:val="center"/>
    </w:pPr>
    <w:rPr>
      <w:rFonts w:ascii="Times New Roman" w:hAnsi="Times New Roman" w:cs="Times New Roman"/>
      <w:snapToGrid w:val="0"/>
      <w:kern w:val="2"/>
      <w:szCs w:val="24"/>
    </w:rPr>
  </w:style>
  <w:style w:type="paragraph" w:customStyle="1" w:styleId="168">
    <w:name w:val="我的正文"/>
    <w:basedOn w:val="1"/>
    <w:qFormat/>
    <w:uiPriority w:val="0"/>
    <w:pPr>
      <w:adjustRightInd w:val="0"/>
      <w:snapToGrid w:val="0"/>
      <w:spacing w:line="480" w:lineRule="exact"/>
      <w:ind w:firstLine="720" w:firstLineChars="200"/>
      <w:jc w:val="left"/>
    </w:pPr>
    <w:rPr>
      <w:rFonts w:ascii="Times New Roman" w:hAnsi="Times New Roman" w:eastAsia="宋体" w:cs="宋体"/>
      <w:bCs/>
      <w:szCs w:val="21"/>
    </w:rPr>
  </w:style>
  <w:style w:type="paragraph" w:customStyle="1" w:styleId="169">
    <w:name w:val="标题2"/>
    <w:basedOn w:val="76"/>
    <w:autoRedefine/>
    <w:qFormat/>
    <w:uiPriority w:val="0"/>
    <w:pPr>
      <w:ind w:firstLine="0" w:firstLineChars="0"/>
      <w:outlineLvl w:val="1"/>
    </w:pPr>
    <w:rPr>
      <w:b/>
      <w:snapToGrid w:val="0"/>
    </w:rPr>
  </w:style>
  <w:style w:type="paragraph" w:customStyle="1" w:styleId="170">
    <w:name w:val="新正文"/>
    <w:basedOn w:val="1"/>
    <w:qFormat/>
    <w:uiPriority w:val="0"/>
    <w:pPr>
      <w:spacing w:line="500" w:lineRule="exact"/>
      <w:ind w:firstLine="200" w:firstLineChars="200"/>
    </w:pPr>
    <w:rPr>
      <w:rFonts w:cs="Times New Roman"/>
    </w:rPr>
  </w:style>
  <w:style w:type="paragraph" w:customStyle="1" w:styleId="171">
    <w:name w:val="表格字体"/>
    <w:basedOn w:val="1"/>
    <w:autoRedefine/>
    <w:qFormat/>
    <w:uiPriority w:val="0"/>
    <w:pPr>
      <w:spacing w:line="360" w:lineRule="exact"/>
      <w:jc w:val="center"/>
    </w:pPr>
    <w:rPr>
      <w:szCs w:val="21"/>
    </w:rPr>
  </w:style>
  <w:style w:type="paragraph" w:customStyle="1" w:styleId="172">
    <w:name w:val="《正文》"/>
    <w:basedOn w:val="1"/>
    <w:autoRedefine/>
    <w:qFormat/>
    <w:uiPriority w:val="0"/>
    <w:pPr>
      <w:spacing w:line="360" w:lineRule="auto"/>
      <w:ind w:firstLine="200" w:firstLineChars="200"/>
    </w:pPr>
    <w:rPr>
      <w:sz w:val="24"/>
    </w:rPr>
  </w:style>
  <w:style w:type="paragraph" w:customStyle="1" w:styleId="173">
    <w:name w:val="附表标题"/>
    <w:basedOn w:val="1"/>
    <w:autoRedefine/>
    <w:qFormat/>
    <w:uiPriority w:val="0"/>
    <w:pPr>
      <w:spacing w:line="552" w:lineRule="auto"/>
      <w:jc w:val="center"/>
    </w:pPr>
    <w:rPr>
      <w:rFonts w:eastAsia="方正小标宋_GBK"/>
      <w:sz w:val="38"/>
    </w:rPr>
  </w:style>
  <w:style w:type="paragraph" w:customStyle="1" w:styleId="174">
    <w:name w:val="正文内容"/>
    <w:basedOn w:val="1"/>
    <w:link w:val="175"/>
    <w:qFormat/>
    <w:uiPriority w:val="0"/>
    <w:pPr>
      <w:autoSpaceDE w:val="0"/>
      <w:autoSpaceDN w:val="0"/>
      <w:spacing w:line="360" w:lineRule="auto"/>
      <w:ind w:firstLine="720" w:firstLineChars="200"/>
    </w:pPr>
    <w:rPr>
      <w:rFonts w:ascii="宋体" w:hAnsi="宋体" w:cs="宋体"/>
      <w:kern w:val="0"/>
      <w:sz w:val="24"/>
      <w:szCs w:val="24"/>
    </w:rPr>
  </w:style>
  <w:style w:type="character" w:customStyle="1" w:styleId="175">
    <w:name w:val="正文内容 Char"/>
    <w:link w:val="174"/>
    <w:qFormat/>
    <w:uiPriority w:val="0"/>
    <w:rPr>
      <w:rFonts w:ascii="宋体" w:hAnsi="宋体" w:cs="宋体"/>
      <w:kern w:val="0"/>
      <w:sz w:val="24"/>
      <w:szCs w:val="24"/>
    </w:rPr>
  </w:style>
  <w:style w:type="paragraph" w:customStyle="1" w:styleId="176">
    <w:name w:val="表内文字五号"/>
    <w:autoRedefine/>
    <w:qFormat/>
    <w:uiPriority w:val="0"/>
    <w:pPr>
      <w:widowControl w:val="0"/>
      <w:adjustRightInd w:val="0"/>
      <w:snapToGrid w:val="0"/>
      <w:jc w:val="center"/>
    </w:pPr>
    <w:rPr>
      <w:rFonts w:ascii="Times New Roman" w:hAnsi="Times New Roman" w:eastAsia="宋体" w:cs="Times New Roman"/>
      <w:kern w:val="2"/>
      <w:sz w:val="21"/>
      <w:szCs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png"/><Relationship Id="rId73" Type="http://schemas.openxmlformats.org/officeDocument/2006/relationships/fontTable" Target="fontTable.xml"/><Relationship Id="rId72" Type="http://schemas.openxmlformats.org/officeDocument/2006/relationships/numbering" Target="numbering.xml"/><Relationship Id="rId71" Type="http://schemas.openxmlformats.org/officeDocument/2006/relationships/customXml" Target="../customXml/item1.xml"/><Relationship Id="rId70" Type="http://schemas.openxmlformats.org/officeDocument/2006/relationships/image" Target="media/image58.png"/><Relationship Id="rId7" Type="http://schemas.openxmlformats.org/officeDocument/2006/relationships/theme" Target="theme/theme1.xml"/><Relationship Id="rId69" Type="http://schemas.openxmlformats.org/officeDocument/2006/relationships/image" Target="media/image57.png"/><Relationship Id="rId68" Type="http://schemas.openxmlformats.org/officeDocument/2006/relationships/image" Target="media/image56.jpeg"/><Relationship Id="rId67" Type="http://schemas.openxmlformats.org/officeDocument/2006/relationships/image" Target="media/image55.jpeg"/><Relationship Id="rId66" Type="http://schemas.openxmlformats.org/officeDocument/2006/relationships/image" Target="media/image54.jpeg"/><Relationship Id="rId65" Type="http://schemas.openxmlformats.org/officeDocument/2006/relationships/image" Target="media/image53.jpe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emf"/><Relationship Id="rId60" Type="http://schemas.openxmlformats.org/officeDocument/2006/relationships/oleObject" Target="embeddings/oleObject5.bin"/><Relationship Id="rId6" Type="http://schemas.openxmlformats.org/officeDocument/2006/relationships/footer" Target="footer4.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3.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jpe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footer" Target="footer2.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er" Target="footer1.xml"/><Relationship Id="rId29" Type="http://schemas.openxmlformats.org/officeDocument/2006/relationships/image" Target="media/image18.png"/><Relationship Id="rId28" Type="http://schemas.openxmlformats.org/officeDocument/2006/relationships/image" Target="media/image17.wmf"/><Relationship Id="rId27" Type="http://schemas.openxmlformats.org/officeDocument/2006/relationships/oleObject" Target="embeddings/oleObject4.bin"/><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wmf"/><Relationship Id="rId23" Type="http://schemas.openxmlformats.org/officeDocument/2006/relationships/image" Target="media/image13.wmf"/><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wmf"/><Relationship Id="rId2" Type="http://schemas.openxmlformats.org/officeDocument/2006/relationships/settings" Target="settings.xml"/><Relationship Id="rId19" Type="http://schemas.openxmlformats.org/officeDocument/2006/relationships/oleObject" Target="embeddings/oleObject3.bin"/><Relationship Id="rId18" Type="http://schemas.openxmlformats.org/officeDocument/2006/relationships/image" Target="media/image9.wmf"/><Relationship Id="rId17" Type="http://schemas.openxmlformats.org/officeDocument/2006/relationships/oleObject" Target="embeddings/oleObject2.bin"/><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emf"/><Relationship Id="rId11" Type="http://schemas.openxmlformats.org/officeDocument/2006/relationships/oleObject" Target="embeddings/oleObject1.bin"/><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Manager>Yu</Manager>
  <Company>-</Company>
  <Pages>96</Pages>
  <Words>672</Words>
  <Characters>732</Characters>
  <Lines>1</Lines>
  <Paragraphs>1</Paragraphs>
  <TotalTime>23</TotalTime>
  <ScaleCrop>false</ScaleCrop>
  <LinksUpToDate>false</LinksUpToDate>
  <CharactersWithSpaces>882</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2020-12-24T01:42:00Z</dcterms:created>
  <dc:creator>Yu</dc:creator>
  <cp:lastModifiedBy></cp:lastModifiedBy>
  <cp:lastPrinted>2025-03-13T08:53:00Z</cp:lastPrinted>
  <dcterms:modified xsi:type="dcterms:W3CDTF">2026-01-27T07:26:36Z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15F3E4D164C54B2C83B42893E052CE6B_13</vt:lpwstr>
  </property>
  <property fmtid="{D5CDD505-2E9C-101B-9397-08002B2CF9AE}" pid="4" name="KSOTemplateDocerSaveRecord">
    <vt:lpwstr>eyJoZGlkIjoiMTQ0ZGNkYzY1OTc5OTVkODYzYjU5NGNjYzMzNjEyZGIiLCJ1c2VySWQiOiI0MjczNDY5NTUifQ==</vt:lpwstr>
  </property>
</Properties>
</file>