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B244E5">
      <w:pPr>
        <w:pStyle w:val="2"/>
        <w:ind w:left="0" w:leftChars="0" w:firstLine="0" w:firstLineChars="0"/>
        <w:rPr>
          <w:rFonts w:hint="eastAsia" w:eastAsia="仿宋_GB2312"/>
          <w:lang w:eastAsia="zh-CN"/>
        </w:rPr>
      </w:pPr>
      <w:r>
        <w:rPr>
          <w:rFonts w:hint="eastAsia" w:eastAsia="仿宋_GB2312"/>
          <w:lang w:eastAsia="zh-CN"/>
        </w:rPr>
        <w:drawing>
          <wp:inline distT="0" distB="0" distL="114300" distR="114300">
            <wp:extent cx="5985510" cy="8146415"/>
            <wp:effectExtent l="0" t="0" r="15240" b="6985"/>
            <wp:docPr id="6" name="图片 6" descr="扫描全能王 2024-11-12 17.07(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全能王 2024-11-12 17.07(1)_00"/>
                    <pic:cNvPicPr>
                      <a:picLocks noChangeAspect="1"/>
                    </pic:cNvPicPr>
                  </pic:nvPicPr>
                  <pic:blipFill>
                    <a:blip r:embed="rId11"/>
                    <a:stretch>
                      <a:fillRect/>
                    </a:stretch>
                  </pic:blipFill>
                  <pic:spPr>
                    <a:xfrm>
                      <a:off x="0" y="0"/>
                      <a:ext cx="5985510" cy="8146415"/>
                    </a:xfrm>
                    <a:prstGeom prst="rect">
                      <a:avLst/>
                    </a:prstGeom>
                  </pic:spPr>
                </pic:pic>
              </a:graphicData>
            </a:graphic>
          </wp:inline>
        </w:drawing>
      </w:r>
      <w:r>
        <w:rPr>
          <w:rFonts w:hint="eastAsia" w:eastAsia="仿宋_GB2312"/>
          <w:lang w:eastAsia="zh-CN"/>
        </w:rPr>
        <w:drawing>
          <wp:inline distT="0" distB="0" distL="114300" distR="114300">
            <wp:extent cx="6009005" cy="8502650"/>
            <wp:effectExtent l="0" t="0" r="10795" b="12700"/>
            <wp:docPr id="4" name="图片 4" descr="扫描全能王 2024-11-12 17.07(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扫描全能王 2024-11-12 17.07(1)_01"/>
                    <pic:cNvPicPr>
                      <a:picLocks noChangeAspect="1"/>
                    </pic:cNvPicPr>
                  </pic:nvPicPr>
                  <pic:blipFill>
                    <a:blip r:embed="rId12"/>
                    <a:stretch>
                      <a:fillRect/>
                    </a:stretch>
                  </pic:blipFill>
                  <pic:spPr>
                    <a:xfrm>
                      <a:off x="0" y="0"/>
                      <a:ext cx="6009005" cy="8502650"/>
                    </a:xfrm>
                    <a:prstGeom prst="rect">
                      <a:avLst/>
                    </a:prstGeom>
                  </pic:spPr>
                </pic:pic>
              </a:graphicData>
            </a:graphic>
          </wp:inline>
        </w:drawing>
      </w:r>
    </w:p>
    <w:p w14:paraId="36531B4A">
      <w:pPr>
        <w:widowControl w:val="0"/>
        <w:numPr>
          <w:ilvl w:val="255"/>
          <w:numId w:val="0"/>
        </w:numPr>
        <w:adjustRightInd w:val="0"/>
        <w:ind w:firstLine="640" w:firstLineChars="200"/>
        <w:rPr>
          <w:bCs/>
          <w:color w:val="auto"/>
          <w:u w:val="none"/>
        </w:rPr>
      </w:pPr>
    </w:p>
    <w:p w14:paraId="46403964">
      <w:pPr>
        <w:pStyle w:val="2"/>
        <w:ind w:left="0" w:leftChars="0" w:firstLine="320" w:firstLineChars="100"/>
        <w:rPr>
          <w:rFonts w:hint="eastAsia" w:eastAsia="仿宋_GB2312"/>
          <w:bCs/>
          <w:color w:val="auto"/>
          <w:sz w:val="32"/>
          <w:szCs w:val="40"/>
          <w:u w:val="none"/>
          <w:lang w:val="en-US" w:eastAsia="zh-CN"/>
        </w:rPr>
      </w:pPr>
      <w:bookmarkStart w:id="611" w:name="_GoBack"/>
      <w:bookmarkEnd w:id="611"/>
      <w:r>
        <w:rPr>
          <w:rFonts w:hint="eastAsia"/>
          <w:bCs/>
          <w:color w:val="auto"/>
          <w:sz w:val="32"/>
          <w:szCs w:val="40"/>
          <w:u w:val="none"/>
          <w:lang w:val="en-US" w:eastAsia="zh-CN"/>
        </w:rPr>
        <w:t>附</w:t>
      </w:r>
    </w:p>
    <w:p w14:paraId="028919E2">
      <w:pPr>
        <w:rPr>
          <w:bCs/>
          <w:color w:val="auto"/>
          <w:u w:val="none"/>
        </w:rPr>
      </w:pPr>
    </w:p>
    <w:p w14:paraId="428FD959">
      <w:pPr>
        <w:pStyle w:val="2"/>
        <w:rPr>
          <w:bCs/>
          <w:color w:val="auto"/>
          <w:u w:val="none"/>
        </w:rPr>
      </w:pPr>
    </w:p>
    <w:p w14:paraId="00A4E44B"/>
    <w:p w14:paraId="06C301DE">
      <w:pPr>
        <w:widowControl w:val="0"/>
        <w:snapToGrid/>
        <w:spacing w:line="240" w:lineRule="auto"/>
        <w:ind w:firstLine="0" w:firstLineChars="0"/>
        <w:jc w:val="center"/>
        <w:rPr>
          <w:rFonts w:eastAsia="方正小标宋简体"/>
          <w:color w:val="auto"/>
          <w:sz w:val="72"/>
          <w:szCs w:val="72"/>
          <w:u w:val="none"/>
        </w:rPr>
      </w:pPr>
      <w:r>
        <w:rPr>
          <w:rFonts w:hint="eastAsia" w:eastAsia="方正小标宋简体"/>
          <w:color w:val="auto"/>
          <w:sz w:val="72"/>
          <w:szCs w:val="72"/>
          <w:u w:val="none"/>
        </w:rPr>
        <w:t>虎林市</w:t>
      </w:r>
      <w:r>
        <w:rPr>
          <w:rFonts w:eastAsia="方正小标宋简体"/>
          <w:color w:val="auto"/>
          <w:sz w:val="72"/>
          <w:szCs w:val="72"/>
          <w:u w:val="none"/>
        </w:rPr>
        <w:t>国土空间总体规划</w:t>
      </w:r>
    </w:p>
    <w:p w14:paraId="63855BD1">
      <w:pPr>
        <w:widowControl w:val="0"/>
        <w:snapToGrid/>
        <w:spacing w:line="240" w:lineRule="auto"/>
        <w:ind w:firstLine="0" w:firstLineChars="0"/>
        <w:jc w:val="center"/>
        <w:rPr>
          <w:rFonts w:eastAsia="方正小标宋简体"/>
          <w:color w:val="auto"/>
          <w:sz w:val="48"/>
          <w:szCs w:val="48"/>
          <w:u w:val="none"/>
        </w:rPr>
      </w:pPr>
      <w:r>
        <w:rPr>
          <w:rFonts w:eastAsia="方正小标宋简体"/>
          <w:color w:val="auto"/>
          <w:sz w:val="48"/>
          <w:szCs w:val="48"/>
          <w:u w:val="none"/>
        </w:rPr>
        <w:t>（2021</w:t>
      </w:r>
      <w:r>
        <w:rPr>
          <w:rFonts w:hint="eastAsia" w:eastAsia="方正小标宋简体"/>
          <w:color w:val="auto"/>
          <w:sz w:val="48"/>
          <w:szCs w:val="48"/>
          <w:u w:val="none"/>
        </w:rPr>
        <w:t>—</w:t>
      </w:r>
      <w:r>
        <w:rPr>
          <w:rFonts w:eastAsia="方正小标宋简体"/>
          <w:color w:val="auto"/>
          <w:sz w:val="48"/>
          <w:szCs w:val="48"/>
          <w:u w:val="none"/>
        </w:rPr>
        <w:t>2035年）</w:t>
      </w:r>
    </w:p>
    <w:p w14:paraId="7D206E3C">
      <w:pPr>
        <w:pStyle w:val="2"/>
        <w:ind w:firstLine="480"/>
        <w:rPr>
          <w:u w:val="none"/>
        </w:rPr>
      </w:pPr>
    </w:p>
    <w:p w14:paraId="0B7CD76A">
      <w:pPr>
        <w:widowControl w:val="0"/>
        <w:numPr>
          <w:ilvl w:val="255"/>
          <w:numId w:val="0"/>
        </w:numPr>
        <w:adjustRightInd w:val="0"/>
        <w:ind w:firstLine="640" w:firstLineChars="200"/>
        <w:rPr>
          <w:bCs/>
          <w:color w:val="auto"/>
          <w:u w:val="none"/>
        </w:rPr>
      </w:pPr>
    </w:p>
    <w:p w14:paraId="79BEA1E9">
      <w:pPr>
        <w:widowControl w:val="0"/>
        <w:numPr>
          <w:ilvl w:val="255"/>
          <w:numId w:val="0"/>
        </w:numPr>
        <w:adjustRightInd w:val="0"/>
        <w:ind w:firstLine="640" w:firstLineChars="200"/>
        <w:rPr>
          <w:rFonts w:hint="eastAsia"/>
          <w:bCs/>
          <w:color w:val="auto"/>
          <w:u w:val="none"/>
        </w:rPr>
      </w:pPr>
    </w:p>
    <w:p w14:paraId="0CAB3780">
      <w:pPr>
        <w:widowControl w:val="0"/>
        <w:numPr>
          <w:ilvl w:val="255"/>
          <w:numId w:val="0"/>
        </w:numPr>
        <w:adjustRightInd w:val="0"/>
        <w:ind w:firstLine="640" w:firstLineChars="200"/>
        <w:rPr>
          <w:rFonts w:hint="eastAsia"/>
          <w:bCs/>
          <w:color w:val="auto"/>
          <w:u w:val="none"/>
        </w:rPr>
      </w:pPr>
    </w:p>
    <w:p w14:paraId="2AAB7D40">
      <w:pPr>
        <w:widowControl w:val="0"/>
        <w:numPr>
          <w:ilvl w:val="255"/>
          <w:numId w:val="0"/>
        </w:numPr>
        <w:adjustRightInd w:val="0"/>
        <w:ind w:firstLine="640" w:firstLineChars="200"/>
        <w:rPr>
          <w:rFonts w:hint="eastAsia"/>
          <w:bCs/>
          <w:color w:val="auto"/>
          <w:u w:val="none"/>
        </w:rPr>
      </w:pPr>
    </w:p>
    <w:p w14:paraId="4CEA7892">
      <w:pPr>
        <w:widowControl w:val="0"/>
        <w:numPr>
          <w:ilvl w:val="255"/>
          <w:numId w:val="0"/>
        </w:numPr>
        <w:adjustRightInd w:val="0"/>
        <w:ind w:firstLine="640" w:firstLineChars="200"/>
        <w:rPr>
          <w:rFonts w:hint="eastAsia"/>
          <w:bCs/>
          <w:color w:val="auto"/>
          <w:u w:val="none"/>
        </w:rPr>
      </w:pPr>
    </w:p>
    <w:p w14:paraId="2BE5C21E">
      <w:pPr>
        <w:widowControl w:val="0"/>
        <w:numPr>
          <w:ilvl w:val="255"/>
          <w:numId w:val="0"/>
        </w:numPr>
        <w:adjustRightInd w:val="0"/>
        <w:ind w:firstLine="640" w:firstLineChars="200"/>
        <w:rPr>
          <w:bCs/>
          <w:color w:val="auto"/>
          <w:u w:val="none"/>
        </w:rPr>
      </w:pPr>
    </w:p>
    <w:p w14:paraId="61A164EE">
      <w:pPr>
        <w:widowControl w:val="0"/>
        <w:numPr>
          <w:ilvl w:val="255"/>
          <w:numId w:val="0"/>
        </w:numPr>
        <w:adjustRightInd w:val="0"/>
        <w:ind w:firstLine="640" w:firstLineChars="200"/>
        <w:rPr>
          <w:bCs/>
          <w:color w:val="auto"/>
          <w:u w:val="none"/>
        </w:rPr>
      </w:pPr>
    </w:p>
    <w:p w14:paraId="5CAC892E">
      <w:pPr>
        <w:widowControl w:val="0"/>
        <w:numPr>
          <w:ilvl w:val="255"/>
          <w:numId w:val="0"/>
        </w:numPr>
        <w:adjustRightInd w:val="0"/>
        <w:ind w:firstLine="640" w:firstLineChars="200"/>
        <w:rPr>
          <w:bCs/>
          <w:color w:val="auto"/>
          <w:u w:val="none"/>
        </w:rPr>
      </w:pPr>
    </w:p>
    <w:p w14:paraId="715C78ED">
      <w:pPr>
        <w:widowControl w:val="0"/>
        <w:numPr>
          <w:ilvl w:val="255"/>
          <w:numId w:val="0"/>
        </w:numPr>
        <w:adjustRightInd w:val="0"/>
        <w:ind w:firstLine="640" w:firstLineChars="200"/>
        <w:rPr>
          <w:bCs/>
          <w:color w:val="auto"/>
          <w:u w:val="none"/>
        </w:rPr>
      </w:pPr>
    </w:p>
    <w:p w14:paraId="3520252D">
      <w:pPr>
        <w:widowControl w:val="0"/>
        <w:numPr>
          <w:ilvl w:val="255"/>
          <w:numId w:val="0"/>
        </w:numPr>
        <w:adjustRightInd w:val="0"/>
        <w:ind w:firstLine="640" w:firstLineChars="200"/>
        <w:rPr>
          <w:bCs/>
          <w:color w:val="auto"/>
          <w:u w:val="none"/>
        </w:rPr>
      </w:pPr>
    </w:p>
    <w:p w14:paraId="6B4380A1">
      <w:pPr>
        <w:widowControl w:val="0"/>
        <w:numPr>
          <w:ilvl w:val="255"/>
          <w:numId w:val="0"/>
        </w:numPr>
        <w:adjustRightInd w:val="0"/>
        <w:ind w:firstLine="640" w:firstLineChars="200"/>
        <w:rPr>
          <w:bCs/>
          <w:color w:val="auto"/>
          <w:u w:val="none"/>
        </w:rPr>
      </w:pPr>
    </w:p>
    <w:p w14:paraId="5B0FDFDB">
      <w:pPr>
        <w:widowControl w:val="0"/>
        <w:numPr>
          <w:ilvl w:val="255"/>
          <w:numId w:val="0"/>
        </w:numPr>
        <w:adjustRightInd w:val="0"/>
        <w:ind w:firstLine="640" w:firstLineChars="200"/>
        <w:rPr>
          <w:rFonts w:hint="eastAsia"/>
          <w:bCs/>
          <w:color w:val="auto"/>
          <w:u w:val="none"/>
        </w:rPr>
      </w:pPr>
    </w:p>
    <w:p w14:paraId="134D4724">
      <w:pPr>
        <w:widowControl w:val="0"/>
        <w:numPr>
          <w:ilvl w:val="255"/>
          <w:numId w:val="0"/>
        </w:numPr>
        <w:adjustRightInd w:val="0"/>
        <w:ind w:firstLine="640" w:firstLineChars="200"/>
        <w:rPr>
          <w:rFonts w:hint="eastAsia"/>
          <w:bCs/>
          <w:color w:val="auto"/>
          <w:u w:val="none"/>
        </w:rPr>
      </w:pPr>
    </w:p>
    <w:p w14:paraId="1105AF2E">
      <w:pPr>
        <w:widowControl w:val="0"/>
        <w:numPr>
          <w:ilvl w:val="255"/>
          <w:numId w:val="0"/>
        </w:numPr>
        <w:adjustRightInd w:val="0"/>
        <w:ind w:firstLine="640" w:firstLineChars="200"/>
        <w:rPr>
          <w:rFonts w:hint="eastAsia"/>
          <w:bCs/>
          <w:color w:val="auto"/>
          <w:u w:val="none"/>
        </w:rPr>
      </w:pPr>
    </w:p>
    <w:p w14:paraId="2C496C16">
      <w:pPr>
        <w:widowControl w:val="0"/>
        <w:adjustRightInd w:val="0"/>
        <w:spacing w:after="160"/>
        <w:ind w:firstLine="0" w:firstLineChars="0"/>
        <w:jc w:val="center"/>
        <w:rPr>
          <w:rFonts w:hint="eastAsia" w:eastAsia="方正小标宋简体"/>
          <w:bCs/>
          <w:color w:val="auto"/>
          <w:sz w:val="44"/>
          <w:szCs w:val="44"/>
          <w:u w:val="none"/>
        </w:rPr>
      </w:pPr>
      <w:r>
        <w:rPr>
          <w:rFonts w:hint="eastAsia" w:eastAsia="方正小标宋简体"/>
          <w:bCs/>
          <w:color w:val="auto"/>
          <w:sz w:val="44"/>
          <w:szCs w:val="44"/>
          <w:u w:val="none"/>
        </w:rPr>
        <w:t>目    录</w:t>
      </w:r>
    </w:p>
    <w:p w14:paraId="7E1A101C">
      <w:pPr>
        <w:pStyle w:val="2"/>
        <w:ind w:firstLine="480"/>
        <w:rPr>
          <w:rFonts w:hint="eastAsia"/>
        </w:rPr>
      </w:pPr>
    </w:p>
    <w:p w14:paraId="4C7F31FA">
      <w:pPr>
        <w:pStyle w:val="18"/>
        <w:widowControl w:val="0"/>
        <w:tabs>
          <w:tab w:val="right" w:pos="9171"/>
        </w:tabs>
        <w:snapToGrid/>
        <w:spacing w:before="0" w:after="0" w:line="580" w:lineRule="exact"/>
        <w:ind w:firstLine="0" w:firstLineChars="0"/>
        <w:jc w:val="both"/>
        <w:rPr>
          <w:rFonts w:ascii="Times New Roman" w:hAnsi="Times New Roman" w:eastAsia="黑体" w:cs="Times New Roman"/>
          <w:b w:val="0"/>
          <w:bCs w:val="0"/>
          <w:caps w:val="0"/>
          <w:color w:val="auto"/>
          <w:sz w:val="32"/>
          <w:szCs w:val="32"/>
        </w:rPr>
      </w:pPr>
      <w:r>
        <w:rPr>
          <w:rFonts w:eastAsia="方正小标宋简体"/>
          <w:b w:val="0"/>
          <w:bCs w:val="0"/>
          <w:caps w:val="0"/>
          <w:color w:val="auto"/>
          <w:sz w:val="48"/>
          <w:szCs w:val="48"/>
        </w:rPr>
        <w:fldChar w:fldCharType="begin"/>
      </w:r>
      <w:r>
        <w:rPr>
          <w:rFonts w:eastAsia="方正小标宋简体"/>
          <w:b w:val="0"/>
          <w:bCs w:val="0"/>
          <w:caps w:val="0"/>
          <w:color w:val="auto"/>
          <w:sz w:val="48"/>
          <w:szCs w:val="48"/>
        </w:rPr>
        <w:instrText xml:space="preserve"> TOC \o "1-2" \n \u </w:instrText>
      </w:r>
      <w:r>
        <w:rPr>
          <w:rFonts w:eastAsia="方正小标宋简体"/>
          <w:b w:val="0"/>
          <w:bCs w:val="0"/>
          <w:caps w:val="0"/>
          <w:color w:val="auto"/>
          <w:sz w:val="48"/>
          <w:szCs w:val="48"/>
        </w:rPr>
        <w:fldChar w:fldCharType="separate"/>
      </w:r>
      <w:r>
        <w:rPr>
          <w:rFonts w:hint="eastAsia" w:ascii="Times New Roman" w:hAnsi="Times New Roman" w:eastAsia="黑体" w:cs="Times New Roman"/>
          <w:b w:val="0"/>
          <w:bCs w:val="0"/>
          <w:caps w:val="0"/>
          <w:color w:val="auto"/>
          <w:sz w:val="32"/>
          <w:szCs w:val="32"/>
        </w:rPr>
        <w:t>第一章</w:t>
      </w:r>
      <w:r>
        <w:rPr>
          <w:rFonts w:ascii="Times New Roman" w:hAnsi="Times New Roman" w:eastAsia="黑体" w:cs="Times New Roman"/>
          <w:b w:val="0"/>
          <w:bCs w:val="0"/>
          <w:caps w:val="0"/>
          <w:color w:val="auto"/>
          <w:sz w:val="32"/>
          <w:szCs w:val="32"/>
        </w:rPr>
        <w:t xml:space="preserve"> </w:t>
      </w:r>
      <w:r>
        <w:rPr>
          <w:rFonts w:hint="eastAsia" w:ascii="Times New Roman" w:hAnsi="Times New Roman" w:eastAsia="黑体" w:cs="Times New Roman"/>
          <w:b w:val="0"/>
          <w:bCs w:val="0"/>
          <w:caps w:val="0"/>
          <w:color w:val="auto"/>
          <w:sz w:val="32"/>
          <w:szCs w:val="32"/>
        </w:rPr>
        <w:t>基础与形势</w:t>
      </w:r>
    </w:p>
    <w:p w14:paraId="1213F33F">
      <w:pPr>
        <w:pStyle w:val="18"/>
        <w:widowControl w:val="0"/>
        <w:tabs>
          <w:tab w:val="right" w:pos="9171"/>
        </w:tabs>
        <w:snapToGrid/>
        <w:spacing w:before="0" w:after="0" w:line="580" w:lineRule="exact"/>
        <w:ind w:firstLine="0" w:firstLineChars="0"/>
        <w:jc w:val="both"/>
        <w:rPr>
          <w:rFonts w:ascii="Times New Roman" w:hAnsi="Times New Roman" w:eastAsia="黑体" w:cs="Times New Roman"/>
          <w:b w:val="0"/>
          <w:bCs w:val="0"/>
          <w:caps w:val="0"/>
          <w:color w:val="auto"/>
          <w:sz w:val="32"/>
          <w:szCs w:val="32"/>
        </w:rPr>
      </w:pPr>
      <w:r>
        <w:rPr>
          <w:rFonts w:hint="eastAsia" w:ascii="Times New Roman" w:hAnsi="Times New Roman" w:eastAsia="黑体" w:cs="Times New Roman"/>
          <w:b w:val="0"/>
          <w:bCs w:val="0"/>
          <w:caps w:val="0"/>
          <w:color w:val="auto"/>
          <w:sz w:val="32"/>
          <w:szCs w:val="32"/>
        </w:rPr>
        <w:t>第二章</w:t>
      </w:r>
      <w:r>
        <w:rPr>
          <w:rFonts w:ascii="Times New Roman" w:hAnsi="Times New Roman" w:eastAsia="黑体" w:cs="Times New Roman"/>
          <w:b w:val="0"/>
          <w:bCs w:val="0"/>
          <w:caps w:val="0"/>
          <w:color w:val="auto"/>
          <w:sz w:val="32"/>
          <w:szCs w:val="32"/>
        </w:rPr>
        <w:t xml:space="preserve"> </w:t>
      </w:r>
      <w:r>
        <w:rPr>
          <w:rFonts w:hint="eastAsia" w:ascii="Times New Roman" w:hAnsi="Times New Roman" w:eastAsia="黑体" w:cs="Times New Roman"/>
          <w:b w:val="0"/>
          <w:bCs w:val="0"/>
          <w:caps w:val="0"/>
          <w:color w:val="auto"/>
          <w:sz w:val="32"/>
          <w:szCs w:val="32"/>
        </w:rPr>
        <w:t>目标与战略</w:t>
      </w:r>
    </w:p>
    <w:p w14:paraId="56972FB0">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第一节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目标定位与指标体系</w:t>
      </w:r>
    </w:p>
    <w:p w14:paraId="4F136FDC">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第二节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规划策略</w:t>
      </w:r>
    </w:p>
    <w:p w14:paraId="0FCA49BD">
      <w:pPr>
        <w:pStyle w:val="18"/>
        <w:widowControl w:val="0"/>
        <w:tabs>
          <w:tab w:val="right" w:pos="9171"/>
        </w:tabs>
        <w:snapToGrid/>
        <w:spacing w:before="0" w:after="0" w:line="580" w:lineRule="exact"/>
        <w:ind w:firstLine="0" w:firstLineChars="0"/>
        <w:jc w:val="both"/>
        <w:rPr>
          <w:rFonts w:ascii="Times New Roman" w:hAnsi="Times New Roman" w:eastAsia="黑体" w:cs="Times New Roman"/>
          <w:b w:val="0"/>
          <w:bCs w:val="0"/>
          <w:caps w:val="0"/>
          <w:color w:val="auto"/>
          <w:sz w:val="32"/>
          <w:szCs w:val="32"/>
        </w:rPr>
      </w:pPr>
      <w:r>
        <w:rPr>
          <w:rFonts w:hint="eastAsia" w:ascii="Times New Roman" w:hAnsi="Times New Roman" w:eastAsia="黑体" w:cs="Times New Roman"/>
          <w:b w:val="0"/>
          <w:bCs w:val="0"/>
          <w:caps w:val="0"/>
          <w:color w:val="auto"/>
          <w:sz w:val="32"/>
          <w:szCs w:val="32"/>
        </w:rPr>
        <w:t>第三章</w:t>
      </w:r>
      <w:r>
        <w:rPr>
          <w:rFonts w:ascii="Times New Roman" w:hAnsi="Times New Roman" w:eastAsia="黑体" w:cs="Times New Roman"/>
          <w:b w:val="0"/>
          <w:bCs w:val="0"/>
          <w:caps w:val="0"/>
          <w:color w:val="auto"/>
          <w:sz w:val="32"/>
          <w:szCs w:val="32"/>
        </w:rPr>
        <w:t xml:space="preserve"> </w:t>
      </w:r>
      <w:r>
        <w:rPr>
          <w:rFonts w:hint="eastAsia" w:ascii="Times New Roman" w:hAnsi="Times New Roman" w:eastAsia="黑体" w:cs="Times New Roman"/>
          <w:b w:val="0"/>
          <w:bCs w:val="0"/>
          <w:caps w:val="0"/>
          <w:color w:val="auto"/>
          <w:sz w:val="32"/>
          <w:szCs w:val="32"/>
        </w:rPr>
        <w:t>以</w:t>
      </w:r>
      <w:r>
        <w:rPr>
          <w:rFonts w:ascii="Times New Roman" w:hAnsi="Times New Roman" w:eastAsia="黑体" w:cs="Times New Roman"/>
          <w:b w:val="0"/>
          <w:bCs w:val="0"/>
          <w:caps w:val="0"/>
          <w:color w:val="auto"/>
          <w:sz w:val="32"/>
          <w:szCs w:val="32"/>
        </w:rPr>
        <w:t>“</w:t>
      </w:r>
      <w:r>
        <w:rPr>
          <w:rFonts w:hint="eastAsia" w:ascii="Times New Roman" w:hAnsi="Times New Roman" w:eastAsia="黑体" w:cs="Times New Roman"/>
          <w:b w:val="0"/>
          <w:bCs w:val="0"/>
          <w:caps w:val="0"/>
          <w:color w:val="auto"/>
          <w:sz w:val="32"/>
          <w:szCs w:val="32"/>
        </w:rPr>
        <w:t>三区三线</w:t>
      </w:r>
      <w:r>
        <w:rPr>
          <w:rFonts w:ascii="Times New Roman" w:hAnsi="Times New Roman" w:eastAsia="黑体" w:cs="Times New Roman"/>
          <w:b w:val="0"/>
          <w:bCs w:val="0"/>
          <w:caps w:val="0"/>
          <w:color w:val="auto"/>
          <w:sz w:val="32"/>
          <w:szCs w:val="32"/>
        </w:rPr>
        <w:t>”</w:t>
      </w:r>
      <w:r>
        <w:rPr>
          <w:rFonts w:hint="eastAsia" w:ascii="Times New Roman" w:hAnsi="Times New Roman" w:eastAsia="黑体" w:cs="Times New Roman"/>
          <w:b w:val="0"/>
          <w:bCs w:val="0"/>
          <w:caps w:val="0"/>
          <w:color w:val="auto"/>
          <w:sz w:val="32"/>
          <w:szCs w:val="32"/>
        </w:rPr>
        <w:t>为基础，优化开发保护格局</w:t>
      </w:r>
    </w:p>
    <w:p w14:paraId="628D9AB9">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第一节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统筹划定落实三条控制线</w:t>
      </w:r>
    </w:p>
    <w:p w14:paraId="0732E9F4">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第二节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落实主体功能区战略</w:t>
      </w:r>
    </w:p>
    <w:p w14:paraId="23CE7A9B">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第三节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优化国土空间总体格局</w:t>
      </w:r>
    </w:p>
    <w:p w14:paraId="447752C8">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第四节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优化规划分区与用地结构</w:t>
      </w:r>
    </w:p>
    <w:p w14:paraId="35568E03">
      <w:pPr>
        <w:pStyle w:val="18"/>
        <w:widowControl w:val="0"/>
        <w:tabs>
          <w:tab w:val="right" w:pos="9171"/>
        </w:tabs>
        <w:snapToGrid/>
        <w:spacing w:before="0" w:after="0" w:line="580" w:lineRule="exact"/>
        <w:ind w:firstLine="0" w:firstLineChars="0"/>
        <w:jc w:val="both"/>
        <w:rPr>
          <w:rFonts w:ascii="Times New Roman" w:hAnsi="Times New Roman" w:eastAsia="黑体" w:cs="Times New Roman"/>
          <w:b w:val="0"/>
          <w:bCs w:val="0"/>
          <w:caps w:val="0"/>
          <w:color w:val="auto"/>
          <w:sz w:val="32"/>
          <w:szCs w:val="32"/>
        </w:rPr>
      </w:pPr>
      <w:r>
        <w:rPr>
          <w:rFonts w:hint="eastAsia" w:ascii="Times New Roman" w:hAnsi="Times New Roman" w:eastAsia="黑体" w:cs="Times New Roman"/>
          <w:b w:val="0"/>
          <w:bCs w:val="0"/>
          <w:caps w:val="0"/>
          <w:color w:val="auto"/>
          <w:sz w:val="32"/>
          <w:szCs w:val="32"/>
        </w:rPr>
        <w:t>第四章</w:t>
      </w:r>
      <w:r>
        <w:rPr>
          <w:rFonts w:ascii="Times New Roman" w:hAnsi="Times New Roman" w:eastAsia="黑体" w:cs="Times New Roman"/>
          <w:b w:val="0"/>
          <w:bCs w:val="0"/>
          <w:caps w:val="0"/>
          <w:color w:val="auto"/>
          <w:sz w:val="32"/>
          <w:szCs w:val="32"/>
        </w:rPr>
        <w:t xml:space="preserve"> </w:t>
      </w:r>
      <w:r>
        <w:rPr>
          <w:rFonts w:hint="eastAsia" w:ascii="Times New Roman" w:hAnsi="Times New Roman" w:eastAsia="黑体" w:cs="Times New Roman"/>
          <w:b w:val="0"/>
          <w:bCs w:val="0"/>
          <w:caps w:val="0"/>
          <w:color w:val="auto"/>
          <w:sz w:val="32"/>
          <w:szCs w:val="32"/>
        </w:rPr>
        <w:t>保障优质富饶农业空间</w:t>
      </w:r>
    </w:p>
    <w:p w14:paraId="7D5E99E0">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第一节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构建农业发展格局</w:t>
      </w:r>
    </w:p>
    <w:p w14:paraId="31E49F94">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第二节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实施黑土耕地</w:t>
      </w:r>
      <w:r>
        <w:rPr>
          <w:rFonts w:ascii="Times New Roman" w:hAnsi="Times New Roman" w:cs="Times New Roman"/>
          <w:smallCaps w:val="0"/>
          <w:color w:val="auto"/>
          <w:sz w:val="32"/>
          <w:szCs w:val="32"/>
        </w:rPr>
        <w:t>“</w:t>
      </w:r>
      <w:r>
        <w:rPr>
          <w:rFonts w:hint="eastAsia" w:ascii="Times New Roman" w:hAnsi="Times New Roman" w:cs="Times New Roman"/>
          <w:smallCaps w:val="0"/>
          <w:color w:val="auto"/>
          <w:sz w:val="32"/>
          <w:szCs w:val="32"/>
        </w:rPr>
        <w:t>三位一体</w:t>
      </w:r>
      <w:r>
        <w:rPr>
          <w:rFonts w:ascii="Times New Roman" w:hAnsi="Times New Roman" w:cs="Times New Roman"/>
          <w:smallCaps w:val="0"/>
          <w:color w:val="auto"/>
          <w:sz w:val="32"/>
          <w:szCs w:val="32"/>
        </w:rPr>
        <w:t>”</w:t>
      </w:r>
      <w:r>
        <w:rPr>
          <w:rFonts w:hint="eastAsia" w:ascii="Times New Roman" w:hAnsi="Times New Roman" w:cs="Times New Roman"/>
          <w:smallCaps w:val="0"/>
          <w:color w:val="auto"/>
          <w:sz w:val="32"/>
          <w:szCs w:val="32"/>
        </w:rPr>
        <w:t>保护</w:t>
      </w:r>
    </w:p>
    <w:p w14:paraId="1005319D">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第三节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拓展农产品生产空间</w:t>
      </w:r>
    </w:p>
    <w:p w14:paraId="006A58B0">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第四节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建设宜居宜业和美乡村</w:t>
      </w:r>
    </w:p>
    <w:p w14:paraId="0306387F">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第五节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统筹农村土地综合整治</w:t>
      </w:r>
    </w:p>
    <w:p w14:paraId="1CBE2054">
      <w:pPr>
        <w:pStyle w:val="18"/>
        <w:widowControl w:val="0"/>
        <w:tabs>
          <w:tab w:val="right" w:pos="9171"/>
        </w:tabs>
        <w:snapToGrid/>
        <w:spacing w:before="0" w:after="0" w:line="580" w:lineRule="exact"/>
        <w:ind w:firstLine="0" w:firstLineChars="0"/>
        <w:jc w:val="both"/>
        <w:rPr>
          <w:rFonts w:ascii="Times New Roman" w:hAnsi="Times New Roman" w:eastAsia="黑体" w:cs="Times New Roman"/>
          <w:b w:val="0"/>
          <w:bCs w:val="0"/>
          <w:caps w:val="0"/>
          <w:color w:val="auto"/>
          <w:sz w:val="32"/>
          <w:szCs w:val="32"/>
        </w:rPr>
      </w:pPr>
      <w:r>
        <w:rPr>
          <w:rFonts w:hint="eastAsia" w:ascii="Times New Roman" w:hAnsi="Times New Roman" w:eastAsia="黑体" w:cs="Times New Roman"/>
          <w:b w:val="0"/>
          <w:bCs w:val="0"/>
          <w:caps w:val="0"/>
          <w:color w:val="auto"/>
          <w:sz w:val="32"/>
          <w:szCs w:val="32"/>
        </w:rPr>
        <w:t>第五章</w:t>
      </w:r>
      <w:r>
        <w:rPr>
          <w:rFonts w:ascii="Times New Roman" w:hAnsi="Times New Roman" w:eastAsia="黑体" w:cs="Times New Roman"/>
          <w:b w:val="0"/>
          <w:bCs w:val="0"/>
          <w:caps w:val="0"/>
          <w:color w:val="auto"/>
          <w:sz w:val="32"/>
          <w:szCs w:val="32"/>
        </w:rPr>
        <w:t xml:space="preserve"> </w:t>
      </w:r>
      <w:r>
        <w:rPr>
          <w:rFonts w:hint="eastAsia" w:ascii="Times New Roman" w:hAnsi="Times New Roman" w:eastAsia="黑体" w:cs="Times New Roman"/>
          <w:b w:val="0"/>
          <w:bCs w:val="0"/>
          <w:caps w:val="0"/>
          <w:color w:val="auto"/>
          <w:sz w:val="32"/>
          <w:szCs w:val="32"/>
        </w:rPr>
        <w:t>保护绿色永续的生态空间</w:t>
      </w:r>
    </w:p>
    <w:p w14:paraId="211D8260">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第一节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构建生态保护格局</w:t>
      </w:r>
    </w:p>
    <w:p w14:paraId="6B2FAD74">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第二节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提升生态系统质量</w:t>
      </w:r>
    </w:p>
    <w:p w14:paraId="2276D77E">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第三节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分类推进生态资源保护与利用</w:t>
      </w:r>
    </w:p>
    <w:p w14:paraId="05CF1365">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第四节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推进山水林田湖草沙系统修复</w:t>
      </w:r>
    </w:p>
    <w:p w14:paraId="0EAD5B4A">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第五节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落实国土造林绿化空间</w:t>
      </w:r>
    </w:p>
    <w:p w14:paraId="5A75DEBC">
      <w:pPr>
        <w:pStyle w:val="18"/>
        <w:widowControl w:val="0"/>
        <w:tabs>
          <w:tab w:val="right" w:pos="9171"/>
        </w:tabs>
        <w:snapToGrid/>
        <w:spacing w:before="0" w:after="0" w:line="580" w:lineRule="exact"/>
        <w:ind w:firstLine="0" w:firstLineChars="0"/>
        <w:jc w:val="both"/>
        <w:rPr>
          <w:rFonts w:ascii="Times New Roman" w:hAnsi="Times New Roman" w:eastAsia="黑体" w:cs="Times New Roman"/>
          <w:b w:val="0"/>
          <w:bCs w:val="0"/>
          <w:caps w:val="0"/>
          <w:color w:val="auto"/>
          <w:sz w:val="32"/>
          <w:szCs w:val="32"/>
        </w:rPr>
      </w:pPr>
      <w:r>
        <w:rPr>
          <w:rFonts w:hint="eastAsia" w:ascii="Times New Roman" w:hAnsi="Times New Roman" w:eastAsia="黑体" w:cs="Times New Roman"/>
          <w:b w:val="0"/>
          <w:bCs w:val="0"/>
          <w:caps w:val="0"/>
          <w:color w:val="auto"/>
          <w:sz w:val="32"/>
          <w:szCs w:val="32"/>
        </w:rPr>
        <w:t>第六章</w:t>
      </w:r>
      <w:r>
        <w:rPr>
          <w:rFonts w:ascii="Times New Roman" w:hAnsi="Times New Roman" w:eastAsia="黑体" w:cs="Times New Roman"/>
          <w:b w:val="0"/>
          <w:bCs w:val="0"/>
          <w:caps w:val="0"/>
          <w:color w:val="auto"/>
          <w:sz w:val="32"/>
          <w:szCs w:val="32"/>
        </w:rPr>
        <w:t xml:space="preserve">  </w:t>
      </w:r>
      <w:r>
        <w:rPr>
          <w:rFonts w:hint="eastAsia" w:ascii="Times New Roman" w:hAnsi="Times New Roman" w:eastAsia="黑体" w:cs="Times New Roman"/>
          <w:b w:val="0"/>
          <w:bCs w:val="0"/>
          <w:caps w:val="0"/>
          <w:color w:val="auto"/>
          <w:sz w:val="32"/>
          <w:szCs w:val="32"/>
        </w:rPr>
        <w:t>建设宜居宜业城镇空间</w:t>
      </w:r>
    </w:p>
    <w:p w14:paraId="2FF3CC31">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第一节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优化城镇空间开发格局</w:t>
      </w:r>
    </w:p>
    <w:p w14:paraId="45ADB270">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第二节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统筹多级城镇协调发展</w:t>
      </w:r>
    </w:p>
    <w:p w14:paraId="6021D48C">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第三节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优化产业空间布局</w:t>
      </w:r>
    </w:p>
    <w:p w14:paraId="72326B4D">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第四节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完善公共服务设施体系</w:t>
      </w:r>
    </w:p>
    <w:p w14:paraId="7F258D18">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第五节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推进城镇用地节约集约利用</w:t>
      </w:r>
    </w:p>
    <w:p w14:paraId="65FB566C">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第六节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建立健全绿色低碳发展</w:t>
      </w:r>
    </w:p>
    <w:p w14:paraId="1F9818D3">
      <w:pPr>
        <w:pStyle w:val="18"/>
        <w:widowControl w:val="0"/>
        <w:tabs>
          <w:tab w:val="right" w:pos="9171"/>
        </w:tabs>
        <w:snapToGrid/>
        <w:spacing w:before="0" w:after="0" w:line="580" w:lineRule="exact"/>
        <w:ind w:firstLine="0" w:firstLineChars="0"/>
        <w:jc w:val="both"/>
        <w:rPr>
          <w:rFonts w:ascii="Times New Roman" w:hAnsi="Times New Roman" w:eastAsia="黑体" w:cs="Times New Roman"/>
          <w:b w:val="0"/>
          <w:bCs w:val="0"/>
          <w:caps w:val="0"/>
          <w:color w:val="auto"/>
          <w:sz w:val="32"/>
          <w:szCs w:val="32"/>
        </w:rPr>
      </w:pPr>
      <w:r>
        <w:rPr>
          <w:rFonts w:hint="eastAsia" w:ascii="Times New Roman" w:hAnsi="Times New Roman" w:eastAsia="黑体" w:cs="Times New Roman"/>
          <w:b w:val="0"/>
          <w:bCs w:val="0"/>
          <w:caps w:val="0"/>
          <w:color w:val="auto"/>
          <w:sz w:val="32"/>
          <w:szCs w:val="32"/>
        </w:rPr>
        <w:t>第七章</w:t>
      </w:r>
      <w:r>
        <w:rPr>
          <w:rFonts w:ascii="Times New Roman" w:hAnsi="Times New Roman" w:eastAsia="黑体" w:cs="Times New Roman"/>
          <w:b w:val="0"/>
          <w:bCs w:val="0"/>
          <w:caps w:val="0"/>
          <w:color w:val="auto"/>
          <w:sz w:val="32"/>
          <w:szCs w:val="32"/>
        </w:rPr>
        <w:t xml:space="preserve"> </w:t>
      </w:r>
      <w:r>
        <w:rPr>
          <w:rFonts w:hint="eastAsia" w:ascii="Times New Roman" w:hAnsi="Times New Roman" w:eastAsia="黑体" w:cs="Times New Roman"/>
          <w:b w:val="0"/>
          <w:bCs w:val="0"/>
          <w:caps w:val="0"/>
          <w:color w:val="auto"/>
          <w:sz w:val="32"/>
          <w:szCs w:val="32"/>
        </w:rPr>
        <w:t>建设高品质中心城区</w:t>
      </w:r>
    </w:p>
    <w:p w14:paraId="13619B18">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第一节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中心城区范围</w:t>
      </w:r>
    </w:p>
    <w:p w14:paraId="2876E600">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第二节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优化空间结构和功能布局</w:t>
      </w:r>
    </w:p>
    <w:p w14:paraId="1F10E3B1">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第三节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完善住房保障</w:t>
      </w:r>
    </w:p>
    <w:p w14:paraId="7A630168">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第四节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保障公共服务设施建设</w:t>
      </w:r>
    </w:p>
    <w:p w14:paraId="5379FB27">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第五节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优化产业空间布局</w:t>
      </w:r>
    </w:p>
    <w:p w14:paraId="29F3CA7C">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第六节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优化公共绿地与开敞空间</w:t>
      </w:r>
    </w:p>
    <w:p w14:paraId="4B042BFE">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第七节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构建综合交通体系</w:t>
      </w:r>
    </w:p>
    <w:p w14:paraId="3E20C95E">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第八节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完善市政公用设施</w:t>
      </w:r>
    </w:p>
    <w:p w14:paraId="16862B66">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第九节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塑造景观风貌与城市设计</w:t>
      </w:r>
    </w:p>
    <w:p w14:paraId="1C7F17A1">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第十节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公共安全与综合防灾</w:t>
      </w:r>
    </w:p>
    <w:p w14:paraId="174CB8A7">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第十一节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实施城市更新改造</w:t>
      </w:r>
    </w:p>
    <w:p w14:paraId="503228AF">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第十二节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分层利用地下空间开发</w:t>
      </w:r>
    </w:p>
    <w:p w14:paraId="08BF2D4A">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第十三节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严格“四线”管控</w:t>
      </w:r>
    </w:p>
    <w:p w14:paraId="5D9F7D52">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第十四节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划分详细规划单元</w:t>
      </w:r>
    </w:p>
    <w:p w14:paraId="3630A963">
      <w:pPr>
        <w:pStyle w:val="18"/>
        <w:widowControl w:val="0"/>
        <w:tabs>
          <w:tab w:val="right" w:pos="9171"/>
        </w:tabs>
        <w:snapToGrid/>
        <w:spacing w:before="0" w:after="0" w:line="580" w:lineRule="exact"/>
        <w:ind w:firstLine="0" w:firstLineChars="0"/>
        <w:jc w:val="both"/>
        <w:rPr>
          <w:rFonts w:ascii="Times New Roman" w:hAnsi="Times New Roman" w:eastAsia="黑体" w:cs="Times New Roman"/>
          <w:b w:val="0"/>
          <w:bCs w:val="0"/>
          <w:caps w:val="0"/>
          <w:color w:val="auto"/>
          <w:sz w:val="32"/>
          <w:szCs w:val="32"/>
        </w:rPr>
      </w:pPr>
      <w:r>
        <w:rPr>
          <w:rFonts w:hint="eastAsia" w:ascii="Times New Roman" w:hAnsi="Times New Roman" w:eastAsia="黑体" w:cs="Times New Roman"/>
          <w:b w:val="0"/>
          <w:bCs w:val="0"/>
          <w:caps w:val="0"/>
          <w:color w:val="auto"/>
          <w:sz w:val="32"/>
          <w:szCs w:val="32"/>
        </w:rPr>
        <w:t>第八章</w:t>
      </w:r>
      <w:r>
        <w:rPr>
          <w:rFonts w:ascii="Times New Roman" w:hAnsi="Times New Roman" w:eastAsia="黑体" w:cs="Times New Roman"/>
          <w:b w:val="0"/>
          <w:bCs w:val="0"/>
          <w:caps w:val="0"/>
          <w:color w:val="auto"/>
          <w:sz w:val="32"/>
          <w:szCs w:val="32"/>
        </w:rPr>
        <w:t xml:space="preserve">  </w:t>
      </w:r>
      <w:r>
        <w:rPr>
          <w:rFonts w:hint="eastAsia" w:ascii="Times New Roman" w:hAnsi="Times New Roman" w:eastAsia="黑体" w:cs="Times New Roman"/>
          <w:b w:val="0"/>
          <w:bCs w:val="0"/>
          <w:caps w:val="0"/>
          <w:color w:val="auto"/>
          <w:sz w:val="32"/>
          <w:szCs w:val="32"/>
        </w:rPr>
        <w:t>彰显红色边境特色魅力空间</w:t>
      </w:r>
    </w:p>
    <w:p w14:paraId="42071AC5">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第一节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系统保护自然遗产和历史文化遗产</w:t>
      </w:r>
    </w:p>
    <w:p w14:paraId="2F09652C">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第二节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塑造城乡特色风貌</w:t>
      </w:r>
    </w:p>
    <w:p w14:paraId="7BAF222B">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第三节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活化利用自然和历史文化遗产</w:t>
      </w:r>
    </w:p>
    <w:p w14:paraId="3EF3627C">
      <w:pPr>
        <w:pStyle w:val="18"/>
        <w:widowControl w:val="0"/>
        <w:tabs>
          <w:tab w:val="right" w:pos="9171"/>
        </w:tabs>
        <w:snapToGrid/>
        <w:spacing w:before="0" w:after="0" w:line="580" w:lineRule="exact"/>
        <w:ind w:firstLine="0" w:firstLineChars="0"/>
        <w:jc w:val="both"/>
        <w:rPr>
          <w:rFonts w:ascii="Times New Roman" w:hAnsi="Times New Roman" w:eastAsia="黑体" w:cs="Times New Roman"/>
          <w:b w:val="0"/>
          <w:bCs w:val="0"/>
          <w:caps w:val="0"/>
          <w:color w:val="auto"/>
          <w:sz w:val="32"/>
          <w:szCs w:val="32"/>
        </w:rPr>
      </w:pPr>
      <w:r>
        <w:rPr>
          <w:rFonts w:hint="eastAsia" w:ascii="Times New Roman" w:hAnsi="Times New Roman" w:eastAsia="黑体" w:cs="Times New Roman"/>
          <w:b w:val="0"/>
          <w:bCs w:val="0"/>
          <w:caps w:val="0"/>
          <w:color w:val="auto"/>
          <w:sz w:val="32"/>
          <w:szCs w:val="32"/>
        </w:rPr>
        <w:t>第九章</w:t>
      </w:r>
      <w:r>
        <w:rPr>
          <w:rFonts w:ascii="Times New Roman" w:hAnsi="Times New Roman" w:eastAsia="黑体" w:cs="Times New Roman"/>
          <w:b w:val="0"/>
          <w:bCs w:val="0"/>
          <w:caps w:val="0"/>
          <w:color w:val="auto"/>
          <w:sz w:val="32"/>
          <w:szCs w:val="32"/>
        </w:rPr>
        <w:t xml:space="preserve"> </w:t>
      </w:r>
      <w:r>
        <w:rPr>
          <w:rFonts w:hint="eastAsia" w:ascii="Times New Roman" w:hAnsi="Times New Roman" w:eastAsia="黑体" w:cs="Times New Roman"/>
          <w:b w:val="0"/>
          <w:bCs w:val="0"/>
          <w:caps w:val="0"/>
          <w:color w:val="auto"/>
          <w:sz w:val="32"/>
          <w:szCs w:val="32"/>
        </w:rPr>
        <w:t>保障城乡设施支撑体系建设空间</w:t>
      </w:r>
    </w:p>
    <w:p w14:paraId="7F2730C0">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第一节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统筹配置交通设施建设空间</w:t>
      </w:r>
    </w:p>
    <w:p w14:paraId="481A0B97">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第二节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重点保障水利设施建设空间</w:t>
      </w:r>
    </w:p>
    <w:p w14:paraId="264C1446">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第三节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科学布局矿产能源勘查开发空间</w:t>
      </w:r>
    </w:p>
    <w:p w14:paraId="192D91CB">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第四节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优先支持市政设施建设空间</w:t>
      </w:r>
    </w:p>
    <w:p w14:paraId="6CF334E8">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第五节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加强综合防灾设施建设空间保障</w:t>
      </w:r>
    </w:p>
    <w:p w14:paraId="46AF8200">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第六节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全面提升基础设施建设空间支撑水平</w:t>
      </w:r>
    </w:p>
    <w:p w14:paraId="65BC12FA">
      <w:pPr>
        <w:pStyle w:val="18"/>
        <w:widowControl w:val="0"/>
        <w:tabs>
          <w:tab w:val="right" w:pos="9171"/>
        </w:tabs>
        <w:snapToGrid/>
        <w:spacing w:before="0" w:after="0" w:line="580" w:lineRule="exact"/>
        <w:ind w:firstLine="0" w:firstLineChars="0"/>
        <w:jc w:val="both"/>
        <w:rPr>
          <w:rFonts w:ascii="Times New Roman" w:hAnsi="Times New Roman" w:eastAsia="黑体" w:cs="Times New Roman"/>
          <w:b w:val="0"/>
          <w:bCs w:val="0"/>
          <w:caps w:val="0"/>
          <w:color w:val="auto"/>
          <w:sz w:val="32"/>
          <w:szCs w:val="32"/>
        </w:rPr>
      </w:pPr>
      <w:r>
        <w:rPr>
          <w:rFonts w:hint="eastAsia" w:ascii="Times New Roman" w:hAnsi="Times New Roman" w:eastAsia="黑体" w:cs="Times New Roman"/>
          <w:b w:val="0"/>
          <w:bCs w:val="0"/>
          <w:caps w:val="0"/>
          <w:color w:val="auto"/>
          <w:sz w:val="32"/>
          <w:szCs w:val="32"/>
        </w:rPr>
        <w:t>第十章</w:t>
      </w:r>
      <w:r>
        <w:rPr>
          <w:rFonts w:ascii="Times New Roman" w:hAnsi="Times New Roman" w:eastAsia="黑体" w:cs="Times New Roman"/>
          <w:b w:val="0"/>
          <w:bCs w:val="0"/>
          <w:caps w:val="0"/>
          <w:color w:val="auto"/>
          <w:sz w:val="32"/>
          <w:szCs w:val="32"/>
        </w:rPr>
        <w:t xml:space="preserve"> </w:t>
      </w:r>
      <w:r>
        <w:rPr>
          <w:rFonts w:hint="eastAsia" w:ascii="Times New Roman" w:hAnsi="Times New Roman" w:eastAsia="黑体" w:cs="Times New Roman"/>
          <w:b w:val="0"/>
          <w:bCs w:val="0"/>
          <w:caps w:val="0"/>
          <w:color w:val="auto"/>
          <w:sz w:val="32"/>
          <w:szCs w:val="32"/>
        </w:rPr>
        <w:t>构建多向联动的区域发展格局</w:t>
      </w:r>
    </w:p>
    <w:p w14:paraId="153BBBDD">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第一节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深化以对俄为重点的对外开放</w:t>
      </w:r>
    </w:p>
    <w:p w14:paraId="2DD6A57A">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第二节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积极融入东部城市组团</w:t>
      </w:r>
    </w:p>
    <w:p w14:paraId="0628D34E">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第三节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加强与周边市县联动发展</w:t>
      </w:r>
    </w:p>
    <w:p w14:paraId="4B4218DD">
      <w:pPr>
        <w:pStyle w:val="18"/>
        <w:widowControl w:val="0"/>
        <w:tabs>
          <w:tab w:val="right" w:pos="9171"/>
        </w:tabs>
        <w:snapToGrid/>
        <w:spacing w:before="0" w:after="0" w:line="580" w:lineRule="exact"/>
        <w:ind w:firstLine="0" w:firstLineChars="0"/>
        <w:jc w:val="both"/>
        <w:rPr>
          <w:rFonts w:ascii="Times New Roman" w:hAnsi="Times New Roman" w:eastAsia="黑体" w:cs="Times New Roman"/>
          <w:b w:val="0"/>
          <w:bCs w:val="0"/>
          <w:caps w:val="0"/>
          <w:color w:val="auto"/>
          <w:sz w:val="32"/>
          <w:szCs w:val="32"/>
        </w:rPr>
      </w:pPr>
      <w:r>
        <w:rPr>
          <w:rFonts w:hint="eastAsia" w:ascii="Times New Roman" w:hAnsi="Times New Roman" w:eastAsia="黑体" w:cs="Times New Roman"/>
          <w:b w:val="0"/>
          <w:bCs w:val="0"/>
          <w:caps w:val="0"/>
          <w:color w:val="auto"/>
          <w:sz w:val="32"/>
          <w:szCs w:val="32"/>
        </w:rPr>
        <w:t>第十一章</w:t>
      </w:r>
      <w:r>
        <w:rPr>
          <w:rFonts w:ascii="Times New Roman" w:hAnsi="Times New Roman" w:eastAsia="黑体" w:cs="Times New Roman"/>
          <w:b w:val="0"/>
          <w:bCs w:val="0"/>
          <w:caps w:val="0"/>
          <w:color w:val="auto"/>
          <w:sz w:val="32"/>
          <w:szCs w:val="32"/>
        </w:rPr>
        <w:t xml:space="preserve"> </w:t>
      </w:r>
      <w:r>
        <w:rPr>
          <w:rFonts w:hint="eastAsia" w:ascii="Times New Roman" w:hAnsi="Times New Roman" w:eastAsia="黑体" w:cs="Times New Roman"/>
          <w:b w:val="0"/>
          <w:bCs w:val="0"/>
          <w:caps w:val="0"/>
          <w:color w:val="auto"/>
          <w:sz w:val="32"/>
          <w:szCs w:val="32"/>
        </w:rPr>
        <w:t>规划实施保障</w:t>
      </w:r>
    </w:p>
    <w:p w14:paraId="394EA78E">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第一节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加强党的领导</w:t>
      </w:r>
    </w:p>
    <w:p w14:paraId="40DBBBE9">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第二节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健全配套政策机制</w:t>
      </w:r>
    </w:p>
    <w:p w14:paraId="168E2CC7">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第三节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建设国土空间规划“一张图”</w:t>
      </w:r>
    </w:p>
    <w:p w14:paraId="78111498">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第四节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实施规划全生命周期管理</w:t>
      </w:r>
    </w:p>
    <w:p w14:paraId="2E2D7164">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第五节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强化规划实施传导</w:t>
      </w:r>
    </w:p>
    <w:p w14:paraId="40089033">
      <w:pPr>
        <w:pStyle w:val="21"/>
        <w:tabs>
          <w:tab w:val="right" w:leader="dot" w:pos="8302"/>
        </w:tabs>
        <w:ind w:left="0" w:firstLine="0" w:firstLineChars="0"/>
        <w:rPr>
          <w:rFonts w:ascii="Times New Roman" w:hAnsi="Times New Roman" w:cs="Times New Roman"/>
          <w:smallCaps w:val="0"/>
          <w:color w:val="auto"/>
          <w:sz w:val="32"/>
          <w:szCs w:val="32"/>
        </w:rPr>
      </w:pPr>
      <w:r>
        <w:rPr>
          <w:rFonts w:hint="eastAsia" w:ascii="Times New Roman" w:hAnsi="Times New Roman" w:cs="Times New Roman"/>
          <w:smallCaps w:val="0"/>
          <w:color w:val="auto"/>
          <w:sz w:val="32"/>
          <w:szCs w:val="32"/>
        </w:rPr>
        <w:t>第六节</w:t>
      </w:r>
      <w:r>
        <w:rPr>
          <w:rFonts w:ascii="Times New Roman" w:hAnsi="Times New Roman" w:cs="Times New Roman"/>
          <w:smallCaps w:val="0"/>
          <w:color w:val="auto"/>
          <w:sz w:val="32"/>
          <w:szCs w:val="32"/>
        </w:rPr>
        <w:t xml:space="preserve"> </w:t>
      </w:r>
      <w:r>
        <w:rPr>
          <w:rFonts w:hint="eastAsia" w:ascii="Times New Roman" w:hAnsi="Times New Roman" w:cs="Times New Roman"/>
          <w:smallCaps w:val="0"/>
          <w:color w:val="auto"/>
          <w:sz w:val="32"/>
          <w:szCs w:val="32"/>
        </w:rPr>
        <w:t>近期行动计划</w:t>
      </w:r>
    </w:p>
    <w:p w14:paraId="63C108AD">
      <w:pPr>
        <w:pStyle w:val="18"/>
        <w:widowControl w:val="0"/>
        <w:tabs>
          <w:tab w:val="right" w:pos="9171"/>
        </w:tabs>
        <w:snapToGrid/>
        <w:spacing w:before="0" w:after="0" w:line="580" w:lineRule="exact"/>
        <w:ind w:firstLine="0" w:firstLineChars="0"/>
        <w:jc w:val="both"/>
        <w:rPr>
          <w:rFonts w:ascii="Times New Roman" w:hAnsi="Times New Roman" w:eastAsia="黑体" w:cs="Times New Roman"/>
          <w:b w:val="0"/>
          <w:bCs w:val="0"/>
          <w:caps w:val="0"/>
          <w:color w:val="auto"/>
          <w:sz w:val="32"/>
          <w:szCs w:val="32"/>
        </w:rPr>
      </w:pPr>
      <w:r>
        <w:rPr>
          <w:rFonts w:hint="eastAsia" w:ascii="Times New Roman" w:hAnsi="Times New Roman" w:eastAsia="黑体" w:cs="Times New Roman"/>
          <w:b w:val="0"/>
          <w:bCs w:val="0"/>
          <w:caps w:val="0"/>
          <w:color w:val="auto"/>
          <w:sz w:val="32"/>
          <w:szCs w:val="32"/>
        </w:rPr>
        <w:t>第十二章</w:t>
      </w:r>
      <w:r>
        <w:rPr>
          <w:rFonts w:ascii="Times New Roman" w:hAnsi="Times New Roman" w:eastAsia="黑体" w:cs="Times New Roman"/>
          <w:b w:val="0"/>
          <w:bCs w:val="0"/>
          <w:caps w:val="0"/>
          <w:color w:val="auto"/>
          <w:sz w:val="32"/>
          <w:szCs w:val="32"/>
        </w:rPr>
        <w:t xml:space="preserve"> </w:t>
      </w:r>
      <w:r>
        <w:rPr>
          <w:rFonts w:hint="eastAsia" w:ascii="Times New Roman" w:hAnsi="Times New Roman" w:eastAsia="黑体" w:cs="Times New Roman"/>
          <w:b w:val="0"/>
          <w:bCs w:val="0"/>
          <w:caps w:val="0"/>
          <w:color w:val="auto"/>
          <w:sz w:val="32"/>
          <w:szCs w:val="32"/>
        </w:rPr>
        <w:t>附则</w:t>
      </w:r>
    </w:p>
    <w:p w14:paraId="4DD3EA5D">
      <w:pPr>
        <w:widowControl w:val="0"/>
        <w:snapToGrid/>
        <w:spacing w:line="240" w:lineRule="auto"/>
        <w:ind w:firstLine="0" w:firstLineChars="0"/>
        <w:jc w:val="center"/>
        <w:rPr>
          <w:rFonts w:hint="eastAsia"/>
        </w:rPr>
      </w:pPr>
      <w:r>
        <w:rPr>
          <w:rFonts w:eastAsia="方正小标宋简体" w:asciiTheme="minorHAnsi" w:hAnsiTheme="minorHAnsi" w:cstheme="minorHAnsi"/>
          <w:b/>
          <w:bCs/>
          <w:caps/>
          <w:color w:val="auto"/>
          <w:sz w:val="48"/>
          <w:szCs w:val="48"/>
          <w:u w:val="none"/>
        </w:rPr>
        <w:fldChar w:fldCharType="end"/>
      </w:r>
    </w:p>
    <w:p w14:paraId="75373BD6">
      <w:pPr>
        <w:pStyle w:val="55"/>
        <w:adjustRightInd w:val="0"/>
        <w:spacing w:line="240" w:lineRule="auto"/>
        <w:ind w:firstLine="0" w:firstLineChars="0"/>
        <w:jc w:val="center"/>
        <w:rPr>
          <w:rFonts w:ascii="Times New Roman" w:eastAsia="方正小标宋简体"/>
          <w:color w:val="auto"/>
          <w:kern w:val="0"/>
          <w:sz w:val="44"/>
          <w:szCs w:val="44"/>
          <w:u w:val="none"/>
        </w:rPr>
      </w:pPr>
      <w:r>
        <w:rPr>
          <w:rFonts w:ascii="Times New Roman" w:eastAsia="方正小标宋简体"/>
          <w:color w:val="auto"/>
          <w:kern w:val="0"/>
          <w:sz w:val="44"/>
          <w:szCs w:val="44"/>
          <w:u w:val="none"/>
        </w:rPr>
        <w:t>前</w:t>
      </w:r>
      <w:r>
        <w:rPr>
          <w:rFonts w:hint="eastAsia" w:ascii="Times New Roman" w:eastAsia="方正小标宋简体"/>
          <w:color w:val="auto"/>
          <w:kern w:val="0"/>
          <w:sz w:val="44"/>
          <w:szCs w:val="44"/>
          <w:u w:val="none"/>
        </w:rPr>
        <w:t xml:space="preserve">    </w:t>
      </w:r>
      <w:r>
        <w:rPr>
          <w:rFonts w:ascii="Times New Roman" w:eastAsia="方正小标宋简体"/>
          <w:color w:val="auto"/>
          <w:kern w:val="0"/>
          <w:sz w:val="44"/>
          <w:szCs w:val="44"/>
          <w:u w:val="none"/>
        </w:rPr>
        <w:t>言</w:t>
      </w:r>
    </w:p>
    <w:p w14:paraId="1AF70D88">
      <w:pPr>
        <w:widowControl w:val="0"/>
        <w:numPr>
          <w:ilvl w:val="255"/>
          <w:numId w:val="0"/>
        </w:numPr>
        <w:adjustRightInd w:val="0"/>
        <w:ind w:firstLine="640" w:firstLineChars="200"/>
        <w:rPr>
          <w:bCs/>
          <w:color w:val="auto"/>
          <w:u w:val="none"/>
        </w:rPr>
      </w:pPr>
      <w:r>
        <w:rPr>
          <w:rFonts w:hint="eastAsia"/>
          <w:bCs/>
          <w:color w:val="auto"/>
          <w:u w:val="none"/>
        </w:rPr>
        <w:t>虎林</w:t>
      </w:r>
      <w:r>
        <w:rPr>
          <w:bCs/>
          <w:color w:val="auto"/>
          <w:u w:val="none"/>
        </w:rPr>
        <w:t>市编制《</w:t>
      </w:r>
      <w:r>
        <w:rPr>
          <w:rFonts w:hint="eastAsia"/>
          <w:bCs/>
          <w:color w:val="auto"/>
          <w:u w:val="none"/>
        </w:rPr>
        <w:t>虎林</w:t>
      </w:r>
      <w:r>
        <w:rPr>
          <w:bCs/>
          <w:color w:val="auto"/>
          <w:u w:val="none"/>
        </w:rPr>
        <w:t>市国土空间总体规划（202</w:t>
      </w:r>
      <w:r>
        <w:rPr>
          <w:rFonts w:hint="eastAsia"/>
          <w:bCs/>
          <w:color w:val="auto"/>
          <w:u w:val="none"/>
        </w:rPr>
        <w:t>1—</w:t>
      </w:r>
      <w:r>
        <w:rPr>
          <w:bCs/>
          <w:color w:val="auto"/>
          <w:u w:val="none"/>
        </w:rPr>
        <w:t>2035年）》（以下简称《规划》）。</w:t>
      </w:r>
    </w:p>
    <w:p w14:paraId="659E9CB3">
      <w:pPr>
        <w:widowControl w:val="0"/>
        <w:numPr>
          <w:ilvl w:val="255"/>
          <w:numId w:val="0"/>
        </w:numPr>
        <w:adjustRightInd w:val="0"/>
        <w:ind w:firstLine="640" w:firstLineChars="200"/>
        <w:rPr>
          <w:bCs/>
          <w:color w:val="auto"/>
          <w:u w:val="none"/>
        </w:rPr>
      </w:pPr>
      <w:r>
        <w:rPr>
          <w:rFonts w:hint="eastAsia"/>
          <w:bCs/>
          <w:color w:val="auto"/>
          <w:u w:val="none"/>
        </w:rPr>
        <w:t>《</w:t>
      </w:r>
      <w:r>
        <w:rPr>
          <w:bCs/>
          <w:color w:val="auto"/>
          <w:u w:val="none"/>
        </w:rPr>
        <w:t>规划</w:t>
      </w:r>
      <w:r>
        <w:rPr>
          <w:rFonts w:hint="eastAsia"/>
          <w:bCs/>
          <w:color w:val="auto"/>
          <w:u w:val="none"/>
        </w:rPr>
        <w:t>》</w:t>
      </w:r>
      <w:r>
        <w:rPr>
          <w:bCs/>
          <w:color w:val="auto"/>
          <w:u w:val="none"/>
        </w:rPr>
        <w:t>在国土空间底数底图梳理</w:t>
      </w:r>
      <w:r>
        <w:rPr>
          <w:rFonts w:hint="eastAsia"/>
          <w:bCs/>
          <w:color w:val="auto"/>
          <w:u w:val="none"/>
        </w:rPr>
        <w:t>、</w:t>
      </w:r>
      <w:r>
        <w:rPr>
          <w:bCs/>
          <w:color w:val="auto"/>
          <w:u w:val="none"/>
        </w:rPr>
        <w:t>“双评价</w:t>
      </w:r>
      <w:r>
        <w:rPr>
          <w:rFonts w:hint="eastAsia"/>
          <w:bCs/>
          <w:color w:val="auto"/>
          <w:u w:val="none"/>
        </w:rPr>
        <w:t>”“</w:t>
      </w:r>
      <w:r>
        <w:rPr>
          <w:bCs/>
          <w:color w:val="auto"/>
          <w:u w:val="none"/>
        </w:rPr>
        <w:t>双评估”等前期研究基础上，紧抓国家新发展阶段的新理念新战略，以《</w:t>
      </w:r>
      <w:r>
        <w:rPr>
          <w:rFonts w:hint="eastAsia"/>
          <w:bCs/>
          <w:color w:val="auto"/>
          <w:u w:val="none"/>
        </w:rPr>
        <w:t>黑龙江</w:t>
      </w:r>
      <w:r>
        <w:rPr>
          <w:bCs/>
          <w:color w:val="auto"/>
          <w:u w:val="none"/>
        </w:rPr>
        <w:t>省国土空间规划（2021</w:t>
      </w:r>
      <w:r>
        <w:rPr>
          <w:rFonts w:hint="eastAsia"/>
          <w:bCs/>
          <w:color w:val="auto"/>
          <w:u w:val="none"/>
        </w:rPr>
        <w:t>—</w:t>
      </w:r>
      <w:r>
        <w:rPr>
          <w:bCs/>
          <w:color w:val="auto"/>
          <w:u w:val="none"/>
        </w:rPr>
        <w:t>2035年）</w:t>
      </w:r>
      <w:r>
        <w:rPr>
          <w:rFonts w:hint="eastAsia"/>
          <w:bCs/>
          <w:color w:val="auto"/>
          <w:u w:val="none"/>
        </w:rPr>
        <w:t>》《鸡西市</w:t>
      </w:r>
      <w:r>
        <w:rPr>
          <w:bCs/>
          <w:color w:val="auto"/>
          <w:u w:val="none"/>
        </w:rPr>
        <w:t>国土空间总体规划（202</w:t>
      </w:r>
      <w:r>
        <w:rPr>
          <w:rFonts w:hint="eastAsia"/>
          <w:bCs/>
          <w:color w:val="auto"/>
          <w:u w:val="none"/>
        </w:rPr>
        <w:t>1—</w:t>
      </w:r>
      <w:r>
        <w:rPr>
          <w:bCs/>
          <w:color w:val="auto"/>
          <w:u w:val="none"/>
        </w:rPr>
        <w:t>2035</w:t>
      </w:r>
      <w:r>
        <w:rPr>
          <w:rFonts w:hint="eastAsia"/>
          <w:bCs/>
          <w:color w:val="auto"/>
          <w:u w:val="none"/>
        </w:rPr>
        <w:t>年</w:t>
      </w:r>
      <w:r>
        <w:rPr>
          <w:bCs/>
          <w:color w:val="auto"/>
          <w:u w:val="none"/>
        </w:rPr>
        <w:t>）</w:t>
      </w:r>
      <w:r>
        <w:rPr>
          <w:rFonts w:hint="eastAsia"/>
          <w:bCs/>
          <w:color w:val="auto"/>
          <w:u w:val="none"/>
        </w:rPr>
        <w:t>》《虎林市</w:t>
      </w:r>
      <w:r>
        <w:rPr>
          <w:bCs/>
          <w:color w:val="auto"/>
          <w:u w:val="none"/>
        </w:rPr>
        <w:t>国民经济和社会发展第十四个五年规划和二〇三五年远景目标纲要》等为依据，</w:t>
      </w:r>
      <w:r>
        <w:rPr>
          <w:rFonts w:hint="eastAsia"/>
          <w:bCs/>
          <w:color w:val="auto"/>
          <w:u w:val="none"/>
        </w:rPr>
        <w:t>明确“重要绿色食品产业基地、“醉美331”上重要的旅游节点、北方重要的药材基地、鸡西市对俄口岸贸易基地、鸡西市活力康养示范基地”的城市定位，和“</w:t>
      </w:r>
      <w:r>
        <w:rPr>
          <w:bCs/>
          <w:color w:val="auto"/>
          <w:u w:val="none"/>
        </w:rPr>
        <w:t>生态强市、魅力虎林</w:t>
      </w:r>
      <w:r>
        <w:rPr>
          <w:rFonts w:hint="eastAsia"/>
          <w:bCs/>
          <w:color w:val="auto"/>
          <w:u w:val="none"/>
        </w:rPr>
        <w:t>”的规划目标，</w:t>
      </w:r>
      <w:r>
        <w:rPr>
          <w:bCs/>
          <w:color w:val="auto"/>
          <w:u w:val="none"/>
        </w:rPr>
        <w:t>着力提升城市发展质量，通过纵向落实</w:t>
      </w:r>
      <w:r>
        <w:rPr>
          <w:rFonts w:hint="eastAsia"/>
          <w:bCs/>
          <w:color w:val="auto"/>
          <w:u w:val="none"/>
        </w:rPr>
        <w:t>鸡西市</w:t>
      </w:r>
      <w:r>
        <w:rPr>
          <w:bCs/>
          <w:color w:val="auto"/>
          <w:u w:val="none"/>
        </w:rPr>
        <w:t>国土空间规划，横向衔接</w:t>
      </w:r>
      <w:r>
        <w:rPr>
          <w:rFonts w:hint="eastAsia"/>
          <w:bCs/>
          <w:color w:val="auto"/>
          <w:u w:val="none"/>
        </w:rPr>
        <w:t>虎林市</w:t>
      </w:r>
      <w:r>
        <w:rPr>
          <w:bCs/>
          <w:color w:val="auto"/>
          <w:u w:val="none"/>
        </w:rPr>
        <w:t>各相关规划，统筹构建生产空间集约高效、生活空间宜居适度、生态空间山清水秀，安全和谐、富有竞争力和可持续发展的国土空间保护开发新格局。</w:t>
      </w:r>
    </w:p>
    <w:p w14:paraId="13F5F883">
      <w:pPr>
        <w:rPr>
          <w:rFonts w:hint="eastAsia"/>
        </w:rPr>
      </w:pPr>
    </w:p>
    <w:p w14:paraId="3A7D980C">
      <w:pPr>
        <w:pStyle w:val="2"/>
        <w:ind w:firstLine="480"/>
        <w:rPr>
          <w:rFonts w:hint="eastAsia"/>
        </w:rPr>
      </w:pPr>
    </w:p>
    <w:p w14:paraId="66C8B9DD">
      <w:pPr>
        <w:pStyle w:val="2"/>
        <w:ind w:firstLine="480"/>
        <w:rPr>
          <w:u w:val="none"/>
        </w:rPr>
      </w:pPr>
    </w:p>
    <w:p w14:paraId="60A17214">
      <w:pPr>
        <w:rPr>
          <w:u w:val="none"/>
        </w:rPr>
        <w:sectPr>
          <w:headerReference r:id="rId5" w:type="default"/>
          <w:footerReference r:id="rId6" w:type="default"/>
          <w:pgSz w:w="11906" w:h="16839"/>
          <w:pgMar w:top="1440" w:right="1797" w:bottom="1440" w:left="1797" w:header="878" w:footer="879" w:gutter="0"/>
          <w:pgNumType w:fmt="upperRoman" w:start="1"/>
          <w:cols w:space="720" w:num="1"/>
        </w:sectPr>
      </w:pPr>
    </w:p>
    <w:p w14:paraId="5E414898">
      <w:pPr>
        <w:pStyle w:val="3"/>
        <w:widowControl w:val="0"/>
        <w:snapToGrid/>
        <w:spacing w:before="10" w:after="10" w:line="600" w:lineRule="exact"/>
        <w:ind w:firstLine="0" w:firstLineChars="0"/>
        <w:jc w:val="center"/>
        <w:rPr>
          <w:rFonts w:ascii="Times New Roman" w:hAnsi="Times New Roman" w:eastAsia="方正小标宋简体"/>
          <w:b w:val="0"/>
          <w:bCs w:val="0"/>
          <w:color w:val="auto"/>
          <w:sz w:val="36"/>
          <w:u w:val="none"/>
        </w:rPr>
      </w:pPr>
      <w:bookmarkStart w:id="0" w:name="_Toc7439"/>
      <w:bookmarkStart w:id="1" w:name="_Toc181784429"/>
      <w:bookmarkStart w:id="2" w:name="_Toc181784569"/>
      <w:bookmarkStart w:id="3" w:name="_Toc181784639"/>
      <w:r>
        <w:rPr>
          <w:rFonts w:ascii="Times New Roman" w:hAnsi="Times New Roman" w:eastAsia="方正小标宋简体"/>
          <w:b w:val="0"/>
          <w:bCs w:val="0"/>
          <w:color w:val="auto"/>
          <w:sz w:val="36"/>
          <w:u w:val="none"/>
        </w:rPr>
        <w:t xml:space="preserve">第一章 </w:t>
      </w:r>
      <w:bookmarkEnd w:id="0"/>
      <w:r>
        <w:rPr>
          <w:rFonts w:hint="eastAsia" w:ascii="Times New Roman" w:hAnsi="Times New Roman" w:eastAsia="方正小标宋简体"/>
          <w:b w:val="0"/>
          <w:bCs w:val="0"/>
          <w:color w:val="auto"/>
          <w:sz w:val="36"/>
          <w:u w:val="none"/>
        </w:rPr>
        <w:t>基础与形势</w:t>
      </w:r>
      <w:bookmarkEnd w:id="1"/>
      <w:bookmarkEnd w:id="2"/>
      <w:bookmarkEnd w:id="3"/>
    </w:p>
    <w:p w14:paraId="0B8055A5">
      <w:pPr>
        <w:pStyle w:val="5"/>
        <w:spacing w:before="120" w:after="120"/>
        <w:rPr>
          <w:b/>
        </w:rPr>
      </w:pPr>
      <w:bookmarkStart w:id="4" w:name="_Toc22659"/>
      <w:bookmarkStart w:id="5" w:name="_Toc25303"/>
      <w:bookmarkStart w:id="6" w:name="_Toc14816"/>
      <w:r>
        <w:t>第</w:t>
      </w:r>
      <w:r>
        <w:rPr>
          <w:rFonts w:hint="eastAsia"/>
        </w:rPr>
        <w:t>1</w:t>
      </w:r>
      <w:r>
        <w:t xml:space="preserve">条 </w:t>
      </w:r>
      <w:bookmarkEnd w:id="4"/>
      <w:bookmarkEnd w:id="5"/>
      <w:bookmarkEnd w:id="6"/>
      <w:r>
        <w:rPr>
          <w:rFonts w:hint="eastAsia"/>
        </w:rPr>
        <w:t>现状特征</w:t>
      </w:r>
    </w:p>
    <w:p w14:paraId="3FBBF15A">
      <w:pPr>
        <w:rPr>
          <w:u w:val="none"/>
        </w:rPr>
      </w:pPr>
      <w:r>
        <w:rPr>
          <w:rStyle w:val="30"/>
          <w:rFonts w:hint="eastAsia" w:ascii="楷体_GB2312" w:hAnsi="楷体_GB2312" w:eastAsia="楷体_GB2312" w:cs="楷体_GB2312"/>
          <w:color w:val="auto"/>
          <w:sz w:val="32"/>
          <w:u w:val="none"/>
        </w:rPr>
        <w:t>区位优势突出。</w:t>
      </w:r>
      <w:r>
        <w:rPr>
          <w:u w:val="none"/>
        </w:rPr>
        <w:t>虎林市位于黑龙江省东部，完达山南麓，乌苏里江的西岸，西北以完达山支脉的老龙背、将军岭为界与宝清县交界；东北以七里沁河为界与饶河县毗邻；西部以白龙山脊为界与密山市接壤；东以乌苏里江和松阿察河为界与俄罗斯隔水相望。</w:t>
      </w:r>
    </w:p>
    <w:p w14:paraId="1C157BF8">
      <w:pPr>
        <w:rPr>
          <w:u w:val="none"/>
        </w:rPr>
      </w:pPr>
      <w:r>
        <w:rPr>
          <w:rStyle w:val="30"/>
          <w:rFonts w:hint="eastAsia" w:ascii="楷体_GB2312" w:hAnsi="楷体_GB2312" w:eastAsia="楷体_GB2312" w:cs="楷体_GB2312"/>
          <w:color w:val="auto"/>
          <w:sz w:val="32"/>
          <w:u w:val="none"/>
        </w:rPr>
        <w:t>生态战略地位显著。</w:t>
      </w:r>
      <w:r>
        <w:rPr>
          <w:u w:val="none"/>
        </w:rPr>
        <w:t>虎林市地处兴凯湖平原，是三江平原的一部分。总地势</w:t>
      </w:r>
      <w:r>
        <w:rPr>
          <w:rFonts w:hint="eastAsia"/>
          <w:u w:val="none"/>
        </w:rPr>
        <w:t>呈</w:t>
      </w:r>
      <w:r>
        <w:rPr>
          <w:u w:val="none"/>
        </w:rPr>
        <w:t xml:space="preserve">西北高，东南低。地形形成了低山丘陵、沟谷平原、山前漫岗、平原及沿江低平原等五种地貌类型。虎林市属于寒温带大陆性季风气候，冬季漫长、夏季短促、春季多风、秋季多雨降温迅速。 </w:t>
      </w:r>
    </w:p>
    <w:p w14:paraId="3081B071">
      <w:pPr>
        <w:rPr>
          <w:rFonts w:eastAsia="仿宋"/>
          <w:u w:val="none"/>
        </w:rPr>
      </w:pPr>
      <w:r>
        <w:rPr>
          <w:rStyle w:val="30"/>
          <w:rFonts w:hint="eastAsia" w:ascii="楷体_GB2312" w:hAnsi="楷体_GB2312" w:eastAsia="楷体_GB2312" w:cs="楷体_GB2312"/>
          <w:color w:val="auto"/>
          <w:sz w:val="32"/>
          <w:u w:val="none"/>
        </w:rPr>
        <w:t>自然资源禀赋优越</w:t>
      </w:r>
      <w:r>
        <w:rPr>
          <w:rStyle w:val="30"/>
          <w:rFonts w:hint="eastAsia" w:ascii="楷体_GB2312" w:hAnsi="楷体_GB2312" w:cs="楷体_GB2312"/>
          <w:color w:val="auto"/>
          <w:sz w:val="32"/>
          <w:u w:val="none"/>
        </w:rPr>
        <w:t>。</w:t>
      </w:r>
      <w:r>
        <w:rPr>
          <w:u w:val="none"/>
        </w:rPr>
        <w:t>虎林市自然资源丰富</w:t>
      </w:r>
      <w:r>
        <w:rPr>
          <w:rFonts w:hint="eastAsia"/>
          <w:u w:val="none"/>
        </w:rPr>
        <w:t>，</w:t>
      </w:r>
      <w:r>
        <w:rPr>
          <w:u w:val="none"/>
        </w:rPr>
        <w:t>土壤</w:t>
      </w:r>
      <w:r>
        <w:rPr>
          <w:rFonts w:hint="eastAsia"/>
          <w:u w:val="none"/>
        </w:rPr>
        <w:t>资源：</w:t>
      </w:r>
      <w:r>
        <w:rPr>
          <w:u w:val="none"/>
        </w:rPr>
        <w:t>白浆土、沼泽土、暗棕壤、泥炭土、草甸土、河淤土、水稻土等7大土类，土壤整体肥力处于中等水平，能够保证农作物养分的持续充分供应；水利资源：境内有乌苏里江、穆棱河、七虎林河、阿布沁河等28条河流；虎林市共有大小坑塘、泡沼467个、水库6座</w:t>
      </w:r>
      <w:r>
        <w:rPr>
          <w:rFonts w:hint="eastAsia"/>
          <w:u w:val="none"/>
        </w:rPr>
        <w:t>；</w:t>
      </w:r>
      <w:r>
        <w:rPr>
          <w:u w:val="none"/>
        </w:rPr>
        <w:t>森林资源：森林植被主要分布在北部完达山区和中部残丘漫岗。草甸植被主要分布在狭长山麓边缘的缓坡，主要建群植被为小叶樟。在乌苏里江的沿岸和穆棱河、七虎林河、阿布沁河下游的河漫滩、牛轭湖、线形洼地以及广阔的低平原多为沼泽及草甸植被</w:t>
      </w:r>
      <w:r>
        <w:rPr>
          <w:rFonts w:hint="eastAsia"/>
          <w:u w:val="none"/>
        </w:rPr>
        <w:t>；</w:t>
      </w:r>
      <w:r>
        <w:rPr>
          <w:u w:val="none"/>
        </w:rPr>
        <w:t>矿产资源</w:t>
      </w:r>
      <w:r>
        <w:rPr>
          <w:rFonts w:hint="eastAsia"/>
          <w:u w:val="none"/>
        </w:rPr>
        <w:t>丰富</w:t>
      </w:r>
      <w:r>
        <w:rPr>
          <w:u w:val="none"/>
        </w:rPr>
        <w:t>。旅游资源</w:t>
      </w:r>
      <w:r>
        <w:rPr>
          <w:rFonts w:hint="eastAsia"/>
          <w:u w:val="none"/>
        </w:rPr>
        <w:t>有</w:t>
      </w:r>
      <w:r>
        <w:rPr>
          <w:u w:val="none"/>
        </w:rPr>
        <w:t>著名景点有珍宝岛湿地、虎头要塞、神顶峰、虎口湿地、月牙湖自然保护区等。</w:t>
      </w:r>
    </w:p>
    <w:p w14:paraId="647FBD0C">
      <w:pPr>
        <w:rPr>
          <w:rFonts w:eastAsia="楷体_GB2312"/>
          <w:u w:val="none"/>
        </w:rPr>
      </w:pPr>
      <w:r>
        <w:rPr>
          <w:rFonts w:eastAsia="楷体_GB2312"/>
          <w:u w:val="none"/>
        </w:rPr>
        <w:t>资源</w:t>
      </w:r>
      <w:r>
        <w:rPr>
          <w:rFonts w:hint="eastAsia" w:eastAsia="楷体_GB2312"/>
          <w:u w:val="none"/>
        </w:rPr>
        <w:t>环境</w:t>
      </w:r>
      <w:r>
        <w:rPr>
          <w:rFonts w:eastAsia="楷体_GB2312"/>
          <w:u w:val="none"/>
        </w:rPr>
        <w:t>承载力</w:t>
      </w:r>
      <w:r>
        <w:rPr>
          <w:rFonts w:hint="eastAsia" w:eastAsia="楷体_GB2312"/>
          <w:u w:val="none"/>
        </w:rPr>
        <w:t>较强，</w:t>
      </w:r>
      <w:r>
        <w:rPr>
          <w:rFonts w:eastAsia="楷体_GB2312"/>
          <w:u w:val="none"/>
        </w:rPr>
        <w:t>国土空间开发适宜性</w:t>
      </w:r>
      <w:r>
        <w:rPr>
          <w:rFonts w:hint="eastAsia" w:eastAsia="楷体_GB2312"/>
          <w:u w:val="none"/>
        </w:rPr>
        <w:t>较高。</w:t>
      </w:r>
      <w:r>
        <w:rPr>
          <w:u w:val="none"/>
        </w:rPr>
        <w:t>国土开发主要沿公路，与现状交通骨架关系密切，</w:t>
      </w:r>
      <w:r>
        <w:rPr>
          <w:rFonts w:hint="eastAsia"/>
          <w:u w:val="none"/>
        </w:rPr>
        <w:t>对</w:t>
      </w:r>
      <w:r>
        <w:rPr>
          <w:u w:val="none"/>
        </w:rPr>
        <w:t>开发建设支撑较强。城镇建设环境较好，</w:t>
      </w:r>
      <w:r>
        <w:rPr>
          <w:rFonts w:hint="eastAsia"/>
          <w:u w:val="none"/>
        </w:rPr>
        <w:t>公共服务设施与基础</w:t>
      </w:r>
      <w:r>
        <w:rPr>
          <w:u w:val="none"/>
        </w:rPr>
        <w:t>设施总量基本达标。人口总量较小，全市人均公共服务设施总量基本达标，但由于地广人稀，服务设施覆盖率有待提高。</w:t>
      </w:r>
    </w:p>
    <w:p w14:paraId="7C0066E9">
      <w:pPr>
        <w:rPr>
          <w:rFonts w:eastAsia="仿宋"/>
          <w:u w:val="none"/>
        </w:rPr>
      </w:pPr>
      <w:r>
        <w:rPr>
          <w:u w:val="none"/>
        </w:rPr>
        <w:t>虎林市重要生态空间分布相对集中，主要集中分布在北部山地，农业生产适宜区在空间上集聚分布，有利于农业规模化和现代化发展。农业生产不适宜区大部分分布在西部和北部山区，主要受地形、高程供水条件制约。城镇建设适宜区用地集中且区位优势较为显著。城镇建设不适宜区主要集中分布于北部山区。</w:t>
      </w:r>
    </w:p>
    <w:p w14:paraId="77D8C8A0">
      <w:pPr>
        <w:pStyle w:val="5"/>
        <w:spacing w:before="120" w:after="120"/>
        <w:rPr>
          <w:b/>
        </w:rPr>
      </w:pPr>
      <w:r>
        <w:t>第</w:t>
      </w:r>
      <w:r>
        <w:rPr>
          <w:rFonts w:hint="eastAsia"/>
        </w:rPr>
        <w:t>2</w:t>
      </w:r>
      <w:r>
        <w:t xml:space="preserve">条 </w:t>
      </w:r>
      <w:r>
        <w:rPr>
          <w:rFonts w:hint="eastAsia"/>
        </w:rPr>
        <w:t>问题</w:t>
      </w:r>
      <w:r>
        <w:t>风险</w:t>
      </w:r>
    </w:p>
    <w:p w14:paraId="566205F2">
      <w:pPr>
        <w:rPr>
          <w:u w:val="none"/>
        </w:rPr>
      </w:pPr>
      <w:r>
        <w:rPr>
          <w:u w:val="none"/>
        </w:rPr>
        <w:t>虎林市灾害风险主要为崩塌</w:t>
      </w:r>
      <w:r>
        <w:rPr>
          <w:rFonts w:hint="eastAsia"/>
          <w:u w:val="none"/>
        </w:rPr>
        <w:t>、</w:t>
      </w:r>
      <w:r>
        <w:rPr>
          <w:u w:val="none"/>
        </w:rPr>
        <w:t>滑坡地质灾害、洪涝</w:t>
      </w:r>
      <w:r>
        <w:rPr>
          <w:rFonts w:hint="eastAsia"/>
          <w:u w:val="none"/>
        </w:rPr>
        <w:t>及</w:t>
      </w:r>
      <w:r>
        <w:rPr>
          <w:u w:val="none"/>
        </w:rPr>
        <w:t>森林火灾风险，规划期内拟通过完善预警、建立应急管理体系，编制应急管理预案，根据情况定期修订，加强地质灾害应急演习；建立健全统筹指导、就近指挥、分级负责、相互协同的防灾减灾救灾应急机制，强化政府在防灾减灾救灾工作中的主体责任；做好应急设备和物资的储备和准备工作。</w:t>
      </w:r>
    </w:p>
    <w:p w14:paraId="3A10885F">
      <w:pPr>
        <w:pStyle w:val="5"/>
        <w:spacing w:before="120" w:after="120"/>
        <w:rPr>
          <w:b/>
        </w:rPr>
      </w:pPr>
      <w:bookmarkStart w:id="7" w:name="_Toc23426"/>
      <w:bookmarkStart w:id="8" w:name="_Toc10422"/>
      <w:bookmarkStart w:id="9" w:name="_Toc20582"/>
      <w:r>
        <w:t>第</w:t>
      </w:r>
      <w:r>
        <w:rPr>
          <w:rFonts w:hint="eastAsia"/>
        </w:rPr>
        <w:t>3</w:t>
      </w:r>
      <w:r>
        <w:t>条 发展机遇</w:t>
      </w:r>
      <w:bookmarkEnd w:id="7"/>
      <w:bookmarkEnd w:id="8"/>
      <w:bookmarkEnd w:id="9"/>
    </w:p>
    <w:p w14:paraId="0BF5A60B">
      <w:pPr>
        <w:pStyle w:val="34"/>
        <w:rPr>
          <w:rFonts w:ascii="Times New Roman" w:hAnsi="Times New Roman" w:eastAsia="仿宋_GB2312"/>
          <w:u w:val="none"/>
        </w:rPr>
      </w:pPr>
      <w:r>
        <w:rPr>
          <w:rFonts w:ascii="楷体_GB2312" w:hAnsi="楷体_GB2312" w:eastAsia="楷体_GB2312" w:cs="楷体_GB2312"/>
          <w:u w:val="none"/>
        </w:rPr>
        <w:t>东北振兴迎来政策新支持。</w:t>
      </w:r>
      <w:r>
        <w:rPr>
          <w:rFonts w:ascii="Times New Roman" w:hAnsi="Times New Roman" w:eastAsia="仿宋_GB2312"/>
          <w:u w:val="none"/>
        </w:rPr>
        <w:t>近年来，中央出台了全面振兴东北地区等一系列重大决策部署，东北经济呈现稳中向好态势。国家将设立东北振兴专项转移支付给予倾斜支持，推动建立区域间产业转移税收分享机制。采取更大力度开放措施，打造重点面向东北亚的开放合作高地。国家发展改革委要求，围绕推动实现东北全面振兴、全方位振兴目标，研究提出东北振兴重点任务、重大工程项目、重大政策、重大改革开放举措，深入推进东北振兴与京津冀协同发展、长江经济带发展、粤港澳大湾区建设等国家重大战略的对接融合，培育新的发展动力。把握政策利好，积极贯彻落实国家、省、鸡西市各项战略部署，虎林市迎来发展新阶段重要战略机遇期。</w:t>
      </w:r>
    </w:p>
    <w:p w14:paraId="1BA089B6">
      <w:pPr>
        <w:pStyle w:val="34"/>
        <w:rPr>
          <w:rFonts w:ascii="Times New Roman" w:hAnsi="Times New Roman" w:eastAsia="仿宋_GB2312"/>
          <w:u w:val="none"/>
        </w:rPr>
      </w:pPr>
      <w:r>
        <w:rPr>
          <w:rFonts w:ascii="楷体_GB2312" w:hAnsi="楷体_GB2312" w:eastAsia="楷体_GB2312" w:cs="楷体_GB2312"/>
          <w:u w:val="none"/>
        </w:rPr>
        <w:t>对俄开放带来市场新要素。</w:t>
      </w:r>
      <w:r>
        <w:rPr>
          <w:rFonts w:ascii="Times New Roman" w:hAnsi="Times New Roman" w:eastAsia="仿宋_GB2312"/>
          <w:u w:val="none"/>
        </w:rPr>
        <w:t>虎林市依托吉祥口岸，大力发展跨境能源资源综合加工利用、绿色食品、商贸物流、旅游康养等产业，以构建相关优势产业集聚区为目标，深度</w:t>
      </w:r>
      <w:r>
        <w:rPr>
          <w:rFonts w:hint="eastAsia" w:ascii="Times New Roman" w:hAnsi="Times New Roman" w:eastAsia="仿宋_GB2312"/>
          <w:u w:val="none"/>
        </w:rPr>
        <w:t>融入</w:t>
      </w:r>
      <w:r>
        <w:rPr>
          <w:rFonts w:ascii="Times New Roman" w:hAnsi="Times New Roman" w:eastAsia="仿宋_GB2312"/>
          <w:u w:val="none"/>
        </w:rPr>
        <w:t>“一带一路”和“中蒙俄经济走廊”建设中，促进要素资源充分流动与高效利用。</w:t>
      </w:r>
    </w:p>
    <w:p w14:paraId="244D7DDC">
      <w:pPr>
        <w:pStyle w:val="34"/>
        <w:rPr>
          <w:rFonts w:ascii="Times New Roman" w:hAnsi="Times New Roman" w:eastAsia="仿宋_GB2312"/>
          <w:u w:val="none"/>
        </w:rPr>
      </w:pPr>
      <w:r>
        <w:rPr>
          <w:rFonts w:ascii="楷体_GB2312" w:hAnsi="楷体_GB2312" w:eastAsia="楷体_GB2312" w:cs="楷体_GB2312"/>
          <w:u w:val="none"/>
        </w:rPr>
        <w:t>“双循环”提供发展新空间。</w:t>
      </w:r>
      <w:r>
        <w:rPr>
          <w:rFonts w:ascii="Times New Roman" w:hAnsi="Times New Roman" w:eastAsia="仿宋_GB2312"/>
          <w:u w:val="none"/>
        </w:rPr>
        <w:t>按照“逐步形成以国内大循环为主体、国内国际双循环相互促进的新发展格局”战略思想，着力打通生产、分配、流通、消费的各个环节，不断满足消费升级需求，扩内需、稳运行，完善国内大循环体系；促开放、优环境，促进双循环良性互动。未来，应把握好经济体系优化升级过程中产业链价值链重构契机，提升教育、医疗、体育、养老等民生事业水平，开发新业态、新模式，进一步提升城市功能，在“双循环”新格局当中辐射带动周边地区共同发展。</w:t>
      </w:r>
    </w:p>
    <w:p w14:paraId="6FEA5359">
      <w:pPr>
        <w:rPr>
          <w:u w:val="none"/>
        </w:rPr>
      </w:pPr>
      <w:r>
        <w:rPr>
          <w:rFonts w:ascii="楷体_GB2312" w:hAnsi="楷体_GB2312" w:eastAsia="楷体_GB2312" w:cs="楷体_GB2312"/>
          <w:u w:val="none"/>
        </w:rPr>
        <w:t>新基建引领城乡建设新局面。</w:t>
      </w:r>
      <w:r>
        <w:rPr>
          <w:u w:val="none"/>
        </w:rPr>
        <w:t>对接国家加强新型基础设施建设，加强新型城镇化建设，加强交通水利等重大工程建设的“两新一重”战略，针对虎林市基础设施、城镇化、交通水利等建设短板，从实际需求出发，谋划规划期内虎林市城乡基础设施建设重大项目。围绕公共服务设施提标扩面，优化医疗卫生设施、教育设施、养老托育设施、文旅体育设施、社会福利设施和社区综合服务设施；围绕环境卫生设施提级扩能，完善垃圾无害化资源化处理设施、污水集中处理设施和</w:t>
      </w:r>
      <w:r>
        <w:rPr>
          <w:rFonts w:hint="eastAsia"/>
          <w:u w:val="none"/>
        </w:rPr>
        <w:t>环卫设施</w:t>
      </w:r>
      <w:r>
        <w:rPr>
          <w:u w:val="none"/>
        </w:rPr>
        <w:t>；围绕市政公用设施提档升级，推进市政交通设施、市政管网设施、配送投递设施、老旧小区更新改造和智慧化改造；围绕产业培育设施提质增效，完善产业平台配套设施、冷链物流设施和农贸市场。</w:t>
      </w:r>
    </w:p>
    <w:p w14:paraId="74A54A12">
      <w:pPr>
        <w:pStyle w:val="5"/>
        <w:spacing w:before="120" w:after="120"/>
      </w:pPr>
      <w:bookmarkStart w:id="10" w:name="_Toc7511"/>
      <w:bookmarkStart w:id="11" w:name="_Toc5673"/>
      <w:bookmarkStart w:id="12" w:name="_Toc12042"/>
      <w:r>
        <w:t>第</w:t>
      </w:r>
      <w:r>
        <w:rPr>
          <w:rFonts w:hint="eastAsia"/>
        </w:rPr>
        <w:t>4</w:t>
      </w:r>
      <w:r>
        <w:t>条 面临挑战</w:t>
      </w:r>
      <w:bookmarkEnd w:id="10"/>
      <w:bookmarkEnd w:id="11"/>
      <w:bookmarkEnd w:id="12"/>
    </w:p>
    <w:p w14:paraId="269D0D54">
      <w:pPr>
        <w:pStyle w:val="34"/>
        <w:rPr>
          <w:rFonts w:ascii="Times New Roman" w:hAnsi="Times New Roman" w:eastAsia="仿宋_GB2312"/>
          <w:u w:val="none"/>
        </w:rPr>
      </w:pPr>
      <w:r>
        <w:rPr>
          <w:rFonts w:ascii="楷体_GB2312" w:hAnsi="楷体_GB2312" w:eastAsia="楷体_GB2312" w:cs="楷体_GB2312"/>
          <w:u w:val="none"/>
        </w:rPr>
        <w:t>历史发展进程中的挑战。</w:t>
      </w:r>
      <w:r>
        <w:rPr>
          <w:rFonts w:ascii="Times New Roman" w:hAnsi="Times New Roman" w:eastAsia="仿宋_GB2312"/>
          <w:u w:val="none"/>
        </w:rPr>
        <w:t>在主要矛盾转化、主要任务升级的历史进程中，虎林市要面临人民</w:t>
      </w:r>
      <w:r>
        <w:rPr>
          <w:rFonts w:hint="eastAsia" w:ascii="Times New Roman" w:hAnsi="Times New Roman" w:eastAsia="仿宋_GB2312"/>
          <w:u w:val="none"/>
        </w:rPr>
        <w:t>对</w:t>
      </w:r>
      <w:r>
        <w:rPr>
          <w:rFonts w:ascii="Times New Roman" w:hAnsi="Times New Roman" w:eastAsia="仿宋_GB2312"/>
          <w:u w:val="none"/>
        </w:rPr>
        <w:t>更美好生活</w:t>
      </w:r>
      <w:r>
        <w:rPr>
          <w:rFonts w:hint="eastAsia" w:ascii="Times New Roman" w:hAnsi="Times New Roman" w:eastAsia="仿宋_GB2312"/>
          <w:u w:val="none"/>
        </w:rPr>
        <w:t>的</w:t>
      </w:r>
      <w:r>
        <w:rPr>
          <w:rFonts w:ascii="Times New Roman" w:hAnsi="Times New Roman" w:eastAsia="仿宋_GB2312"/>
          <w:u w:val="none"/>
        </w:rPr>
        <w:t>需要与区域间发展不平衡不充分的矛盾，要应对国民经济从总量增长到人均财富增加的迫切愿望，要在发展升级中回应人民群众的现实关切。虎林市经济发展依然受到地域偏远、人才流失、产业链短、产业发展单一等不利因素限制。</w:t>
      </w:r>
    </w:p>
    <w:p w14:paraId="35400D73">
      <w:pPr>
        <w:pStyle w:val="34"/>
        <w:rPr>
          <w:rFonts w:eastAsia="仿宋"/>
          <w:u w:val="none"/>
        </w:rPr>
      </w:pPr>
      <w:r>
        <w:rPr>
          <w:rFonts w:ascii="楷体_GB2312" w:hAnsi="楷体_GB2312" w:eastAsia="楷体_GB2312" w:cs="楷体_GB2312"/>
          <w:u w:val="none"/>
        </w:rPr>
        <w:t>国内功能区划下的挑战。</w:t>
      </w:r>
      <w:r>
        <w:rPr>
          <w:rFonts w:ascii="Times New Roman" w:hAnsi="Times New Roman" w:eastAsia="仿宋_GB2312"/>
          <w:u w:val="none"/>
        </w:rPr>
        <w:t>东北地区在国家功能区划中承担着重要生态保护区和重要粮食安全生产基地的重要作用，黑龙江粮食安全和生态保护责任重大。在新发展理念下，虎林市作为省粮食生产主产区，在区划功能布局、主导产业选择、发展模式打造上存在一定的规划、资源、生态的限制，突破创新存在一定的资源、政策、技术瓶颈。</w:t>
      </w:r>
    </w:p>
    <w:p w14:paraId="5EE46620">
      <w:pPr>
        <w:rPr>
          <w:u w:val="none"/>
        </w:rPr>
      </w:pPr>
    </w:p>
    <w:p w14:paraId="6AAC79B1">
      <w:pPr>
        <w:pStyle w:val="24"/>
        <w:ind w:firstLine="240"/>
        <w:rPr>
          <w:u w:val="none"/>
        </w:rPr>
      </w:pPr>
    </w:p>
    <w:p w14:paraId="47B75698">
      <w:pPr>
        <w:pStyle w:val="24"/>
        <w:ind w:firstLine="240"/>
        <w:rPr>
          <w:u w:val="none"/>
        </w:rPr>
      </w:pPr>
    </w:p>
    <w:p w14:paraId="5A6724C1">
      <w:pPr>
        <w:pStyle w:val="24"/>
        <w:ind w:firstLine="240"/>
        <w:rPr>
          <w:u w:val="none"/>
        </w:rPr>
      </w:pPr>
    </w:p>
    <w:p w14:paraId="5510EA31">
      <w:pPr>
        <w:pStyle w:val="24"/>
        <w:ind w:firstLine="240"/>
        <w:rPr>
          <w:u w:val="none"/>
        </w:rPr>
      </w:pPr>
    </w:p>
    <w:p w14:paraId="7174F0C8">
      <w:pPr>
        <w:pStyle w:val="24"/>
        <w:ind w:firstLine="240"/>
        <w:rPr>
          <w:u w:val="none"/>
        </w:rPr>
      </w:pPr>
    </w:p>
    <w:p w14:paraId="0739AE1D">
      <w:pPr>
        <w:pStyle w:val="24"/>
        <w:ind w:firstLine="240"/>
        <w:rPr>
          <w:u w:val="none"/>
        </w:rPr>
      </w:pPr>
    </w:p>
    <w:p w14:paraId="33F8BDAE">
      <w:pPr>
        <w:pStyle w:val="24"/>
        <w:ind w:firstLine="240"/>
        <w:rPr>
          <w:u w:val="none"/>
        </w:rPr>
      </w:pPr>
    </w:p>
    <w:p w14:paraId="13695470">
      <w:pPr>
        <w:pStyle w:val="24"/>
        <w:ind w:firstLine="240"/>
        <w:rPr>
          <w:u w:val="none"/>
        </w:rPr>
      </w:pPr>
    </w:p>
    <w:p w14:paraId="5329395F">
      <w:pPr>
        <w:pStyle w:val="3"/>
        <w:widowControl w:val="0"/>
        <w:snapToGrid/>
        <w:spacing w:before="10" w:after="10" w:line="600" w:lineRule="exact"/>
        <w:ind w:firstLine="0" w:firstLineChars="0"/>
        <w:jc w:val="center"/>
        <w:rPr>
          <w:rFonts w:ascii="Times New Roman" w:hAnsi="Times New Roman" w:eastAsia="方正小标宋简体"/>
          <w:b w:val="0"/>
          <w:bCs w:val="0"/>
          <w:color w:val="auto"/>
          <w:sz w:val="36"/>
          <w:u w:val="none"/>
        </w:rPr>
      </w:pPr>
      <w:bookmarkStart w:id="13" w:name="_Toc181784640"/>
      <w:bookmarkStart w:id="14" w:name="_Toc181784430"/>
      <w:bookmarkStart w:id="15" w:name="_Toc6014"/>
      <w:bookmarkStart w:id="16" w:name="_Toc181784570"/>
      <w:r>
        <w:rPr>
          <w:rFonts w:ascii="Times New Roman" w:hAnsi="Times New Roman" w:eastAsia="方正小标宋简体"/>
          <w:b w:val="0"/>
          <w:bCs w:val="0"/>
          <w:color w:val="auto"/>
          <w:sz w:val="36"/>
          <w:u w:val="none"/>
        </w:rPr>
        <w:t>第</w:t>
      </w:r>
      <w:r>
        <w:rPr>
          <w:rFonts w:hint="eastAsia" w:ascii="Times New Roman" w:hAnsi="Times New Roman" w:eastAsia="方正小标宋简体"/>
          <w:b w:val="0"/>
          <w:bCs w:val="0"/>
          <w:color w:val="auto"/>
          <w:sz w:val="36"/>
          <w:u w:val="none"/>
        </w:rPr>
        <w:t>二</w:t>
      </w:r>
      <w:r>
        <w:rPr>
          <w:rFonts w:ascii="Times New Roman" w:hAnsi="Times New Roman" w:eastAsia="方正小标宋简体"/>
          <w:b w:val="0"/>
          <w:bCs w:val="0"/>
          <w:color w:val="auto"/>
          <w:sz w:val="36"/>
          <w:u w:val="none"/>
        </w:rPr>
        <w:t>章</w:t>
      </w:r>
      <w:r>
        <w:rPr>
          <w:rFonts w:hint="eastAsia" w:ascii="Times New Roman" w:hAnsi="Times New Roman" w:eastAsia="方正小标宋简体"/>
          <w:b w:val="0"/>
          <w:bCs w:val="0"/>
          <w:color w:val="auto"/>
          <w:sz w:val="36"/>
          <w:u w:val="none"/>
        </w:rPr>
        <w:t xml:space="preserve"> </w:t>
      </w:r>
      <w:r>
        <w:rPr>
          <w:rFonts w:ascii="Times New Roman" w:hAnsi="Times New Roman" w:eastAsia="方正小标宋简体"/>
          <w:b w:val="0"/>
          <w:bCs w:val="0"/>
          <w:color w:val="auto"/>
          <w:sz w:val="36"/>
          <w:u w:val="none"/>
        </w:rPr>
        <w:t>目标与战略</w:t>
      </w:r>
      <w:bookmarkEnd w:id="13"/>
      <w:bookmarkEnd w:id="14"/>
      <w:bookmarkEnd w:id="15"/>
      <w:bookmarkEnd w:id="16"/>
    </w:p>
    <w:p w14:paraId="263D7A01">
      <w:pPr>
        <w:pStyle w:val="4"/>
        <w:widowControl w:val="0"/>
        <w:snapToGrid/>
        <w:spacing w:before="120" w:beforeLines="50" w:after="120" w:afterLines="50" w:line="600" w:lineRule="exact"/>
        <w:ind w:firstLine="0" w:firstLineChars="0"/>
        <w:rPr>
          <w:b w:val="0"/>
          <w:bCs w:val="0"/>
          <w:color w:val="auto"/>
          <w:u w:val="none"/>
        </w:rPr>
      </w:pPr>
      <w:bookmarkStart w:id="17" w:name="_Toc27849"/>
      <w:bookmarkStart w:id="18" w:name="_Toc181784571"/>
      <w:bookmarkStart w:id="19" w:name="_Toc181784641"/>
      <w:bookmarkStart w:id="20" w:name="_Toc181784431"/>
      <w:r>
        <w:rPr>
          <w:b w:val="0"/>
          <w:bCs w:val="0"/>
          <w:color w:val="auto"/>
          <w:u w:val="none"/>
        </w:rPr>
        <w:t>第</w:t>
      </w:r>
      <w:r>
        <w:rPr>
          <w:rFonts w:hint="eastAsia"/>
          <w:b w:val="0"/>
          <w:bCs w:val="0"/>
          <w:color w:val="auto"/>
          <w:u w:val="none"/>
        </w:rPr>
        <w:t>一</w:t>
      </w:r>
      <w:r>
        <w:rPr>
          <w:b w:val="0"/>
          <w:bCs w:val="0"/>
          <w:color w:val="auto"/>
          <w:u w:val="none"/>
        </w:rPr>
        <w:t xml:space="preserve">节 </w:t>
      </w:r>
      <w:r>
        <w:rPr>
          <w:rFonts w:hint="eastAsia"/>
          <w:b w:val="0"/>
          <w:bCs w:val="0"/>
          <w:color w:val="auto"/>
          <w:u w:val="none"/>
        </w:rPr>
        <w:t>目标</w:t>
      </w:r>
      <w:r>
        <w:rPr>
          <w:b w:val="0"/>
          <w:bCs w:val="0"/>
          <w:color w:val="auto"/>
          <w:u w:val="none"/>
        </w:rPr>
        <w:t>定位</w:t>
      </w:r>
      <w:bookmarkEnd w:id="17"/>
      <w:r>
        <w:rPr>
          <w:rFonts w:hint="eastAsia"/>
          <w:b w:val="0"/>
          <w:bCs w:val="0"/>
          <w:color w:val="auto"/>
          <w:u w:val="none"/>
        </w:rPr>
        <w:t>与指标体系</w:t>
      </w:r>
      <w:bookmarkEnd w:id="18"/>
      <w:bookmarkEnd w:id="19"/>
      <w:bookmarkEnd w:id="20"/>
    </w:p>
    <w:p w14:paraId="07721F05">
      <w:pPr>
        <w:pStyle w:val="5"/>
        <w:spacing w:before="120" w:after="120"/>
        <w:rPr>
          <w:b/>
        </w:rPr>
      </w:pPr>
      <w:bookmarkStart w:id="21" w:name="_Toc19568"/>
      <w:bookmarkStart w:id="22" w:name="_Toc29052"/>
      <w:bookmarkStart w:id="23" w:name="_Toc23901"/>
      <w:r>
        <w:t>第</w:t>
      </w:r>
      <w:r>
        <w:rPr>
          <w:rFonts w:hint="eastAsia"/>
        </w:rPr>
        <w:t>5</w:t>
      </w:r>
      <w:r>
        <w:t>条 城市性质</w:t>
      </w:r>
      <w:bookmarkEnd w:id="21"/>
      <w:bookmarkEnd w:id="22"/>
      <w:bookmarkEnd w:id="23"/>
    </w:p>
    <w:p w14:paraId="117B2F5C">
      <w:pPr>
        <w:rPr>
          <w:u w:val="none"/>
        </w:rPr>
      </w:pPr>
      <w:r>
        <w:rPr>
          <w:u w:val="none"/>
        </w:rPr>
        <w:t>全域旅游示范区</w:t>
      </w:r>
    </w:p>
    <w:p w14:paraId="2F98969B">
      <w:pPr>
        <w:rPr>
          <w:u w:val="none"/>
        </w:rPr>
      </w:pPr>
      <w:r>
        <w:rPr>
          <w:u w:val="none"/>
        </w:rPr>
        <w:t>兴边富民示范区</w:t>
      </w:r>
    </w:p>
    <w:p w14:paraId="40451434">
      <w:pPr>
        <w:rPr>
          <w:u w:val="none"/>
        </w:rPr>
      </w:pPr>
      <w:r>
        <w:rPr>
          <w:rFonts w:hint="eastAsia"/>
          <w:u w:val="none"/>
        </w:rPr>
        <w:t>“两山”理论实践示范基地</w:t>
      </w:r>
    </w:p>
    <w:p w14:paraId="3F7B4988">
      <w:pPr>
        <w:rPr>
          <w:u w:val="none"/>
        </w:rPr>
      </w:pPr>
      <w:r>
        <w:rPr>
          <w:rFonts w:ascii="楷体_GB2312" w:hAnsi="楷体_GB2312" w:eastAsia="楷体_GB2312" w:cs="楷体_GB2312"/>
          <w:u w:val="none"/>
        </w:rPr>
        <w:t>重要绿色食品产业基地：</w:t>
      </w:r>
      <w:r>
        <w:rPr>
          <w:u w:val="none"/>
        </w:rPr>
        <w:t>虎林是</w:t>
      </w:r>
      <w:r>
        <w:rPr>
          <w:rFonts w:hint="eastAsia"/>
          <w:u w:val="none"/>
        </w:rPr>
        <w:t>重要的</w:t>
      </w:r>
      <w:r>
        <w:rPr>
          <w:u w:val="none"/>
        </w:rPr>
        <w:t>商品粮生产基地，山水产品丰富，具有很强的农产品加工能力，应充分发挥其重要作用，成为区域内绿色食品精深加工基地。</w:t>
      </w:r>
    </w:p>
    <w:p w14:paraId="09183655">
      <w:pPr>
        <w:rPr>
          <w:u w:val="none"/>
        </w:rPr>
      </w:pPr>
      <w:r>
        <w:rPr>
          <w:rFonts w:eastAsia="楷体_GB2312"/>
          <w:u w:val="none"/>
        </w:rPr>
        <w:t>“醉美331”上重要的旅游节点：</w:t>
      </w:r>
      <w:r>
        <w:rPr>
          <w:u w:val="none"/>
        </w:rPr>
        <w:t>依托生态与文化底蕴，提高全空间的联动发展，将虎林打造成智慧旅游高地。</w:t>
      </w:r>
    </w:p>
    <w:p w14:paraId="7B83EBFC">
      <w:pPr>
        <w:rPr>
          <w:u w:val="none"/>
        </w:rPr>
      </w:pPr>
      <w:r>
        <w:rPr>
          <w:rFonts w:eastAsia="楷体_GB2312"/>
          <w:u w:val="none"/>
        </w:rPr>
        <w:t>北方重要的药材基地：</w:t>
      </w:r>
      <w:r>
        <w:rPr>
          <w:u w:val="none"/>
        </w:rPr>
        <w:t>发挥虎林地道寒地龙药的优势，以多元化中药材基地助力产业集群大发展。</w:t>
      </w:r>
    </w:p>
    <w:p w14:paraId="39A57B17">
      <w:pPr>
        <w:rPr>
          <w:u w:val="none"/>
        </w:rPr>
      </w:pPr>
      <w:r>
        <w:rPr>
          <w:rFonts w:eastAsia="楷体_GB2312"/>
          <w:u w:val="none"/>
        </w:rPr>
        <w:t>鸡西市对俄口岸贸易基地：</w:t>
      </w:r>
      <w:r>
        <w:rPr>
          <w:u w:val="none"/>
        </w:rPr>
        <w:t>持续深耕对俄全方位、高质量开放合作，提高经济发展互补性和增长稳定性。</w:t>
      </w:r>
    </w:p>
    <w:p w14:paraId="77AB6FB1">
      <w:pPr>
        <w:rPr>
          <w:u w:val="none"/>
        </w:rPr>
      </w:pPr>
      <w:r>
        <w:rPr>
          <w:rFonts w:eastAsia="楷体_GB2312"/>
          <w:u w:val="none"/>
        </w:rPr>
        <w:t>鸡西市活力康养示范基地：</w:t>
      </w:r>
      <w:r>
        <w:rPr>
          <w:u w:val="none"/>
        </w:rPr>
        <w:t>借助寒地龙药与旅游发展，开发功能性养老产品，将虎林市打造成健康养老之乡。</w:t>
      </w:r>
    </w:p>
    <w:p w14:paraId="3D246440">
      <w:pPr>
        <w:pStyle w:val="5"/>
        <w:spacing w:before="120" w:after="120"/>
        <w:rPr>
          <w:b/>
        </w:rPr>
      </w:pPr>
      <w:bookmarkStart w:id="24" w:name="_Toc22577"/>
      <w:bookmarkStart w:id="25" w:name="_Toc5659"/>
      <w:bookmarkStart w:id="26" w:name="_Toc9718"/>
      <w:bookmarkStart w:id="27" w:name="_Toc20538"/>
      <w:bookmarkStart w:id="28" w:name="_Toc24833"/>
      <w:r>
        <w:t>第</w:t>
      </w:r>
      <w:r>
        <w:rPr>
          <w:rFonts w:hint="eastAsia"/>
        </w:rPr>
        <w:t>6</w:t>
      </w:r>
      <w:r>
        <w:t>条 目标</w:t>
      </w:r>
      <w:bookmarkEnd w:id="24"/>
      <w:bookmarkEnd w:id="25"/>
      <w:bookmarkEnd w:id="26"/>
      <w:r>
        <w:rPr>
          <w:rFonts w:hint="eastAsia"/>
        </w:rPr>
        <w:t>任务</w:t>
      </w:r>
    </w:p>
    <w:p w14:paraId="66884045">
      <w:pPr>
        <w:rPr>
          <w:u w:val="none"/>
        </w:rPr>
      </w:pPr>
      <w:r>
        <w:rPr>
          <w:u w:val="none"/>
        </w:rPr>
        <w:t>近期到2025年，“一地四城”建设稳步推进，初步形成一批康养产业，一二三产融合发展不断推进；初步形成现代物流服务网络体系，商贸物流配套服务能力显著增强；绿色农产品加工基地和商贸综合服务地位得到深化；人民生活水平和质量普遍提高，人居环境明显改善，城乡可持续发展能力进一步增强；形成布局合理、功能互补、生态宜居、承载力强、集约高效的现代城镇体系。</w:t>
      </w:r>
    </w:p>
    <w:p w14:paraId="373F3310">
      <w:pPr>
        <w:rPr>
          <w:u w:val="none"/>
        </w:rPr>
      </w:pPr>
      <w:r>
        <w:rPr>
          <w:u w:val="none"/>
        </w:rPr>
        <w:t>远期到2035年，基本实现社会主义现代化，基本形成科学有序的国土空间开发与保护格局，经济充满活力、空间集约高效、创新要素集聚、交通网络发达、协同发展顺畅的发展格局，对外开放方位、层次、领域进一步拓宽，资源和能源利用提质增效，公共服务及基础设施配置更加完善，生态和环境更加优良，历史人文魅力彰显，国土资源整治和生态修复成效显著，可持续发展能力全面提升。全面建成魅力虎林，在黑龙江省东部发展大局中的地位和作用进一步提升。</w:t>
      </w:r>
    </w:p>
    <w:p w14:paraId="1650BAC7">
      <w:pPr>
        <w:rPr>
          <w:u w:val="none"/>
        </w:rPr>
      </w:pPr>
      <w:r>
        <w:rPr>
          <w:u w:val="none"/>
        </w:rPr>
        <w:t>远景展望到2050年，全面建成社会主义现代化强市，成为黑龙江省东部沿边具有重要影响力的边境节点城市，成为繁荣宜居、宜业、宜游、开放包容、特色彰显的绿色幸福发展样板。</w:t>
      </w:r>
    </w:p>
    <w:bookmarkEnd w:id="27"/>
    <w:bookmarkEnd w:id="28"/>
    <w:p w14:paraId="2EE09475">
      <w:pPr>
        <w:rPr>
          <w:u w:val="none"/>
        </w:rPr>
      </w:pPr>
      <w:r>
        <w:rPr>
          <w:u w:val="none"/>
        </w:rPr>
        <w:t>总目标：“生态强市、魅力虎林”。落实习总书记“绿水青山就是金山银山”的理论，依托优良的各类资源禀赋，充分释放“绿色底色、生态亮色、口岸特色”优势，坚持“药业引领、食品强劲、旅游突破、城市精致”的总体发展思路。</w:t>
      </w:r>
    </w:p>
    <w:p w14:paraId="0205DFD5">
      <w:pPr>
        <w:rPr>
          <w:u w:val="none"/>
        </w:rPr>
      </w:pPr>
      <w:r>
        <w:rPr>
          <w:u w:val="none"/>
        </w:rPr>
        <w:t>1.协调区域发展，积极融入</w:t>
      </w:r>
      <w:r>
        <w:rPr>
          <w:rFonts w:hint="eastAsia"/>
          <w:u w:val="none"/>
        </w:rPr>
        <w:t>黑龙江省</w:t>
      </w:r>
      <w:r>
        <w:rPr>
          <w:u w:val="none"/>
        </w:rPr>
        <w:t>东部城市组团</w:t>
      </w:r>
    </w:p>
    <w:p w14:paraId="6ADC570E">
      <w:pPr>
        <w:rPr>
          <w:u w:val="none"/>
        </w:rPr>
      </w:pPr>
      <w:r>
        <w:rPr>
          <w:u w:val="none"/>
        </w:rPr>
        <w:t>随着沿边城镇发展轴的打造提升，从区域角度重新审视虎林市与</w:t>
      </w:r>
      <w:r>
        <w:rPr>
          <w:rFonts w:hint="eastAsia"/>
          <w:u w:val="none"/>
        </w:rPr>
        <w:t>黑龙江省</w:t>
      </w:r>
      <w:r>
        <w:rPr>
          <w:u w:val="none"/>
        </w:rPr>
        <w:t>东部城市组团的有机联系，高效发挥自身优势。以交通为基础，实现“协同”效应；以生态为纽带，共同承担以沿江湿地为主的生态保育责任，利用交通优势的人流集聚和市场扩大效应，带动商贸、旅游产业发展，促进区域可持续发展能力的提升；以产业为纽带，依托虎林经济开发区的建设，拓展产业链，促进城市产业服务能级的提升。</w:t>
      </w:r>
    </w:p>
    <w:p w14:paraId="1BEB7A85">
      <w:pPr>
        <w:rPr>
          <w:u w:val="none"/>
        </w:rPr>
      </w:pPr>
      <w:r>
        <w:rPr>
          <w:u w:val="none"/>
        </w:rPr>
        <w:t>2.加强生态文明建设，保护生态环境</w:t>
      </w:r>
    </w:p>
    <w:p w14:paraId="387711C3">
      <w:pPr>
        <w:rPr>
          <w:u w:val="none"/>
        </w:rPr>
      </w:pPr>
      <w:r>
        <w:rPr>
          <w:u w:val="none"/>
        </w:rPr>
        <w:t>把生态保护放在优先位置，保护具有重要生态功能的区域，维护地区生态安全；深入研究地区资源承载能力和环境容量，把握人口、经济、资源环境的平衡点推动发展；推进绿色发展、低碳发展，减少对自然的干扰和损害，推动形成绿色低碳的生产生活方式和城镇建设运营模式。最大限度保护生态安全，构建生态屏障，系统保护山水林田湖草。</w:t>
      </w:r>
    </w:p>
    <w:p w14:paraId="7CE64F96">
      <w:pPr>
        <w:rPr>
          <w:u w:val="none"/>
        </w:rPr>
      </w:pPr>
      <w:r>
        <w:rPr>
          <w:u w:val="none"/>
        </w:rPr>
        <w:t>3.改善农村人居环境，推动乡村振兴</w:t>
      </w:r>
    </w:p>
    <w:p w14:paraId="0B5C88F0">
      <w:pPr>
        <w:rPr>
          <w:u w:val="none"/>
        </w:rPr>
      </w:pPr>
      <w:r>
        <w:rPr>
          <w:u w:val="none"/>
        </w:rPr>
        <w:t>建立健全城乡融合发展机制和政策体系，推动资源要素反哺农村，围绕促进产业发展，构建彰显地域特色、体现乡村气息、承载乡村价值、适应现代需要的现代乡村产业体系；加快推行乡村绿色发展方式和生活方式，不断增加农业生态产品和服务供给；保护和传承农村优秀传统文化，培育文明乡风、良好家风、淳朴民风，提高乡村社会文明程度。</w:t>
      </w:r>
    </w:p>
    <w:p w14:paraId="7314CCDC">
      <w:pPr>
        <w:rPr>
          <w:u w:val="none"/>
        </w:rPr>
      </w:pPr>
      <w:r>
        <w:rPr>
          <w:u w:val="none"/>
        </w:rPr>
        <w:t>4.培育虎林特色，塑造城市特色风貌</w:t>
      </w:r>
    </w:p>
    <w:p w14:paraId="69BA2596">
      <w:pPr>
        <w:rPr>
          <w:u w:val="none"/>
        </w:rPr>
      </w:pPr>
      <w:r>
        <w:rPr>
          <w:u w:val="none"/>
        </w:rPr>
        <w:t>虎林有着独特的民俗文化特色和自然资源特色。国土空间规划应深入挖掘多元化的城市文化内涵，进一步展示虎林市的独特魅力。建议规划从城市发展形态、空间布局、城市建设、生态景观等方面，突出城市特色，彰显城市形象。</w:t>
      </w:r>
    </w:p>
    <w:p w14:paraId="4F4D84C6">
      <w:pPr>
        <w:pStyle w:val="5"/>
        <w:spacing w:before="120" w:after="120"/>
        <w:rPr>
          <w:b/>
        </w:rPr>
      </w:pPr>
      <w:r>
        <w:t>第</w:t>
      </w:r>
      <w:r>
        <w:rPr>
          <w:rFonts w:hint="eastAsia"/>
        </w:rPr>
        <w:t>7</w:t>
      </w:r>
      <w:r>
        <w:t>条 指标体系</w:t>
      </w:r>
    </w:p>
    <w:p w14:paraId="13B53608">
      <w:pPr>
        <w:rPr>
          <w:u w:val="none"/>
        </w:rPr>
      </w:pPr>
      <w:r>
        <w:rPr>
          <w:u w:val="none"/>
        </w:rPr>
        <w:t>落实省、市国土空间总体规划对</w:t>
      </w:r>
      <w:r>
        <w:rPr>
          <w:rFonts w:hint="eastAsia"/>
          <w:u w:val="none"/>
        </w:rPr>
        <w:t>虎林</w:t>
      </w:r>
      <w:r>
        <w:rPr>
          <w:u w:val="none"/>
        </w:rPr>
        <w:t>市的具体要求，构建国土空间发展指标体系，包括空间底线、空间结构与效率、空间品质等3大类、29个具体发展指标，并区分为预期性指标和约束性指标。将耕地保有量、永久基本农田保护面积、生态保护红线、城镇开发边界扩展倍数等底线管控指标分解下达至乡镇。</w:t>
      </w:r>
    </w:p>
    <w:p w14:paraId="30B6EA1B">
      <w:pPr>
        <w:pStyle w:val="4"/>
        <w:widowControl w:val="0"/>
        <w:snapToGrid/>
        <w:spacing w:before="120" w:beforeLines="50" w:after="120" w:afterLines="50" w:line="600" w:lineRule="exact"/>
        <w:ind w:firstLine="0" w:firstLineChars="0"/>
        <w:rPr>
          <w:b w:val="0"/>
          <w:bCs w:val="0"/>
          <w:color w:val="auto"/>
          <w:u w:val="none"/>
        </w:rPr>
      </w:pPr>
      <w:bookmarkStart w:id="29" w:name="_Toc181784642"/>
      <w:bookmarkStart w:id="30" w:name="_Toc181784572"/>
      <w:bookmarkStart w:id="31" w:name="_Toc181784432"/>
      <w:bookmarkStart w:id="32" w:name="_Toc20280"/>
      <w:r>
        <w:rPr>
          <w:b w:val="0"/>
          <w:bCs w:val="0"/>
          <w:color w:val="auto"/>
          <w:u w:val="none"/>
        </w:rPr>
        <w:t>第</w:t>
      </w:r>
      <w:r>
        <w:rPr>
          <w:rFonts w:hint="eastAsia"/>
          <w:b w:val="0"/>
          <w:bCs w:val="0"/>
          <w:color w:val="auto"/>
          <w:u w:val="none"/>
        </w:rPr>
        <w:t>二</w:t>
      </w:r>
      <w:r>
        <w:rPr>
          <w:b w:val="0"/>
          <w:bCs w:val="0"/>
          <w:color w:val="auto"/>
          <w:u w:val="none"/>
        </w:rPr>
        <w:t xml:space="preserve">节 </w:t>
      </w:r>
      <w:r>
        <w:rPr>
          <w:rFonts w:hint="eastAsia"/>
          <w:b w:val="0"/>
          <w:bCs w:val="0"/>
          <w:color w:val="auto"/>
          <w:u w:val="none"/>
        </w:rPr>
        <w:t>规划策略</w:t>
      </w:r>
      <w:bookmarkEnd w:id="29"/>
      <w:bookmarkEnd w:id="30"/>
      <w:bookmarkEnd w:id="31"/>
      <w:bookmarkEnd w:id="32"/>
    </w:p>
    <w:p w14:paraId="4E3AF78D">
      <w:pPr>
        <w:pStyle w:val="5"/>
        <w:spacing w:before="120" w:after="120"/>
        <w:rPr>
          <w:b/>
        </w:rPr>
      </w:pPr>
      <w:r>
        <w:rPr>
          <w:rFonts w:hint="eastAsia"/>
        </w:rPr>
        <w:t>第8条 保护优先</w:t>
      </w:r>
    </w:p>
    <w:p w14:paraId="62679BE9">
      <w:r>
        <w:rPr>
          <w:u w:val="none"/>
        </w:rPr>
        <w:t>坚守生态安全，严守生态保护红线，科学保护和利用山水林田湖草等生态资源，提升北部林区生态功能，推进中西部地区农业现代化生产，保障国家粮食安全，严控耕地和永久基本农田保护红线，保护好黑土地。</w:t>
      </w:r>
    </w:p>
    <w:p w14:paraId="3B48343C">
      <w:pPr>
        <w:pStyle w:val="5"/>
        <w:spacing w:before="120" w:after="120"/>
        <w:rPr>
          <w:b/>
        </w:rPr>
      </w:pPr>
      <w:r>
        <w:rPr>
          <w:rFonts w:hint="eastAsia"/>
        </w:rPr>
        <w:t xml:space="preserve">第9条 </w:t>
      </w:r>
      <w:r>
        <w:t>集聚协同</w:t>
      </w:r>
    </w:p>
    <w:p w14:paraId="48A13128">
      <w:r>
        <w:rPr>
          <w:u w:val="none"/>
        </w:rPr>
        <w:t>以中心城区、杨岗镇、虎头镇为核心构建一条发展带，加快集聚发展，参与区域协同分工、辐射带动虎林市全域发展。把东诚镇等其他乡镇、村庄建设为协同发展点，加强用地集约节约，提质增效、高质量特色化发展。</w:t>
      </w:r>
    </w:p>
    <w:p w14:paraId="4544ED75">
      <w:pPr>
        <w:pStyle w:val="5"/>
        <w:spacing w:before="120" w:after="120"/>
        <w:rPr>
          <w:b/>
        </w:rPr>
      </w:pPr>
      <w:r>
        <w:rPr>
          <w:rFonts w:hint="eastAsia"/>
        </w:rPr>
        <w:t xml:space="preserve">第10条 </w:t>
      </w:r>
      <w:r>
        <w:t>优化提升</w:t>
      </w:r>
    </w:p>
    <w:p w14:paraId="43FECE49">
      <w:r>
        <w:rPr>
          <w:u w:val="none"/>
        </w:rPr>
        <w:t>围绕人民群众日益增长</w:t>
      </w:r>
      <w:r>
        <w:rPr>
          <w:rFonts w:hint="eastAsia"/>
          <w:u w:val="none"/>
        </w:rPr>
        <w:t>的对</w:t>
      </w:r>
      <w:r>
        <w:rPr>
          <w:u w:val="none"/>
        </w:rPr>
        <w:t>美好生</w:t>
      </w:r>
      <w:r>
        <w:rPr>
          <w:rFonts w:hint="eastAsia"/>
          <w:u w:val="none"/>
        </w:rPr>
        <w:t>活的</w:t>
      </w:r>
      <w:r>
        <w:rPr>
          <w:u w:val="none"/>
        </w:rPr>
        <w:t>向往，完善基础设施和城乡公共服务体系，保护和传承历史文化，塑造城乡风貌，打造宜居宜业家园。</w:t>
      </w:r>
    </w:p>
    <w:p w14:paraId="3D5E4D2B">
      <w:pPr>
        <w:pStyle w:val="5"/>
        <w:spacing w:before="120" w:after="120"/>
        <w:rPr>
          <w:b/>
        </w:rPr>
      </w:pPr>
      <w:r>
        <w:rPr>
          <w:rFonts w:hint="eastAsia"/>
        </w:rPr>
        <w:t xml:space="preserve">第11条 </w:t>
      </w:r>
      <w:r>
        <w:t>开放联通</w:t>
      </w:r>
    </w:p>
    <w:p w14:paraId="2F170887">
      <w:r>
        <w:rPr>
          <w:u w:val="none"/>
        </w:rPr>
        <w:t>深度</w:t>
      </w:r>
      <w:r>
        <w:rPr>
          <w:rFonts w:hint="eastAsia"/>
          <w:u w:val="none"/>
        </w:rPr>
        <w:t>融入</w:t>
      </w:r>
      <w:r>
        <w:rPr>
          <w:u w:val="none"/>
        </w:rPr>
        <w:t>“一带一路”和“中蒙俄经济走廊”建设中，提升区域交通的联通能力，建设高水平、多元化的开放合作平台，促进各类要素跨区域流动，增强国土空间开放度。</w:t>
      </w:r>
    </w:p>
    <w:p w14:paraId="60CE4840">
      <w:pPr>
        <w:pStyle w:val="5"/>
        <w:spacing w:before="120" w:after="120"/>
        <w:rPr>
          <w:b/>
        </w:rPr>
      </w:pPr>
      <w:r>
        <w:rPr>
          <w:rFonts w:hint="eastAsia"/>
        </w:rPr>
        <w:t xml:space="preserve">第12条 </w:t>
      </w:r>
      <w:r>
        <w:t>统筹融合</w:t>
      </w:r>
    </w:p>
    <w:p w14:paraId="10BAFE8E">
      <w:pPr>
        <w:rPr>
          <w:u w:val="none"/>
        </w:rPr>
      </w:pPr>
      <w:r>
        <w:rPr>
          <w:u w:val="none"/>
        </w:rPr>
        <w:t>立足山水林田湖草沙生命共同体理念，推进国土空间系统修复和综合整治。坚持城镇化与乡村振兴协同发展，统筹工业化和农业现代化，强化城乡融合，集聚资源要素，实施以城带乡、城乡联动，促进城乡融合，建设新型小城镇。加快农垦、森工深度融合，协同发展，推进城乡一体跨越发展，建设现代化大农业，共铸东部生态农业区。</w:t>
      </w:r>
      <w:bookmarkStart w:id="33" w:name="_Toc31044"/>
    </w:p>
    <w:p w14:paraId="70084C1C">
      <w:pPr>
        <w:pStyle w:val="3"/>
        <w:widowControl w:val="0"/>
        <w:snapToGrid/>
        <w:spacing w:before="10" w:after="10" w:line="600" w:lineRule="exact"/>
        <w:ind w:firstLine="0" w:firstLineChars="0"/>
        <w:jc w:val="center"/>
        <w:rPr>
          <w:rFonts w:ascii="Times New Roman" w:hAnsi="Times New Roman" w:eastAsia="方正小标宋简体"/>
          <w:b w:val="0"/>
          <w:bCs w:val="0"/>
          <w:color w:val="auto"/>
          <w:sz w:val="36"/>
          <w:u w:val="none"/>
        </w:rPr>
      </w:pPr>
      <w:bookmarkStart w:id="34" w:name="_Toc181784433"/>
      <w:bookmarkStart w:id="35" w:name="_Toc181784573"/>
      <w:bookmarkStart w:id="36" w:name="_Toc181784643"/>
      <w:r>
        <w:rPr>
          <w:rFonts w:ascii="Times New Roman" w:hAnsi="Times New Roman" w:eastAsia="方正小标宋简体"/>
          <w:b w:val="0"/>
          <w:bCs w:val="0"/>
          <w:color w:val="auto"/>
          <w:sz w:val="36"/>
          <w:u w:val="none"/>
        </w:rPr>
        <w:t>第</w:t>
      </w:r>
      <w:r>
        <w:rPr>
          <w:rFonts w:hint="eastAsia" w:ascii="Times New Roman" w:hAnsi="Times New Roman" w:eastAsia="方正小标宋简体"/>
          <w:b w:val="0"/>
          <w:bCs w:val="0"/>
          <w:color w:val="auto"/>
          <w:sz w:val="36"/>
          <w:u w:val="none"/>
        </w:rPr>
        <w:t>三</w:t>
      </w:r>
      <w:r>
        <w:rPr>
          <w:rFonts w:ascii="Times New Roman" w:hAnsi="Times New Roman" w:eastAsia="方正小标宋简体"/>
          <w:b w:val="0"/>
          <w:bCs w:val="0"/>
          <w:color w:val="auto"/>
          <w:sz w:val="36"/>
          <w:u w:val="none"/>
        </w:rPr>
        <w:t>章 以“三区三线”为基础，优化开发保护格局</w:t>
      </w:r>
      <w:bookmarkEnd w:id="33"/>
      <w:bookmarkEnd w:id="34"/>
      <w:bookmarkEnd w:id="35"/>
      <w:bookmarkEnd w:id="36"/>
    </w:p>
    <w:p w14:paraId="5763FF2E">
      <w:pPr>
        <w:pStyle w:val="4"/>
        <w:widowControl w:val="0"/>
        <w:snapToGrid/>
        <w:spacing w:before="120" w:beforeLines="50" w:after="120" w:afterLines="50" w:line="600" w:lineRule="exact"/>
        <w:ind w:firstLine="0" w:firstLineChars="0"/>
        <w:rPr>
          <w:b w:val="0"/>
          <w:bCs w:val="0"/>
          <w:color w:val="auto"/>
          <w:u w:val="none"/>
        </w:rPr>
      </w:pPr>
      <w:bookmarkStart w:id="37" w:name="_Toc23832"/>
      <w:bookmarkStart w:id="38" w:name="_Toc181784574"/>
      <w:bookmarkStart w:id="39" w:name="_Toc181784644"/>
      <w:bookmarkStart w:id="40" w:name="_Toc181784434"/>
      <w:r>
        <w:rPr>
          <w:b w:val="0"/>
          <w:bCs w:val="0"/>
          <w:color w:val="auto"/>
          <w:u w:val="none"/>
        </w:rPr>
        <w:t>第一节 统筹划定落实三条控制线</w:t>
      </w:r>
      <w:bookmarkEnd w:id="37"/>
      <w:bookmarkEnd w:id="38"/>
      <w:bookmarkEnd w:id="39"/>
      <w:bookmarkEnd w:id="40"/>
    </w:p>
    <w:p w14:paraId="540BCD21">
      <w:pPr>
        <w:rPr>
          <w:u w:val="none"/>
        </w:rPr>
      </w:pPr>
      <w:r>
        <w:rPr>
          <w:u w:val="none"/>
        </w:rPr>
        <w:t>按照耕地和永久基本农田、生态保护红线、城镇开发边界的优先顺序统筹划定落实三条控制线，确保三条控制线不交叉不重叠不冲突。把三条控制线作为调整经济结构、规划产业发展、推进城镇化不可逾越的红线，实施严格管控，夯实发展的空间基础，统筹优化农业、生态、城镇空间布局。</w:t>
      </w:r>
    </w:p>
    <w:p w14:paraId="5E74C077">
      <w:pPr>
        <w:pStyle w:val="5"/>
        <w:spacing w:before="120" w:after="120"/>
        <w:rPr>
          <w:b/>
        </w:rPr>
      </w:pPr>
      <w:bookmarkStart w:id="41" w:name="_Toc27569"/>
      <w:bookmarkStart w:id="42" w:name="_Toc9209"/>
      <w:bookmarkStart w:id="43" w:name="_Toc7763"/>
      <w:r>
        <w:t>第</w:t>
      </w:r>
      <w:r>
        <w:rPr>
          <w:rFonts w:hint="eastAsia"/>
        </w:rPr>
        <w:t>13</w:t>
      </w:r>
      <w:r>
        <w:t>条 优先划定耕地和永久基本农田保护红线</w:t>
      </w:r>
      <w:bookmarkEnd w:id="41"/>
      <w:bookmarkEnd w:id="42"/>
      <w:bookmarkEnd w:id="43"/>
    </w:p>
    <w:p w14:paraId="25903CF0">
      <w:pPr>
        <w:rPr>
          <w:snapToGrid w:val="0"/>
          <w:u w:val="none"/>
        </w:rPr>
      </w:pPr>
      <w:r>
        <w:rPr>
          <w:snapToGrid w:val="0"/>
          <w:u w:val="none"/>
        </w:rPr>
        <w:t>落实上级下达的耕地和永久基本农田保护任务，现状耕地应划尽划、应保尽保，将可以长期稳定利用的耕地优先划入永久基本农田实行特殊保护。</w:t>
      </w:r>
    </w:p>
    <w:p w14:paraId="76119DCA">
      <w:pPr>
        <w:rPr>
          <w:snapToGrid w:val="0"/>
          <w:u w:val="none"/>
        </w:rPr>
      </w:pPr>
      <w:r>
        <w:rPr>
          <w:rStyle w:val="30"/>
          <w:rFonts w:ascii="Times New Roman" w:hAnsi="Times New Roman" w:eastAsia="楷体_GB2312" w:cs="Times New Roman"/>
          <w:snapToGrid/>
          <w:color w:val="auto"/>
          <w:kern w:val="0"/>
          <w:sz w:val="32"/>
          <w:u w:val="none"/>
        </w:rPr>
        <w:t>严格耕地和永久基本农田管控。</w:t>
      </w:r>
      <w:r>
        <w:rPr>
          <w:snapToGrid w:val="0"/>
          <w:u w:val="none"/>
        </w:rPr>
        <w:t>永久基本农田全面实行特殊保护，落实到图斑地块</w:t>
      </w:r>
      <w:bookmarkStart w:id="44" w:name="hmcheck_04ae346c1af74cb48ca4da6cf6030b2c"/>
      <w:r>
        <w:rPr>
          <w:snapToGrid w:val="0"/>
          <w:u w:val="none"/>
        </w:rPr>
        <w:t>并</w:t>
      </w:r>
      <w:bookmarkEnd w:id="44"/>
      <w:r>
        <w:rPr>
          <w:snapToGrid w:val="0"/>
          <w:u w:val="none"/>
        </w:rPr>
        <w:t>上图入库，实现耕地数量、质量、生态“三位一体”保护，管住、建好、守牢永久基本农田。永久基本农田经依法划定后，任何单位和个人不得擅自占用或改变用途。能源、交通、水利、军事设施等重大建设项目选址确实难以避让永久基本农田的，经依法批准，按照数量不减、质量不降原则，在长期稳定利用的耕地上落实永久基本农田补划任务。</w:t>
      </w:r>
    </w:p>
    <w:p w14:paraId="135B83DD">
      <w:pPr>
        <w:pStyle w:val="5"/>
        <w:spacing w:before="120" w:after="120"/>
        <w:rPr>
          <w:b/>
        </w:rPr>
      </w:pPr>
      <w:bookmarkStart w:id="45" w:name="_Toc3005"/>
      <w:bookmarkStart w:id="46" w:name="_Toc7896"/>
      <w:bookmarkStart w:id="47" w:name="_Toc11252"/>
      <w:r>
        <w:t>第</w:t>
      </w:r>
      <w:r>
        <w:rPr>
          <w:rFonts w:hint="eastAsia"/>
        </w:rPr>
        <w:t>14</w:t>
      </w:r>
      <w:r>
        <w:t>条 科学划定生态保护红线</w:t>
      </w:r>
      <w:bookmarkEnd w:id="45"/>
      <w:bookmarkEnd w:id="46"/>
      <w:bookmarkEnd w:id="47"/>
    </w:p>
    <w:p w14:paraId="319A8F39">
      <w:pPr>
        <w:rPr>
          <w:u w:val="none"/>
        </w:rPr>
      </w:pPr>
      <w:r>
        <w:rPr>
          <w:u w:val="none"/>
        </w:rPr>
        <w:t>将整合优化后的自然保护地、重要水源涵养、生物多样性维护、水土保持、防风固沙等生态系统服务功能极重要区域和水土流失、土地沙化等生态环境极敏感区域，以及目前基本没有人类活动、具有潜在重要生态价值的生态空间划入生态保护红线。</w:t>
      </w:r>
    </w:p>
    <w:p w14:paraId="38B17434">
      <w:pPr>
        <w:rPr>
          <w:u w:val="none"/>
        </w:rPr>
      </w:pPr>
      <w:r>
        <w:rPr>
          <w:snapToGrid w:val="0"/>
          <w:u w:val="none"/>
        </w:rPr>
        <w:t>加强生态保护红线管控。</w:t>
      </w:r>
      <w:r>
        <w:rPr>
          <w:u w:val="none"/>
        </w:rPr>
        <w:t>生态保护红线内禁止开发性、生产性建设活动，仅允许国家和省级规定的对生态功能不造成破坏的有限人为活动。建设项目涉及生态保护红线，属于允许有限人为活动的，涉及新增建设用地的，在农用地转用、土地征收时</w:t>
      </w:r>
      <w:bookmarkStart w:id="48" w:name="hmcheck_00b4277a23ee42c9b99e4e007b49d63f"/>
      <w:r>
        <w:rPr>
          <w:u w:val="none"/>
        </w:rPr>
        <w:t>附</w:t>
      </w:r>
      <w:bookmarkEnd w:id="48"/>
      <w:r>
        <w:rPr>
          <w:u w:val="none"/>
        </w:rPr>
        <w:t>省级人民政府符合允许有限人为活动的意见；国家重大项目确需占用生态保护红线的，省级人民政府提出农用地转用、土地征收申请时，同时附省级人民政府出具的不可避让论证意见，报国务院批准。生态保护红线内自然保护区、风景名胜区、饮用水水源保护区等区域，依照法律法规执行。</w:t>
      </w:r>
    </w:p>
    <w:p w14:paraId="3626A00A">
      <w:pPr>
        <w:pStyle w:val="5"/>
        <w:spacing w:before="120" w:after="120"/>
        <w:rPr>
          <w:b/>
        </w:rPr>
      </w:pPr>
      <w:bookmarkStart w:id="49" w:name="_Toc22252"/>
      <w:bookmarkStart w:id="50" w:name="_Toc18757"/>
      <w:bookmarkStart w:id="51" w:name="_Toc31222"/>
      <w:r>
        <w:t>第</w:t>
      </w:r>
      <w:r>
        <w:rPr>
          <w:rFonts w:hint="eastAsia"/>
        </w:rPr>
        <w:t>15</w:t>
      </w:r>
      <w:r>
        <w:t>条 合理划定城镇开发边界</w:t>
      </w:r>
      <w:bookmarkEnd w:id="49"/>
      <w:bookmarkEnd w:id="50"/>
      <w:bookmarkEnd w:id="51"/>
    </w:p>
    <w:p w14:paraId="097C840C">
      <w:pPr>
        <w:rPr>
          <w:u w:val="none"/>
        </w:rPr>
      </w:pPr>
      <w:r>
        <w:rPr>
          <w:u w:val="none"/>
        </w:rPr>
        <w:t>坚持以资源环境承载力为前提，以集约高效国土空间开发利用为导向，立足</w:t>
      </w:r>
      <w:r>
        <w:rPr>
          <w:rFonts w:hint="eastAsia"/>
          <w:u w:val="none"/>
        </w:rPr>
        <w:t>虎林市</w:t>
      </w:r>
      <w:r>
        <w:rPr>
          <w:u w:val="none"/>
        </w:rPr>
        <w:t>国土空间现状基础和发展格局，按照推进城区集聚发展、外围集约发展的原则，统筹划定城镇开发边界。</w:t>
      </w:r>
    </w:p>
    <w:p w14:paraId="3C31204A">
      <w:pPr>
        <w:rPr>
          <w:u w:val="none"/>
        </w:rPr>
      </w:pPr>
      <w:r>
        <w:rPr>
          <w:snapToGrid w:val="0"/>
          <w:u w:val="none"/>
        </w:rPr>
        <w:t>加强城镇开发边界管控。</w:t>
      </w:r>
      <w:r>
        <w:rPr>
          <w:u w:val="none"/>
        </w:rPr>
        <w:t>在城镇开发边界内建设，实行“详细规划+规划许可”的管制方式，并加强与水体保护线、绿地系统线、基础设施建设控制线、历史文化保护线等控制线的协同管控。严格城镇开发边界外空间准入，原则上除军事及安全保密、殡葬等特殊用地外，只能用于农业生产、乡村振兴、生态保护和交通等基础设施建设，不得进行城镇集中建设，不得设立各类开发区。</w:t>
      </w:r>
    </w:p>
    <w:p w14:paraId="7400283E">
      <w:pPr>
        <w:pStyle w:val="4"/>
        <w:widowControl w:val="0"/>
        <w:snapToGrid/>
        <w:spacing w:before="120" w:beforeLines="50" w:after="120" w:afterLines="50" w:line="600" w:lineRule="exact"/>
        <w:ind w:firstLine="0" w:firstLineChars="0"/>
        <w:rPr>
          <w:b w:val="0"/>
          <w:bCs w:val="0"/>
          <w:color w:val="auto"/>
          <w:u w:val="none"/>
        </w:rPr>
      </w:pPr>
      <w:bookmarkStart w:id="52" w:name="_Toc28654"/>
      <w:bookmarkStart w:id="53" w:name="_Toc31586"/>
      <w:bookmarkStart w:id="54" w:name="_Toc181784435"/>
      <w:bookmarkStart w:id="55" w:name="_Toc181784575"/>
      <w:bookmarkStart w:id="56" w:name="_Toc181784645"/>
      <w:r>
        <w:rPr>
          <w:b w:val="0"/>
          <w:bCs w:val="0"/>
          <w:color w:val="auto"/>
          <w:u w:val="none"/>
        </w:rPr>
        <w:t>第二节 落实主体功能区战略</w:t>
      </w:r>
      <w:bookmarkEnd w:id="52"/>
      <w:bookmarkEnd w:id="53"/>
      <w:bookmarkEnd w:id="54"/>
      <w:bookmarkEnd w:id="55"/>
      <w:bookmarkEnd w:id="56"/>
    </w:p>
    <w:p w14:paraId="72BD3808">
      <w:pPr>
        <w:pStyle w:val="5"/>
        <w:spacing w:before="120" w:after="120"/>
        <w:rPr>
          <w:b/>
        </w:rPr>
      </w:pPr>
      <w:r>
        <w:rPr>
          <w:rFonts w:hint="eastAsia"/>
        </w:rPr>
        <w:t xml:space="preserve">第16条 </w:t>
      </w:r>
      <w:r>
        <w:t>巩固农产品主产区</w:t>
      </w:r>
    </w:p>
    <w:p w14:paraId="49F438EC">
      <w:pPr>
        <w:rPr>
          <w:u w:val="none"/>
        </w:rPr>
      </w:pPr>
      <w:r>
        <w:rPr>
          <w:u w:val="none"/>
        </w:rPr>
        <w:t>根据水土条件变化和现代农业发展要求，优化</w:t>
      </w:r>
      <w:r>
        <w:rPr>
          <w:rFonts w:hint="eastAsia"/>
          <w:u w:val="none"/>
        </w:rPr>
        <w:t>阿布沁</w:t>
      </w:r>
      <w:r>
        <w:rPr>
          <w:u w:val="none"/>
        </w:rPr>
        <w:t>河</w:t>
      </w:r>
      <w:r>
        <w:rPr>
          <w:rFonts w:hint="eastAsia"/>
          <w:u w:val="none"/>
        </w:rPr>
        <w:t>、七虎林</w:t>
      </w:r>
      <w:r>
        <w:rPr>
          <w:u w:val="none"/>
        </w:rPr>
        <w:t>河</w:t>
      </w:r>
      <w:r>
        <w:rPr>
          <w:rFonts w:hint="eastAsia"/>
          <w:u w:val="none"/>
        </w:rPr>
        <w:t>、穆棱河</w:t>
      </w:r>
      <w:r>
        <w:rPr>
          <w:u w:val="none"/>
        </w:rPr>
        <w:t>流域平原丘陵区农产品主产区布局。树立大食物观，以保障国家粮食安全为基础，将农产品生产空间从耕地向其他类型国土空间拓展，巩固水稻、玉米、大豆、小麦、杂粮豆、蔬菜、畜产品、水产品等生产空间，支撑建设规模农业产业发展区，提高重要农产品保障供给能力。协调农产品主产区与生态功能区布局。农产品主产区包括迎春镇、东诚镇、宝东镇、新乐乡、伟光乡</w:t>
      </w:r>
      <w:r>
        <w:rPr>
          <w:rFonts w:hint="eastAsia"/>
          <w:u w:val="none"/>
        </w:rPr>
        <w:t>5</w:t>
      </w:r>
      <w:r>
        <w:rPr>
          <w:u w:val="none"/>
        </w:rPr>
        <w:t>个乡镇。</w:t>
      </w:r>
    </w:p>
    <w:p w14:paraId="7AC497A7">
      <w:pPr>
        <w:pStyle w:val="5"/>
        <w:spacing w:before="120" w:after="120"/>
        <w:rPr>
          <w:b/>
        </w:rPr>
      </w:pPr>
      <w:r>
        <w:rPr>
          <w:rFonts w:hint="eastAsia"/>
        </w:rPr>
        <w:t xml:space="preserve">第17条 </w:t>
      </w:r>
      <w:r>
        <w:t>筑牢重点生态功能区</w:t>
      </w:r>
    </w:p>
    <w:p w14:paraId="7845445D">
      <w:pPr>
        <w:rPr>
          <w:u w:val="none"/>
        </w:rPr>
      </w:pPr>
      <w:r>
        <w:rPr>
          <w:u w:val="none"/>
        </w:rPr>
        <w:t>筑牢东北森林带生态屏障，提升森林生态系统功能，强化水土保持功能和重点生态功能区。重点生态功能区为杨岗镇、虎头镇、东方红镇、珍宝岛乡、阿北乡、虎林飞出地、八五一一农场、八五八农场、八五六农场、八五四农场、八五</w:t>
      </w:r>
      <w:r>
        <w:rPr>
          <w:rFonts w:hint="eastAsia" w:ascii="宋体" w:hAnsi="宋体" w:eastAsia="宋体" w:cs="宋体"/>
          <w:u w:val="none"/>
        </w:rPr>
        <w:t>〇</w:t>
      </w:r>
      <w:r>
        <w:rPr>
          <w:u w:val="none"/>
        </w:rPr>
        <w:t>农场、云山农场、庆丰农场。</w:t>
      </w:r>
    </w:p>
    <w:p w14:paraId="60181C9C">
      <w:pPr>
        <w:pStyle w:val="5"/>
        <w:spacing w:before="120" w:after="120"/>
        <w:rPr>
          <w:b/>
        </w:rPr>
      </w:pPr>
      <w:r>
        <w:rPr>
          <w:rFonts w:hint="eastAsia"/>
        </w:rPr>
        <w:t xml:space="preserve">第18条 </w:t>
      </w:r>
      <w:r>
        <w:t>完善城市化地区格局</w:t>
      </w:r>
    </w:p>
    <w:p w14:paraId="0DF0475C">
      <w:pPr>
        <w:rPr>
          <w:rFonts w:eastAsia="仿宋"/>
          <w:u w:val="none"/>
        </w:rPr>
      </w:pPr>
      <w:r>
        <w:rPr>
          <w:u w:val="none"/>
        </w:rPr>
        <w:t>加强中心城区空间资源统筹协调，促进形成中心城区和重点镇协调发展的城镇空间布局。支持提升黑龙江省东部区域</w:t>
      </w:r>
      <w:r>
        <w:rPr>
          <w:rFonts w:hint="eastAsia"/>
          <w:u w:val="none"/>
        </w:rPr>
        <w:t>重点</w:t>
      </w:r>
      <w:r>
        <w:rPr>
          <w:u w:val="none"/>
        </w:rPr>
        <w:t>城市影响力，重点保障体现联动枢纽的设施和空间需求。强化中心城区辐射带动区域的增长极作用，保障中心城区提升与区域协同网络联通用地需求，优化高质量公共服务和创新功能空间布局。城市化地区为虎林镇。</w:t>
      </w:r>
    </w:p>
    <w:p w14:paraId="3365236B">
      <w:pPr>
        <w:pStyle w:val="5"/>
        <w:spacing w:before="120" w:after="120"/>
        <w:rPr>
          <w:b/>
        </w:rPr>
      </w:pPr>
      <w:r>
        <w:rPr>
          <w:rFonts w:hint="eastAsia"/>
        </w:rPr>
        <w:t xml:space="preserve">第19条 </w:t>
      </w:r>
      <w:r>
        <w:t>保障边境地区建设</w:t>
      </w:r>
    </w:p>
    <w:p w14:paraId="6AF448EB">
      <w:pPr>
        <w:rPr>
          <w:u w:val="none"/>
        </w:rPr>
      </w:pPr>
      <w:r>
        <w:rPr>
          <w:u w:val="none"/>
        </w:rPr>
        <w:t>在农产品主产区、重点生态功能区、城市化地区基础上，因地制宜细化主体功能分区，叠加确定边境地区，制定差异化政策指引，分类精准施策。支持边境城镇带建设，保障边境地区基础设施和公共服务补短板强弱项工程空间，改善抵边一线村屯生产生活条件和生态环境，支持边民集中聚居点用地。边境地区为虎头镇、珍宝岛乡、东方红镇、宝东镇、八五八农场、八五六农场。</w:t>
      </w:r>
    </w:p>
    <w:p w14:paraId="0F9D46C9">
      <w:pPr>
        <w:pStyle w:val="4"/>
        <w:widowControl w:val="0"/>
        <w:snapToGrid/>
        <w:spacing w:before="120" w:beforeLines="50" w:after="120" w:afterLines="50" w:line="600" w:lineRule="exact"/>
        <w:ind w:firstLine="0" w:firstLineChars="0"/>
        <w:rPr>
          <w:b w:val="0"/>
          <w:bCs w:val="0"/>
          <w:color w:val="auto"/>
          <w:u w:val="none"/>
        </w:rPr>
      </w:pPr>
      <w:bookmarkStart w:id="57" w:name="_Toc181784576"/>
      <w:bookmarkStart w:id="58" w:name="_Toc13342"/>
      <w:bookmarkStart w:id="59" w:name="_Toc181784646"/>
      <w:bookmarkStart w:id="60" w:name="_Toc29541"/>
      <w:bookmarkStart w:id="61" w:name="_Toc181784436"/>
      <w:r>
        <w:rPr>
          <w:b w:val="0"/>
          <w:bCs w:val="0"/>
          <w:color w:val="auto"/>
          <w:u w:val="none"/>
        </w:rPr>
        <w:t>第三节 优化国土空间总体格局</w:t>
      </w:r>
      <w:bookmarkEnd w:id="57"/>
      <w:bookmarkEnd w:id="58"/>
      <w:bookmarkEnd w:id="59"/>
      <w:bookmarkEnd w:id="60"/>
      <w:bookmarkEnd w:id="61"/>
    </w:p>
    <w:p w14:paraId="07A6920C">
      <w:pPr>
        <w:pStyle w:val="5"/>
        <w:spacing w:before="120" w:after="120"/>
        <w:rPr>
          <w:b/>
        </w:rPr>
      </w:pPr>
      <w:r>
        <w:rPr>
          <w:rFonts w:hint="eastAsia"/>
        </w:rPr>
        <w:t xml:space="preserve">第20条 </w:t>
      </w:r>
      <w:r>
        <w:t>“一核</w:t>
      </w:r>
      <w:r>
        <w:rPr>
          <w:rFonts w:hint="eastAsia"/>
        </w:rPr>
        <w:t>、</w:t>
      </w:r>
      <w:r>
        <w:t>两轴</w:t>
      </w:r>
      <w:r>
        <w:rPr>
          <w:rFonts w:hint="eastAsia"/>
        </w:rPr>
        <w:t>、</w:t>
      </w:r>
      <w:r>
        <w:t>两屏</w:t>
      </w:r>
      <w:r>
        <w:rPr>
          <w:rFonts w:hint="eastAsia"/>
        </w:rPr>
        <w:t>、</w:t>
      </w:r>
      <w:r>
        <w:t>四区</w:t>
      </w:r>
      <w:r>
        <w:rPr>
          <w:rFonts w:hint="eastAsia"/>
        </w:rPr>
        <w:t>、</w:t>
      </w:r>
      <w:r>
        <w:t>多点”的总体格局</w:t>
      </w:r>
    </w:p>
    <w:p w14:paraId="1EBD12F5">
      <w:pPr>
        <w:rPr>
          <w:rFonts w:eastAsia="仿宋"/>
          <w:u w:val="none"/>
        </w:rPr>
      </w:pPr>
      <w:r>
        <w:rPr>
          <w:rFonts w:ascii="楷体_GB2312" w:hAnsi="楷体_GB2312" w:eastAsia="楷体_GB2312" w:cs="楷体_GB2312"/>
          <w:u w:val="none"/>
        </w:rPr>
        <w:t>一核：</w:t>
      </w:r>
      <w:r>
        <w:rPr>
          <w:u w:val="none"/>
        </w:rPr>
        <w:t>以虎林市中心城区为发展核心区，继续发挥中心城区的人口、产业、交通、经济等优势同时带动周边</w:t>
      </w:r>
      <w:r>
        <w:rPr>
          <w:rFonts w:hint="eastAsia"/>
          <w:u w:val="none"/>
        </w:rPr>
        <w:t>城镇</w:t>
      </w:r>
      <w:r>
        <w:rPr>
          <w:u w:val="none"/>
        </w:rPr>
        <w:t>发展。</w:t>
      </w:r>
    </w:p>
    <w:p w14:paraId="497F63D9">
      <w:pPr>
        <w:rPr>
          <w:u w:val="none"/>
        </w:rPr>
      </w:pPr>
      <w:r>
        <w:rPr>
          <w:rFonts w:ascii="楷体_GB2312" w:hAnsi="楷体_GB2312" w:eastAsia="楷体_GB2312" w:cs="楷体_GB2312"/>
          <w:u w:val="none"/>
        </w:rPr>
        <w:t>两轴：</w:t>
      </w:r>
      <w:r>
        <w:rPr>
          <w:u w:val="none"/>
        </w:rPr>
        <w:t>打造由鸡虎高速为依托经杨岗镇、八五</w:t>
      </w:r>
      <w:r>
        <w:rPr>
          <w:rFonts w:hint="eastAsia" w:ascii="宋体" w:hAnsi="宋体" w:eastAsia="宋体" w:cs="宋体"/>
          <w:u w:val="none"/>
        </w:rPr>
        <w:t>〇</w:t>
      </w:r>
      <w:r>
        <w:rPr>
          <w:u w:val="none"/>
        </w:rPr>
        <w:t>农场、宝东镇西接鸡西、哈尔滨，东至虎林中心城区的一级发展轴和以宝迎铁路、三江高速为依托经迎春、八五四农场、新乐乡、东诚镇、八五八农场、吉祥口岸，北接宝清县、饶河县，中过虎林市中心城区，南对密山市、俄罗斯的一级发展轴。</w:t>
      </w:r>
    </w:p>
    <w:p w14:paraId="0D21D295">
      <w:pPr>
        <w:rPr>
          <w:u w:val="none"/>
        </w:rPr>
      </w:pPr>
      <w:r>
        <w:rPr>
          <w:rFonts w:ascii="楷体_GB2312" w:hAnsi="楷体_GB2312" w:eastAsia="楷体_GB2312" w:cs="楷体_GB2312"/>
          <w:u w:val="none"/>
        </w:rPr>
        <w:t>两屏：</w:t>
      </w:r>
      <w:r>
        <w:rPr>
          <w:u w:val="none"/>
        </w:rPr>
        <w:t>加强七虎林山脉生态屏障和沿乌苏里江生态屏障，保障和维护生态功能建设。</w:t>
      </w:r>
    </w:p>
    <w:p w14:paraId="52A92507">
      <w:pPr>
        <w:rPr>
          <w:u w:val="none"/>
        </w:rPr>
      </w:pPr>
      <w:r>
        <w:rPr>
          <w:rFonts w:ascii="楷体_GB2312" w:hAnsi="楷体_GB2312" w:eastAsia="楷体_GB2312" w:cs="楷体_GB2312"/>
          <w:u w:val="none"/>
        </w:rPr>
        <w:t>四区：</w:t>
      </w:r>
      <w:r>
        <w:rPr>
          <w:u w:val="none"/>
        </w:rPr>
        <w:t>形成珍宝岛乡、虎头镇特色旅游发展区；东方红镇林业综合发展区；八五八（吉祥口岸）对俄贸易经济区；宝东镇+东诚镇生态农业区。</w:t>
      </w:r>
    </w:p>
    <w:p w14:paraId="2A4B224D">
      <w:pPr>
        <w:rPr>
          <w:u w:val="none"/>
        </w:rPr>
      </w:pPr>
      <w:r>
        <w:rPr>
          <w:rFonts w:ascii="楷体_GB2312" w:hAnsi="楷体_GB2312" w:eastAsia="楷体_GB2312" w:cs="楷体_GB2312"/>
          <w:u w:val="none"/>
        </w:rPr>
        <w:t>多点：</w:t>
      </w:r>
      <w:r>
        <w:rPr>
          <w:u w:val="none"/>
        </w:rPr>
        <w:t>加快虎林市域重点乡镇联合发展，打造以杨岗镇、迎春林业局＋迎春镇＋八五四为农场组团、东方红林业局＋东方红镇为组团、东诚镇＋庆丰乡为组团的四个一级发展节点。</w:t>
      </w:r>
    </w:p>
    <w:p w14:paraId="0999670D">
      <w:pPr>
        <w:pStyle w:val="4"/>
        <w:widowControl w:val="0"/>
        <w:snapToGrid/>
        <w:spacing w:before="120" w:beforeLines="50" w:after="120" w:afterLines="50" w:line="600" w:lineRule="exact"/>
        <w:ind w:firstLine="0" w:firstLineChars="0"/>
        <w:rPr>
          <w:b w:val="0"/>
          <w:bCs w:val="0"/>
          <w:color w:val="auto"/>
          <w:u w:val="none"/>
        </w:rPr>
      </w:pPr>
      <w:bookmarkStart w:id="62" w:name="_Toc15439"/>
      <w:bookmarkStart w:id="63" w:name="_Toc181784647"/>
      <w:bookmarkStart w:id="64" w:name="_Toc181784577"/>
      <w:bookmarkStart w:id="65" w:name="_Toc181784437"/>
      <w:bookmarkStart w:id="66" w:name="_Toc7009"/>
      <w:r>
        <w:rPr>
          <w:b w:val="0"/>
          <w:bCs w:val="0"/>
          <w:color w:val="auto"/>
          <w:u w:val="none"/>
        </w:rPr>
        <w:t>第四节 优化规划分区与用地结构</w:t>
      </w:r>
      <w:bookmarkEnd w:id="62"/>
      <w:bookmarkEnd w:id="63"/>
      <w:bookmarkEnd w:id="64"/>
      <w:bookmarkEnd w:id="65"/>
      <w:bookmarkEnd w:id="66"/>
    </w:p>
    <w:p w14:paraId="60444A6F">
      <w:pPr>
        <w:pStyle w:val="5"/>
        <w:spacing w:before="120" w:after="120"/>
        <w:rPr>
          <w:b/>
        </w:rPr>
      </w:pPr>
      <w:bookmarkStart w:id="67" w:name="_Toc5557"/>
      <w:bookmarkStart w:id="68" w:name="_Toc5769"/>
      <w:bookmarkStart w:id="69" w:name="_Toc13679"/>
      <w:r>
        <w:t>第2</w:t>
      </w:r>
      <w:r>
        <w:rPr>
          <w:rFonts w:hint="eastAsia"/>
        </w:rPr>
        <w:t>1</w:t>
      </w:r>
      <w:r>
        <w:t>条 划定规划分区</w:t>
      </w:r>
    </w:p>
    <w:p w14:paraId="11EC32F5">
      <w:pPr>
        <w:rPr>
          <w:u w:val="none"/>
        </w:rPr>
      </w:pPr>
      <w:r>
        <w:rPr>
          <w:u w:val="none"/>
        </w:rPr>
        <w:t>按照底线管控、多规合一、全域统筹的总体思路，划分生态保护区、生态控制区、农田保护区、城镇发展区、乡村发展区等主导功能规划分区。建立各类规划分区的国土用途管控目标、空间布局和管控规则，提升国土空间开发保护质量和效益。</w:t>
      </w:r>
    </w:p>
    <w:p w14:paraId="1255841A">
      <w:pPr>
        <w:rPr>
          <w:u w:val="none"/>
        </w:rPr>
      </w:pPr>
      <w:r>
        <w:rPr>
          <w:snapToGrid w:val="0"/>
          <w:u w:val="none"/>
        </w:rPr>
        <w:t>生态保护区：</w:t>
      </w:r>
      <w:r>
        <w:rPr>
          <w:u w:val="none"/>
        </w:rPr>
        <w:t>将自然保护地、生态保护红线等具有特殊重要生态功能或生态敏感脆弱、必须强制性严格保护的空间划定为生态保护区，生态保护区按照自然保护地和生态保护红线相关要求管理，禁止开发性和生产性建设活动，仅允许对生态功能不造成破坏的有限人为活动。</w:t>
      </w:r>
    </w:p>
    <w:p w14:paraId="05F3926E">
      <w:pPr>
        <w:rPr>
          <w:u w:val="none"/>
        </w:rPr>
      </w:pPr>
      <w:r>
        <w:rPr>
          <w:snapToGrid w:val="0"/>
          <w:u w:val="none"/>
        </w:rPr>
        <w:t>生态控制区：</w:t>
      </w:r>
      <w:r>
        <w:rPr>
          <w:u w:val="none"/>
        </w:rPr>
        <w:t>将生态保护红线外需要予以保留原貌、强化生态保育和生态建设、限制开发建设区域划定为生态控制区。生态控制区在不降低生态功能、不破坏生态系统整体稳定性的前提下，依据国土空间规划和相关法定程序、管制规则，允许适度开发利用。</w:t>
      </w:r>
    </w:p>
    <w:p w14:paraId="546787A0">
      <w:pPr>
        <w:rPr>
          <w:u w:val="none"/>
        </w:rPr>
      </w:pPr>
      <w:r>
        <w:rPr>
          <w:snapToGrid w:val="0"/>
          <w:u w:val="none"/>
        </w:rPr>
        <w:t>农田保护区：</w:t>
      </w:r>
      <w:r>
        <w:rPr>
          <w:u w:val="none"/>
        </w:rPr>
        <w:t>将永久基本农田相对集中需严格保护的区域划定为农田保护区。鼓励开展永久基本农田和为永久基本农田服务的道路、水利、农田防护林及其他农业设施的建设；国土综合整治资金应优先投入农田保护区。严格占用和补划审查论证，一般建设项目不得占用永久基本农田，重大建设项目选址确实难以避让永久基本农田的，按照要求进行论证，并依法报批。非战略性矿产，申请新设矿权，应当避让永久基本农田。</w:t>
      </w:r>
    </w:p>
    <w:p w14:paraId="74904ACB">
      <w:pPr>
        <w:rPr>
          <w:u w:val="none"/>
        </w:rPr>
      </w:pPr>
      <w:r>
        <w:rPr>
          <w:snapToGrid w:val="0"/>
          <w:u w:val="none"/>
        </w:rPr>
        <w:t>城镇发展区：</w:t>
      </w:r>
      <w:r>
        <w:rPr>
          <w:u w:val="none"/>
        </w:rPr>
        <w:t>将城镇集中开发建设并可满足城镇生产、生活需要的区域划定为城镇发展区。城镇发展区中城镇开发边界内建设，实行“详细规划+规划许可”的管制方式，并加强水体保护线、绿地系统线、基础设施建设控制线、历史文化保护线等控制线的协同管控。重点加强对国土利用布局优化调整，区域内现状村庄建设用地可通过依法征收转为国有土地，或通过出让、出租等方式进入土地流转市场；耕地、林地等非建设用地，可通过农用地转用审批手续等合法程序可转为建设用地。水域、林地、古迹遗址等具有生态与人文功能的用地，应予以保护，对生态、人文环境产生破坏的用地，应逐步腾退。</w:t>
      </w:r>
    </w:p>
    <w:p w14:paraId="74C400DC">
      <w:pPr>
        <w:rPr>
          <w:u w:val="none"/>
        </w:rPr>
      </w:pPr>
      <w:r>
        <w:rPr>
          <w:snapToGrid w:val="0"/>
          <w:u w:val="none"/>
        </w:rPr>
        <w:t>乡村发展区：</w:t>
      </w:r>
      <w:r>
        <w:rPr>
          <w:u w:val="none"/>
        </w:rPr>
        <w:t>将满足农林牧渔等农业发展，以及为满足农民集中生活及生产配套为主的区域划定为乡村发展区，乡村发展区以促进农业乡村特色产业发展、改善农民生产生活条件为导向，按照“详细规划+规划许可”和“约束指标+分区准入”的方式，根据具体土地用途类型进行管理。乡村发展区内允许农业和乡村特色产业发展及其配套设施建设，以及为改善农村人居环境进行的村庄建设与整治，允许道路、市政、防灾、旅游等设施建设。</w:t>
      </w:r>
    </w:p>
    <w:p w14:paraId="7D531C46">
      <w:pPr>
        <w:rPr>
          <w:u w:val="none"/>
        </w:rPr>
      </w:pPr>
      <w:r>
        <w:rPr>
          <w:snapToGrid w:val="0"/>
          <w:u w:val="none"/>
        </w:rPr>
        <w:t>矿产能源发展区：</w:t>
      </w:r>
      <w:r>
        <w:rPr>
          <w:u w:val="none"/>
        </w:rPr>
        <w:t>为适应国家能源安全与矿业发展的重要陆域采矿区，战略性矿产储量等区域。</w:t>
      </w:r>
    </w:p>
    <w:p w14:paraId="1EB4D503">
      <w:pPr>
        <w:pStyle w:val="5"/>
        <w:spacing w:before="120" w:after="120"/>
        <w:rPr>
          <w:b/>
        </w:rPr>
      </w:pPr>
      <w:r>
        <w:t>第</w:t>
      </w:r>
      <w:r>
        <w:rPr>
          <w:rFonts w:hint="eastAsia"/>
        </w:rPr>
        <w:t>22</w:t>
      </w:r>
      <w:r>
        <w:t>条 国土空间结构优化</w:t>
      </w:r>
      <w:bookmarkEnd w:id="67"/>
      <w:bookmarkEnd w:id="68"/>
      <w:bookmarkEnd w:id="69"/>
    </w:p>
    <w:p w14:paraId="573E8AE1">
      <w:pPr>
        <w:rPr>
          <w:u w:val="none"/>
        </w:rPr>
      </w:pPr>
      <w:r>
        <w:rPr>
          <w:u w:val="none"/>
        </w:rPr>
        <w:t>落实市级总规控制指标，明确主要用地的约束性和预期性指标。利用全国自然灾害综合风险普查结果，合理避让自然灾害高风险区域，依次考虑满足生态保护、农业保障及其他土地需求，严格控制各类建设占用生态和农业用地，提出县域范围内国土空间结构调整优化的重点、方向和时序安排。</w:t>
      </w:r>
    </w:p>
    <w:p w14:paraId="683A2970">
      <w:pPr>
        <w:rPr>
          <w:u w:val="none"/>
        </w:rPr>
      </w:pPr>
      <w:r>
        <w:rPr>
          <w:rFonts w:hint="eastAsia" w:ascii="楷体_GB2312" w:hAnsi="楷体_GB2312" w:eastAsia="楷体_GB2312" w:cs="楷体_GB2312"/>
          <w:u w:val="none"/>
        </w:rPr>
        <w:t>保障农林用地。</w:t>
      </w:r>
      <w:r>
        <w:rPr>
          <w:u w:val="none"/>
        </w:rPr>
        <w:t>科学利用农林用地，落实最严格的耕地保护制度，切实加强永久基本农田建设；因地制宜发展园地，加强对中低产田和新建园地的改造和管理，支持特色农林产业种植，提升园地效益。通过国土综合整治等增加耕地、园地面积。推进林地、园地、耕地置换调优，结合适宜性原则，按照耕地、园地、林地、草地的优先序，逐步通过实施耕地进出平衡，优化农用地布局。在确保耕地总量不减少的前提下，逐步调整不符合自然地理条件的土地利用方式，引导陡坡山地转变为林地，平原耕地种植林木等，逐步置换为耕地。加强天然林、生态公益林、人工商品林保护和建设，加大林种树种结构调整力度，提升林分质量和森林综合效益。合理安排农业设施用地，引导向非耕地区域转移。</w:t>
      </w:r>
    </w:p>
    <w:p w14:paraId="11679AD1">
      <w:pPr>
        <w:rPr>
          <w:u w:val="none"/>
        </w:rPr>
      </w:pPr>
      <w:r>
        <w:rPr>
          <w:rFonts w:ascii="楷体_GB2312" w:hAnsi="楷体_GB2312" w:eastAsia="楷体_GB2312" w:cs="楷体_GB2312"/>
          <w:u w:val="none"/>
        </w:rPr>
        <w:t>节约集约利用建设用地。</w:t>
      </w:r>
      <w:r>
        <w:rPr>
          <w:u w:val="none"/>
        </w:rPr>
        <w:t>科学控制建设用地总量，优化建设用地结构，推进城镇建设用地集约发展，引导村庄建设用地合理化，保障区域基础设施和其他建设用地。推进建设用地由“增量扩张”向“增存并重”转型，推进建设用地在城镇和乡村内部、城乡之间合理流转。</w:t>
      </w:r>
    </w:p>
    <w:p w14:paraId="52E53089">
      <w:pPr>
        <w:rPr>
          <w:u w:val="none"/>
        </w:rPr>
      </w:pPr>
      <w:r>
        <w:rPr>
          <w:rFonts w:ascii="楷体_GB2312" w:hAnsi="楷体_GB2312" w:eastAsia="楷体_GB2312" w:cs="楷体_GB2312"/>
          <w:u w:val="none"/>
        </w:rPr>
        <w:t>稳定自然保护与保留用地。</w:t>
      </w:r>
      <w:r>
        <w:rPr>
          <w:u w:val="none"/>
        </w:rPr>
        <w:t>大力保护湿地、陆地水域等自然保护区域，适度减少其他土地，对规划期内不具备开发利用条件的自然保留区域实施开发限制。</w:t>
      </w:r>
      <w:bookmarkStart w:id="70" w:name="_Toc13880"/>
    </w:p>
    <w:p w14:paraId="7F5DDA76">
      <w:pPr>
        <w:rPr>
          <w:u w:val="none"/>
        </w:rPr>
      </w:pPr>
    </w:p>
    <w:p w14:paraId="5FFE4264">
      <w:pPr>
        <w:pStyle w:val="3"/>
        <w:widowControl w:val="0"/>
        <w:snapToGrid/>
        <w:spacing w:before="10" w:after="10" w:line="600" w:lineRule="exact"/>
        <w:ind w:firstLine="0" w:firstLineChars="0"/>
        <w:jc w:val="center"/>
        <w:rPr>
          <w:rFonts w:ascii="Times New Roman" w:hAnsi="Times New Roman" w:eastAsia="方正小标宋简体"/>
          <w:b w:val="0"/>
          <w:bCs w:val="0"/>
          <w:color w:val="auto"/>
          <w:sz w:val="36"/>
          <w:u w:val="none"/>
        </w:rPr>
      </w:pPr>
      <w:bookmarkStart w:id="71" w:name="_Toc1280"/>
      <w:bookmarkStart w:id="72" w:name="_Toc181784648"/>
      <w:bookmarkStart w:id="73" w:name="_Toc181784438"/>
      <w:bookmarkStart w:id="74" w:name="_Toc181784578"/>
      <w:r>
        <w:rPr>
          <w:rFonts w:ascii="Times New Roman" w:hAnsi="Times New Roman" w:eastAsia="方正小标宋简体"/>
          <w:b w:val="0"/>
          <w:bCs w:val="0"/>
          <w:color w:val="auto"/>
          <w:sz w:val="36"/>
          <w:u w:val="none"/>
        </w:rPr>
        <w:t>第</w:t>
      </w:r>
      <w:r>
        <w:rPr>
          <w:rFonts w:hint="eastAsia" w:ascii="Times New Roman" w:hAnsi="Times New Roman" w:eastAsia="方正小标宋简体"/>
          <w:b w:val="0"/>
          <w:bCs w:val="0"/>
          <w:color w:val="auto"/>
          <w:sz w:val="36"/>
          <w:u w:val="none"/>
        </w:rPr>
        <w:t>四</w:t>
      </w:r>
      <w:r>
        <w:rPr>
          <w:rFonts w:ascii="Times New Roman" w:hAnsi="Times New Roman" w:eastAsia="方正小标宋简体"/>
          <w:b w:val="0"/>
          <w:bCs w:val="0"/>
          <w:color w:val="auto"/>
          <w:sz w:val="36"/>
          <w:u w:val="none"/>
        </w:rPr>
        <w:t>章 保障优质富饶农业空间</w:t>
      </w:r>
      <w:bookmarkEnd w:id="70"/>
      <w:bookmarkEnd w:id="71"/>
      <w:bookmarkEnd w:id="72"/>
      <w:bookmarkEnd w:id="73"/>
      <w:bookmarkEnd w:id="74"/>
    </w:p>
    <w:p w14:paraId="110E4467">
      <w:pPr>
        <w:pStyle w:val="4"/>
        <w:widowControl w:val="0"/>
        <w:snapToGrid/>
        <w:spacing w:before="120" w:beforeLines="50" w:after="120" w:afterLines="50" w:line="600" w:lineRule="exact"/>
        <w:ind w:firstLine="0" w:firstLineChars="0"/>
        <w:rPr>
          <w:b w:val="0"/>
          <w:bCs w:val="0"/>
          <w:color w:val="auto"/>
          <w:u w:val="none"/>
        </w:rPr>
      </w:pPr>
      <w:bookmarkStart w:id="75" w:name="_Toc28545"/>
      <w:bookmarkStart w:id="76" w:name="_Toc181784439"/>
      <w:bookmarkStart w:id="77" w:name="_Toc181784649"/>
      <w:bookmarkStart w:id="78" w:name="_Toc181784579"/>
      <w:bookmarkStart w:id="79" w:name="_Toc24013"/>
      <w:r>
        <w:rPr>
          <w:b w:val="0"/>
          <w:bCs w:val="0"/>
          <w:color w:val="auto"/>
          <w:u w:val="none"/>
        </w:rPr>
        <w:t>第一节 构建农业发展格局</w:t>
      </w:r>
      <w:bookmarkEnd w:id="75"/>
      <w:bookmarkEnd w:id="76"/>
      <w:bookmarkEnd w:id="77"/>
      <w:bookmarkEnd w:id="78"/>
      <w:bookmarkEnd w:id="79"/>
    </w:p>
    <w:p w14:paraId="620A7C6B">
      <w:pPr>
        <w:pStyle w:val="5"/>
        <w:spacing w:before="120" w:after="120"/>
        <w:rPr>
          <w:b/>
        </w:rPr>
      </w:pPr>
      <w:r>
        <w:rPr>
          <w:rFonts w:hint="eastAsia"/>
        </w:rPr>
        <w:t xml:space="preserve">第23条 </w:t>
      </w:r>
      <w:r>
        <w:t>“两带</w:t>
      </w:r>
      <w:r>
        <w:rPr>
          <w:rFonts w:hint="eastAsia"/>
        </w:rPr>
        <w:t>、</w:t>
      </w:r>
      <w:r>
        <w:t>三区</w:t>
      </w:r>
      <w:r>
        <w:rPr>
          <w:rFonts w:hint="eastAsia"/>
        </w:rPr>
        <w:t>、</w:t>
      </w:r>
      <w:r>
        <w:t>多基地”的农业空间格局</w:t>
      </w:r>
    </w:p>
    <w:p w14:paraId="1F5DBA23">
      <w:pPr>
        <w:rPr>
          <w:u w:val="none"/>
        </w:rPr>
      </w:pPr>
      <w:r>
        <w:rPr>
          <w:rFonts w:ascii="楷体_GB2312" w:hAnsi="楷体_GB2312" w:eastAsia="楷体_GB2312" w:cs="楷体_GB2312"/>
          <w:u w:val="none"/>
        </w:rPr>
        <w:t>两带：</w:t>
      </w:r>
      <w:r>
        <w:rPr>
          <w:u w:val="none"/>
        </w:rPr>
        <w:t>北部林下经济发展带、中部现代农业观光带。调优农业种养结构，构建“一乡一品”的特色产业发展格局。重点发展林下种养殖业，形成特色产业带。</w:t>
      </w:r>
    </w:p>
    <w:p w14:paraId="36C50918">
      <w:pPr>
        <w:rPr>
          <w:u w:val="none"/>
        </w:rPr>
      </w:pPr>
      <w:r>
        <w:rPr>
          <w:rFonts w:ascii="楷体_GB2312" w:hAnsi="楷体_GB2312" w:eastAsia="楷体_GB2312" w:cs="楷体_GB2312"/>
          <w:u w:val="none"/>
        </w:rPr>
        <w:t>三区：</w:t>
      </w:r>
      <w:r>
        <w:rPr>
          <w:u w:val="none"/>
        </w:rPr>
        <w:t>打造构建北部山特产品产业区、西部畜牧业发展区、中部规模农业产业发展区三个规模农业发展区构建玉米、大豆和水稻优势农业产业区。</w:t>
      </w:r>
    </w:p>
    <w:p w14:paraId="7057B8AA">
      <w:pPr>
        <w:rPr>
          <w:u w:val="none"/>
        </w:rPr>
      </w:pPr>
      <w:r>
        <w:rPr>
          <w:rFonts w:ascii="楷体_GB2312" w:hAnsi="楷体_GB2312" w:eastAsia="楷体_GB2312" w:cs="楷体_GB2312"/>
          <w:u w:val="none"/>
        </w:rPr>
        <w:t>多基地：</w:t>
      </w:r>
      <w:r>
        <w:rPr>
          <w:u w:val="none"/>
        </w:rPr>
        <w:t>全域种养殖业基地，培育做强多个特色农牧产业基地发展现代休闲农业和市民“菜篮子”基地。建设特色农业示范园区，推动特色种养与休闲度假、旅游观光、体验娱乐结合，培育壮大农业经济。</w:t>
      </w:r>
    </w:p>
    <w:p w14:paraId="2D4F1695">
      <w:pPr>
        <w:pStyle w:val="4"/>
        <w:widowControl w:val="0"/>
        <w:snapToGrid/>
        <w:spacing w:before="120" w:beforeLines="50" w:after="120" w:afterLines="50" w:line="600" w:lineRule="exact"/>
        <w:ind w:firstLine="0" w:firstLineChars="0"/>
        <w:rPr>
          <w:b w:val="0"/>
          <w:bCs w:val="0"/>
          <w:color w:val="auto"/>
          <w:u w:val="none"/>
        </w:rPr>
      </w:pPr>
      <w:bookmarkStart w:id="80" w:name="_Toc181784650"/>
      <w:bookmarkStart w:id="81" w:name="_Toc30394"/>
      <w:bookmarkStart w:id="82" w:name="_Toc181784580"/>
      <w:bookmarkStart w:id="83" w:name="_Toc181784440"/>
      <w:bookmarkStart w:id="84" w:name="_Toc8104"/>
      <w:r>
        <w:rPr>
          <w:b w:val="0"/>
          <w:bCs w:val="0"/>
          <w:color w:val="auto"/>
          <w:u w:val="none"/>
        </w:rPr>
        <w:t>第二节 实施</w:t>
      </w:r>
      <w:r>
        <w:rPr>
          <w:rFonts w:hint="eastAsia"/>
          <w:b w:val="0"/>
          <w:bCs w:val="0"/>
          <w:color w:val="auto"/>
          <w:u w:val="none"/>
        </w:rPr>
        <w:t>黑土</w:t>
      </w:r>
      <w:r>
        <w:rPr>
          <w:b w:val="0"/>
          <w:bCs w:val="0"/>
          <w:color w:val="auto"/>
          <w:u w:val="none"/>
        </w:rPr>
        <w:t>耕地“三位一体”保护</w:t>
      </w:r>
      <w:bookmarkEnd w:id="80"/>
      <w:bookmarkEnd w:id="81"/>
      <w:bookmarkEnd w:id="82"/>
      <w:bookmarkEnd w:id="83"/>
      <w:bookmarkEnd w:id="84"/>
    </w:p>
    <w:p w14:paraId="153CB448">
      <w:pPr>
        <w:pStyle w:val="5"/>
        <w:spacing w:before="120" w:after="120"/>
        <w:rPr>
          <w:b/>
        </w:rPr>
      </w:pPr>
      <w:r>
        <w:rPr>
          <w:rFonts w:hint="eastAsia"/>
        </w:rPr>
        <w:t xml:space="preserve">第24条 </w:t>
      </w:r>
      <w:r>
        <w:t>压实耕地保护责任</w:t>
      </w:r>
    </w:p>
    <w:p w14:paraId="1538252C">
      <w:pPr>
        <w:rPr>
          <w:u w:val="none"/>
        </w:rPr>
      </w:pPr>
      <w:r>
        <w:rPr>
          <w:u w:val="none"/>
        </w:rPr>
        <w:t>将国家、省、市下达</w:t>
      </w:r>
      <w:r>
        <w:rPr>
          <w:rFonts w:hint="eastAsia"/>
          <w:u w:val="none"/>
        </w:rPr>
        <w:t>虎林</w:t>
      </w:r>
      <w:r>
        <w:rPr>
          <w:u w:val="none"/>
        </w:rPr>
        <w:t>市的耕地保有量、永久基本农田保护目标分解到各乡镇，作为必须守住的保护红线任务。健全落实耕地保护和粮食安全责任考核机制，各级党委和政府签订耕地保护和粮食安全责任书，压实耕地保护主体责任。对耕地保护责任目标完成情况定期考核，实行耕地保护党政同责、终身追责。</w:t>
      </w:r>
    </w:p>
    <w:p w14:paraId="223C3660">
      <w:pPr>
        <w:pStyle w:val="5"/>
        <w:spacing w:before="120" w:after="120"/>
        <w:rPr>
          <w:b/>
        </w:rPr>
      </w:pPr>
      <w:r>
        <w:rPr>
          <w:rFonts w:hint="eastAsia"/>
        </w:rPr>
        <w:t>第25条 严格落实耕地“占补平衡”</w:t>
      </w:r>
    </w:p>
    <w:p w14:paraId="2B52DA6A">
      <w:pPr>
        <w:rPr>
          <w:u w:val="none"/>
        </w:rPr>
      </w:pPr>
      <w:r>
        <w:rPr>
          <w:u w:val="none"/>
        </w:rPr>
        <w:t>严控非农业建设占用耕地，特别是永久基本农田，确需占用的，严格落实永久基本农田占用和补划。落实耕地占补平衡责任，必须严格落实先补后占和占一补一、占优补优、占水田补水田。积极拓宽补充耕地途径，补充可以长期稳定利用的耕地。开展耕地后备资源调查评价，建立补充耕地储备库，加强补充耕地监管。</w:t>
      </w:r>
    </w:p>
    <w:p w14:paraId="0D1BA4FB">
      <w:pPr>
        <w:pStyle w:val="5"/>
        <w:spacing w:before="120" w:after="120"/>
        <w:rPr>
          <w:b/>
        </w:rPr>
      </w:pPr>
      <w:r>
        <w:rPr>
          <w:rFonts w:hint="eastAsia"/>
        </w:rPr>
        <w:t xml:space="preserve">第26条 </w:t>
      </w:r>
      <w:r>
        <w:t>实施耕地“进出平衡”</w:t>
      </w:r>
    </w:p>
    <w:p w14:paraId="7CD2D8AB">
      <w:pPr>
        <w:rPr>
          <w:u w:val="none"/>
        </w:rPr>
      </w:pPr>
      <w:r>
        <w:rPr>
          <w:u w:val="none"/>
        </w:rPr>
        <w:t>根据虎林市政府承担的耕地保有量目标，对耕地转为其他农用地及农业设施建设用地实行年度“进出平衡”，即除国家安排的生态退耕、自然灾害损毁难以复耕、河湖水面自然扩大造成耕地永久淹没外，经批准实施的耕地转为林地、草地、园地等其他农用地及农业设施建设用地，通过统筹林地、草地、园地等其他农用地及农业设施建设用地整治为耕地等方式，补足同等数量、质量的可以长期稳定利用的耕地。</w:t>
      </w:r>
    </w:p>
    <w:p w14:paraId="6216FE94">
      <w:pPr>
        <w:pStyle w:val="5"/>
        <w:spacing w:before="120" w:after="120"/>
        <w:rPr>
          <w:b/>
        </w:rPr>
      </w:pPr>
      <w:r>
        <w:rPr>
          <w:rFonts w:hint="eastAsia"/>
        </w:rPr>
        <w:t>第27条 加强</w:t>
      </w:r>
      <w:r>
        <w:t>耕地用途管制</w:t>
      </w:r>
    </w:p>
    <w:p w14:paraId="77063475">
      <w:pPr>
        <w:rPr>
          <w:u w:val="none"/>
        </w:rPr>
      </w:pPr>
      <w:r>
        <w:rPr>
          <w:u w:val="none"/>
        </w:rPr>
        <w:t>严格落实耕地利用优先序，耕地主要用于粮食和油、糖、蔬菜等农产品及饲草饲料生产，永久基本农田重点用于水稻、玉米、小麦、大豆等粮食生产，高标准农田原则上全部用于粮食生产。开展日常巡查和核查，对耕地种植用途改变做到早发现、早制止，守住国家粮食安全底线，保障粮食和重要农产品有效供给。</w:t>
      </w:r>
    </w:p>
    <w:p w14:paraId="2A00A229">
      <w:pPr>
        <w:pStyle w:val="5"/>
        <w:spacing w:before="120" w:after="120"/>
        <w:rPr>
          <w:b/>
        </w:rPr>
      </w:pPr>
      <w:r>
        <w:rPr>
          <w:rFonts w:hint="eastAsia"/>
        </w:rPr>
        <w:t xml:space="preserve">第28条 </w:t>
      </w:r>
      <w:r>
        <w:t>加强永久基本农田特殊保护</w:t>
      </w:r>
    </w:p>
    <w:p w14:paraId="11ADBEBE">
      <w:pPr>
        <w:rPr>
          <w:u w:val="none"/>
        </w:rPr>
      </w:pPr>
      <w:r>
        <w:rPr>
          <w:u w:val="none"/>
        </w:rPr>
        <w:t>永久基本农田重点用于发展粮食生产，特别是保障水稻、小麦、玉米、大豆等主要粮食作物种植面积。永久基本农田不得转为林地、草地、园地等其他农用地及农业设施建设用地。严禁占用永久基本农田发展林果业和挖塘养鱼；严禁占用永久基本农田种植苗木、草皮等用于绿化装饰以及其他破坏耕作层的植物；严禁占用永久基本农田挖湖造景、建设绿化带；严禁新增占用永久基本农田建设畜禽养殖设施、水产养殖设施和破坏耕作层的种植业设施。</w:t>
      </w:r>
    </w:p>
    <w:p w14:paraId="336B5206">
      <w:pPr>
        <w:pStyle w:val="5"/>
        <w:spacing w:before="120" w:after="120"/>
        <w:rPr>
          <w:b/>
        </w:rPr>
      </w:pPr>
      <w:r>
        <w:rPr>
          <w:rFonts w:hint="eastAsia"/>
        </w:rPr>
        <w:t>第29条 落实</w:t>
      </w:r>
      <w:r>
        <w:t>永久基本农田占用与补划</w:t>
      </w:r>
    </w:p>
    <w:p w14:paraId="16996046">
      <w:pPr>
        <w:rPr>
          <w:u w:val="none"/>
        </w:rPr>
      </w:pPr>
      <w:r>
        <w:rPr>
          <w:u w:val="none"/>
        </w:rPr>
        <w:t>任何单位和个人不得擅自占用或者改变永久基本农田的用途。国家能源、交通、水利、军事设施等重点建设项目选址确实难以避让永久基本农田的，涉及农用地转用或者土地征收的，必须经国务院批准。同时按照数量不减、质量不降原则，在可以长期稳定利用的耕地上落实永久基本农田补划任务。建设项目经依法批准占用永久基本农田的，应当优先从优质一般耕地中补划。在土地整治和高标准农田建设中，完善田间排灌设施、田间道路、农田防护林、电力等配套建设涉及少量占用或优化永久基本农田布局的，要在项目区内予以补足。</w:t>
      </w:r>
    </w:p>
    <w:p w14:paraId="6F68C826">
      <w:pPr>
        <w:pStyle w:val="5"/>
        <w:spacing w:before="120" w:after="120"/>
        <w:rPr>
          <w:b/>
        </w:rPr>
      </w:pPr>
      <w:r>
        <w:rPr>
          <w:rFonts w:hint="eastAsia"/>
        </w:rPr>
        <w:t xml:space="preserve">第30条 </w:t>
      </w:r>
      <w:r>
        <w:t>多措并举保护黑土耕地</w:t>
      </w:r>
    </w:p>
    <w:p w14:paraId="6BA6D1E3">
      <w:pPr>
        <w:rPr>
          <w:u w:val="none"/>
        </w:rPr>
      </w:pPr>
      <w:r>
        <w:rPr>
          <w:u w:val="none"/>
        </w:rPr>
        <w:t>坚持生态优先、用养结合，对黑土耕地实行战略性保护，推广保护性耕作模式，扩大秸秆还田、增施有机肥，推进黑土耕地高标准农田建设，完善农田基础设施，提升耕地综合生产能力。</w:t>
      </w:r>
      <w:r>
        <w:rPr>
          <w:rFonts w:hint="eastAsia"/>
          <w:u w:val="none"/>
          <w:lang w:val="en-US" w:eastAsia="zh-CN"/>
        </w:rPr>
        <w:t>其一</w:t>
      </w:r>
      <w:r>
        <w:rPr>
          <w:u w:val="none"/>
        </w:rPr>
        <w:t>加强耕地水土流失治理。坚持水土保持工程与耕作、生物措施相结合，实行坡耕地、侵蚀沟、土壤风蚀治理行动，防治黑土耕地水土流失。</w:t>
      </w:r>
      <w:r>
        <w:rPr>
          <w:rFonts w:hint="eastAsia"/>
          <w:u w:val="none"/>
          <w:lang w:val="en-US" w:eastAsia="zh-CN"/>
        </w:rPr>
        <w:t>其二</w:t>
      </w:r>
      <w:r>
        <w:rPr>
          <w:u w:val="none"/>
        </w:rPr>
        <w:t>加强农田基础设施建设。优先实施粮食生产功能区和重要农产品生产保护区黑土高标准农田建设，采取农田灌排体系建设、田块整治建设、田间道路建设，巩固提升“两区”综合生产能力。</w:t>
      </w:r>
      <w:r>
        <w:rPr>
          <w:rFonts w:hint="eastAsia"/>
          <w:u w:val="none"/>
          <w:lang w:val="en-US" w:eastAsia="zh-CN"/>
        </w:rPr>
        <w:t>其三</w:t>
      </w:r>
      <w:r>
        <w:rPr>
          <w:u w:val="none"/>
        </w:rPr>
        <w:t>提升耕地质量。推进种养结合，分类推行耕地深松轮作、保护性耕作、有机肥还田，增加秸秆、畜禽粪肥等有机物补充回归，提升土壤有机质含量和基础地力。</w:t>
      </w:r>
      <w:r>
        <w:rPr>
          <w:rFonts w:hint="eastAsia"/>
          <w:u w:val="none"/>
          <w:lang w:val="en-US" w:eastAsia="zh-CN"/>
        </w:rPr>
        <w:t>其四</w:t>
      </w:r>
      <w:r>
        <w:rPr>
          <w:u w:val="none"/>
        </w:rPr>
        <w:t>推行绿色生产方式。发展绿色低碳、节约集约农业，防治农业面源污染，提高农业用水效率，推动加快形成绿色生产方式。</w:t>
      </w:r>
    </w:p>
    <w:p w14:paraId="744C9CFB">
      <w:pPr>
        <w:pStyle w:val="5"/>
        <w:spacing w:before="120" w:after="120"/>
        <w:rPr>
          <w:b/>
        </w:rPr>
      </w:pPr>
      <w:r>
        <w:rPr>
          <w:rFonts w:hint="eastAsia"/>
        </w:rPr>
        <w:t xml:space="preserve">第31条 </w:t>
      </w:r>
      <w:r>
        <w:t>提升耕地质量，实现数量、质量、生态“三位一体”保护</w:t>
      </w:r>
    </w:p>
    <w:p w14:paraId="09A8D952">
      <w:pPr>
        <w:rPr>
          <w:u w:val="none"/>
        </w:rPr>
      </w:pPr>
      <w:r>
        <w:rPr>
          <w:u w:val="none"/>
        </w:rPr>
        <w:t>严格落实上位规划确定的耕地和永久基本农田保护任务，优先保护质量等级高、集中连片的优质耕地。实施耕地质量提升工程，推进农业绿色生产方式。有计划地改造中低产田，建设高标准农田，提高耕地质量，保护黑土地等优质耕地，引导因地制宜轮作休耕、提高地力。非农建设将所占用耕地耕作层的土壤用于新开垦耕地、劣质地或者其他耕地的土壤改良。推进水土保持建设、高标准农田建设，固土保水，提升耕地质量，提高土壤有机质含量。严格耕地用途管制，采取措施，预防和治理耕地土壤流失、污染。</w:t>
      </w:r>
    </w:p>
    <w:p w14:paraId="6AB45BBB">
      <w:pPr>
        <w:pStyle w:val="5"/>
        <w:spacing w:before="120" w:after="120"/>
        <w:rPr>
          <w:b/>
        </w:rPr>
      </w:pPr>
      <w:r>
        <w:rPr>
          <w:rFonts w:hint="eastAsia"/>
        </w:rPr>
        <w:t xml:space="preserve">第32条 </w:t>
      </w:r>
      <w:r>
        <w:t>科学实施耕地后备资源开发和战略储备</w:t>
      </w:r>
    </w:p>
    <w:p w14:paraId="22AA6375">
      <w:pPr>
        <w:rPr>
          <w:u w:val="none"/>
        </w:rPr>
      </w:pPr>
      <w:r>
        <w:rPr>
          <w:rFonts w:eastAsia="楷体_GB2312"/>
          <w:snapToGrid w:val="0"/>
          <w:color w:val="auto"/>
          <w:u w:val="none"/>
        </w:rPr>
        <w:t>结合</w:t>
      </w:r>
      <w:r>
        <w:rPr>
          <w:u w:val="none"/>
        </w:rPr>
        <w:t>规划期内建设占用耕地情况，按照“占一补一”要求，以保护好生态为前提，在水土资源条件具备的地区，适度开发荒草地等耕地后备资源，推进工矿废弃地等建设用地复垦。严格认定新增耕地数量，保障新增耕地质量，确保新增耕地真实准确。科学论证，因地制宜安排补充耕地项目，结合耕地后备资源的分布及其自然、基础设施等条件，根据对耕地资源的需求和国省的要求，挖掘耕地后备资源开发的潜力，合理安排耕地战略储备。规划期内重点进行阿北乡补充耕地项目，确保补足耕地数量与提升耕地质量相结合，落实耕地占补平衡。加强高标准永久基本农田建设，对低产田进行有效改良，坚持用地和养地相结合，增加农业产量。虎林市规划至2025年耕地后备资源开发利用主要分布在</w:t>
      </w:r>
      <w:r>
        <w:rPr>
          <w:rFonts w:hint="eastAsia"/>
          <w:u w:val="none"/>
        </w:rPr>
        <w:t>农场</w:t>
      </w:r>
      <w:r>
        <w:rPr>
          <w:u w:val="none"/>
        </w:rPr>
        <w:t>、虎头镇等；规划至2028年耕地后备资源开发利用主要分布在</w:t>
      </w:r>
      <w:r>
        <w:rPr>
          <w:rFonts w:hint="eastAsia"/>
          <w:u w:val="none"/>
        </w:rPr>
        <w:t>各农场</w:t>
      </w:r>
      <w:r>
        <w:rPr>
          <w:u w:val="none"/>
        </w:rPr>
        <w:t>、东方红林业局、杨岗镇等；规划至2035年耕地后备资源开发利用主要分布在</w:t>
      </w:r>
      <w:r>
        <w:rPr>
          <w:rFonts w:hint="eastAsia"/>
          <w:u w:val="none"/>
        </w:rPr>
        <w:t>各农场</w:t>
      </w:r>
      <w:r>
        <w:rPr>
          <w:u w:val="none"/>
        </w:rPr>
        <w:t>、东方红林业局及各乡镇。</w:t>
      </w:r>
    </w:p>
    <w:p w14:paraId="636527E6">
      <w:pPr>
        <w:pStyle w:val="4"/>
        <w:widowControl w:val="0"/>
        <w:snapToGrid/>
        <w:spacing w:before="120" w:beforeLines="50" w:after="120" w:afterLines="50" w:line="600" w:lineRule="exact"/>
        <w:ind w:firstLine="0" w:firstLineChars="0"/>
        <w:rPr>
          <w:b w:val="0"/>
          <w:bCs w:val="0"/>
          <w:color w:val="auto"/>
          <w:u w:val="none"/>
        </w:rPr>
      </w:pPr>
      <w:bookmarkStart w:id="85" w:name="_Toc181784441"/>
      <w:bookmarkStart w:id="86" w:name="_Toc181784651"/>
      <w:bookmarkStart w:id="87" w:name="_Toc20003"/>
      <w:bookmarkStart w:id="88" w:name="_Toc181784581"/>
      <w:bookmarkStart w:id="89" w:name="_Toc20192"/>
      <w:r>
        <w:rPr>
          <w:b w:val="0"/>
          <w:bCs w:val="0"/>
          <w:color w:val="auto"/>
          <w:u w:val="none"/>
        </w:rPr>
        <w:t>第三节 拓展农产品生产空间</w:t>
      </w:r>
      <w:bookmarkEnd w:id="85"/>
      <w:bookmarkEnd w:id="86"/>
      <w:bookmarkEnd w:id="87"/>
      <w:bookmarkEnd w:id="88"/>
      <w:bookmarkEnd w:id="89"/>
    </w:p>
    <w:p w14:paraId="4F012745">
      <w:pPr>
        <w:pStyle w:val="5"/>
        <w:spacing w:before="120" w:after="120"/>
        <w:rPr>
          <w:b/>
        </w:rPr>
      </w:pPr>
      <w:r>
        <w:rPr>
          <w:rFonts w:hint="eastAsia"/>
        </w:rPr>
        <w:t xml:space="preserve">第33条 </w:t>
      </w:r>
      <w:r>
        <w:t>优先保障粮食种植业空间</w:t>
      </w:r>
    </w:p>
    <w:p w14:paraId="47B1A8BA">
      <w:pPr>
        <w:rPr>
          <w:u w:val="none"/>
        </w:rPr>
      </w:pPr>
      <w:r>
        <w:rPr>
          <w:u w:val="none"/>
        </w:rPr>
        <w:t>树立大食物观，发展设施农业，构建多元化食物供给体系，以保障粮食安全为基础，拓展农产品生产空间。严守耕地保护红线，防止耕地“非农化”“非粮化”，稳定粮食播种面积。明确耕地利用优先顺序，优质耕地重点用于保障水稻、玉米、小麦三大谷物种植；一般耕地用于粮食和大豆、蔬菜等农产品及饲草饲料生产；耕地在优先满足粮食和食用农产品生产基础上，适度用于非食用农产品生产。着力推进粮食生产功能区和重要农产品生产保护区建设，积极推进高标准农田建设，实施耕地质量保护与提升行动，提倡轮作、轮休等耕作模式，不断优化种植结构，提高玉米和大豆生产能力，保障国家粮食安全和重要农产品有效供给。</w:t>
      </w:r>
    </w:p>
    <w:p w14:paraId="39DD2032">
      <w:pPr>
        <w:pStyle w:val="5"/>
        <w:spacing w:before="120" w:after="120"/>
        <w:rPr>
          <w:b/>
        </w:rPr>
      </w:pPr>
      <w:r>
        <w:rPr>
          <w:rFonts w:hint="eastAsia"/>
        </w:rPr>
        <w:t xml:space="preserve">第34条 </w:t>
      </w:r>
      <w:r>
        <w:t>合理配置养殖业空间</w:t>
      </w:r>
    </w:p>
    <w:p w14:paraId="3B183227">
      <w:pPr>
        <w:rPr>
          <w:u w:val="none"/>
        </w:rPr>
      </w:pPr>
      <w:r>
        <w:rPr>
          <w:u w:val="none"/>
        </w:rPr>
        <w:t>保障畜牧业全产业链发展用地空间。提升设施农业发展质量，推进重点地区生猪产业和肉牛产业，做强做精禽蛋产业，加快畜产品生产基地和龙头企业向主产区聚集，形成特色鲜明、竞争力强的区域优势产业。</w:t>
      </w:r>
    </w:p>
    <w:p w14:paraId="26AA25AC">
      <w:pPr>
        <w:pStyle w:val="5"/>
        <w:spacing w:before="120" w:after="120"/>
        <w:rPr>
          <w:b/>
        </w:rPr>
      </w:pPr>
      <w:r>
        <w:rPr>
          <w:rFonts w:hint="eastAsia"/>
        </w:rPr>
        <w:t xml:space="preserve">第35条 </w:t>
      </w:r>
      <w:r>
        <w:t>保障特色优势农产品生产空间</w:t>
      </w:r>
    </w:p>
    <w:p w14:paraId="7B0F15C7">
      <w:pPr>
        <w:rPr>
          <w:u w:val="none"/>
        </w:rPr>
      </w:pPr>
      <w:r>
        <w:rPr>
          <w:u w:val="none"/>
        </w:rPr>
        <w:t>在“两区”之外，立足特色资源潜力，在生态保护红线外，不破坏生态功能的前提下，引导利用林地、耕地等空间资源，因地制宜发展中药材、食用菌、蔬菜、马铃薯、坚果</w:t>
      </w:r>
      <w:r>
        <w:rPr>
          <w:rFonts w:hint="eastAsia"/>
          <w:u w:val="none"/>
        </w:rPr>
        <w:t>、</w:t>
      </w:r>
      <w:r>
        <w:rPr>
          <w:u w:val="none"/>
        </w:rPr>
        <w:t>浆果等特色农产品优势区和鹅、猪、黑蜂等特色养殖区。提升特色农林产品加工能力，积极开发绿色有机食品和休闲食品。</w:t>
      </w:r>
    </w:p>
    <w:p w14:paraId="6FDFF0C5">
      <w:pPr>
        <w:pStyle w:val="5"/>
        <w:spacing w:before="120" w:after="120"/>
        <w:rPr>
          <w:b/>
        </w:rPr>
      </w:pPr>
      <w:r>
        <w:rPr>
          <w:rFonts w:hint="eastAsia"/>
        </w:rPr>
        <w:t xml:space="preserve">第36条 </w:t>
      </w:r>
      <w:r>
        <w:t>有效保障一二三产融合发展空间</w:t>
      </w:r>
    </w:p>
    <w:p w14:paraId="38A0B694">
      <w:pPr>
        <w:rPr>
          <w:u w:val="none"/>
        </w:rPr>
      </w:pPr>
      <w:r>
        <w:rPr>
          <w:u w:val="none"/>
        </w:rPr>
        <w:t>促进现代都市型农业多元发展，优化城市内部与外围农田空间布局，支持城乡结合部和城郊地区建设农副产品生产基地，培育生态防护、观光休闲、科普教育等面向城市多样化需求功能，保障城市居民生活需要。推动农村</w:t>
      </w:r>
      <w:r>
        <w:rPr>
          <w:rFonts w:hint="eastAsia"/>
          <w:u w:val="none"/>
        </w:rPr>
        <w:t>一、二、三产业</w:t>
      </w:r>
      <w:r>
        <w:rPr>
          <w:u w:val="none"/>
        </w:rPr>
        <w:t>融合发展，支持现代农业产业园和农村产业融合发展示范园建设。因地制宜发展农事体验、乡村旅游、休闲农业、健康医疗养老和数字农业等农村新产业新业态。在乡镇国土空间规划和村庄规划中实施建设用地指标预留机制，拓展集体建设用地使用途径和大力盘活农村存量建设用地，腾挪空间用于保障农村产业融合发展用地需要。具有一定规模的农产品加工要向城镇开发边界内集聚；直接服务种植养殖业的农产品加工、电子商务、仓储保鲜冷链、产地低温直销配送等产业，原则上应集中在行政村村庄建设边界内布局。开展虎林市中药资源普查，建立虎林寒地龙药资源数据库、种质资源库和野生寒地龙药资源濒危预警机制，加强中药材品种培育新模式，确保寒地龙药产业可持续发展。开展重要中药材规范化和标准化生产关键技术研究，建立植物类药种植和动物类药养殖示范基地，从源头到终端做精、做细、做大，体现虎林市寒地龙药的标准化、优质化。积极开发精深加工产品，从传统药物向保健品、生物药品、功能食品方向扩展；从普通中成药向药膳、药茶、药酒、药浴方向扩展，加强中药材药膳开发，与生态旅游、温泉保健药膳洗浴、温泉泡浴、寒地龙药园艺、芳香疗养、农家乐休闲旅游对接，实行药旅联动。构建从种植、生产到销售、服务的医药全产业链体系。</w:t>
      </w:r>
    </w:p>
    <w:p w14:paraId="02080775">
      <w:pPr>
        <w:pStyle w:val="4"/>
        <w:widowControl w:val="0"/>
        <w:snapToGrid/>
        <w:spacing w:before="120" w:beforeLines="50" w:after="120" w:afterLines="50" w:line="600" w:lineRule="exact"/>
        <w:ind w:firstLine="0" w:firstLineChars="0"/>
        <w:rPr>
          <w:b w:val="0"/>
          <w:bCs w:val="0"/>
          <w:color w:val="auto"/>
          <w:u w:val="none"/>
        </w:rPr>
      </w:pPr>
      <w:bookmarkStart w:id="90" w:name="_Toc181784582"/>
      <w:bookmarkStart w:id="91" w:name="_Toc181784442"/>
      <w:bookmarkStart w:id="92" w:name="_Toc18209"/>
      <w:bookmarkStart w:id="93" w:name="_Toc31945"/>
      <w:bookmarkStart w:id="94" w:name="_Toc181784652"/>
      <w:r>
        <w:rPr>
          <w:b w:val="0"/>
          <w:bCs w:val="0"/>
          <w:color w:val="auto"/>
          <w:u w:val="none"/>
        </w:rPr>
        <w:t>第四节 建设</w:t>
      </w:r>
      <w:r>
        <w:rPr>
          <w:rFonts w:hint="eastAsia"/>
          <w:b w:val="0"/>
          <w:bCs w:val="0"/>
          <w:color w:val="auto"/>
          <w:u w:val="none"/>
        </w:rPr>
        <w:t>宜居宜业和美</w:t>
      </w:r>
      <w:r>
        <w:rPr>
          <w:b w:val="0"/>
          <w:bCs w:val="0"/>
          <w:color w:val="auto"/>
          <w:u w:val="none"/>
        </w:rPr>
        <w:t>乡村</w:t>
      </w:r>
      <w:bookmarkEnd w:id="90"/>
      <w:bookmarkEnd w:id="91"/>
      <w:bookmarkEnd w:id="92"/>
      <w:bookmarkEnd w:id="93"/>
      <w:bookmarkEnd w:id="94"/>
    </w:p>
    <w:p w14:paraId="12B75312">
      <w:pPr>
        <w:pStyle w:val="5"/>
        <w:spacing w:before="120" w:after="120"/>
        <w:rPr>
          <w:b/>
        </w:rPr>
      </w:pPr>
      <w:bookmarkStart w:id="95" w:name="_Toc26797"/>
      <w:bookmarkStart w:id="96" w:name="_Toc17880"/>
      <w:bookmarkStart w:id="97" w:name="_Toc22010"/>
      <w:r>
        <w:t>第</w:t>
      </w:r>
      <w:r>
        <w:rPr>
          <w:rFonts w:hint="eastAsia"/>
        </w:rPr>
        <w:t>37</w:t>
      </w:r>
      <w:r>
        <w:t>条 加强村庄分类引导</w:t>
      </w:r>
      <w:bookmarkEnd w:id="95"/>
      <w:bookmarkEnd w:id="96"/>
      <w:bookmarkEnd w:id="97"/>
    </w:p>
    <w:p w14:paraId="3E466E26">
      <w:pPr>
        <w:rPr>
          <w:u w:val="none"/>
        </w:rPr>
      </w:pPr>
      <w:r>
        <w:rPr>
          <w:u w:val="none"/>
        </w:rPr>
        <w:t>虎林市规划村庄分类参照黑龙江省相关文件要求分为集聚提升类、城郊融合类、特色保护类、</w:t>
      </w:r>
      <w:r>
        <w:rPr>
          <w:rFonts w:hint="eastAsia"/>
          <w:u w:val="none"/>
        </w:rPr>
        <w:t>边境巩固、</w:t>
      </w:r>
      <w:r>
        <w:rPr>
          <w:u w:val="none"/>
        </w:rPr>
        <w:t>搬迁撤并类</w:t>
      </w:r>
      <w:r>
        <w:rPr>
          <w:rFonts w:hint="eastAsia"/>
          <w:u w:val="none"/>
        </w:rPr>
        <w:t>五</w:t>
      </w:r>
      <w:r>
        <w:rPr>
          <w:u w:val="none"/>
        </w:rPr>
        <w:t>类。</w:t>
      </w:r>
    </w:p>
    <w:p w14:paraId="598441EA">
      <w:pPr>
        <w:rPr>
          <w:u w:val="none"/>
        </w:rPr>
      </w:pPr>
      <w:r>
        <w:rPr>
          <w:rFonts w:ascii="楷体_GB2312" w:hAnsi="楷体_GB2312" w:eastAsia="楷体_GB2312" w:cs="楷体_GB2312"/>
          <w:u w:val="none"/>
        </w:rPr>
        <w:t>集聚提升类：</w:t>
      </w:r>
      <w:r>
        <w:rPr>
          <w:u w:val="none"/>
        </w:rPr>
        <w:t>主要指现有规模较大的中心村和其他仍将存续的一般村庄，占村庄类型的大多数，是乡村振兴的重点。规划应科学确定村庄发展方向，在原有规模基础上有序推进改造提升，激活产业、优化环境，保护乡村风貌，建设宜居宜业的美丽村庄。支持保留的村庄统筹规划、与乡村融合发展，集聚提升类村庄62个。</w:t>
      </w:r>
    </w:p>
    <w:p w14:paraId="0802FD2B">
      <w:pPr>
        <w:rPr>
          <w:u w:val="none"/>
        </w:rPr>
      </w:pPr>
      <w:r>
        <w:rPr>
          <w:rFonts w:ascii="楷体_GB2312" w:hAnsi="楷体_GB2312" w:eastAsia="楷体_GB2312" w:cs="楷体_GB2312"/>
          <w:u w:val="none"/>
        </w:rPr>
        <w:t>城郊融合类：</w:t>
      </w:r>
      <w:r>
        <w:rPr>
          <w:u w:val="none"/>
        </w:rPr>
        <w:t>将城市近郊区所在地的村庄和城镇近郊具备休闲旅游资源和向城市转型条件的村庄划分为城郊融合类。加快城乡产业融合发展、基础设施互联互通、公共服务共建共享。其中位于城镇开发边界以内的村庄，纳入城镇国土空间规划统筹安排，不需单独编制村庄规划，城郊融合类村庄10个。</w:t>
      </w:r>
    </w:p>
    <w:p w14:paraId="584A41B0">
      <w:pPr>
        <w:rPr>
          <w:u w:val="none"/>
        </w:rPr>
      </w:pPr>
      <w:r>
        <w:rPr>
          <w:rFonts w:ascii="楷体_GB2312" w:hAnsi="楷体_GB2312" w:eastAsia="楷体_GB2312" w:cs="楷体_GB2312"/>
          <w:u w:val="none"/>
        </w:rPr>
        <w:t>特色保护类：</w:t>
      </w:r>
      <w:r>
        <w:rPr>
          <w:u w:val="none"/>
        </w:rPr>
        <w:t>主要指在村庄产业、文化、风貌等方面拥有特色资源，具有保留价值的村庄。具体包括历史文化名村、传统村落、少数民族特色村、特色景观旅游名村等自然历史文化特色资源丰富的村庄。规划要统筹保护、利用与发展的关系，保持村庄特色的完整性、真实性和延续性，尊重原住居民生活形态和传统习惯，加快改善村庄基础设施和公共环境，发展乡村旅游和特色产业，特色保护类村庄5个。</w:t>
      </w:r>
    </w:p>
    <w:p w14:paraId="777D55E7">
      <w:pPr>
        <w:pStyle w:val="31"/>
        <w:ind w:firstLine="640"/>
        <w:rPr>
          <w:rFonts w:eastAsia="仿宋"/>
          <w:u w:val="none"/>
        </w:rPr>
      </w:pPr>
      <w:r>
        <w:rPr>
          <w:rFonts w:ascii="楷体_GB2312" w:hAnsi="楷体_GB2312" w:eastAsia="楷体_GB2312" w:cs="楷体_GB2312"/>
          <w:u w:val="none"/>
        </w:rPr>
        <w:t>边境巩固类：</w:t>
      </w:r>
      <w:r>
        <w:rPr>
          <w:u w:val="none"/>
        </w:rPr>
        <w:t>位于边境一线的抵边村屯，是实施安边固边兴边政策的载体，划为边境巩固类村庄，边境巩固类村庄7个。</w:t>
      </w:r>
    </w:p>
    <w:p w14:paraId="4135BFCE">
      <w:pPr>
        <w:rPr>
          <w:u w:val="none"/>
        </w:rPr>
      </w:pPr>
      <w:r>
        <w:rPr>
          <w:rFonts w:ascii="楷体_GB2312" w:hAnsi="楷体_GB2312" w:eastAsia="楷体_GB2312" w:cs="楷体_GB2312"/>
          <w:u w:val="none"/>
        </w:rPr>
        <w:t>搬迁撤并类：</w:t>
      </w:r>
      <w:r>
        <w:rPr>
          <w:u w:val="none"/>
        </w:rPr>
        <w:t>搬迁撤并类村庄分为必须划入类和引导划入类两种类型。规划应严格限制新建、扩建活动，重点突出生态保护与修复，加强建设用地增减挂钩、“空心房”整治、工矿废弃地复垦利用等项目安排。此类村庄可不单独编制村庄规划，在上位国土空间规划中制定村庄国土空间用途管制规则和建设要求，或编制村庄近期建设方案作为建设与管控指引，搬迁撤并类村庄1个。</w:t>
      </w:r>
    </w:p>
    <w:p w14:paraId="266A561D">
      <w:pPr>
        <w:pStyle w:val="5"/>
        <w:spacing w:before="120" w:after="120"/>
        <w:rPr>
          <w:b/>
        </w:rPr>
      </w:pPr>
      <w:bookmarkStart w:id="98" w:name="_Toc17981"/>
      <w:bookmarkStart w:id="99" w:name="_Toc23981"/>
      <w:bookmarkStart w:id="100" w:name="_Toc23655"/>
      <w:r>
        <w:t>第</w:t>
      </w:r>
      <w:r>
        <w:rPr>
          <w:rFonts w:hint="eastAsia"/>
        </w:rPr>
        <w:t>38</w:t>
      </w:r>
      <w:r>
        <w:t>条 塑造</w:t>
      </w:r>
      <w:r>
        <w:rPr>
          <w:rFonts w:hint="eastAsia"/>
        </w:rPr>
        <w:t>和美乡村</w:t>
      </w:r>
      <w:r>
        <w:t>新格局</w:t>
      </w:r>
      <w:bookmarkEnd w:id="98"/>
      <w:bookmarkEnd w:id="99"/>
      <w:bookmarkEnd w:id="100"/>
    </w:p>
    <w:p w14:paraId="0CCA1C0F">
      <w:pPr>
        <w:rPr>
          <w:u w:val="none"/>
        </w:rPr>
      </w:pPr>
      <w:r>
        <w:rPr>
          <w:rFonts w:ascii="楷体_GB2312" w:hAnsi="楷体_GB2312" w:eastAsia="楷体_GB2312" w:cs="楷体_GB2312"/>
          <w:u w:val="none"/>
        </w:rPr>
        <w:t>推进“美丽宜居村庄”建设工程。</w:t>
      </w:r>
      <w:r>
        <w:rPr>
          <w:u w:val="none"/>
        </w:rPr>
        <w:t>遵循村庄传统肌理和格局，划定空间管控边界，坚持集中集约发展，合理布局生活空间，适度增加生产空间，完善公共服务设施，保护自然和人文环境，维护原生态乡村风貌特色，编制实用性乡村规划。按照《黑龙江省村庄规划编制指南》DB23/T3595</w:t>
      </w:r>
      <w:r>
        <w:rPr>
          <w:rFonts w:hint="eastAsia"/>
          <w:u w:val="none"/>
        </w:rPr>
        <w:t>—</w:t>
      </w:r>
      <w:r>
        <w:rPr>
          <w:u w:val="none"/>
        </w:rPr>
        <w:t>2023，编制“多规合一”实用性村庄规划，分类有序推进村庄规划与建设，原农垦总局和森工总局系统内农场和林业局下辖的管理区、连队、林场等居民点可根据实际情况参照执行。实用性村庄规划是乡村地区开展国土空间开发保护活动、实施国土空间用途管制、核发乡村建设规划许可、进行各项建设等的法定依据。</w:t>
      </w:r>
    </w:p>
    <w:p w14:paraId="0B77C008">
      <w:pPr>
        <w:pStyle w:val="5"/>
        <w:spacing w:before="120" w:after="120"/>
        <w:rPr>
          <w:b/>
        </w:rPr>
      </w:pPr>
      <w:bookmarkStart w:id="101" w:name="_Toc4243"/>
      <w:bookmarkStart w:id="102" w:name="_Toc26894"/>
      <w:bookmarkStart w:id="103" w:name="_Toc25318"/>
      <w:r>
        <w:t>第</w:t>
      </w:r>
      <w:r>
        <w:rPr>
          <w:rFonts w:hint="eastAsia"/>
        </w:rPr>
        <w:t>39</w:t>
      </w:r>
      <w:r>
        <w:t>条 保障乡村三产融合发展</w:t>
      </w:r>
      <w:bookmarkEnd w:id="101"/>
      <w:bookmarkEnd w:id="102"/>
      <w:bookmarkEnd w:id="103"/>
    </w:p>
    <w:p w14:paraId="70CB70FE">
      <w:pPr>
        <w:rPr>
          <w:u w:val="none"/>
        </w:rPr>
      </w:pPr>
      <w:r>
        <w:rPr>
          <w:u w:val="none"/>
        </w:rPr>
        <w:t>顺应城乡居民消费拓展升级趋势，立足发掘农业多种功能和乡村多重价值，依据自然风貌、人文环境等资源禀赋，开发特色突出、主题鲜明的乡村休闲旅游项目。</w:t>
      </w:r>
    </w:p>
    <w:p w14:paraId="5FC416B0">
      <w:pPr>
        <w:rPr>
          <w:u w:val="none"/>
        </w:rPr>
      </w:pPr>
      <w:r>
        <w:rPr>
          <w:rFonts w:ascii="楷体_GB2312" w:hAnsi="楷体_GB2312" w:eastAsia="楷体_GB2312" w:cs="楷体_GB2312"/>
          <w:u w:val="none"/>
        </w:rPr>
        <w:t>拓展农用地三产融合功能。</w:t>
      </w:r>
      <w:r>
        <w:rPr>
          <w:u w:val="none"/>
        </w:rPr>
        <w:t>做大做强有机粮豆、有机蔬菜、绿色畜禽等系列产品，发展景观农业、农事体验、观光采摘、研学教育、休闲垂钓等业态，开发“后备箱”“伴手礼”等旅游产品。有效开发“四荒地”，发展休闲农（牧、渔）园、生态体验等业态。</w:t>
      </w:r>
    </w:p>
    <w:p w14:paraId="68C586E6">
      <w:pPr>
        <w:rPr>
          <w:u w:val="none"/>
        </w:rPr>
      </w:pPr>
      <w:r>
        <w:rPr>
          <w:rFonts w:ascii="楷体_GB2312" w:hAnsi="楷体_GB2312" w:eastAsia="楷体_GB2312" w:cs="楷体_GB2312"/>
          <w:u w:val="none"/>
        </w:rPr>
        <w:t>统筹三产融合发展空间。</w:t>
      </w:r>
      <w:r>
        <w:rPr>
          <w:u w:val="none"/>
        </w:rPr>
        <w:t>具有一定规模的农林产品加工向城镇开发边界内集聚，直接服务种植养殖业的农产品加工、电子商务、仓储保鲜冷链、产地低温直销配送等产业，在村庄优势区域合理布局，适度集中。保障农产品加工流通、电子商务、冷链物流、乡村旅游、休闲农业、民宿经济等新产业新业态用地。</w:t>
      </w:r>
    </w:p>
    <w:p w14:paraId="18EB5F85">
      <w:pPr>
        <w:rPr>
          <w:u w:val="none"/>
        </w:rPr>
      </w:pPr>
      <w:r>
        <w:rPr>
          <w:rFonts w:ascii="楷体_GB2312" w:hAnsi="楷体_GB2312" w:eastAsia="楷体_GB2312" w:cs="楷体_GB2312"/>
          <w:u w:val="none"/>
        </w:rPr>
        <w:t>大力盘活农村存量建设用地。</w:t>
      </w:r>
      <w:r>
        <w:rPr>
          <w:u w:val="none"/>
        </w:rPr>
        <w:t>拓展集体建设用地使用途径，鼓励有序开展乡村闲置建设用地等国土综合整治，将结余的农村集体建设用地优先发展乡村产业项目。</w:t>
      </w:r>
    </w:p>
    <w:p w14:paraId="4F9B8251">
      <w:pPr>
        <w:pStyle w:val="36"/>
        <w:ind w:firstLine="640"/>
        <w:rPr>
          <w:rFonts w:ascii="Times New Roman" w:hAnsi="Times New Roman" w:eastAsia="仿宋_GB2312"/>
          <w:szCs w:val="32"/>
          <w:u w:val="none"/>
        </w:rPr>
      </w:pPr>
      <w:r>
        <w:rPr>
          <w:rFonts w:ascii="楷体_GB2312" w:hAnsi="楷体_GB2312" w:eastAsia="楷体_GB2312" w:cs="楷体_GB2312"/>
          <w:u w:val="none"/>
        </w:rPr>
        <w:t>保障乡村产业发展用地。</w:t>
      </w:r>
      <w:r>
        <w:rPr>
          <w:rFonts w:ascii="Times New Roman" w:hAnsi="Times New Roman" w:eastAsia="仿宋_GB2312"/>
          <w:szCs w:val="32"/>
          <w:u w:val="none"/>
        </w:rPr>
        <w:t>保障乡村产业发展用地，通过新增建设用地指标和存量用地利用保障单独选址的农业设施和休闲旅游设施等建设。鼓励各地探索针对乡村产业的省市县联动“点供”用地，支持乡村休闲旅游和产业融合发展。</w:t>
      </w:r>
    </w:p>
    <w:p w14:paraId="7DB37D2B">
      <w:pPr>
        <w:pStyle w:val="4"/>
        <w:widowControl w:val="0"/>
        <w:snapToGrid/>
        <w:spacing w:before="120" w:beforeLines="50" w:after="120" w:afterLines="50" w:line="600" w:lineRule="exact"/>
        <w:ind w:firstLine="0" w:firstLineChars="0"/>
        <w:rPr>
          <w:b w:val="0"/>
          <w:bCs w:val="0"/>
          <w:color w:val="auto"/>
          <w:u w:val="none"/>
        </w:rPr>
      </w:pPr>
      <w:bookmarkStart w:id="104" w:name="_Toc181784583"/>
      <w:bookmarkStart w:id="105" w:name="_Toc15822"/>
      <w:bookmarkStart w:id="106" w:name="_Toc16359"/>
      <w:bookmarkStart w:id="107" w:name="_Toc181784443"/>
      <w:bookmarkStart w:id="108" w:name="_Toc181784653"/>
      <w:r>
        <w:rPr>
          <w:b w:val="0"/>
          <w:bCs w:val="0"/>
          <w:color w:val="auto"/>
          <w:u w:val="none"/>
        </w:rPr>
        <w:t>第五节 统筹</w:t>
      </w:r>
      <w:r>
        <w:rPr>
          <w:rFonts w:hint="eastAsia"/>
          <w:b w:val="0"/>
          <w:bCs w:val="0"/>
          <w:color w:val="auto"/>
          <w:u w:val="none"/>
        </w:rPr>
        <w:t>农村土地</w:t>
      </w:r>
      <w:r>
        <w:rPr>
          <w:b w:val="0"/>
          <w:bCs w:val="0"/>
          <w:color w:val="auto"/>
          <w:u w:val="none"/>
        </w:rPr>
        <w:t>综合整治</w:t>
      </w:r>
      <w:bookmarkEnd w:id="104"/>
      <w:bookmarkEnd w:id="105"/>
      <w:bookmarkEnd w:id="106"/>
      <w:bookmarkEnd w:id="107"/>
      <w:bookmarkEnd w:id="108"/>
    </w:p>
    <w:p w14:paraId="05FDD53C">
      <w:pPr>
        <w:pStyle w:val="5"/>
        <w:spacing w:before="120" w:after="120"/>
        <w:rPr>
          <w:b/>
        </w:rPr>
      </w:pPr>
      <w:bookmarkStart w:id="109" w:name="_Toc20515"/>
      <w:bookmarkStart w:id="110" w:name="_Toc21546"/>
      <w:bookmarkStart w:id="111" w:name="_Toc4744"/>
      <w:r>
        <w:t>第</w:t>
      </w:r>
      <w:r>
        <w:rPr>
          <w:rFonts w:hint="eastAsia"/>
        </w:rPr>
        <w:t>40</w:t>
      </w:r>
      <w:r>
        <w:t>条 农用地整治</w:t>
      </w:r>
      <w:bookmarkEnd w:id="109"/>
      <w:bookmarkEnd w:id="110"/>
      <w:bookmarkEnd w:id="111"/>
    </w:p>
    <w:p w14:paraId="23008C2B">
      <w:pPr>
        <w:rPr>
          <w:u w:val="none"/>
        </w:rPr>
      </w:pPr>
      <w:bookmarkStart w:id="112" w:name="_Toc1683"/>
      <w:bookmarkStart w:id="113" w:name="_Toc25001"/>
      <w:bookmarkStart w:id="114" w:name="_Toc14261"/>
      <w:r>
        <w:rPr>
          <w:u w:val="none"/>
        </w:rPr>
        <w:t>（一）农用地综合整治</w:t>
      </w:r>
      <w:bookmarkEnd w:id="112"/>
      <w:bookmarkEnd w:id="113"/>
      <w:bookmarkEnd w:id="114"/>
    </w:p>
    <w:p w14:paraId="49088D25">
      <w:pPr>
        <w:rPr>
          <w:u w:val="none"/>
        </w:rPr>
      </w:pPr>
      <w:r>
        <w:rPr>
          <w:u w:val="none"/>
        </w:rPr>
        <w:t>统筹推进农田基础设施建设、现有耕地提质改造等，增加耕地数量，提高耕地质量，改善农田生态。农用地综合整治区域主要分布在八五四农场、八五六农场、伟光乡、宝东镇、阿北乡、杨岗镇等区域。对整治区域内涉及永久基本农田调整的，要按照数量有增加、质量有提升、布局集中连片、总体保持稳定的原则统筹调整。</w:t>
      </w:r>
    </w:p>
    <w:p w14:paraId="5D725600">
      <w:pPr>
        <w:rPr>
          <w:u w:val="none"/>
        </w:rPr>
      </w:pPr>
      <w:bookmarkStart w:id="115" w:name="_Toc12245"/>
      <w:bookmarkStart w:id="116" w:name="_Toc22676"/>
      <w:bookmarkStart w:id="117" w:name="_Toc19675"/>
      <w:r>
        <w:rPr>
          <w:u w:val="none"/>
        </w:rPr>
        <w:t>（二）后备土地资源的开发</w:t>
      </w:r>
      <w:bookmarkEnd w:id="115"/>
      <w:bookmarkEnd w:id="116"/>
      <w:bookmarkEnd w:id="117"/>
    </w:p>
    <w:p w14:paraId="4ED3458E">
      <w:pPr>
        <w:rPr>
          <w:u w:val="none"/>
        </w:rPr>
      </w:pPr>
      <w:r>
        <w:rPr>
          <w:u w:val="none"/>
        </w:rPr>
        <w:t>虎林市耕地后备资源较少，利用难度较大，耕地后备资源在各乡镇均有分布，在保护和改善生态环境的前提下，综合考虑全域的海拔、坡度、土层厚度、土壤质地、有无灌溉水源保障、灾毁可能性及开发利用意愿等影响因素，因地制宜</w:t>
      </w:r>
      <w:r>
        <w:rPr>
          <w:rFonts w:hint="eastAsia"/>
          <w:u w:val="none"/>
        </w:rPr>
        <w:t>地</w:t>
      </w:r>
      <w:r>
        <w:rPr>
          <w:u w:val="none"/>
        </w:rPr>
        <w:t>结合农用地整理工作，有计划、有步骤</w:t>
      </w:r>
      <w:r>
        <w:rPr>
          <w:rFonts w:hint="eastAsia"/>
          <w:u w:val="none"/>
        </w:rPr>
        <w:t>地</w:t>
      </w:r>
      <w:r>
        <w:rPr>
          <w:u w:val="none"/>
        </w:rPr>
        <w:t>适度开发宜耕后备资源。</w:t>
      </w:r>
    </w:p>
    <w:p w14:paraId="7D961418">
      <w:pPr>
        <w:rPr>
          <w:u w:val="none"/>
        </w:rPr>
      </w:pPr>
      <w:bookmarkStart w:id="118" w:name="_Toc2191"/>
      <w:bookmarkStart w:id="119" w:name="_Toc9070"/>
      <w:bookmarkStart w:id="120" w:name="_Toc26875"/>
      <w:r>
        <w:rPr>
          <w:u w:val="none"/>
        </w:rPr>
        <w:t>（三）损毁土地复垦</w:t>
      </w:r>
      <w:bookmarkEnd w:id="118"/>
      <w:bookmarkEnd w:id="119"/>
      <w:bookmarkEnd w:id="120"/>
    </w:p>
    <w:p w14:paraId="066C4CDB">
      <w:pPr>
        <w:rPr>
          <w:u w:val="none"/>
        </w:rPr>
      </w:pPr>
      <w:r>
        <w:rPr>
          <w:u w:val="none"/>
        </w:rPr>
        <w:t>规划期内对于市域内因生产建设活动临时占用损毁的土地、自然灾害和历史原因取弃土等造成的土地损毁，以及工矿废弃地复垦的区域分期实施土地复垦，缓解耕地保护及生态环境建设的压力。</w:t>
      </w:r>
    </w:p>
    <w:p w14:paraId="3EFB521F">
      <w:pPr>
        <w:pStyle w:val="5"/>
        <w:spacing w:before="120" w:after="120"/>
        <w:rPr>
          <w:b/>
        </w:rPr>
      </w:pPr>
      <w:bookmarkStart w:id="121" w:name="_Toc26626"/>
      <w:bookmarkStart w:id="122" w:name="_Toc13530"/>
      <w:bookmarkStart w:id="123" w:name="_Toc15338"/>
      <w:r>
        <w:t>第</w:t>
      </w:r>
      <w:r>
        <w:rPr>
          <w:rFonts w:hint="eastAsia"/>
        </w:rPr>
        <w:t>41</w:t>
      </w:r>
      <w:r>
        <w:t>条 建设用地综合整治</w:t>
      </w:r>
      <w:bookmarkEnd w:id="121"/>
      <w:bookmarkEnd w:id="122"/>
      <w:bookmarkEnd w:id="123"/>
    </w:p>
    <w:p w14:paraId="1D9A52B7">
      <w:pPr>
        <w:rPr>
          <w:u w:val="none"/>
        </w:rPr>
      </w:pPr>
      <w:r>
        <w:rPr>
          <w:u w:val="none"/>
        </w:rPr>
        <w:t>农村建设用地整理重点区域以整理空闲宅基地和农村闲置土地为主，结合城镇发展方向，优化建设用地结构和布局，统筹城乡发展，提高土地集约、节约利用水平。主要分布在宝东镇。规划期内应有序推进市区和所辖乡镇、农场、林业局老城区棚户区、老旧小区改造，实现空间提质增效。</w:t>
      </w:r>
    </w:p>
    <w:p w14:paraId="7B1DFF1A">
      <w:pPr>
        <w:pStyle w:val="3"/>
        <w:widowControl w:val="0"/>
        <w:snapToGrid/>
        <w:spacing w:before="10" w:after="10" w:line="600" w:lineRule="exact"/>
        <w:ind w:firstLine="0" w:firstLineChars="0"/>
        <w:jc w:val="center"/>
        <w:rPr>
          <w:rFonts w:ascii="Times New Roman" w:hAnsi="Times New Roman" w:eastAsia="方正小标宋简体"/>
          <w:b w:val="0"/>
          <w:bCs w:val="0"/>
          <w:color w:val="auto"/>
          <w:sz w:val="36"/>
          <w:u w:val="none"/>
        </w:rPr>
      </w:pPr>
      <w:bookmarkStart w:id="124" w:name="_Toc10214"/>
      <w:bookmarkStart w:id="125" w:name="_Toc181784584"/>
      <w:bookmarkStart w:id="126" w:name="_Toc73"/>
      <w:bookmarkStart w:id="127" w:name="_Toc181784654"/>
      <w:bookmarkStart w:id="128" w:name="_Toc181784444"/>
      <w:bookmarkStart w:id="129" w:name="_Toc24908"/>
      <w:r>
        <w:rPr>
          <w:rFonts w:ascii="Times New Roman" w:hAnsi="Times New Roman" w:eastAsia="方正小标宋简体"/>
          <w:b w:val="0"/>
          <w:bCs w:val="0"/>
          <w:color w:val="auto"/>
          <w:sz w:val="36"/>
          <w:u w:val="none"/>
        </w:rPr>
        <w:t>第</w:t>
      </w:r>
      <w:r>
        <w:rPr>
          <w:rFonts w:hint="eastAsia" w:ascii="Times New Roman" w:hAnsi="Times New Roman" w:eastAsia="方正小标宋简体"/>
          <w:b w:val="0"/>
          <w:bCs w:val="0"/>
          <w:color w:val="auto"/>
          <w:sz w:val="36"/>
          <w:u w:val="none"/>
        </w:rPr>
        <w:t>五</w:t>
      </w:r>
      <w:r>
        <w:rPr>
          <w:rFonts w:ascii="Times New Roman" w:hAnsi="Times New Roman" w:eastAsia="方正小标宋简体"/>
          <w:b w:val="0"/>
          <w:bCs w:val="0"/>
          <w:color w:val="auto"/>
          <w:sz w:val="36"/>
          <w:u w:val="none"/>
        </w:rPr>
        <w:t>章 保护绿色永续的生态空间</w:t>
      </w:r>
      <w:bookmarkEnd w:id="124"/>
      <w:bookmarkEnd w:id="125"/>
      <w:bookmarkEnd w:id="126"/>
      <w:bookmarkEnd w:id="127"/>
      <w:bookmarkEnd w:id="128"/>
      <w:bookmarkEnd w:id="129"/>
    </w:p>
    <w:p w14:paraId="5FD96142">
      <w:pPr>
        <w:pStyle w:val="4"/>
        <w:widowControl w:val="0"/>
        <w:snapToGrid/>
        <w:spacing w:before="120" w:beforeLines="50" w:after="120" w:afterLines="50" w:line="600" w:lineRule="exact"/>
        <w:ind w:firstLine="0" w:firstLineChars="0"/>
        <w:rPr>
          <w:b w:val="0"/>
          <w:bCs w:val="0"/>
          <w:color w:val="auto"/>
          <w:u w:val="none"/>
        </w:rPr>
      </w:pPr>
      <w:bookmarkStart w:id="130" w:name="_Toc32028"/>
      <w:bookmarkStart w:id="131" w:name="_Toc31219"/>
      <w:bookmarkStart w:id="132" w:name="_Toc181784445"/>
      <w:bookmarkStart w:id="133" w:name="_Toc181784655"/>
      <w:bookmarkStart w:id="134" w:name="_Toc181784585"/>
      <w:r>
        <w:rPr>
          <w:b w:val="0"/>
          <w:bCs w:val="0"/>
          <w:color w:val="auto"/>
          <w:u w:val="none"/>
        </w:rPr>
        <w:t>第一节 构建生态保护格局</w:t>
      </w:r>
      <w:bookmarkEnd w:id="130"/>
      <w:bookmarkEnd w:id="131"/>
      <w:bookmarkEnd w:id="132"/>
      <w:bookmarkEnd w:id="133"/>
      <w:bookmarkEnd w:id="134"/>
    </w:p>
    <w:p w14:paraId="4786D89C">
      <w:pPr>
        <w:pStyle w:val="5"/>
        <w:spacing w:before="120" w:after="120"/>
        <w:rPr>
          <w:b/>
        </w:rPr>
      </w:pPr>
      <w:r>
        <w:rPr>
          <w:rFonts w:hint="eastAsia"/>
        </w:rPr>
        <w:t xml:space="preserve">第42条 </w:t>
      </w:r>
      <w:r>
        <w:t>构建“两区、两屏、三廊”生态保护格局</w:t>
      </w:r>
    </w:p>
    <w:p w14:paraId="5AEC2BFA">
      <w:pPr>
        <w:rPr>
          <w:u w:val="none"/>
        </w:rPr>
      </w:pPr>
      <w:r>
        <w:rPr>
          <w:rFonts w:hint="eastAsia" w:ascii="楷体_GB2312" w:hAnsi="楷体_GB2312" w:eastAsia="楷体_GB2312" w:cs="楷体_GB2312"/>
          <w:u w:val="none"/>
        </w:rPr>
        <w:t>两区：</w:t>
      </w:r>
      <w:r>
        <w:rPr>
          <w:u w:val="none"/>
        </w:rPr>
        <w:t>以虎林市北部东方红林业局独木河林场、西南岔林场、东方红湿地保护区、珍宝岛湿地保护区为虎林市北部生物多样性保护区和以七虎林野生动物保护区及其周边划为七虎林野生动植物保护区。</w:t>
      </w:r>
    </w:p>
    <w:p w14:paraId="0A66CE51">
      <w:pPr>
        <w:rPr>
          <w:u w:val="none"/>
        </w:rPr>
      </w:pPr>
      <w:r>
        <w:rPr>
          <w:rFonts w:ascii="楷体_GB2312" w:hAnsi="楷体_GB2312" w:eastAsia="楷体_GB2312" w:cs="楷体_GB2312"/>
          <w:u w:val="none"/>
        </w:rPr>
        <w:t>两屏：</w:t>
      </w:r>
      <w:r>
        <w:rPr>
          <w:u w:val="none"/>
        </w:rPr>
        <w:t>以西部完达山系、东部乌苏里江水系构建东西部生态保护带形成生态保护屏障。</w:t>
      </w:r>
    </w:p>
    <w:p w14:paraId="31E3B85F">
      <w:pPr>
        <w:rPr>
          <w:u w:val="none"/>
        </w:rPr>
      </w:pPr>
      <w:r>
        <w:rPr>
          <w:rFonts w:ascii="楷体_GB2312" w:hAnsi="楷体_GB2312" w:eastAsia="楷体_GB2312" w:cs="楷体_GB2312"/>
          <w:u w:val="none"/>
        </w:rPr>
        <w:t>三廊：</w:t>
      </w:r>
      <w:r>
        <w:rPr>
          <w:u w:val="none"/>
        </w:rPr>
        <w:t>以七虎林河、穆棱河、阿布沁河两侧构建水生态廊道，围绕自然保护地和湿地公园建设生态网络。</w:t>
      </w:r>
    </w:p>
    <w:p w14:paraId="179C632E">
      <w:pPr>
        <w:pStyle w:val="4"/>
        <w:widowControl w:val="0"/>
        <w:snapToGrid/>
        <w:spacing w:before="120" w:beforeLines="50" w:after="120" w:afterLines="50" w:line="600" w:lineRule="exact"/>
        <w:ind w:firstLine="0" w:firstLineChars="0"/>
        <w:rPr>
          <w:b w:val="0"/>
          <w:bCs w:val="0"/>
          <w:color w:val="auto"/>
          <w:u w:val="none"/>
        </w:rPr>
      </w:pPr>
      <w:bookmarkStart w:id="135" w:name="_Toc181784656"/>
      <w:bookmarkStart w:id="136" w:name="_Toc31530"/>
      <w:bookmarkStart w:id="137" w:name="_Toc181784586"/>
      <w:bookmarkStart w:id="138" w:name="_Toc181784446"/>
      <w:bookmarkStart w:id="139" w:name="_Toc8896"/>
      <w:r>
        <w:rPr>
          <w:b w:val="0"/>
          <w:bCs w:val="0"/>
          <w:color w:val="auto"/>
          <w:u w:val="none"/>
        </w:rPr>
        <w:t>第二节 提升生态系统质量</w:t>
      </w:r>
      <w:bookmarkEnd w:id="135"/>
      <w:bookmarkEnd w:id="136"/>
      <w:bookmarkEnd w:id="137"/>
      <w:bookmarkEnd w:id="138"/>
      <w:bookmarkEnd w:id="139"/>
    </w:p>
    <w:p w14:paraId="360D5284">
      <w:pPr>
        <w:pStyle w:val="5"/>
        <w:spacing w:before="120" w:after="120"/>
        <w:rPr>
          <w:b/>
        </w:rPr>
      </w:pPr>
      <w:bookmarkStart w:id="140" w:name="_Toc9124"/>
      <w:bookmarkStart w:id="141" w:name="_Toc9241"/>
      <w:bookmarkStart w:id="142" w:name="_Toc2244"/>
      <w:r>
        <w:t>第</w:t>
      </w:r>
      <w:r>
        <w:rPr>
          <w:rFonts w:hint="eastAsia"/>
        </w:rPr>
        <w:t>43</w:t>
      </w:r>
      <w:r>
        <w:t>条 建立健全自然保护地体系</w:t>
      </w:r>
      <w:bookmarkEnd w:id="140"/>
      <w:bookmarkEnd w:id="141"/>
      <w:bookmarkEnd w:id="142"/>
    </w:p>
    <w:p w14:paraId="438FFF07">
      <w:pPr>
        <w:rPr>
          <w:u w:val="none"/>
        </w:rPr>
      </w:pPr>
      <w:r>
        <w:rPr>
          <w:u w:val="none"/>
        </w:rPr>
        <w:t>建立以国家公园为主体、自然保护区为基础、自然公园为补充的自然保护地体系。完成自然保护地勘界定标，制定自然保护地内建设项目负面清单。全面保护虎林市森林公园和自然保护区，完善生态廊道和生物多样性保护网络。</w:t>
      </w:r>
    </w:p>
    <w:p w14:paraId="712834DC">
      <w:pPr>
        <w:pStyle w:val="5"/>
        <w:spacing w:before="120" w:after="120"/>
        <w:rPr>
          <w:b/>
        </w:rPr>
      </w:pPr>
      <w:bookmarkStart w:id="143" w:name="_Toc10283"/>
      <w:bookmarkStart w:id="144" w:name="_Toc12720"/>
      <w:bookmarkStart w:id="145" w:name="_Toc12935"/>
      <w:r>
        <w:t>第</w:t>
      </w:r>
      <w:r>
        <w:rPr>
          <w:rFonts w:hint="eastAsia"/>
        </w:rPr>
        <w:t>44</w:t>
      </w:r>
      <w:r>
        <w:t>条 严格划定生态保护红线</w:t>
      </w:r>
      <w:bookmarkEnd w:id="143"/>
      <w:bookmarkEnd w:id="144"/>
      <w:bookmarkEnd w:id="145"/>
    </w:p>
    <w:p w14:paraId="111C1ABE">
      <w:pPr>
        <w:rPr>
          <w:u w:val="none"/>
        </w:rPr>
      </w:pPr>
      <w:r>
        <w:rPr>
          <w:u w:val="none"/>
        </w:rPr>
        <w:t>优先将自然保护地、重要水源涵养、生物多样性维护、水土保持等生态系统服务功能极重要区域和水流失、土地沙化等生态环境极敏感区域划入生态保护红线</w:t>
      </w:r>
    </w:p>
    <w:p w14:paraId="5FFD032E">
      <w:pPr>
        <w:pStyle w:val="5"/>
        <w:spacing w:before="120" w:after="120"/>
        <w:rPr>
          <w:b/>
        </w:rPr>
      </w:pPr>
      <w:bookmarkStart w:id="146" w:name="_Toc25450"/>
      <w:bookmarkStart w:id="147" w:name="_Toc31247"/>
      <w:bookmarkStart w:id="148" w:name="_Toc26625"/>
      <w:r>
        <w:t>第</w:t>
      </w:r>
      <w:r>
        <w:rPr>
          <w:rFonts w:hint="eastAsia"/>
        </w:rPr>
        <w:t>45</w:t>
      </w:r>
      <w:r>
        <w:t>条 科学划定生态空间</w:t>
      </w:r>
      <w:bookmarkEnd w:id="146"/>
      <w:bookmarkEnd w:id="147"/>
      <w:bookmarkEnd w:id="148"/>
    </w:p>
    <w:p w14:paraId="26089654">
      <w:pPr>
        <w:rPr>
          <w:u w:val="none"/>
        </w:rPr>
      </w:pPr>
      <w:r>
        <w:rPr>
          <w:u w:val="none"/>
        </w:rPr>
        <w:t>将生态保护红线和生态保护红线外需要保留原貌、强化生态保育和生态建设的重要生态廊道、林地、湿地、草地、水域等区域划入生态空间，提高生态空间的完整性和连通性。坚持节约优先、保护优先、自然恢复为主，实施重点区域的天然林保护与修复、内涝和蓄滞洪区治理恢复、湿地保护恢复、矿山生态环境修复与治理、水土流失综合治理、防沙治沙等生态系统保护和修复重大工程，促进生态系统良性循环。统筹协调保护与发展的关系，合理预留交通、水利、电力等线性基础设施廊道。</w:t>
      </w:r>
    </w:p>
    <w:p w14:paraId="6CBD0EB0">
      <w:pPr>
        <w:pStyle w:val="5"/>
        <w:spacing w:before="120" w:after="120"/>
        <w:rPr>
          <w:b/>
        </w:rPr>
      </w:pPr>
      <w:bookmarkStart w:id="149" w:name="_Toc26282"/>
      <w:bookmarkStart w:id="150" w:name="_Toc23516"/>
      <w:bookmarkStart w:id="151" w:name="_Toc13067"/>
      <w:r>
        <w:t>第</w:t>
      </w:r>
      <w:r>
        <w:rPr>
          <w:rFonts w:hint="eastAsia"/>
        </w:rPr>
        <w:t>46</w:t>
      </w:r>
      <w:r>
        <w:t>条 严格实施分区管控</w:t>
      </w:r>
      <w:bookmarkEnd w:id="149"/>
      <w:bookmarkEnd w:id="150"/>
      <w:bookmarkEnd w:id="151"/>
    </w:p>
    <w:p w14:paraId="68F0780D">
      <w:pPr>
        <w:rPr>
          <w:u w:val="none"/>
        </w:rPr>
      </w:pPr>
      <w:r>
        <w:rPr>
          <w:u w:val="none"/>
        </w:rPr>
        <w:t>生态保护红线区分核心保护区和一般控制区，实施两个等级的控制和监管。自然保护地核心保护区原则上禁止人为活动，一般控制区严格禁止开发性、生产性建设活动，除国家重大战略项目外，仅允许原住居民基本生产生活、适度参观旅游</w:t>
      </w:r>
      <w:r>
        <w:rPr>
          <w:rFonts w:hint="eastAsia"/>
          <w:u w:val="none"/>
        </w:rPr>
        <w:t>以及</w:t>
      </w:r>
      <w:r>
        <w:rPr>
          <w:u w:val="none"/>
        </w:rPr>
        <w:t>必要公共设施建设、符合县级以上国土空间规划的线性基础设施建设等对生态功能不造成破坏的有限人为活动。</w:t>
      </w:r>
    </w:p>
    <w:p w14:paraId="560F2C49">
      <w:pPr>
        <w:pStyle w:val="4"/>
        <w:widowControl w:val="0"/>
        <w:snapToGrid/>
        <w:spacing w:before="120" w:beforeLines="50" w:after="120" w:afterLines="50" w:line="600" w:lineRule="exact"/>
        <w:ind w:firstLine="0" w:firstLineChars="0"/>
        <w:rPr>
          <w:b w:val="0"/>
          <w:bCs w:val="0"/>
          <w:color w:val="auto"/>
          <w:u w:val="none"/>
        </w:rPr>
      </w:pPr>
      <w:bookmarkStart w:id="152" w:name="_Toc22561"/>
      <w:bookmarkStart w:id="153" w:name="_Toc181784447"/>
      <w:bookmarkStart w:id="154" w:name="_Toc181784657"/>
      <w:bookmarkStart w:id="155" w:name="_Toc181784587"/>
      <w:bookmarkStart w:id="156" w:name="_Toc7079"/>
      <w:r>
        <w:rPr>
          <w:b w:val="0"/>
          <w:bCs w:val="0"/>
          <w:color w:val="auto"/>
          <w:u w:val="none"/>
        </w:rPr>
        <w:t>第三节 分类推进生态资源保护与利用</w:t>
      </w:r>
      <w:bookmarkEnd w:id="152"/>
      <w:bookmarkEnd w:id="153"/>
      <w:bookmarkEnd w:id="154"/>
      <w:bookmarkEnd w:id="155"/>
      <w:bookmarkEnd w:id="156"/>
    </w:p>
    <w:p w14:paraId="2D598451">
      <w:pPr>
        <w:pStyle w:val="5"/>
        <w:spacing w:before="120" w:after="120"/>
        <w:rPr>
          <w:b/>
        </w:rPr>
      </w:pPr>
      <w:bookmarkStart w:id="157" w:name="_Toc13305"/>
      <w:bookmarkStart w:id="158" w:name="_Toc5353"/>
      <w:bookmarkStart w:id="159" w:name="_Toc3393"/>
      <w:r>
        <w:t>第</w:t>
      </w:r>
      <w:r>
        <w:rPr>
          <w:rFonts w:hint="eastAsia"/>
        </w:rPr>
        <w:t>47</w:t>
      </w:r>
      <w:r>
        <w:t>条 统筹水资源保护与利用</w:t>
      </w:r>
      <w:bookmarkEnd w:id="157"/>
      <w:bookmarkEnd w:id="158"/>
      <w:bookmarkEnd w:id="159"/>
    </w:p>
    <w:p w14:paraId="030F5CF7">
      <w:pPr>
        <w:rPr>
          <w:u w:val="none"/>
        </w:rPr>
      </w:pPr>
      <w:r>
        <w:rPr>
          <w:u w:val="none"/>
        </w:rPr>
        <w:t>规划期内重点推进绿色发展方式转变，严格控制水资源消耗量，加大节水和非常规水资源利用力度，提升再生水利用比例，加强水源地保护，对乌苏里江、穆棱河等重点岸线进行管护。规划虎林镇城市饮用水水源地污染防治工程项目、八五四农场水源地建设项目、虎头镇水源地污染防治工程项目等水源地改造及保护工程。加强穆棱河（无堤段）水环境综合治理建设项目、穆棱河桦树段水环境综合治理建设项目、七虎林河国控断面监测设施建设项目、庆丰农场大穆棱河河道清淤整治及大穆棱河河道治理建设项目、庆丰农场小杨木河、小穆棱河河道整治工程建设项目等区域水环境综合整治工程。</w:t>
      </w:r>
    </w:p>
    <w:p w14:paraId="29E0D53E">
      <w:pPr>
        <w:pStyle w:val="5"/>
        <w:spacing w:before="120" w:after="120"/>
      </w:pPr>
      <w:bookmarkStart w:id="160" w:name="_Toc16446"/>
      <w:bookmarkStart w:id="161" w:name="_Toc30003"/>
      <w:bookmarkStart w:id="162" w:name="_Toc26691"/>
      <w:r>
        <w:t>第</w:t>
      </w:r>
      <w:r>
        <w:rPr>
          <w:rFonts w:hint="eastAsia"/>
        </w:rPr>
        <w:t>48</w:t>
      </w:r>
      <w:r>
        <w:t>条 严格林地、湿地、</w:t>
      </w:r>
      <w:r>
        <w:rPr>
          <w:rFonts w:hint="eastAsia"/>
        </w:rPr>
        <w:t>草地资源保护利用</w:t>
      </w:r>
      <w:bookmarkEnd w:id="160"/>
      <w:bookmarkEnd w:id="161"/>
      <w:bookmarkEnd w:id="162"/>
    </w:p>
    <w:p w14:paraId="5E5CC639">
      <w:pPr>
        <w:rPr>
          <w:u w:val="none"/>
        </w:rPr>
      </w:pPr>
      <w:bookmarkStart w:id="163" w:name="_Toc20035"/>
      <w:bookmarkStart w:id="164" w:name="_Toc14467"/>
      <w:bookmarkStart w:id="165" w:name="_Toc9064"/>
      <w:r>
        <w:rPr>
          <w:u w:val="none"/>
        </w:rPr>
        <w:t>（一）湿地保护与用途管制</w:t>
      </w:r>
      <w:bookmarkEnd w:id="163"/>
      <w:bookmarkEnd w:id="164"/>
      <w:bookmarkEnd w:id="165"/>
    </w:p>
    <w:p w14:paraId="5E40280D">
      <w:pPr>
        <w:rPr>
          <w:u w:val="none"/>
        </w:rPr>
      </w:pPr>
      <w:r>
        <w:rPr>
          <w:u w:val="none"/>
        </w:rPr>
        <w:t>虎林市湿地资源较为丰富，区域内有珍宝岛湿地国家级自然保护区和东方红湿地国家自然保护区，为乌苏里江及其支流形成的低湿地，区内原始湿地面积大，草甸、沼泽等生态系统类型多样，国家级及省级保护动植物种类繁多，具有生物多样性和生态系统典型性的特征。大片的湿地及丰富的水生动植物资源，对区域蓄洪防洪，维护生物多样性具有重要的意义。以湿地生态保护与恢复为主，禁止开垦湿地、草原，严禁对野生动植物进行滥捕滥采，保持野生动植物物种和种群的平衡，防止外来有害物种的侵害，实现野生动植物资源的良性循环和永续利用。加强湿地自然生态系统与重要物种栖息地保护，防止开发建设导致栖息环境的改变，扩大保护范畴，降低农业开发和城镇建设强度。做好退耕还湿还草等工程，加强保护区的建设与管理，适度发展湿地风光生态旅游。</w:t>
      </w:r>
    </w:p>
    <w:p w14:paraId="134C2169">
      <w:pPr>
        <w:rPr>
          <w:u w:val="none"/>
        </w:rPr>
      </w:pPr>
      <w:bookmarkStart w:id="166" w:name="_Toc12119"/>
      <w:bookmarkStart w:id="167" w:name="_Toc5374"/>
      <w:bookmarkStart w:id="168" w:name="_Toc31542"/>
      <w:r>
        <w:rPr>
          <w:u w:val="none"/>
        </w:rPr>
        <w:t>（二）林地保护与用途管制</w:t>
      </w:r>
      <w:bookmarkEnd w:id="166"/>
      <w:bookmarkEnd w:id="167"/>
      <w:bookmarkEnd w:id="168"/>
    </w:p>
    <w:p w14:paraId="43133659">
      <w:pPr>
        <w:rPr>
          <w:u w:val="none"/>
        </w:rPr>
      </w:pPr>
      <w:r>
        <w:rPr>
          <w:u w:val="none"/>
        </w:rPr>
        <w:t>虎林市市域林地主要位于市属七虎林林场、示范林场及杨岗镇部分村屯及云山农场的部分区域，以及东方红林业局、迎春林业局。以针叶混交次生林、阔叶混交次生林、灌木林、人工林等为主要植被，森林覆盖率较高，生态环境良好。有着调节局部气候，涵养水源的重要生态功能。加大森林生态系统保护力度，严禁开发利用原始森林，加强林缘草甸草原的管护和退化生态系统的恢复。积极封山育林，植树造林，在保护生态环境的基础上，发展生态旅游业和林下经济及特色林产品加工业，打造绿色有机山特产品及绿色有机农产品基地。</w:t>
      </w:r>
    </w:p>
    <w:p w14:paraId="3A961984">
      <w:pPr>
        <w:pStyle w:val="2"/>
      </w:pPr>
    </w:p>
    <w:p w14:paraId="27C29698">
      <w:pPr>
        <w:rPr>
          <w:u w:val="none"/>
        </w:rPr>
      </w:pPr>
      <w:r>
        <w:rPr>
          <w:u w:val="none"/>
        </w:rPr>
        <w:t>（三）草地保护与用途管制</w:t>
      </w:r>
    </w:p>
    <w:p w14:paraId="168E33D0">
      <w:pPr>
        <w:rPr>
          <w:u w:val="none"/>
        </w:rPr>
      </w:pPr>
      <w:r>
        <w:rPr>
          <w:u w:val="none"/>
        </w:rPr>
        <w:t>虎林市草地主要分布在穆棱河、七虎林河、阿布沁河和乌苏里江流域。草原类型主要为沼泽化草甸为主，植被类型以苔草</w:t>
      </w:r>
      <w:r>
        <w:rPr>
          <w:rFonts w:hint="eastAsia"/>
          <w:u w:val="none"/>
        </w:rPr>
        <w:t>和</w:t>
      </w:r>
      <w:r>
        <w:rPr>
          <w:u w:val="none"/>
        </w:rPr>
        <w:t>杂类草为主。规划期内依法加大对草原的监管力度，加强草原保护和改良，提高草原生产力。充分调动经营者保护和建设草原的积极性，推广优质牧草种植，加快人工种草步伐。避免掠夺式利用草场，采取围栏放牧、轮牧、禁牧等方式，做到以草定畜、草畜平衡，防止草原荒漠化，维护草原生态平衡。坚决打击私垦乱开草原违法行为，实施草原改良工程，对宜草宜牧地进行人工草场改良，提高草原生产力。建设草场资源保护地，实行专项保护性建设，恢复其生态功能和生产能力。</w:t>
      </w:r>
    </w:p>
    <w:p w14:paraId="553072EE">
      <w:pPr>
        <w:pStyle w:val="4"/>
        <w:widowControl w:val="0"/>
        <w:snapToGrid/>
        <w:spacing w:before="120" w:beforeLines="50" w:after="120" w:afterLines="50" w:line="600" w:lineRule="exact"/>
        <w:ind w:firstLine="0" w:firstLineChars="0"/>
        <w:rPr>
          <w:b w:val="0"/>
          <w:bCs w:val="0"/>
          <w:color w:val="auto"/>
          <w:u w:val="none"/>
        </w:rPr>
      </w:pPr>
      <w:bookmarkStart w:id="169" w:name="_Toc181784448"/>
      <w:bookmarkStart w:id="170" w:name="_Toc181784588"/>
      <w:bookmarkStart w:id="171" w:name="_Toc24011"/>
      <w:bookmarkStart w:id="172" w:name="_Toc9852"/>
      <w:bookmarkStart w:id="173" w:name="_Toc181784658"/>
      <w:r>
        <w:rPr>
          <w:b w:val="0"/>
          <w:bCs w:val="0"/>
          <w:color w:val="auto"/>
          <w:u w:val="none"/>
        </w:rPr>
        <w:t xml:space="preserve">第四节 </w:t>
      </w:r>
      <w:r>
        <w:rPr>
          <w:rFonts w:hint="eastAsia"/>
          <w:b w:val="0"/>
          <w:bCs w:val="0"/>
          <w:color w:val="auto"/>
          <w:u w:val="none"/>
        </w:rPr>
        <w:t>推进</w:t>
      </w:r>
      <w:r>
        <w:rPr>
          <w:b w:val="0"/>
          <w:bCs w:val="0"/>
          <w:color w:val="auto"/>
          <w:u w:val="none"/>
        </w:rPr>
        <w:t>山水林田湖草沙系统修复</w:t>
      </w:r>
      <w:bookmarkEnd w:id="169"/>
      <w:bookmarkEnd w:id="170"/>
      <w:bookmarkEnd w:id="171"/>
      <w:bookmarkEnd w:id="172"/>
      <w:bookmarkEnd w:id="173"/>
    </w:p>
    <w:p w14:paraId="6C6004C4">
      <w:pPr>
        <w:pStyle w:val="5"/>
        <w:spacing w:before="120" w:after="120"/>
        <w:rPr>
          <w:b/>
        </w:rPr>
      </w:pPr>
      <w:bookmarkStart w:id="174" w:name="_Toc17068"/>
      <w:bookmarkStart w:id="175" w:name="_Toc12394"/>
      <w:bookmarkStart w:id="176" w:name="_Toc18980"/>
      <w:bookmarkStart w:id="177" w:name="_Toc26098"/>
      <w:r>
        <w:t>第</w:t>
      </w:r>
      <w:r>
        <w:rPr>
          <w:rFonts w:hint="eastAsia"/>
        </w:rPr>
        <w:t>49</w:t>
      </w:r>
      <w:r>
        <w:t xml:space="preserve">条 </w:t>
      </w:r>
      <w:bookmarkStart w:id="178" w:name="_Hlk181729104"/>
      <w:r>
        <w:t>山水林田</w:t>
      </w:r>
      <w:bookmarkEnd w:id="178"/>
      <w:r>
        <w:rPr>
          <w:rFonts w:hint="eastAsia" w:ascii="Times New Roman"/>
        </w:rPr>
        <w:t>湖草系统修复</w:t>
      </w:r>
      <w:bookmarkEnd w:id="174"/>
      <w:bookmarkEnd w:id="175"/>
      <w:bookmarkEnd w:id="176"/>
      <w:bookmarkEnd w:id="177"/>
    </w:p>
    <w:p w14:paraId="1514D9C3">
      <w:pPr>
        <w:rPr>
          <w:u w:val="none"/>
          <w:lang w:val="zh-CN"/>
        </w:rPr>
      </w:pPr>
      <w:r>
        <w:rPr>
          <w:u w:val="none"/>
          <w:lang w:val="zh-CN"/>
        </w:rPr>
        <w:t>生态环境质量总体提升，生物多样性得到深度保护，生态系统服务功能稳定提高，生态安全屏障地位更加巩固，生态保护修复体制机制逐步完善，确保生态文明水平与全面建成小康社会目标相适应。</w:t>
      </w:r>
    </w:p>
    <w:p w14:paraId="4540EBCC">
      <w:pPr>
        <w:pStyle w:val="5"/>
        <w:spacing w:before="120" w:after="120"/>
        <w:rPr>
          <w:b/>
        </w:rPr>
      </w:pPr>
      <w:bookmarkStart w:id="179" w:name="_Toc11954"/>
      <w:bookmarkStart w:id="180" w:name="_Toc5138"/>
      <w:bookmarkStart w:id="181" w:name="_Toc18515"/>
      <w:bookmarkStart w:id="182" w:name="_Toc16657"/>
      <w:r>
        <w:t>第</w:t>
      </w:r>
      <w:r>
        <w:rPr>
          <w:rFonts w:hint="eastAsia"/>
        </w:rPr>
        <w:t>50</w:t>
      </w:r>
      <w:r>
        <w:t>条 湿地与水</w:t>
      </w:r>
      <w:r>
        <w:rPr>
          <w:rFonts w:hint="eastAsia" w:ascii="Times New Roman"/>
        </w:rPr>
        <w:t>域生态修复</w:t>
      </w:r>
      <w:bookmarkEnd w:id="179"/>
      <w:bookmarkEnd w:id="180"/>
      <w:bookmarkEnd w:id="181"/>
      <w:bookmarkEnd w:id="182"/>
    </w:p>
    <w:p w14:paraId="55940E2A">
      <w:pPr>
        <w:rPr>
          <w:u w:val="none"/>
          <w:lang w:val="zh-CN"/>
        </w:rPr>
      </w:pPr>
      <w:r>
        <w:rPr>
          <w:u w:val="none"/>
          <w:lang w:val="zh-CN"/>
        </w:rPr>
        <w:t>规划期内拟对珍宝岛湿地国家级自然保护区和东方红湿地国家自然保护区进行湿地生态修复。对穆棱河、七虎林河、阿布沁河等流域进行水域生态修复。</w:t>
      </w:r>
    </w:p>
    <w:p w14:paraId="2A3E348A">
      <w:pPr>
        <w:pStyle w:val="5"/>
        <w:spacing w:before="120" w:after="120"/>
        <w:rPr>
          <w:b/>
        </w:rPr>
      </w:pPr>
      <w:bookmarkStart w:id="183" w:name="_Toc24864"/>
      <w:bookmarkStart w:id="184" w:name="_Toc16158"/>
      <w:bookmarkStart w:id="185" w:name="_Toc2862"/>
      <w:bookmarkStart w:id="186" w:name="_Toc9762"/>
      <w:r>
        <w:t>第</w:t>
      </w:r>
      <w:r>
        <w:rPr>
          <w:rFonts w:hint="eastAsia"/>
        </w:rPr>
        <w:t>51</w:t>
      </w:r>
      <w:r>
        <w:t>条 矿山生态</w:t>
      </w:r>
      <w:r>
        <w:rPr>
          <w:rFonts w:hint="eastAsia" w:ascii="Times New Roman"/>
        </w:rPr>
        <w:t>修复</w:t>
      </w:r>
      <w:bookmarkEnd w:id="183"/>
      <w:bookmarkEnd w:id="184"/>
      <w:bookmarkEnd w:id="185"/>
      <w:bookmarkEnd w:id="186"/>
    </w:p>
    <w:p w14:paraId="25B3142F">
      <w:pPr>
        <w:rPr>
          <w:u w:val="none"/>
          <w:lang w:val="zh-CN"/>
        </w:rPr>
      </w:pPr>
      <w:r>
        <w:rPr>
          <w:u w:val="none"/>
          <w:lang w:val="zh-CN"/>
        </w:rPr>
        <w:t>虎林市矿山生态修复以废弃矿山裸露山体治理为重点，</w:t>
      </w:r>
      <w:r>
        <w:rPr>
          <w:rFonts w:hint="eastAsia"/>
          <w:u w:val="none"/>
        </w:rPr>
        <w:t>分区</w:t>
      </w:r>
      <w:r>
        <w:rPr>
          <w:u w:val="none"/>
          <w:lang w:val="zh-CN"/>
        </w:rPr>
        <w:t>修复，以自然修复为主、人工修复为辅的原则，针对不同规模，采用不同的生态修复方式。重点加强山体破损、景观破坏、崩塌滑坡以及地面塌陷等矿山生态问题的整治修复。修复治理的重点区域主要分布在东诚镇、新乐乡、宝东镇。</w:t>
      </w:r>
    </w:p>
    <w:p w14:paraId="71E2E76D">
      <w:pPr>
        <w:pStyle w:val="5"/>
        <w:spacing w:before="120" w:after="120"/>
        <w:rPr>
          <w:b/>
        </w:rPr>
      </w:pPr>
      <w:bookmarkStart w:id="187" w:name="_Toc10521"/>
      <w:bookmarkStart w:id="188" w:name="_Toc29745"/>
      <w:bookmarkStart w:id="189" w:name="_Toc9305"/>
      <w:bookmarkStart w:id="190" w:name="_Toc31652"/>
      <w:r>
        <w:rPr>
          <w:b/>
        </w:rPr>
        <w:fldChar w:fldCharType="begin"/>
      </w:r>
      <w:r>
        <w:instrText xml:space="preserve"> HYPERLINK \l "_Toc26539855" </w:instrText>
      </w:r>
      <w:r>
        <w:rPr>
          <w:b/>
        </w:rPr>
        <w:fldChar w:fldCharType="separate"/>
      </w:r>
      <w:r>
        <w:t>第</w:t>
      </w:r>
      <w:r>
        <w:rPr>
          <w:rFonts w:hint="eastAsia"/>
        </w:rPr>
        <w:t>52</w:t>
      </w:r>
      <w:r>
        <w:t>条 山林</w:t>
      </w:r>
      <w:r>
        <w:rPr>
          <w:rFonts w:hint="eastAsia" w:ascii="Times New Roman"/>
        </w:rPr>
        <w:t>修复</w:t>
      </w:r>
      <w:r>
        <w:rPr>
          <w:b/>
        </w:rPr>
        <w:fldChar w:fldCharType="end"/>
      </w:r>
      <w:bookmarkEnd w:id="187"/>
      <w:bookmarkEnd w:id="188"/>
      <w:bookmarkEnd w:id="189"/>
      <w:bookmarkEnd w:id="190"/>
    </w:p>
    <w:p w14:paraId="398346DF">
      <w:pPr>
        <w:rPr>
          <w:u w:val="none"/>
          <w:lang w:val="zh-CN"/>
        </w:rPr>
      </w:pPr>
      <w:r>
        <w:rPr>
          <w:u w:val="none"/>
          <w:lang w:val="zh-CN"/>
        </w:rPr>
        <w:t>落实区域山体、森林综合治理任务，从综合整治、森林质量改善、地质灾害隐患区域修复、水土流失等方面提出修复目标、重点区域、修复措施和重点工程等。切实保护现有的森林和草原资源。特别是虎林市北部及东、西部山区地带，通过荒山绿化、封山育林等措施积极培育人工林，特别是防洪护堤林、农田防护林、水源涵养林、水土保持林，实行护、造、管相结合，逐步提高森林覆盖率。遏制虎林市天然湿地生态系统退化趋势，采取水量调度、生态补水、河湖水系连通、严格地下水管理等措施，确保重要湿地生态用水。采取退耕还湿、退化湿地修复等措施，开展区域土地整治修复工程，通过破损山体修复、恢复绿地、封滩育草、封山育林、种植湿地植物等措施强化湿地生态功能。</w:t>
      </w:r>
    </w:p>
    <w:p w14:paraId="187B9441">
      <w:pPr>
        <w:pStyle w:val="2"/>
        <w:ind w:firstLine="480"/>
        <w:rPr>
          <w:u w:val="none"/>
          <w:lang w:val="zh-CN"/>
        </w:rPr>
      </w:pPr>
    </w:p>
    <w:p w14:paraId="74CD465C">
      <w:pPr>
        <w:pStyle w:val="4"/>
        <w:widowControl w:val="0"/>
        <w:snapToGrid/>
        <w:spacing w:before="120" w:beforeLines="50" w:after="120" w:afterLines="50" w:line="600" w:lineRule="exact"/>
        <w:ind w:firstLine="0" w:firstLineChars="0"/>
        <w:rPr>
          <w:b w:val="0"/>
          <w:bCs w:val="0"/>
          <w:color w:val="auto"/>
          <w:u w:val="none"/>
        </w:rPr>
      </w:pPr>
      <w:bookmarkStart w:id="191" w:name="_Toc181784449"/>
      <w:bookmarkStart w:id="192" w:name="_Toc181784659"/>
      <w:bookmarkStart w:id="193" w:name="_Toc181784589"/>
      <w:bookmarkStart w:id="194" w:name="_Toc20810"/>
      <w:r>
        <w:rPr>
          <w:b w:val="0"/>
          <w:bCs w:val="0"/>
          <w:color w:val="auto"/>
          <w:u w:val="none"/>
        </w:rPr>
        <w:t>第五节 落实国土造林绿化空间</w:t>
      </w:r>
      <w:bookmarkEnd w:id="191"/>
      <w:bookmarkEnd w:id="192"/>
      <w:bookmarkEnd w:id="193"/>
      <w:bookmarkEnd w:id="194"/>
    </w:p>
    <w:p w14:paraId="6E129E86">
      <w:pPr>
        <w:rPr>
          <w:u w:val="none"/>
          <w:lang w:val="zh-CN"/>
        </w:rPr>
      </w:pPr>
      <w:r>
        <w:rPr>
          <w:u w:val="none"/>
          <w:lang w:val="zh-CN"/>
        </w:rPr>
        <w:t>科学合理安排绿化用地，严禁违规占用耕地绿化。以宜林荒山荒地、荒废和受损山体、退化林地草地等为主，将适宜造林绿化空间统筹确定为规划造林绿化空间，并落实到同级国土空间规划“一张图”上。规划至2035年，国土空间适宜造林绿化重点在</w:t>
      </w:r>
      <w:r>
        <w:rPr>
          <w:rFonts w:hint="eastAsia"/>
          <w:u w:val="none"/>
        </w:rPr>
        <w:t>农场</w:t>
      </w:r>
      <w:r>
        <w:rPr>
          <w:u w:val="none"/>
        </w:rPr>
        <w:t>、杨岗镇、宝东镇、迎春林业局等</w:t>
      </w:r>
      <w:r>
        <w:rPr>
          <w:u w:val="none"/>
          <w:lang w:val="zh-CN"/>
        </w:rPr>
        <w:t>落实造林绿化任务。</w:t>
      </w:r>
    </w:p>
    <w:p w14:paraId="6E782839">
      <w:pPr>
        <w:pStyle w:val="31"/>
        <w:ind w:firstLine="640"/>
        <w:rPr>
          <w:u w:val="none"/>
        </w:rPr>
      </w:pPr>
    </w:p>
    <w:p w14:paraId="752710B6">
      <w:pPr>
        <w:pStyle w:val="31"/>
        <w:ind w:firstLine="640"/>
        <w:rPr>
          <w:u w:val="none"/>
        </w:rPr>
      </w:pPr>
    </w:p>
    <w:p w14:paraId="3DE40C43">
      <w:pPr>
        <w:pStyle w:val="31"/>
        <w:ind w:firstLine="640"/>
        <w:rPr>
          <w:u w:val="none"/>
        </w:rPr>
      </w:pPr>
    </w:p>
    <w:p w14:paraId="43A9998F">
      <w:pPr>
        <w:pStyle w:val="31"/>
        <w:ind w:firstLine="640"/>
        <w:rPr>
          <w:u w:val="none"/>
        </w:rPr>
      </w:pPr>
    </w:p>
    <w:p w14:paraId="000A1021">
      <w:pPr>
        <w:pStyle w:val="31"/>
        <w:ind w:firstLine="640"/>
        <w:rPr>
          <w:u w:val="none"/>
        </w:rPr>
      </w:pPr>
    </w:p>
    <w:p w14:paraId="7B09EDA8">
      <w:pPr>
        <w:pStyle w:val="31"/>
        <w:ind w:firstLine="640"/>
        <w:rPr>
          <w:u w:val="none"/>
        </w:rPr>
      </w:pPr>
    </w:p>
    <w:p w14:paraId="2B0A59FC">
      <w:pPr>
        <w:pStyle w:val="31"/>
        <w:ind w:firstLine="640"/>
        <w:rPr>
          <w:u w:val="none"/>
        </w:rPr>
      </w:pPr>
    </w:p>
    <w:p w14:paraId="343F05B0">
      <w:pPr>
        <w:pStyle w:val="31"/>
        <w:ind w:firstLine="640"/>
        <w:rPr>
          <w:u w:val="none"/>
        </w:rPr>
      </w:pPr>
    </w:p>
    <w:p w14:paraId="4DEFC286">
      <w:pPr>
        <w:pStyle w:val="31"/>
        <w:ind w:firstLine="640"/>
        <w:rPr>
          <w:u w:val="none"/>
        </w:rPr>
      </w:pPr>
    </w:p>
    <w:p w14:paraId="35F07D75">
      <w:pPr>
        <w:pStyle w:val="31"/>
        <w:ind w:firstLine="640"/>
        <w:rPr>
          <w:u w:val="none"/>
        </w:rPr>
      </w:pPr>
    </w:p>
    <w:p w14:paraId="555FDCFD">
      <w:pPr>
        <w:pStyle w:val="3"/>
        <w:widowControl w:val="0"/>
        <w:snapToGrid/>
        <w:spacing w:before="10" w:after="10" w:line="600" w:lineRule="exact"/>
        <w:ind w:firstLine="0" w:firstLineChars="0"/>
        <w:jc w:val="center"/>
        <w:rPr>
          <w:rFonts w:ascii="Times New Roman" w:hAnsi="Times New Roman" w:eastAsia="方正小标宋简体"/>
          <w:b w:val="0"/>
          <w:bCs w:val="0"/>
          <w:color w:val="auto"/>
          <w:sz w:val="36"/>
          <w:u w:val="none"/>
        </w:rPr>
      </w:pPr>
      <w:bookmarkStart w:id="195" w:name="_Toc30483"/>
      <w:bookmarkStart w:id="196" w:name="_Toc6854"/>
      <w:bookmarkStart w:id="197" w:name="_Toc181784660"/>
      <w:bookmarkStart w:id="198" w:name="_Toc181784590"/>
      <w:bookmarkStart w:id="199" w:name="_Toc181784450"/>
      <w:r>
        <w:rPr>
          <w:rFonts w:ascii="Times New Roman" w:hAnsi="Times New Roman" w:eastAsia="方正小标宋简体"/>
          <w:b w:val="0"/>
          <w:bCs w:val="0"/>
          <w:color w:val="auto"/>
          <w:sz w:val="36"/>
          <w:u w:val="none"/>
        </w:rPr>
        <w:t>第</w:t>
      </w:r>
      <w:r>
        <w:rPr>
          <w:rFonts w:hint="eastAsia" w:ascii="Times New Roman" w:hAnsi="Times New Roman" w:eastAsia="方正小标宋简体"/>
          <w:b w:val="0"/>
          <w:bCs w:val="0"/>
          <w:color w:val="auto"/>
          <w:sz w:val="36"/>
          <w:u w:val="none"/>
        </w:rPr>
        <w:t>六</w:t>
      </w:r>
      <w:r>
        <w:rPr>
          <w:rFonts w:ascii="Times New Roman" w:hAnsi="Times New Roman" w:eastAsia="方正小标宋简体"/>
          <w:b w:val="0"/>
          <w:bCs w:val="0"/>
          <w:color w:val="auto"/>
          <w:sz w:val="36"/>
          <w:u w:val="none"/>
        </w:rPr>
        <w:t xml:space="preserve">章  </w:t>
      </w:r>
      <w:r>
        <w:rPr>
          <w:rFonts w:hint="eastAsia" w:ascii="Times New Roman" w:hAnsi="Times New Roman" w:eastAsia="方正小标宋简体"/>
          <w:b w:val="0"/>
          <w:bCs w:val="0"/>
          <w:color w:val="auto"/>
          <w:sz w:val="36"/>
          <w:u w:val="none"/>
        </w:rPr>
        <w:t>建设宜居宜业城镇空间</w:t>
      </w:r>
      <w:bookmarkEnd w:id="195"/>
      <w:bookmarkEnd w:id="196"/>
      <w:bookmarkEnd w:id="197"/>
      <w:bookmarkEnd w:id="198"/>
      <w:bookmarkEnd w:id="199"/>
    </w:p>
    <w:p w14:paraId="2C630E7D">
      <w:pPr>
        <w:pStyle w:val="4"/>
        <w:widowControl w:val="0"/>
        <w:snapToGrid/>
        <w:spacing w:before="120" w:beforeLines="50" w:after="120" w:afterLines="50" w:line="600" w:lineRule="exact"/>
        <w:ind w:firstLine="0" w:firstLineChars="0"/>
        <w:rPr>
          <w:b w:val="0"/>
          <w:bCs w:val="0"/>
          <w:color w:val="auto"/>
          <w:u w:val="none"/>
        </w:rPr>
      </w:pPr>
      <w:bookmarkStart w:id="200" w:name="_Toc31996"/>
      <w:bookmarkStart w:id="201" w:name="_Toc181784451"/>
      <w:bookmarkStart w:id="202" w:name="_Toc181784661"/>
      <w:bookmarkStart w:id="203" w:name="_Toc181784591"/>
      <w:bookmarkStart w:id="204" w:name="_Toc32284"/>
      <w:r>
        <w:rPr>
          <w:b w:val="0"/>
          <w:bCs w:val="0"/>
          <w:color w:val="auto"/>
          <w:u w:val="none"/>
        </w:rPr>
        <w:t xml:space="preserve">第一节 </w:t>
      </w:r>
      <w:r>
        <w:rPr>
          <w:rFonts w:hint="eastAsia"/>
          <w:b w:val="0"/>
          <w:bCs w:val="0"/>
          <w:color w:val="auto"/>
          <w:u w:val="none"/>
        </w:rPr>
        <w:t>优化</w:t>
      </w:r>
      <w:r>
        <w:rPr>
          <w:b w:val="0"/>
          <w:bCs w:val="0"/>
          <w:color w:val="auto"/>
          <w:u w:val="none"/>
        </w:rPr>
        <w:t>城镇空间开发格局</w:t>
      </w:r>
      <w:bookmarkEnd w:id="200"/>
      <w:bookmarkEnd w:id="201"/>
      <w:bookmarkEnd w:id="202"/>
      <w:bookmarkEnd w:id="203"/>
      <w:bookmarkEnd w:id="204"/>
    </w:p>
    <w:p w14:paraId="786AE09F">
      <w:pPr>
        <w:pStyle w:val="5"/>
        <w:spacing w:before="120" w:after="120"/>
      </w:pPr>
      <w:r>
        <w:rPr>
          <w:rFonts w:hint="eastAsia"/>
        </w:rPr>
        <w:t xml:space="preserve">第53条 </w:t>
      </w:r>
      <w:r>
        <w:t>形成“一心协多点，两轴链五区”的城镇空间格局</w:t>
      </w:r>
    </w:p>
    <w:p w14:paraId="0C7D9990">
      <w:pPr>
        <w:rPr>
          <w:u w:val="none"/>
          <w:lang w:val="zh-CN"/>
        </w:rPr>
      </w:pPr>
      <w:r>
        <w:rPr>
          <w:rFonts w:hint="eastAsia" w:ascii="楷体_GB2312" w:hAnsi="楷体_GB2312" w:eastAsia="楷体_GB2312" w:cs="楷体_GB2312"/>
          <w:u w:val="none"/>
          <w:lang w:val="zh-CN"/>
        </w:rPr>
        <w:t>“一心协多点”：</w:t>
      </w:r>
      <w:r>
        <w:rPr>
          <w:u w:val="none"/>
          <w:lang w:val="zh-CN"/>
        </w:rPr>
        <w:t>即以虎林</w:t>
      </w:r>
      <w:r>
        <w:rPr>
          <w:u w:val="none"/>
        </w:rPr>
        <w:t>中心城区</w:t>
      </w:r>
      <w:r>
        <w:rPr>
          <w:u w:val="none"/>
          <w:lang w:val="zh-CN"/>
        </w:rPr>
        <w:t>为区域发展核心，协同区域内的6个重要发展节点</w:t>
      </w:r>
      <w:r>
        <w:rPr>
          <w:rFonts w:hint="eastAsia"/>
          <w:u w:val="none"/>
          <w:lang w:val="zh-CN"/>
        </w:rPr>
        <w:t>—</w:t>
      </w:r>
      <w:r>
        <w:rPr>
          <w:u w:val="none"/>
          <w:lang w:val="zh-CN"/>
        </w:rPr>
        <w:t>东方红镇（东方红林业局）、迎春镇（迎春林业局与八五四</w:t>
      </w:r>
      <w:r>
        <w:rPr>
          <w:u w:val="none"/>
        </w:rPr>
        <w:t>农场</w:t>
      </w:r>
      <w:r>
        <w:rPr>
          <w:u w:val="none"/>
          <w:lang w:val="zh-CN"/>
        </w:rPr>
        <w:t>）、虎头镇、杨岗镇、宝东镇和八五八</w:t>
      </w:r>
      <w:r>
        <w:rPr>
          <w:u w:val="none"/>
        </w:rPr>
        <w:t>农场</w:t>
      </w:r>
      <w:r>
        <w:rPr>
          <w:u w:val="none"/>
          <w:lang w:val="zh-CN"/>
        </w:rPr>
        <w:t>，重点推进人口、产业集聚，提升城镇空间承载能力和城镇建设品质，并辐射带动全域发展。</w:t>
      </w:r>
    </w:p>
    <w:p w14:paraId="695EE657">
      <w:pPr>
        <w:rPr>
          <w:u w:val="none"/>
          <w:lang w:val="zh-CN"/>
        </w:rPr>
      </w:pPr>
      <w:r>
        <w:rPr>
          <w:rFonts w:ascii="楷体_GB2312" w:hAnsi="楷体_GB2312" w:eastAsia="楷体_GB2312" w:cs="楷体_GB2312"/>
          <w:u w:val="none"/>
          <w:lang w:val="zh-CN"/>
        </w:rPr>
        <w:t>“两轴链五区”：</w:t>
      </w:r>
      <w:r>
        <w:rPr>
          <w:u w:val="none"/>
          <w:lang w:val="zh-CN"/>
        </w:rPr>
        <w:t>即依托区域交通国道G331、省道S201、鸡虎高速、密虎铁路、东方红</w:t>
      </w:r>
      <w:r>
        <w:rPr>
          <w:rFonts w:hint="eastAsia"/>
          <w:u w:val="none"/>
          <w:lang w:val="zh-CN"/>
        </w:rPr>
        <w:t>—</w:t>
      </w:r>
      <w:r>
        <w:rPr>
          <w:u w:val="none"/>
          <w:lang w:val="zh-CN"/>
        </w:rPr>
        <w:t>饶河铁路、虎林口岸公路（铁路）的纵横交通发展轴线，也是虎林市人口和产业集中布局的重要发展带。通过交通发展轴线的链接，构成带动与协同发展关系的五个片区，包括</w:t>
      </w:r>
      <w:r>
        <w:rPr>
          <w:u w:val="none"/>
        </w:rPr>
        <w:t>中心城区</w:t>
      </w:r>
      <w:r>
        <w:rPr>
          <w:u w:val="none"/>
          <w:lang w:val="zh-CN"/>
        </w:rPr>
        <w:t>与新乐乡、伟光乡、东诚镇、庆丰</w:t>
      </w:r>
      <w:r>
        <w:rPr>
          <w:u w:val="none"/>
        </w:rPr>
        <w:t>农场</w:t>
      </w:r>
      <w:r>
        <w:rPr>
          <w:u w:val="none"/>
          <w:lang w:val="zh-CN"/>
        </w:rPr>
        <w:t>片区，杨岗镇与宝东镇、八五</w:t>
      </w:r>
      <w:r>
        <w:rPr>
          <w:rFonts w:hint="eastAsia" w:ascii="宋体" w:hAnsi="宋体" w:eastAsia="宋体" w:cs="宋体"/>
          <w:u w:val="none"/>
        </w:rPr>
        <w:t>〇</w:t>
      </w:r>
      <w:r>
        <w:rPr>
          <w:u w:val="none"/>
        </w:rPr>
        <w:t>农场</w:t>
      </w:r>
      <w:r>
        <w:rPr>
          <w:u w:val="none"/>
          <w:lang w:val="zh-CN"/>
        </w:rPr>
        <w:t>、八五六</w:t>
      </w:r>
      <w:r>
        <w:rPr>
          <w:u w:val="none"/>
        </w:rPr>
        <w:t>农场</w:t>
      </w:r>
      <w:r>
        <w:rPr>
          <w:u w:val="none"/>
          <w:lang w:val="zh-CN"/>
        </w:rPr>
        <w:t>、云山</w:t>
      </w:r>
      <w:r>
        <w:rPr>
          <w:u w:val="none"/>
        </w:rPr>
        <w:t>农场</w:t>
      </w:r>
      <w:r>
        <w:rPr>
          <w:u w:val="none"/>
          <w:lang w:val="zh-CN"/>
        </w:rPr>
        <w:t>片区，东方红镇（东方红林业局）与迎春镇（迎春林业局与八五四</w:t>
      </w:r>
      <w:r>
        <w:rPr>
          <w:u w:val="none"/>
        </w:rPr>
        <w:t>农场</w:t>
      </w:r>
      <w:r>
        <w:rPr>
          <w:u w:val="none"/>
          <w:lang w:val="zh-CN"/>
        </w:rPr>
        <w:t>）片区，八五八</w:t>
      </w:r>
      <w:r>
        <w:rPr>
          <w:u w:val="none"/>
        </w:rPr>
        <w:t>农场</w:t>
      </w:r>
      <w:r>
        <w:rPr>
          <w:u w:val="none"/>
          <w:lang w:val="zh-CN"/>
        </w:rPr>
        <w:t>与吉祥口岸片区，虎头镇与珍宝岛乡片区，进而实现虎林全域的城乡一体化发展。</w:t>
      </w:r>
    </w:p>
    <w:p w14:paraId="40ABCD33">
      <w:pPr>
        <w:pStyle w:val="2"/>
        <w:ind w:firstLine="480"/>
        <w:rPr>
          <w:u w:val="none"/>
          <w:lang w:val="zh-CN"/>
        </w:rPr>
      </w:pPr>
    </w:p>
    <w:p w14:paraId="24E4E7EC">
      <w:pPr>
        <w:rPr>
          <w:u w:val="none"/>
          <w:lang w:val="zh-CN"/>
        </w:rPr>
      </w:pPr>
    </w:p>
    <w:p w14:paraId="37BC054D">
      <w:pPr>
        <w:pStyle w:val="2"/>
        <w:ind w:firstLine="480"/>
        <w:rPr>
          <w:u w:val="none"/>
          <w:lang w:val="zh-CN"/>
        </w:rPr>
      </w:pPr>
    </w:p>
    <w:p w14:paraId="500FE227">
      <w:pPr>
        <w:pStyle w:val="4"/>
        <w:widowControl w:val="0"/>
        <w:snapToGrid/>
        <w:spacing w:before="120" w:beforeLines="50" w:after="120" w:afterLines="50" w:line="600" w:lineRule="exact"/>
        <w:ind w:firstLine="0" w:firstLineChars="0"/>
        <w:rPr>
          <w:b w:val="0"/>
          <w:bCs w:val="0"/>
          <w:color w:val="auto"/>
          <w:u w:val="none"/>
        </w:rPr>
      </w:pPr>
      <w:bookmarkStart w:id="205" w:name="_Toc181784452"/>
      <w:bookmarkStart w:id="206" w:name="_Toc20906"/>
      <w:bookmarkStart w:id="207" w:name="_Toc25447"/>
      <w:bookmarkStart w:id="208" w:name="_Toc181784662"/>
      <w:bookmarkStart w:id="209" w:name="_Toc181784592"/>
      <w:r>
        <w:rPr>
          <w:b w:val="0"/>
          <w:bCs w:val="0"/>
          <w:color w:val="auto"/>
          <w:u w:val="none"/>
        </w:rPr>
        <w:t>第二节 统筹多级城镇协调发展</w:t>
      </w:r>
      <w:bookmarkEnd w:id="205"/>
      <w:bookmarkEnd w:id="206"/>
      <w:bookmarkEnd w:id="207"/>
      <w:bookmarkEnd w:id="208"/>
      <w:bookmarkEnd w:id="209"/>
    </w:p>
    <w:p w14:paraId="4F884DC9">
      <w:pPr>
        <w:pStyle w:val="5"/>
        <w:spacing w:before="120" w:after="120"/>
      </w:pPr>
      <w:r>
        <w:rPr>
          <w:rFonts w:hint="eastAsia"/>
        </w:rPr>
        <w:t>第54条 优化城镇体系结构</w:t>
      </w:r>
    </w:p>
    <w:p w14:paraId="5715E46A">
      <w:pPr>
        <w:rPr>
          <w:u w:val="none"/>
          <w:lang w:val="zh-CN"/>
        </w:rPr>
      </w:pPr>
      <w:r>
        <w:rPr>
          <w:u w:val="none"/>
          <w:lang w:val="zh-CN"/>
        </w:rPr>
        <w:t>确定虎林市域城镇等级结构由三级构成：“1个</w:t>
      </w:r>
      <w:r>
        <w:rPr>
          <w:u w:val="none"/>
        </w:rPr>
        <w:t>中心城区</w:t>
      </w:r>
      <w:r>
        <w:rPr>
          <w:rFonts w:hint="eastAsia"/>
          <w:u w:val="none"/>
          <w:lang w:val="zh-CN"/>
        </w:rPr>
        <w:t>—</w:t>
      </w:r>
      <w:r>
        <w:rPr>
          <w:u w:val="none"/>
          <w:lang w:val="zh-CN"/>
        </w:rPr>
        <w:t>6个重点乡镇（农场）</w:t>
      </w:r>
      <w:r>
        <w:rPr>
          <w:rFonts w:hint="eastAsia"/>
          <w:u w:val="none"/>
          <w:lang w:val="zh-CN"/>
        </w:rPr>
        <w:t>—</w:t>
      </w:r>
      <w:r>
        <w:rPr>
          <w:u w:val="none"/>
          <w:lang w:val="zh-CN"/>
        </w:rPr>
        <w:t>9个一般乡镇（农场）”。</w:t>
      </w:r>
    </w:p>
    <w:p w14:paraId="5EC8084B">
      <w:pPr>
        <w:rPr>
          <w:u w:val="none"/>
          <w:lang w:val="zh-CN"/>
        </w:rPr>
      </w:pPr>
      <w:r>
        <w:rPr>
          <w:u w:val="none"/>
        </w:rPr>
        <w:t>中心城区</w:t>
      </w:r>
      <w:r>
        <w:rPr>
          <w:u w:val="none"/>
          <w:lang w:val="zh-CN"/>
        </w:rPr>
        <w:t>：利用中心城区特有的极化与扩散效应，强化其在区域交通网络的中心枢纽、经济网络的管理中心、资源配置的服务中心、信息网络的流通中心以及人才中心的作用，通过增强扩散效应，充分发挥对区域发展的带动作用。另外</w:t>
      </w:r>
      <w:r>
        <w:rPr>
          <w:u w:val="none"/>
        </w:rPr>
        <w:t>中心城区</w:t>
      </w:r>
      <w:r>
        <w:rPr>
          <w:u w:val="none"/>
          <w:lang w:val="zh-CN"/>
        </w:rPr>
        <w:t>是全市城镇化发展的重点承载区域，侧重于补齐并高质量建设公共服务设施和基础设施，提升城市功能和品质，引导人口有序向城镇聚集。重点加快产业聚集、产业链培育，促进产城融合，提升综合承载力。</w:t>
      </w:r>
    </w:p>
    <w:p w14:paraId="6AF1073F">
      <w:pPr>
        <w:rPr>
          <w:u w:val="none"/>
          <w:lang w:val="zh-CN"/>
        </w:rPr>
      </w:pPr>
      <w:r>
        <w:rPr>
          <w:u w:val="none"/>
          <w:lang w:val="zh-CN"/>
        </w:rPr>
        <w:t>重点乡镇（农场）：包括东方红镇（东方红林业局）、迎春镇（八五四</w:t>
      </w:r>
      <w:r>
        <w:rPr>
          <w:u w:val="none"/>
        </w:rPr>
        <w:t>农场</w:t>
      </w:r>
      <w:r>
        <w:rPr>
          <w:u w:val="none"/>
          <w:lang w:val="zh-CN"/>
        </w:rPr>
        <w:t>、迎春林业局）、杨岗镇、宝东镇、虎头镇、八五八</w:t>
      </w:r>
      <w:r>
        <w:rPr>
          <w:u w:val="none"/>
        </w:rPr>
        <w:t>农场</w:t>
      </w:r>
      <w:r>
        <w:rPr>
          <w:u w:val="none"/>
          <w:lang w:val="zh-CN"/>
        </w:rPr>
        <w:t>，重点乡镇是区域城镇体系的重要空间节点，应发挥承上启下的功能，服从中心城市的产业与经济发展战略，承担中心城市的部分区域职能。通过重点乡镇（农场）的集聚与规模扩张，发挥在区域农村社会经济发展与农村城镇化进程推进的中心作用。</w:t>
      </w:r>
    </w:p>
    <w:p w14:paraId="53FC716C">
      <w:pPr>
        <w:rPr>
          <w:u w:val="none"/>
          <w:lang w:val="zh-CN"/>
        </w:rPr>
      </w:pPr>
      <w:bookmarkStart w:id="210" w:name="_Toc31502"/>
      <w:bookmarkStart w:id="211" w:name="_Toc6769"/>
      <w:bookmarkStart w:id="212" w:name="_Toc30963"/>
      <w:r>
        <w:rPr>
          <w:u w:val="none"/>
          <w:lang w:val="zh-CN"/>
        </w:rPr>
        <w:t>一般乡镇（农场）：包括东诚镇、珍宝岛乡、新乐乡、伟光乡、阿北乡、八五</w:t>
      </w:r>
      <w:r>
        <w:rPr>
          <w:rFonts w:hint="eastAsia" w:ascii="宋体" w:hAnsi="宋体" w:eastAsia="宋体" w:cs="宋体"/>
          <w:u w:val="none"/>
        </w:rPr>
        <w:t>〇</w:t>
      </w:r>
      <w:r>
        <w:rPr>
          <w:u w:val="none"/>
        </w:rPr>
        <w:t>农场</w:t>
      </w:r>
      <w:r>
        <w:rPr>
          <w:u w:val="none"/>
          <w:lang w:val="zh-CN"/>
        </w:rPr>
        <w:t>、八五六</w:t>
      </w:r>
      <w:r>
        <w:rPr>
          <w:u w:val="none"/>
        </w:rPr>
        <w:t>农场</w:t>
      </w:r>
      <w:r>
        <w:rPr>
          <w:u w:val="none"/>
          <w:lang w:val="zh-CN"/>
        </w:rPr>
        <w:t>、庆丰</w:t>
      </w:r>
      <w:r>
        <w:rPr>
          <w:u w:val="none"/>
        </w:rPr>
        <w:t>农场</w:t>
      </w:r>
      <w:r>
        <w:rPr>
          <w:u w:val="none"/>
          <w:lang w:val="zh-CN"/>
        </w:rPr>
        <w:t>、云山</w:t>
      </w:r>
      <w:r>
        <w:rPr>
          <w:u w:val="none"/>
        </w:rPr>
        <w:t>农场，</w:t>
      </w:r>
      <w:r>
        <w:rPr>
          <w:u w:val="none"/>
          <w:lang w:val="zh-CN"/>
        </w:rPr>
        <w:t>主要职能是作为农村经济发展的增长极，重点建设完善的公共服务设施与基础设施，作为虎林市农村城镇化战略实施的主要载体。</w:t>
      </w:r>
    </w:p>
    <w:p w14:paraId="47581D19">
      <w:pPr>
        <w:pStyle w:val="5"/>
        <w:spacing w:before="120" w:after="120"/>
      </w:pPr>
      <w:r>
        <w:t>第</w:t>
      </w:r>
      <w:r>
        <w:rPr>
          <w:rFonts w:hint="eastAsia"/>
        </w:rPr>
        <w:t>55</w:t>
      </w:r>
      <w:r>
        <w:t>条 引导城镇规模结构</w:t>
      </w:r>
      <w:bookmarkEnd w:id="210"/>
      <w:bookmarkEnd w:id="211"/>
      <w:bookmarkEnd w:id="212"/>
    </w:p>
    <w:p w14:paraId="7F6CEA67">
      <w:pPr>
        <w:rPr>
          <w:u w:val="none"/>
          <w:lang w:val="zh-CN"/>
        </w:rPr>
      </w:pPr>
      <w:bookmarkStart w:id="213" w:name="_Toc9044"/>
      <w:bookmarkStart w:id="214" w:name="_Toc12588"/>
      <w:bookmarkStart w:id="215" w:name="_Toc24098"/>
      <w:r>
        <w:rPr>
          <w:u w:val="none"/>
          <w:lang w:val="zh-CN"/>
        </w:rPr>
        <w:t>城镇体系规模结构可分为</w:t>
      </w:r>
      <w:r>
        <w:rPr>
          <w:u w:val="none"/>
        </w:rPr>
        <w:t>三</w:t>
      </w:r>
      <w:r>
        <w:rPr>
          <w:u w:val="none"/>
          <w:lang w:val="zh-CN"/>
        </w:rPr>
        <w:t>级，一级城镇</w:t>
      </w:r>
      <w:r>
        <w:rPr>
          <w:rFonts w:hint="eastAsia"/>
          <w:u w:val="none"/>
          <w:lang w:val="zh-CN"/>
        </w:rPr>
        <w:t>—</w:t>
      </w:r>
      <w:r>
        <w:rPr>
          <w:u w:val="none"/>
          <w:lang w:val="zh-CN"/>
        </w:rPr>
        <w:t>人口规模</w:t>
      </w:r>
      <w:r>
        <w:rPr>
          <w:u w:val="none"/>
        </w:rPr>
        <w:t>为5</w:t>
      </w:r>
      <w:r>
        <w:rPr>
          <w:rFonts w:hint="eastAsia"/>
          <w:u w:val="none"/>
        </w:rPr>
        <w:t>万—</w:t>
      </w:r>
      <w:r>
        <w:rPr>
          <w:u w:val="none"/>
          <w:lang w:val="zh-CN"/>
        </w:rPr>
        <w:t>10万</w:t>
      </w:r>
      <w:r>
        <w:rPr>
          <w:rFonts w:hint="eastAsia"/>
          <w:u w:val="none"/>
        </w:rPr>
        <w:t>人</w:t>
      </w:r>
      <w:r>
        <w:rPr>
          <w:u w:val="none"/>
          <w:lang w:val="zh-CN"/>
        </w:rPr>
        <w:t>，二级城镇</w:t>
      </w:r>
      <w:r>
        <w:rPr>
          <w:rFonts w:hint="eastAsia"/>
          <w:u w:val="none"/>
          <w:lang w:val="zh-CN"/>
        </w:rPr>
        <w:t>—</w:t>
      </w:r>
      <w:r>
        <w:rPr>
          <w:u w:val="none"/>
          <w:lang w:val="zh-CN"/>
        </w:rPr>
        <w:t>人口规模为</w:t>
      </w:r>
      <w:r>
        <w:rPr>
          <w:u w:val="none"/>
        </w:rPr>
        <w:t>0.1</w:t>
      </w:r>
      <w:r>
        <w:rPr>
          <w:rFonts w:hint="eastAsia"/>
          <w:u w:val="none"/>
        </w:rPr>
        <w:t>万—</w:t>
      </w:r>
      <w:r>
        <w:rPr>
          <w:u w:val="none"/>
        </w:rPr>
        <w:t>0.5</w:t>
      </w:r>
      <w:r>
        <w:rPr>
          <w:u w:val="none"/>
          <w:lang w:val="zh-CN"/>
        </w:rPr>
        <w:t>万人，三级城镇</w:t>
      </w:r>
      <w:r>
        <w:rPr>
          <w:rFonts w:hint="eastAsia"/>
          <w:u w:val="none"/>
          <w:lang w:val="zh-CN"/>
        </w:rPr>
        <w:t>—</w:t>
      </w:r>
      <w:r>
        <w:rPr>
          <w:u w:val="none"/>
          <w:lang w:val="zh-CN"/>
        </w:rPr>
        <w:t>人口规模</w:t>
      </w:r>
      <w:r>
        <w:rPr>
          <w:u w:val="none"/>
        </w:rPr>
        <w:t>0.1</w:t>
      </w:r>
      <w:r>
        <w:rPr>
          <w:u w:val="none"/>
          <w:lang w:val="zh-CN"/>
        </w:rPr>
        <w:t>万人</w:t>
      </w:r>
      <w:r>
        <w:rPr>
          <w:u w:val="none"/>
        </w:rPr>
        <w:t>以下</w:t>
      </w:r>
      <w:r>
        <w:rPr>
          <w:u w:val="none"/>
          <w:lang w:val="zh-CN"/>
        </w:rPr>
        <w:t>。</w:t>
      </w:r>
    </w:p>
    <w:p w14:paraId="6079043C">
      <w:pPr>
        <w:pStyle w:val="5"/>
        <w:spacing w:before="120" w:after="120"/>
      </w:pPr>
      <w:r>
        <w:rPr>
          <w:rFonts w:hint="eastAsia"/>
        </w:rPr>
        <w:t>第56条 强化城镇职能结构</w:t>
      </w:r>
      <w:bookmarkEnd w:id="213"/>
      <w:bookmarkEnd w:id="214"/>
      <w:bookmarkEnd w:id="215"/>
    </w:p>
    <w:p w14:paraId="0F3BC545">
      <w:pPr>
        <w:rPr>
          <w:u w:val="none"/>
        </w:rPr>
      </w:pPr>
      <w:r>
        <w:rPr>
          <w:u w:val="none"/>
          <w:lang w:val="zh-CN"/>
        </w:rPr>
        <w:t>根据虎林市各乡镇区域经济发展的差异性特点，突出林区、生态、口岸等优势资源，强化地区重点职能，全面提升各区域节点的区域辐射带动能级以及对乡村地区的辐射带动作用。规划至2035年，建立分工明确、相互协调的外向型城镇职能结构</w:t>
      </w:r>
      <w:r>
        <w:rPr>
          <w:rFonts w:hint="eastAsia"/>
          <w:u w:val="none"/>
          <w:lang w:val="zh-CN"/>
        </w:rPr>
        <w:t>—</w:t>
      </w:r>
      <w:r>
        <w:rPr>
          <w:u w:val="none"/>
          <w:lang w:val="zh-CN"/>
        </w:rPr>
        <w:t>“综合型、产业发展型、文旅融合型、现代农业型”。</w:t>
      </w:r>
    </w:p>
    <w:p w14:paraId="590D11A3">
      <w:pPr>
        <w:rPr>
          <w:u w:val="none"/>
          <w:lang w:val="zh-CN"/>
        </w:rPr>
      </w:pPr>
      <w:r>
        <w:rPr>
          <w:u w:val="none"/>
          <w:lang w:val="zh-CN"/>
        </w:rPr>
        <w:t>综合型：以中心城</w:t>
      </w:r>
      <w:r>
        <w:rPr>
          <w:u w:val="none"/>
        </w:rPr>
        <w:t>区</w:t>
      </w:r>
      <w:r>
        <w:rPr>
          <w:u w:val="none"/>
          <w:lang w:val="zh-CN"/>
        </w:rPr>
        <w:t>作为虎林市发展主心，发挥现有产业优势，利用黑龙江与俄罗斯之间的纽带作用，积极推动以对俄合作为重点的全方位开发格局，深度融入“黑龙江陆海丝绸之路经济带”，加强与东部城市群等省内区域发展战略的对接合作，形成区域现代服务业发展中心和虎林全域旅游产业集聚区。</w:t>
      </w:r>
    </w:p>
    <w:p w14:paraId="3D8D75DA">
      <w:pPr>
        <w:rPr>
          <w:u w:val="none"/>
          <w:lang w:val="zh-CN"/>
        </w:rPr>
      </w:pPr>
      <w:r>
        <w:rPr>
          <w:u w:val="none"/>
          <w:lang w:val="zh-CN"/>
        </w:rPr>
        <w:t>产业发展型：以优势资源开发利用为重点，大力发展循环经济，改造提升传统产业，积极发展高新技术产业，着力提高企业自主创新能力，扩大工业经济总量，做大做强</w:t>
      </w:r>
      <w:r>
        <w:rPr>
          <w:u w:val="none"/>
        </w:rPr>
        <w:t>以</w:t>
      </w:r>
      <w:r>
        <w:rPr>
          <w:u w:val="none"/>
          <w:lang w:val="zh-CN"/>
        </w:rPr>
        <w:t>寒地龙药加工、山林产品加工、农副产品加工集中区为主要载体，培育产业集群。</w:t>
      </w:r>
    </w:p>
    <w:p w14:paraId="2CC8BA70">
      <w:pPr>
        <w:rPr>
          <w:u w:val="none"/>
          <w:lang w:val="zh-CN"/>
        </w:rPr>
      </w:pPr>
      <w:r>
        <w:rPr>
          <w:u w:val="none"/>
          <w:lang w:val="zh-CN"/>
        </w:rPr>
        <w:t>文旅融合型：深挖地方文化和特色资源来塑造地方品牌，进一步强化地方建筑特色、文化特色、产品特色和产业特色，以形成可持续的旅游吸引力。</w:t>
      </w:r>
    </w:p>
    <w:p w14:paraId="42E2EF72">
      <w:pPr>
        <w:rPr>
          <w:u w:val="none"/>
          <w:lang w:val="zh-CN"/>
        </w:rPr>
      </w:pPr>
      <w:r>
        <w:rPr>
          <w:u w:val="none"/>
          <w:lang w:val="zh-CN"/>
        </w:rPr>
        <w:t>现代农业型：以农产品加工业和农村服务业为重点，推进农业产业化，形成符合地方特点的支柱产业，引导乡镇（农场）企业合理集聚，完善农村市场体系和社会化服务，强化小城镇市场生存和持续发展的基础。</w:t>
      </w:r>
    </w:p>
    <w:p w14:paraId="30E3105D">
      <w:pPr>
        <w:pStyle w:val="4"/>
        <w:widowControl w:val="0"/>
        <w:snapToGrid/>
        <w:spacing w:before="120" w:beforeLines="50" w:after="120" w:afterLines="50" w:line="600" w:lineRule="exact"/>
        <w:ind w:firstLine="0" w:firstLineChars="0"/>
        <w:rPr>
          <w:b w:val="0"/>
          <w:bCs w:val="0"/>
          <w:color w:val="auto"/>
          <w:u w:val="none"/>
        </w:rPr>
      </w:pPr>
      <w:bookmarkStart w:id="216" w:name="_Toc181784663"/>
      <w:bookmarkStart w:id="217" w:name="_Toc27171"/>
      <w:bookmarkStart w:id="218" w:name="_Toc181784453"/>
      <w:bookmarkStart w:id="219" w:name="_Toc26495"/>
      <w:bookmarkStart w:id="220" w:name="_Toc181784593"/>
      <w:r>
        <w:rPr>
          <w:b w:val="0"/>
          <w:bCs w:val="0"/>
          <w:color w:val="auto"/>
          <w:u w:val="none"/>
        </w:rPr>
        <w:t>第三节 优化产业空间布局</w:t>
      </w:r>
      <w:bookmarkEnd w:id="216"/>
      <w:bookmarkEnd w:id="217"/>
      <w:bookmarkEnd w:id="218"/>
      <w:bookmarkEnd w:id="219"/>
      <w:bookmarkEnd w:id="220"/>
    </w:p>
    <w:p w14:paraId="512A935D">
      <w:pPr>
        <w:pStyle w:val="5"/>
        <w:spacing w:before="120" w:after="120"/>
      </w:pPr>
      <w:bookmarkStart w:id="221" w:name="_Toc29539"/>
      <w:bookmarkStart w:id="222" w:name="_Toc1839"/>
      <w:bookmarkStart w:id="223" w:name="_Toc32153"/>
      <w:r>
        <w:t>第</w:t>
      </w:r>
      <w:r>
        <w:rPr>
          <w:rFonts w:hint="eastAsia"/>
        </w:rPr>
        <w:t>57</w:t>
      </w:r>
      <w:r>
        <w:t>条 确定产业发展目标</w:t>
      </w:r>
      <w:bookmarkEnd w:id="221"/>
      <w:bookmarkEnd w:id="222"/>
      <w:bookmarkEnd w:id="223"/>
    </w:p>
    <w:p w14:paraId="565A9E99">
      <w:pPr>
        <w:rPr>
          <w:u w:val="none"/>
          <w:lang w:val="zh-CN"/>
        </w:rPr>
      </w:pPr>
      <w:bookmarkStart w:id="224" w:name="_Toc21287"/>
      <w:bookmarkStart w:id="225" w:name="_Toc25413"/>
      <w:bookmarkStart w:id="226" w:name="_Toc20477"/>
      <w:r>
        <w:rPr>
          <w:u w:val="none"/>
          <w:lang w:val="zh-CN"/>
        </w:rPr>
        <w:t>主动融入以国内大循环为主体、国内国际双循环相促进的新发展格局，充分释放“绿色底色、生态亮色、口岸特色”优势，融入国家区域重大发展战略，着力打造“两山”理论实践基地、绿色食品名城、北疆医药强城、文旅康养新城、特色口岸边城“一地四城”。走出质量更高、效益更好、结构更优、优势充分释放的高质量发展之路。</w:t>
      </w:r>
    </w:p>
    <w:bookmarkEnd w:id="224"/>
    <w:bookmarkEnd w:id="225"/>
    <w:bookmarkEnd w:id="226"/>
    <w:p w14:paraId="6059CC83">
      <w:pPr>
        <w:pStyle w:val="5"/>
        <w:spacing w:before="120" w:after="120"/>
      </w:pPr>
      <w:r>
        <w:t>第</w:t>
      </w:r>
      <w:r>
        <w:rPr>
          <w:rFonts w:hint="eastAsia"/>
        </w:rPr>
        <w:t>58</w:t>
      </w:r>
      <w:r>
        <w:t>条 产业发展重点</w:t>
      </w:r>
    </w:p>
    <w:p w14:paraId="25EDB1E2">
      <w:pPr>
        <w:rPr>
          <w:u w:val="none"/>
        </w:rPr>
      </w:pPr>
      <w:r>
        <w:rPr>
          <w:u w:val="none"/>
        </w:rPr>
        <w:t>1.延展拓宽绿色食品产业链条</w:t>
      </w:r>
    </w:p>
    <w:p w14:paraId="7021237B">
      <w:pPr>
        <w:rPr>
          <w:u w:val="none"/>
          <w:lang w:val="zh-CN"/>
        </w:rPr>
      </w:pPr>
      <w:r>
        <w:rPr>
          <w:u w:val="none"/>
          <w:lang w:val="zh-CN"/>
        </w:rPr>
        <w:t>发挥</w:t>
      </w:r>
      <w:r>
        <w:rPr>
          <w:u w:val="none"/>
        </w:rPr>
        <w:t>农场</w:t>
      </w:r>
      <w:r>
        <w:rPr>
          <w:u w:val="none"/>
          <w:lang w:val="zh-CN"/>
        </w:rPr>
        <w:t>前沿科技引领作用，大力发展粮食、乳制品、山特产品等精深加工，推动绿色食品产业向产业链和价值链高端延伸，打造全国知名绿色食品生产加工基地。深入实施品牌战略，扩大绿色食品、有机农产品和农产品地理标志</w:t>
      </w:r>
      <w:r>
        <w:rPr>
          <w:rFonts w:hint="eastAsia"/>
          <w:u w:val="none"/>
        </w:rPr>
        <w:t>发展</w:t>
      </w:r>
      <w:r>
        <w:rPr>
          <w:u w:val="none"/>
          <w:lang w:val="zh-CN"/>
        </w:rPr>
        <w:t>规模，鼓励推行企业“母品牌（国家地理标志证明商标）+企业品牌”经营模式，提升企业产品溢价率和市场占有率。</w:t>
      </w:r>
    </w:p>
    <w:p w14:paraId="68BEE048">
      <w:pPr>
        <w:rPr>
          <w:u w:val="none"/>
        </w:rPr>
      </w:pPr>
      <w:r>
        <w:rPr>
          <w:u w:val="none"/>
        </w:rPr>
        <w:t>2.提档升级医药制药产业集群</w:t>
      </w:r>
    </w:p>
    <w:p w14:paraId="35879D10">
      <w:pPr>
        <w:rPr>
          <w:u w:val="none"/>
          <w:lang w:val="zh-CN"/>
        </w:rPr>
      </w:pPr>
      <w:r>
        <w:rPr>
          <w:u w:val="none"/>
          <w:lang w:val="zh-CN"/>
        </w:rPr>
        <w:t>发挥珍宝岛药业、乌苏里江药业、全乐制药、野宝药业等龙头引领带动作用，加快寒地龙药产业园区建设，助力打造建设北疆医药强城。巩固中药传统优势，加快优势产品技术升级、二次开发，建设中药材复方颗粒项目，实现增强优势、高端突破。同时多元发展保健品产业，支持域内企业与国内龙头开展合作，研究开发高科技高附加值的保健产品，推动保健品产业发展向高端高质迈进。</w:t>
      </w:r>
    </w:p>
    <w:p w14:paraId="688AF8A2">
      <w:pPr>
        <w:rPr>
          <w:u w:val="none"/>
        </w:rPr>
      </w:pPr>
      <w:r>
        <w:rPr>
          <w:u w:val="none"/>
        </w:rPr>
        <w:t>3.培育建设区域性新能源基地</w:t>
      </w:r>
    </w:p>
    <w:p w14:paraId="75F369F6">
      <w:pPr>
        <w:rPr>
          <w:u w:val="none"/>
          <w:lang w:val="zh-CN"/>
        </w:rPr>
      </w:pPr>
      <w:r>
        <w:rPr>
          <w:u w:val="none"/>
          <w:lang w:val="zh-CN"/>
        </w:rPr>
        <w:t>抓住国家和省大力发展新能源产业的重大机遇，推动新能源产业提质升级。落实“气化龙江”战略，支持中俄远东天然气管道工程建设，推进城市燃气管网和LNG接收站储罐建设，拓展民用燃气、工业燃气、天然气化工、天然气交通等利用领域，实现</w:t>
      </w:r>
      <w:r>
        <w:rPr>
          <w:rFonts w:hint="eastAsia"/>
          <w:u w:val="none"/>
          <w:lang w:val="zh-CN"/>
        </w:rPr>
        <w:t>“</w:t>
      </w:r>
      <w:r>
        <w:rPr>
          <w:u w:val="none"/>
          <w:lang w:val="zh-CN"/>
        </w:rPr>
        <w:t>俄气</w:t>
      </w:r>
      <w:r>
        <w:rPr>
          <w:rFonts w:hint="eastAsia"/>
          <w:u w:val="none"/>
          <w:lang w:val="zh-CN"/>
        </w:rPr>
        <w:t>”</w:t>
      </w:r>
      <w:r>
        <w:rPr>
          <w:u w:val="none"/>
          <w:lang w:val="zh-CN"/>
        </w:rPr>
        <w:t>高效利用。</w:t>
      </w:r>
    </w:p>
    <w:p w14:paraId="5FCF5796">
      <w:pPr>
        <w:rPr>
          <w:u w:val="none"/>
        </w:rPr>
      </w:pPr>
      <w:r>
        <w:rPr>
          <w:u w:val="none"/>
        </w:rPr>
        <w:t>4.完善边贸口岸功能</w:t>
      </w:r>
    </w:p>
    <w:p w14:paraId="0B03C4F1">
      <w:pPr>
        <w:rPr>
          <w:u w:val="none"/>
          <w:lang w:val="zh-CN"/>
        </w:rPr>
      </w:pPr>
      <w:r>
        <w:rPr>
          <w:u w:val="none"/>
          <w:lang w:val="zh-CN"/>
        </w:rPr>
        <w:t>加快口岸基础设施建设，改善口岸通关环境，加强对俄产业园和产业链建设，抢抓全省建设“龙江陆海丝绸之路经济带”的有利机遇，推动对俄经贸合作转型升级。</w:t>
      </w:r>
    </w:p>
    <w:p w14:paraId="3253CCDE">
      <w:pPr>
        <w:rPr>
          <w:u w:val="none"/>
        </w:rPr>
      </w:pPr>
      <w:r>
        <w:rPr>
          <w:u w:val="none"/>
        </w:rPr>
        <w:t>5.培育发展现代服务业</w:t>
      </w:r>
    </w:p>
    <w:p w14:paraId="2CA7DFA9">
      <w:pPr>
        <w:rPr>
          <w:u w:val="none"/>
          <w:lang w:val="zh-CN"/>
        </w:rPr>
      </w:pPr>
      <w:r>
        <w:rPr>
          <w:u w:val="none"/>
          <w:lang w:val="zh-CN"/>
        </w:rPr>
        <w:t>实施现代服务业能级提升工程，推动生活性服务业提品质、生产性服务业强功能，最大限度激发消费潜力。谋划实施物流园建设，完善城乡物流服务，建设农村物流公共信息平台，构建覆盖县乡村三级物流配送网络。加快夜购商圈、特色餐饮美食街区、对俄商贸批发城建设，推进商业街、步行街等商圈提档升级，常态化发展“网红经济”“假日经济”“地摊经济”，拓展城市消费空间。引进各类金融机构，更好地满足实体经济多元化融资需求。创新消费模式和业态，推广直播带货、网红打卡等新型网络销售模式。</w:t>
      </w:r>
    </w:p>
    <w:p w14:paraId="12E97F8A">
      <w:pPr>
        <w:rPr>
          <w:u w:val="none"/>
        </w:rPr>
      </w:pPr>
      <w:r>
        <w:rPr>
          <w:u w:val="none"/>
        </w:rPr>
        <w:t>6.深化全域旅游布局</w:t>
      </w:r>
    </w:p>
    <w:p w14:paraId="137AAC64">
      <w:pPr>
        <w:rPr>
          <w:u w:val="none"/>
          <w:lang w:val="zh-CN"/>
        </w:rPr>
      </w:pPr>
      <w:r>
        <w:rPr>
          <w:u w:val="none"/>
          <w:lang w:val="zh-CN"/>
        </w:rPr>
        <w:t>围绕“红绿银边”四大品牌，深度开发优质旅游资源，培育健康养老产品，推动景区旅游向全域旅游转变，叫响集避暑观光、康复养生、休闲度假、文化体验于一体的旅游胜地品牌，打造“醉美331”风景线上极具吸引力的文旅康养目的地。</w:t>
      </w:r>
    </w:p>
    <w:p w14:paraId="12FC0E5F">
      <w:pPr>
        <w:pStyle w:val="5"/>
        <w:spacing w:before="120" w:after="120"/>
      </w:pPr>
      <w:bookmarkStart w:id="227" w:name="_Toc17520"/>
      <w:bookmarkStart w:id="228" w:name="_Toc16011"/>
      <w:bookmarkStart w:id="229" w:name="_Toc28587"/>
      <w:r>
        <w:t>第</w:t>
      </w:r>
      <w:r>
        <w:rPr>
          <w:rFonts w:hint="eastAsia"/>
        </w:rPr>
        <w:t>59</w:t>
      </w:r>
      <w:r>
        <w:t>条 强化主导产业</w:t>
      </w:r>
      <w:bookmarkEnd w:id="227"/>
      <w:bookmarkEnd w:id="228"/>
      <w:bookmarkEnd w:id="229"/>
    </w:p>
    <w:p w14:paraId="23AAE82B">
      <w:pPr>
        <w:rPr>
          <w:u w:val="none"/>
        </w:rPr>
      </w:pPr>
      <w:r>
        <w:rPr>
          <w:u w:val="none"/>
        </w:rPr>
        <w:t>1.绿色食品加工</w:t>
      </w:r>
    </w:p>
    <w:p w14:paraId="4C317A5B">
      <w:pPr>
        <w:rPr>
          <w:u w:val="none"/>
          <w:lang w:val="zh-CN"/>
        </w:rPr>
      </w:pPr>
      <w:r>
        <w:rPr>
          <w:u w:val="none"/>
          <w:lang w:val="zh-CN"/>
        </w:rPr>
        <w:t>搭建技术推广、专业培训、信息发布、业务咨询、政策指导等公共服务平台；引导绿色食品生产经营主体与大专院校、科研院所合作，加快绿色食品科技成果、生产技术的集成和转化应用。完善绿色食品加工产业链，经过种植与采购、贸易及物流、食品原料和饲料原料的加工、养殖屠宰、食品加工、分销及物流、品牌推广、食品销售等，实现食品安全可追溯，形成安全、营养、健康的食品供应过程。引导批发市场、大型商超等设立绿色食品销售专区、专柜，鼓励发展绿色食品流通新业态新模式，加强与大型知名电商平台合作，发展绿色食品直销配送、线上线下相结合的新零售方式。</w:t>
      </w:r>
    </w:p>
    <w:p w14:paraId="45FE5D0D">
      <w:pPr>
        <w:rPr>
          <w:u w:val="none"/>
        </w:rPr>
      </w:pPr>
      <w:r>
        <w:rPr>
          <w:u w:val="none"/>
        </w:rPr>
        <w:t>2.寒地龙药加工</w:t>
      </w:r>
    </w:p>
    <w:p w14:paraId="4563D23A">
      <w:pPr>
        <w:rPr>
          <w:u w:val="none"/>
          <w:lang w:val="zh-CN"/>
        </w:rPr>
      </w:pPr>
      <w:r>
        <w:rPr>
          <w:u w:val="none"/>
          <w:lang w:val="zh-CN"/>
        </w:rPr>
        <w:t>开展虎林市中药资源普查，建立虎林寒地龙药资源数据库、种质资源库和野生寒地龙药资源濒危预警机制，加强中药材品种培育新模式，确保寒地龙药产业可持续发展。开展重要中药材规范化和标准化生产关键技术研究，建立植物类药种植和动物类药养殖示范基地，从源头到终端做精、做细、做大，体现虎林市寒地龙药的标准化、优质化。积极开发精深加工产品，从传统药物向保健品、生物药品、功能食品方向扩展；从普通中成药向药膳、药茶、药酒、药浴方向扩展，加强中药材药膳开发，与生态旅游、温泉保健药膳洗浴、温泉泡浴、寒地龙药园艺、芳香疗养、农家乐休闲旅游对接，实行药旅联动。构建从种植、生产到销售、服务的医药全产业链体系。</w:t>
      </w:r>
    </w:p>
    <w:p w14:paraId="7CED8CE0">
      <w:pPr>
        <w:rPr>
          <w:u w:val="none"/>
        </w:rPr>
      </w:pPr>
      <w:r>
        <w:rPr>
          <w:u w:val="none"/>
        </w:rPr>
        <w:t>3.旅游康养</w:t>
      </w:r>
    </w:p>
    <w:p w14:paraId="2DEF31AD">
      <w:pPr>
        <w:rPr>
          <w:u w:val="none"/>
          <w:lang w:val="zh-CN"/>
        </w:rPr>
      </w:pPr>
      <w:r>
        <w:rPr>
          <w:u w:val="none"/>
          <w:lang w:val="zh-CN"/>
        </w:rPr>
        <w:t>做足旅游大文章，使旅游开发向集约集聚和环境友好转型，旅游产品向观光休闲、民宿经济并重转变，推动旅游业与三次产业融合发展，培育一批具有标志性、引领性、带动性的旅游品牌。同时要突出重点、抓住关键、整体谋划，做出亮点、做强特色、做深内涵，景区连成线路，提升旅游的文化底蕴和特色魅力。另外要加强基础设施建设，提高旅游公共服务水平，提升从业人员素质，加强旅游宣传推介，提高旅游美誉度和吸引力。</w:t>
      </w:r>
    </w:p>
    <w:p w14:paraId="7F901D1B">
      <w:pPr>
        <w:rPr>
          <w:u w:val="none"/>
        </w:rPr>
      </w:pPr>
      <w:r>
        <w:rPr>
          <w:u w:val="none"/>
        </w:rPr>
        <w:t>4.进出口贸易</w:t>
      </w:r>
    </w:p>
    <w:p w14:paraId="663DD7FD">
      <w:pPr>
        <w:rPr>
          <w:u w:val="none"/>
          <w:lang w:val="zh-CN"/>
        </w:rPr>
      </w:pPr>
      <w:r>
        <w:rPr>
          <w:u w:val="none"/>
          <w:lang w:val="zh-CN"/>
        </w:rPr>
        <w:t>持续完善口岸功能，探索实行“一次申报、分步处置”的通关模式，推行7 天×8小时工作制。</w:t>
      </w:r>
    </w:p>
    <w:p w14:paraId="43E7FABB">
      <w:pPr>
        <w:rPr>
          <w:u w:val="none"/>
          <w:lang w:val="zh-CN"/>
        </w:rPr>
      </w:pPr>
      <w:r>
        <w:rPr>
          <w:u w:val="none"/>
          <w:lang w:val="zh-CN"/>
        </w:rPr>
        <w:t>进口抓落地加工</w:t>
      </w:r>
      <w:r>
        <w:rPr>
          <w:rFonts w:hint="eastAsia"/>
          <w:u w:val="none"/>
          <w:lang w:val="zh-CN"/>
        </w:rPr>
        <w:t>：</w:t>
      </w:r>
      <w:r>
        <w:rPr>
          <w:u w:val="none"/>
          <w:lang w:val="zh-CN"/>
        </w:rPr>
        <w:t>实施进口天然气、煤炭等能源仓储物流中心贸易集散中心项目，鼓励扶持远华实木家具、瑞金盈腐竹深加工等项目</w:t>
      </w:r>
      <w:r>
        <w:rPr>
          <w:rFonts w:hint="eastAsia"/>
          <w:u w:val="none"/>
          <w:lang w:val="zh-CN"/>
        </w:rPr>
        <w:t>，</w:t>
      </w:r>
      <w:r>
        <w:rPr>
          <w:u w:val="none"/>
          <w:lang w:val="zh-CN"/>
        </w:rPr>
        <w:t>扩大境内加工规模，全力引进玖龙纸业集团等加工贸易型企业。</w:t>
      </w:r>
    </w:p>
    <w:p w14:paraId="4337500A">
      <w:pPr>
        <w:rPr>
          <w:u w:val="none"/>
          <w:lang w:val="zh-CN"/>
        </w:rPr>
      </w:pPr>
      <w:r>
        <w:rPr>
          <w:u w:val="none"/>
          <w:lang w:val="zh-CN"/>
        </w:rPr>
        <w:t>出口抓提档升级</w:t>
      </w:r>
      <w:r>
        <w:rPr>
          <w:rFonts w:hint="eastAsia"/>
          <w:u w:val="none"/>
          <w:lang w:val="zh-CN"/>
        </w:rPr>
        <w:t>：</w:t>
      </w:r>
      <w:r>
        <w:rPr>
          <w:u w:val="none"/>
          <w:lang w:val="zh-CN"/>
        </w:rPr>
        <w:t>加强对俄出口蔬菜规模化栽培和集约化经营，推进对俄标准化农副产品出口基地建设，鼓励娃哈哈等企业“走出去”开拓境外市场，延长增厚跨境产业链。</w:t>
      </w:r>
    </w:p>
    <w:p w14:paraId="69A6FD9F">
      <w:pPr>
        <w:rPr>
          <w:u w:val="none"/>
        </w:rPr>
      </w:pPr>
      <w:r>
        <w:rPr>
          <w:u w:val="none"/>
        </w:rPr>
        <w:t>5.活力康养</w:t>
      </w:r>
    </w:p>
    <w:p w14:paraId="0888B8DF">
      <w:pPr>
        <w:rPr>
          <w:u w:val="none"/>
          <w:lang w:val="zh-CN"/>
        </w:rPr>
      </w:pPr>
      <w:r>
        <w:rPr>
          <w:u w:val="none"/>
          <w:lang w:val="zh-CN"/>
        </w:rPr>
        <w:t>促进健康养老与生态休闲旅游及寒地龙药产品的融合，强化健康养生养老主题，配套完善的养生养老设施，提供专业化的医疗诊断、医护疗养、健康检查、康复护理服务产品。打造复合型、机构型、社区型、老年公寓、医养结合型、旅游养老等多元产品类型，以满足不同养老人群的需求。</w:t>
      </w:r>
    </w:p>
    <w:p w14:paraId="0D3BEED8">
      <w:pPr>
        <w:pStyle w:val="5"/>
        <w:spacing w:before="120" w:after="120"/>
      </w:pPr>
      <w:r>
        <w:t>第</w:t>
      </w:r>
      <w:r>
        <w:rPr>
          <w:rFonts w:hint="eastAsia"/>
        </w:rPr>
        <w:t>60</w:t>
      </w:r>
      <w:r>
        <w:t>条 构建产业空间布局</w:t>
      </w:r>
    </w:p>
    <w:p w14:paraId="69D57C25">
      <w:pPr>
        <w:rPr>
          <w:rFonts w:eastAsia="仿宋"/>
          <w:u w:val="none"/>
          <w:lang w:val="zh-CN"/>
        </w:rPr>
      </w:pPr>
      <w:r>
        <w:rPr>
          <w:u w:val="none"/>
          <w:lang w:val="zh-CN"/>
        </w:rPr>
        <w:t>综合考虑产业发展潜力，构建“一核引领，四点联动，十字延展，一带提升”的总体空间发展格局。</w:t>
      </w:r>
    </w:p>
    <w:p w14:paraId="00B297BE">
      <w:pPr>
        <w:rPr>
          <w:u w:val="none"/>
          <w:lang w:val="zh-CN"/>
        </w:rPr>
      </w:pPr>
      <w:r>
        <w:rPr>
          <w:rFonts w:eastAsia="楷体_GB2312"/>
          <w:u w:val="none"/>
          <w:lang w:val="zh-CN"/>
        </w:rPr>
        <w:t>“一核引领”：</w:t>
      </w:r>
      <w:r>
        <w:rPr>
          <w:u w:val="none"/>
          <w:lang w:val="zh-CN"/>
        </w:rPr>
        <w:t>主城区辐射带动邻近乡镇，打造10分钟核心经济圈，促进城乡功能互补、产业错位布局、基础设施和公共服务共建共享，形成经济最活跃、开放程度最高、创新能力最强的重要板块。</w:t>
      </w:r>
    </w:p>
    <w:p w14:paraId="36DDCF9B">
      <w:pPr>
        <w:rPr>
          <w:u w:val="none"/>
          <w:lang w:val="zh-CN"/>
        </w:rPr>
      </w:pPr>
      <w:r>
        <w:rPr>
          <w:rFonts w:eastAsia="楷体_GB2312"/>
          <w:u w:val="none"/>
          <w:lang w:val="zh-CN"/>
        </w:rPr>
        <w:t>“四点联动”：</w:t>
      </w:r>
      <w:r>
        <w:rPr>
          <w:u w:val="none"/>
          <w:lang w:val="zh-CN"/>
        </w:rPr>
        <w:t>东部</w:t>
      </w:r>
      <w:r>
        <w:rPr>
          <w:rFonts w:hint="eastAsia"/>
          <w:u w:val="none"/>
        </w:rPr>
        <w:t>虎头镇重要发展节点，</w:t>
      </w:r>
      <w:r>
        <w:rPr>
          <w:u w:val="none"/>
          <w:lang w:val="zh-CN"/>
        </w:rPr>
        <w:t>以虎头镇带动珍宝岛乡及珍宝岛湿地国家自然保护区，开发红色、生态等旅游资源，建设东部生态旅游区；西部</w:t>
      </w:r>
      <w:r>
        <w:rPr>
          <w:rFonts w:hint="eastAsia"/>
          <w:u w:val="none"/>
        </w:rPr>
        <w:t>杨岗镇重要发展节点，</w:t>
      </w:r>
      <w:r>
        <w:rPr>
          <w:u w:val="none"/>
          <w:lang w:val="zh-CN"/>
        </w:rPr>
        <w:t>以杨岗</w:t>
      </w:r>
      <w:r>
        <w:rPr>
          <w:rFonts w:hint="eastAsia"/>
          <w:u w:val="none"/>
        </w:rPr>
        <w:t>镇</w:t>
      </w:r>
      <w:r>
        <w:rPr>
          <w:u w:val="none"/>
          <w:lang w:val="zh-CN"/>
        </w:rPr>
        <w:t>联合宝东镇、云山</w:t>
      </w:r>
      <w:r>
        <w:rPr>
          <w:u w:val="none"/>
        </w:rPr>
        <w:t>农场</w:t>
      </w:r>
      <w:r>
        <w:rPr>
          <w:u w:val="none"/>
          <w:lang w:val="zh-CN"/>
        </w:rPr>
        <w:t>，重点发展绿色农副产品，建设西部农副产品区；北部</w:t>
      </w:r>
      <w:r>
        <w:rPr>
          <w:rFonts w:hint="eastAsia"/>
          <w:u w:val="none"/>
        </w:rPr>
        <w:t>东方红镇重要发展节点，</w:t>
      </w:r>
      <w:r>
        <w:rPr>
          <w:u w:val="none"/>
          <w:lang w:val="zh-CN"/>
        </w:rPr>
        <w:t>以迎春镇联合东方红镇、阿北乡，深入开发山林产品和北方地道药材，建设北部山林蜂药区；南部</w:t>
      </w:r>
      <w:r>
        <w:rPr>
          <w:rFonts w:hint="eastAsia"/>
          <w:u w:val="none"/>
        </w:rPr>
        <w:t>吉祥口岸重要发展节点，</w:t>
      </w:r>
      <w:r>
        <w:rPr>
          <w:u w:val="none"/>
          <w:lang w:val="zh-CN"/>
        </w:rPr>
        <w:t>以吉祥口岸依托八五八</w:t>
      </w:r>
      <w:r>
        <w:rPr>
          <w:u w:val="none"/>
        </w:rPr>
        <w:t>农场</w:t>
      </w:r>
      <w:r>
        <w:rPr>
          <w:u w:val="none"/>
          <w:lang w:val="zh-CN"/>
        </w:rPr>
        <w:t>，深化对俄开放合作，推动边民互市贸易，建设南部对俄贸易区。通过四点辐射带动四区联动，释放差异优势，促进特色产业竞相发展。</w:t>
      </w:r>
    </w:p>
    <w:p w14:paraId="3FF48ED5">
      <w:pPr>
        <w:rPr>
          <w:u w:val="none"/>
          <w:lang w:val="zh-CN"/>
        </w:rPr>
      </w:pPr>
      <w:r>
        <w:rPr>
          <w:rFonts w:eastAsia="楷体_GB2312"/>
          <w:u w:val="none"/>
          <w:lang w:val="zh-CN"/>
        </w:rPr>
        <w:t>“十字延展”：</w:t>
      </w:r>
      <w:r>
        <w:rPr>
          <w:u w:val="none"/>
          <w:lang w:val="zh-CN"/>
        </w:rPr>
        <w:t>依托鸡虎高速、密虎铁路、G331和规划虎列铁路、S201等主要交通线路打造城镇发展横轴。依托建虎高速、虎林口岸公路等交通线路打造城镇发展纵轴。从而统领全域，推动资源、交通、物流线性联系，促进产业集聚和城镇发展。</w:t>
      </w:r>
    </w:p>
    <w:p w14:paraId="27184E2A">
      <w:pPr>
        <w:rPr>
          <w:u w:val="none"/>
          <w:lang w:val="zh-CN"/>
        </w:rPr>
      </w:pPr>
      <w:r>
        <w:rPr>
          <w:rFonts w:eastAsia="楷体_GB2312"/>
          <w:u w:val="none"/>
          <w:lang w:val="zh-CN"/>
        </w:rPr>
        <w:t>“一带提升”：</w:t>
      </w:r>
      <w:r>
        <w:rPr>
          <w:u w:val="none"/>
          <w:lang w:val="zh-CN"/>
        </w:rPr>
        <w:t>借助乌苏里江风情旅游带，整合虎头5A级景区、珍宝岛湿地、神顶峰等旅游资源，培育一批有影响力的美丽乡村等旅游项目，推动旅游业与新型城镇化、农业现代化、工业集群化等深度融合发展。</w:t>
      </w:r>
    </w:p>
    <w:p w14:paraId="06E1FFF6">
      <w:pPr>
        <w:pStyle w:val="4"/>
        <w:widowControl w:val="0"/>
        <w:snapToGrid/>
        <w:spacing w:before="120" w:beforeLines="50" w:after="120" w:afterLines="50" w:line="600" w:lineRule="exact"/>
        <w:ind w:firstLine="0" w:firstLineChars="0"/>
        <w:rPr>
          <w:b w:val="0"/>
          <w:bCs w:val="0"/>
          <w:color w:val="auto"/>
          <w:u w:val="none"/>
        </w:rPr>
      </w:pPr>
      <w:bookmarkStart w:id="230" w:name="_Toc16911"/>
      <w:bookmarkStart w:id="231" w:name="_Toc181784594"/>
      <w:bookmarkStart w:id="232" w:name="_Toc6390"/>
      <w:bookmarkStart w:id="233" w:name="_Toc181784454"/>
      <w:bookmarkStart w:id="234" w:name="_Toc181784664"/>
      <w:r>
        <w:rPr>
          <w:b w:val="0"/>
          <w:bCs w:val="0"/>
          <w:color w:val="auto"/>
          <w:u w:val="none"/>
        </w:rPr>
        <w:t>第</w:t>
      </w:r>
      <w:r>
        <w:rPr>
          <w:rFonts w:hint="eastAsia"/>
          <w:b w:val="0"/>
          <w:bCs w:val="0"/>
          <w:color w:val="auto"/>
          <w:u w:val="none"/>
        </w:rPr>
        <w:t>四</w:t>
      </w:r>
      <w:r>
        <w:rPr>
          <w:b w:val="0"/>
          <w:bCs w:val="0"/>
          <w:color w:val="auto"/>
          <w:u w:val="none"/>
        </w:rPr>
        <w:t xml:space="preserve">节 </w:t>
      </w:r>
      <w:r>
        <w:rPr>
          <w:rFonts w:hint="eastAsia"/>
          <w:b w:val="0"/>
          <w:bCs w:val="0"/>
          <w:color w:val="auto"/>
          <w:u w:val="none"/>
        </w:rPr>
        <w:t>完善</w:t>
      </w:r>
      <w:r>
        <w:fldChar w:fldCharType="begin"/>
      </w:r>
      <w:r>
        <w:instrText xml:space="preserve"> HYPERLINK \l "_Toc26539852" </w:instrText>
      </w:r>
      <w:r>
        <w:fldChar w:fldCharType="separate"/>
      </w:r>
      <w:r>
        <w:rPr>
          <w:b w:val="0"/>
          <w:bCs w:val="0"/>
          <w:color w:val="auto"/>
          <w:u w:val="none"/>
        </w:rPr>
        <w:t>公共服务设施</w:t>
      </w:r>
      <w:r>
        <w:rPr>
          <w:b w:val="0"/>
          <w:bCs w:val="0"/>
          <w:color w:val="auto"/>
          <w:u w:val="none"/>
        </w:rPr>
        <w:fldChar w:fldCharType="end"/>
      </w:r>
      <w:bookmarkEnd w:id="230"/>
      <w:r>
        <w:rPr>
          <w:rFonts w:hint="eastAsia"/>
          <w:b w:val="0"/>
          <w:bCs w:val="0"/>
          <w:color w:val="auto"/>
          <w:u w:val="none"/>
        </w:rPr>
        <w:t>体系</w:t>
      </w:r>
      <w:bookmarkEnd w:id="231"/>
      <w:bookmarkEnd w:id="232"/>
      <w:bookmarkEnd w:id="233"/>
      <w:bookmarkEnd w:id="234"/>
    </w:p>
    <w:p w14:paraId="1DC93D38">
      <w:pPr>
        <w:pStyle w:val="5"/>
        <w:spacing w:before="120" w:after="120"/>
      </w:pPr>
      <w:bookmarkStart w:id="235" w:name="_Toc29288"/>
      <w:bookmarkStart w:id="236" w:name="_Toc11659"/>
      <w:bookmarkStart w:id="237" w:name="_Toc14312"/>
      <w:r>
        <w:t>第</w:t>
      </w:r>
      <w:r>
        <w:rPr>
          <w:rFonts w:hint="eastAsia"/>
        </w:rPr>
        <w:t>61</w:t>
      </w:r>
      <w:r>
        <w:t>条</w:t>
      </w:r>
      <w:bookmarkEnd w:id="235"/>
      <w:bookmarkEnd w:id="236"/>
      <w:bookmarkEnd w:id="237"/>
      <w:bookmarkStart w:id="238" w:name="_Toc16875"/>
      <w:bookmarkStart w:id="239" w:name="_Toc31076"/>
      <w:r>
        <w:rPr>
          <w:rFonts w:hint="eastAsia"/>
        </w:rPr>
        <w:t xml:space="preserve"> </w:t>
      </w:r>
      <w:r>
        <w:t>构建“四核多点”的布局体系</w:t>
      </w:r>
    </w:p>
    <w:p w14:paraId="7C680962">
      <w:pPr>
        <w:rPr>
          <w:u w:val="none"/>
        </w:rPr>
      </w:pPr>
      <w:r>
        <w:rPr>
          <w:rFonts w:eastAsia="楷体_GB2312"/>
          <w:u w:val="none"/>
        </w:rPr>
        <w:t>“四核”：</w:t>
      </w:r>
      <w:r>
        <w:rPr>
          <w:u w:val="none"/>
        </w:rPr>
        <w:t>对应镇域及跨行政单元的城乡片区核心节点，分别为杨岗镇（八五</w:t>
      </w:r>
      <w:r>
        <w:rPr>
          <w:rFonts w:hint="eastAsia" w:ascii="宋体" w:hAnsi="宋体" w:eastAsia="宋体" w:cs="宋体"/>
          <w:u w:val="none"/>
        </w:rPr>
        <w:t>〇</w:t>
      </w:r>
      <w:r>
        <w:rPr>
          <w:u w:val="none"/>
        </w:rPr>
        <w:t>农场）、虎林镇、东方红镇（东方红林业局）与虎头镇，配套三十分钟镇村生活圈服务设施，关注普遍需求，延伸特色服务，培育地域文化，打造辐射周边区域的综合服务节点。</w:t>
      </w:r>
    </w:p>
    <w:p w14:paraId="132D8CD7">
      <w:pPr>
        <w:rPr>
          <w:u w:val="none"/>
        </w:rPr>
      </w:pPr>
      <w:r>
        <w:rPr>
          <w:rFonts w:eastAsia="楷体_GB2312"/>
          <w:u w:val="none"/>
        </w:rPr>
        <w:t>“多点”：</w:t>
      </w:r>
      <w:r>
        <w:rPr>
          <w:u w:val="none"/>
        </w:rPr>
        <w:t>依据十五分钟生活圈，配置各乡镇满足内部居民日常需求的服务设施，形成自给自足、覆盖社区的公共服务网络。</w:t>
      </w:r>
      <w:bookmarkEnd w:id="238"/>
      <w:bookmarkEnd w:id="239"/>
    </w:p>
    <w:p w14:paraId="0E4F1F96">
      <w:pPr>
        <w:pStyle w:val="5"/>
        <w:spacing w:before="120" w:after="120"/>
      </w:pPr>
      <w:r>
        <w:rPr>
          <w:rFonts w:hint="eastAsia"/>
        </w:rPr>
        <w:t>第62条 市域公共服务设施规划</w:t>
      </w:r>
    </w:p>
    <w:p w14:paraId="75068F54">
      <w:pPr>
        <w:rPr>
          <w:snapToGrid w:val="0"/>
          <w:u w:val="none"/>
        </w:rPr>
      </w:pPr>
      <w:bookmarkStart w:id="240" w:name="_Toc19497"/>
      <w:bookmarkStart w:id="241" w:name="_Toc8886"/>
      <w:bookmarkStart w:id="242" w:name="_Toc16928"/>
      <w:r>
        <w:rPr>
          <w:u w:val="none"/>
        </w:rPr>
        <w:t>1.</w:t>
      </w:r>
      <w:r>
        <w:rPr>
          <w:snapToGrid w:val="0"/>
          <w:u w:val="none"/>
        </w:rPr>
        <w:t>文化设施</w:t>
      </w:r>
      <w:bookmarkEnd w:id="240"/>
      <w:bookmarkEnd w:id="241"/>
      <w:bookmarkEnd w:id="242"/>
      <w:r>
        <w:rPr>
          <w:rFonts w:hint="eastAsia"/>
          <w:u w:val="none"/>
        </w:rPr>
        <w:t>规划</w:t>
      </w:r>
    </w:p>
    <w:p w14:paraId="67340D5C">
      <w:pPr>
        <w:rPr>
          <w:u w:val="none"/>
        </w:rPr>
      </w:pPr>
      <w:r>
        <w:rPr>
          <w:u w:val="none"/>
        </w:rPr>
        <w:t>（1）区域级文化设施</w:t>
      </w:r>
    </w:p>
    <w:p w14:paraId="08D553D2">
      <w:pPr>
        <w:rPr>
          <w:u w:val="none"/>
        </w:rPr>
      </w:pPr>
      <w:r>
        <w:rPr>
          <w:u w:val="none"/>
        </w:rPr>
        <w:t>规划中心城区完善展示城市文化与发展的博物馆建设；推进东方红镇、杨岗镇、虎头镇公共图书馆与文化公园的建设，同时依据东方红镇林下、虎头镇文化生态资源的特点，鼓励建设文化馆、民俗馆等，推动区域镇村生活圈文化服务中心的建设。</w:t>
      </w:r>
    </w:p>
    <w:p w14:paraId="00F50AFF">
      <w:pPr>
        <w:rPr>
          <w:u w:val="none"/>
        </w:rPr>
      </w:pPr>
      <w:r>
        <w:rPr>
          <w:u w:val="none"/>
        </w:rPr>
        <w:t>（2）乡镇级文化设施</w:t>
      </w:r>
    </w:p>
    <w:p w14:paraId="7B6A7A28">
      <w:pPr>
        <w:rPr>
          <w:u w:val="none"/>
        </w:rPr>
      </w:pPr>
      <w:r>
        <w:rPr>
          <w:u w:val="none"/>
        </w:rPr>
        <w:t>完善各乡镇（农场）社区文化活动中心建设，按照15分钟、5</w:t>
      </w:r>
      <w:r>
        <w:rPr>
          <w:rFonts w:hint="eastAsia"/>
          <w:u w:val="none"/>
        </w:rPr>
        <w:t>—</w:t>
      </w:r>
      <w:r>
        <w:rPr>
          <w:u w:val="none"/>
        </w:rPr>
        <w:t>10分钟社区生活圈配置要求，东方红镇与迎春镇至少设立两处、其余乡镇（农场）至少设立一处文化活动中心与若干提升老年文体活动服务的邻里中心。</w:t>
      </w:r>
    </w:p>
    <w:p w14:paraId="6EE5ED52">
      <w:pPr>
        <w:rPr>
          <w:u w:val="none"/>
        </w:rPr>
      </w:pPr>
      <w:r>
        <w:rPr>
          <w:u w:val="none"/>
        </w:rPr>
        <w:t>（3）村级文化设施</w:t>
      </w:r>
    </w:p>
    <w:p w14:paraId="0C4C2041">
      <w:pPr>
        <w:rPr>
          <w:u w:val="none"/>
        </w:rPr>
      </w:pPr>
      <w:r>
        <w:rPr>
          <w:u w:val="none"/>
        </w:rPr>
        <w:t>各行政村设置综合性文化服务中心1处，力争达到“十个一”标准，即一个不小于100平方米的文化活动室、一个不小于1000平方米的文体活动广场、一座乡村小舞台、一个农家书屋、一个广播室、一个宣传栏、一套文化体育器材、一套灯光音响、一名文化管理员、一支文体活动团队。</w:t>
      </w:r>
    </w:p>
    <w:p w14:paraId="45D83146">
      <w:pPr>
        <w:rPr>
          <w:snapToGrid w:val="0"/>
          <w:u w:val="none"/>
        </w:rPr>
      </w:pPr>
      <w:bookmarkStart w:id="243" w:name="_Toc11244"/>
      <w:bookmarkStart w:id="244" w:name="_Toc2788"/>
      <w:bookmarkStart w:id="245" w:name="_Toc13615"/>
      <w:r>
        <w:rPr>
          <w:u w:val="none"/>
        </w:rPr>
        <w:t>2.</w:t>
      </w:r>
      <w:r>
        <w:rPr>
          <w:snapToGrid w:val="0"/>
          <w:u w:val="none"/>
        </w:rPr>
        <w:t xml:space="preserve"> 体育设施</w:t>
      </w:r>
      <w:bookmarkEnd w:id="243"/>
      <w:bookmarkEnd w:id="244"/>
      <w:bookmarkEnd w:id="245"/>
      <w:r>
        <w:rPr>
          <w:rFonts w:hint="eastAsia"/>
          <w:u w:val="none"/>
        </w:rPr>
        <w:t>规划</w:t>
      </w:r>
    </w:p>
    <w:p w14:paraId="2FA27974">
      <w:pPr>
        <w:rPr>
          <w:u w:val="none"/>
        </w:rPr>
      </w:pPr>
      <w:r>
        <w:rPr>
          <w:u w:val="none"/>
        </w:rPr>
        <w:t>（1）区域级体育设施</w:t>
      </w:r>
    </w:p>
    <w:p w14:paraId="7F9089C6">
      <w:pPr>
        <w:rPr>
          <w:u w:val="none"/>
        </w:rPr>
      </w:pPr>
      <w:r>
        <w:rPr>
          <w:u w:val="none"/>
        </w:rPr>
        <w:t>加快中心城区全民健身中心建设，保留并改造现有体育场馆设施。推进东方红镇与虎头镇体育公园建设，发展多元的群众喜闻乐见的运动项目，促进全民健身活动广泛开展。</w:t>
      </w:r>
    </w:p>
    <w:p w14:paraId="6F452AEC">
      <w:pPr>
        <w:rPr>
          <w:u w:val="none"/>
        </w:rPr>
      </w:pPr>
      <w:r>
        <w:rPr>
          <w:u w:val="none"/>
        </w:rPr>
        <w:t>（2）乡镇级体育设施</w:t>
      </w:r>
    </w:p>
    <w:p w14:paraId="2C3C4201">
      <w:pPr>
        <w:rPr>
          <w:u w:val="none"/>
        </w:rPr>
      </w:pPr>
      <w:r>
        <w:rPr>
          <w:u w:val="none"/>
        </w:rPr>
        <w:t>规划各乡镇（农场）建设多功能健身中心和室外综合健身广场，宜与绿地结合设置。镇区建设不少于100平方米室内健身室。</w:t>
      </w:r>
    </w:p>
    <w:p w14:paraId="4F1B7972">
      <w:pPr>
        <w:rPr>
          <w:u w:val="none"/>
        </w:rPr>
      </w:pPr>
      <w:r>
        <w:rPr>
          <w:u w:val="none"/>
        </w:rPr>
        <w:t>（3）村级体育设施</w:t>
      </w:r>
    </w:p>
    <w:p w14:paraId="50846A41">
      <w:pPr>
        <w:rPr>
          <w:u w:val="none"/>
        </w:rPr>
      </w:pPr>
      <w:r>
        <w:rPr>
          <w:u w:val="none"/>
        </w:rPr>
        <w:t>规划各行政村结合绿地建设1处健身广场，1套全民健身路径和1个标准篮球场，实现农村行政村体育设施覆盖率基本全覆盖目标。</w:t>
      </w:r>
    </w:p>
    <w:p w14:paraId="295E9E2E">
      <w:pPr>
        <w:rPr>
          <w:snapToGrid w:val="0"/>
          <w:u w:val="none"/>
        </w:rPr>
      </w:pPr>
      <w:bookmarkStart w:id="246" w:name="_Toc32266"/>
      <w:bookmarkStart w:id="247" w:name="_Toc28259"/>
      <w:bookmarkStart w:id="248" w:name="_Toc3159"/>
      <w:r>
        <w:rPr>
          <w:u w:val="none"/>
        </w:rPr>
        <w:t>3.</w:t>
      </w:r>
      <w:r>
        <w:rPr>
          <w:snapToGrid w:val="0"/>
          <w:u w:val="none"/>
        </w:rPr>
        <w:t>教育设施</w:t>
      </w:r>
      <w:bookmarkEnd w:id="246"/>
      <w:bookmarkEnd w:id="247"/>
      <w:bookmarkEnd w:id="248"/>
      <w:r>
        <w:rPr>
          <w:rFonts w:hint="eastAsia"/>
          <w:u w:val="none"/>
        </w:rPr>
        <w:t>规划</w:t>
      </w:r>
    </w:p>
    <w:p w14:paraId="33CB3CDA">
      <w:pPr>
        <w:rPr>
          <w:u w:val="none"/>
        </w:rPr>
      </w:pPr>
      <w:r>
        <w:rPr>
          <w:u w:val="none"/>
        </w:rPr>
        <w:t>（1）学前教育</w:t>
      </w:r>
    </w:p>
    <w:p w14:paraId="67F2D019">
      <w:pPr>
        <w:rPr>
          <w:u w:val="none"/>
        </w:rPr>
      </w:pPr>
      <w:r>
        <w:rPr>
          <w:u w:val="none"/>
        </w:rPr>
        <w:t>中心城区合理配置幼儿园，3</w:t>
      </w:r>
      <w:r>
        <w:rPr>
          <w:rFonts w:hint="eastAsia"/>
          <w:u w:val="none"/>
        </w:rPr>
        <w:t>—</w:t>
      </w:r>
      <w:r>
        <w:rPr>
          <w:u w:val="none"/>
        </w:rPr>
        <w:t>5岁幼儿入园率达到100%，以公办幼儿园为主、民办幼儿园为辅。乡镇幼儿园在镇区设置，每个乡镇至少规划一个，3</w:t>
      </w:r>
      <w:r>
        <w:rPr>
          <w:rFonts w:hint="eastAsia"/>
          <w:u w:val="none"/>
        </w:rPr>
        <w:t>—</w:t>
      </w:r>
      <w:r>
        <w:rPr>
          <w:u w:val="none"/>
        </w:rPr>
        <w:t>5岁幼儿入园率达到90%。农村地区幼儿园在中心村设置，3</w:t>
      </w:r>
      <w:r>
        <w:rPr>
          <w:rFonts w:hint="eastAsia"/>
          <w:u w:val="none"/>
        </w:rPr>
        <w:t>—</w:t>
      </w:r>
      <w:r>
        <w:rPr>
          <w:u w:val="none"/>
        </w:rPr>
        <w:t>5岁幼儿入园率达到80%。</w:t>
      </w:r>
    </w:p>
    <w:p w14:paraId="6536399B">
      <w:pPr>
        <w:rPr>
          <w:u w:val="none"/>
        </w:rPr>
      </w:pPr>
      <w:r>
        <w:rPr>
          <w:u w:val="none"/>
        </w:rPr>
        <w:t>（2）义务教育</w:t>
      </w:r>
    </w:p>
    <w:p w14:paraId="748659A9">
      <w:pPr>
        <w:rPr>
          <w:u w:val="none"/>
        </w:rPr>
      </w:pPr>
      <w:r>
        <w:rPr>
          <w:u w:val="none"/>
        </w:rPr>
        <w:t>中心城区依据社区生活圈分布共规划</w:t>
      </w:r>
      <w:r>
        <w:rPr>
          <w:rFonts w:hint="eastAsia"/>
          <w:u w:val="none"/>
        </w:rPr>
        <w:t>5</w:t>
      </w:r>
      <w:r>
        <w:rPr>
          <w:u w:val="none"/>
        </w:rPr>
        <w:t>处小学、</w:t>
      </w:r>
      <w:r>
        <w:rPr>
          <w:rFonts w:hint="eastAsia"/>
          <w:u w:val="none"/>
        </w:rPr>
        <w:t>4</w:t>
      </w:r>
      <w:r>
        <w:rPr>
          <w:u w:val="none"/>
        </w:rPr>
        <w:t>处中学、</w:t>
      </w:r>
      <w:r>
        <w:rPr>
          <w:rFonts w:hint="eastAsia"/>
          <w:u w:val="none"/>
        </w:rPr>
        <w:t>1</w:t>
      </w:r>
      <w:r>
        <w:rPr>
          <w:u w:val="none"/>
        </w:rPr>
        <w:t>处九年一贯制学校。东诚镇联合庆丰农场与其他乡镇（农场）分别规划设置1所寄宿制中心学校。在人口较为集中、生源有保障的中心村单独或与相邻村联合设置完全小学；地处偏远、生源较少的地方，在村设置低年级学段的小规模学校。</w:t>
      </w:r>
      <w:r>
        <w:rPr>
          <w:rFonts w:hint="eastAsia"/>
          <w:u w:val="none"/>
        </w:rPr>
        <w:t>各中小学确定学位数要符合国家相关标准中要求。</w:t>
      </w:r>
    </w:p>
    <w:p w14:paraId="42D26E03">
      <w:pPr>
        <w:rPr>
          <w:u w:val="none"/>
        </w:rPr>
      </w:pPr>
      <w:r>
        <w:rPr>
          <w:u w:val="none"/>
        </w:rPr>
        <w:t>（3）高中教育</w:t>
      </w:r>
    </w:p>
    <w:p w14:paraId="4E72CAD9">
      <w:pPr>
        <w:rPr>
          <w:u w:val="none"/>
        </w:rPr>
      </w:pPr>
      <w:r>
        <w:rPr>
          <w:u w:val="none"/>
        </w:rPr>
        <w:t>高中主要布局在虎林市中心城区和东方红镇、杨岗镇与虎头镇，保障普通高中新高考改革配套设施建设用地需求。规划保留中心城区实验高中与高级中学2处，完善学校设施建设，逐步扩大规模，积极挖掘学校内部潜力，增加招生名额，提高办学质量和效益，提高学校综合实力。至2035年，高中阶段入学率达到95%以上。</w:t>
      </w:r>
    </w:p>
    <w:p w14:paraId="047EA28E">
      <w:pPr>
        <w:rPr>
          <w:u w:val="none"/>
        </w:rPr>
      </w:pPr>
      <w:r>
        <w:rPr>
          <w:u w:val="none"/>
        </w:rPr>
        <w:t>（4）职业教育</w:t>
      </w:r>
    </w:p>
    <w:p w14:paraId="14492787">
      <w:pPr>
        <w:rPr>
          <w:u w:val="none"/>
        </w:rPr>
      </w:pPr>
      <w:r>
        <w:rPr>
          <w:u w:val="none"/>
        </w:rPr>
        <w:t>升级中心城区现代职业教育，以产教融合为主线，精准对接虎林产业发展的需求，形成与经济社会发展需要相适应的职业教育体系。</w:t>
      </w:r>
    </w:p>
    <w:p w14:paraId="0BB548DA">
      <w:pPr>
        <w:rPr>
          <w:u w:val="none"/>
        </w:rPr>
      </w:pPr>
      <w:r>
        <w:rPr>
          <w:u w:val="none"/>
        </w:rPr>
        <w:t>（5）特殊教育</w:t>
      </w:r>
    </w:p>
    <w:p w14:paraId="4F8C0F3B">
      <w:pPr>
        <w:rPr>
          <w:u w:val="none"/>
        </w:rPr>
      </w:pPr>
      <w:r>
        <w:rPr>
          <w:u w:val="none"/>
        </w:rPr>
        <w:t>积极发展特殊教育，优先在普通学校中建立特殊教育资源教室，配备必要的设备和专门从事残疾人教育的教师及专业人员，吸引符合条件的残疾少年进入普通中小学就读，接受义务教育。</w:t>
      </w:r>
    </w:p>
    <w:p w14:paraId="2371C54A">
      <w:pPr>
        <w:rPr>
          <w:snapToGrid w:val="0"/>
          <w:u w:val="none"/>
        </w:rPr>
      </w:pPr>
      <w:bookmarkStart w:id="249" w:name="_Toc25235"/>
      <w:bookmarkStart w:id="250" w:name="_Toc22146"/>
      <w:bookmarkStart w:id="251" w:name="_Toc11300"/>
      <w:r>
        <w:rPr>
          <w:u w:val="none"/>
        </w:rPr>
        <w:t>4.</w:t>
      </w:r>
      <w:r>
        <w:rPr>
          <w:snapToGrid w:val="0"/>
          <w:u w:val="none"/>
        </w:rPr>
        <w:t>医疗设施</w:t>
      </w:r>
      <w:bookmarkEnd w:id="249"/>
      <w:bookmarkEnd w:id="250"/>
      <w:bookmarkEnd w:id="251"/>
      <w:r>
        <w:rPr>
          <w:rFonts w:hint="eastAsia"/>
          <w:u w:val="none"/>
        </w:rPr>
        <w:t>规划</w:t>
      </w:r>
    </w:p>
    <w:p w14:paraId="05567636">
      <w:pPr>
        <w:rPr>
          <w:u w:val="none"/>
        </w:rPr>
      </w:pPr>
      <w:r>
        <w:rPr>
          <w:u w:val="none"/>
        </w:rPr>
        <w:t>（1）区域级医疗设施</w:t>
      </w:r>
    </w:p>
    <w:p w14:paraId="2BA6526C">
      <w:pPr>
        <w:rPr>
          <w:u w:val="none"/>
        </w:rPr>
      </w:pPr>
      <w:r>
        <w:rPr>
          <w:u w:val="none"/>
        </w:rPr>
        <w:t>规划对疾病预防控制中心重新选址、提档升级；完善建设精神病等专科医院；保留中心城区现状市医院、中医院等医疗设施，完善设施和改善医疗环境。规划在虎头镇建设大于300床位的综合医院、中医医院等，打造虎林市区域医疗健康旅游服务中心。</w:t>
      </w:r>
    </w:p>
    <w:p w14:paraId="40B50DA0">
      <w:pPr>
        <w:rPr>
          <w:u w:val="none"/>
        </w:rPr>
      </w:pPr>
      <w:r>
        <w:rPr>
          <w:u w:val="none"/>
        </w:rPr>
        <w:t>（2）乡镇医疗设施</w:t>
      </w:r>
    </w:p>
    <w:p w14:paraId="57E2123F">
      <w:pPr>
        <w:rPr>
          <w:u w:val="none"/>
        </w:rPr>
      </w:pPr>
      <w:r>
        <w:rPr>
          <w:u w:val="none"/>
        </w:rPr>
        <w:t>规划各乡镇（农场）按照15分钟、5</w:t>
      </w:r>
      <w:r>
        <w:rPr>
          <w:rFonts w:hint="eastAsia"/>
          <w:u w:val="none"/>
        </w:rPr>
        <w:t>—</w:t>
      </w:r>
      <w:r>
        <w:rPr>
          <w:u w:val="none"/>
        </w:rPr>
        <w:t>10分钟社区生活圈，配置卫生院与卫生站，强化医疗服务能力，承担对周边乡村的技术指导工作。卫生院要符合每千常住人口设置1.2张床位的指标。</w:t>
      </w:r>
    </w:p>
    <w:p w14:paraId="17630355">
      <w:pPr>
        <w:rPr>
          <w:u w:val="none"/>
        </w:rPr>
      </w:pPr>
    </w:p>
    <w:p w14:paraId="3ADFBA31">
      <w:pPr>
        <w:rPr>
          <w:u w:val="none"/>
        </w:rPr>
      </w:pPr>
      <w:r>
        <w:rPr>
          <w:u w:val="none"/>
        </w:rPr>
        <w:t>（3）村庄医疗设施</w:t>
      </w:r>
    </w:p>
    <w:p w14:paraId="13C0C5C6">
      <w:pPr>
        <w:rPr>
          <w:u w:val="none"/>
        </w:rPr>
      </w:pPr>
      <w:r>
        <w:rPr>
          <w:u w:val="none"/>
        </w:rPr>
        <w:t>规划每个行政村设置1所标准化村卫生室，建设规模不低于60平方米，服务人口多的适当调增建筑面积。卫生室至少设有诊室、治疗室、公共卫生室和药房，做到四室分开，相对独立，分区布局合理，符合卫生学标准。</w:t>
      </w:r>
    </w:p>
    <w:p w14:paraId="27F0931A">
      <w:pPr>
        <w:rPr>
          <w:snapToGrid w:val="0"/>
          <w:u w:val="none"/>
        </w:rPr>
      </w:pPr>
      <w:bookmarkStart w:id="252" w:name="_Toc18460"/>
      <w:bookmarkStart w:id="253" w:name="_Toc20796"/>
      <w:bookmarkStart w:id="254" w:name="_Toc10757"/>
      <w:r>
        <w:rPr>
          <w:u w:val="none"/>
        </w:rPr>
        <w:t>5.</w:t>
      </w:r>
      <w:r>
        <w:rPr>
          <w:snapToGrid w:val="0"/>
          <w:u w:val="none"/>
        </w:rPr>
        <w:t>社会福利设施</w:t>
      </w:r>
      <w:bookmarkEnd w:id="252"/>
      <w:bookmarkEnd w:id="253"/>
      <w:bookmarkEnd w:id="254"/>
      <w:r>
        <w:rPr>
          <w:rFonts w:hint="eastAsia"/>
          <w:u w:val="none"/>
        </w:rPr>
        <w:t>规划</w:t>
      </w:r>
    </w:p>
    <w:p w14:paraId="07266CA1">
      <w:pPr>
        <w:rPr>
          <w:u w:val="none"/>
        </w:rPr>
      </w:pPr>
      <w:r>
        <w:rPr>
          <w:u w:val="none"/>
        </w:rPr>
        <w:t>（1）区域级社会福利设施</w:t>
      </w:r>
    </w:p>
    <w:p w14:paraId="067307A9">
      <w:pPr>
        <w:rPr>
          <w:u w:val="none"/>
        </w:rPr>
      </w:pPr>
      <w:r>
        <w:rPr>
          <w:u w:val="none"/>
        </w:rPr>
        <w:t>中心城区扩建现有社会福利设施，保持一定独立性并与医院联系便捷，避免干扰。总床位数按照每千名老人不少于40床进行配置。鼓励东方红镇建设老人护理院、老人公寓，强化区域养老保障。</w:t>
      </w:r>
    </w:p>
    <w:p w14:paraId="593B14DB">
      <w:pPr>
        <w:rPr>
          <w:u w:val="none"/>
        </w:rPr>
      </w:pPr>
      <w:r>
        <w:rPr>
          <w:u w:val="none"/>
        </w:rPr>
        <w:t>（2）乡镇级社会福利设施</w:t>
      </w:r>
    </w:p>
    <w:p w14:paraId="65FC2333">
      <w:pPr>
        <w:rPr>
          <w:u w:val="none"/>
        </w:rPr>
      </w:pPr>
      <w:r>
        <w:rPr>
          <w:u w:val="none"/>
        </w:rPr>
        <w:t>规划各乡镇（农场）邻近15分钟社区生活圈卫生院、公共服务中心等布局一处养老院，并与农村失能特困人员集中照护机构一体建设，设置托养护理、生活照料、医疗保健、文体活动等功能区域，有条件的设置20张以上护理型床位。</w:t>
      </w:r>
    </w:p>
    <w:p w14:paraId="279D28ED">
      <w:pPr>
        <w:rPr>
          <w:u w:val="none"/>
        </w:rPr>
      </w:pPr>
      <w:r>
        <w:rPr>
          <w:u w:val="none"/>
        </w:rPr>
        <w:t>完善5</w:t>
      </w:r>
      <w:r>
        <w:rPr>
          <w:rFonts w:hint="eastAsia"/>
          <w:u w:val="none"/>
        </w:rPr>
        <w:t>—</w:t>
      </w:r>
      <w:r>
        <w:rPr>
          <w:u w:val="none"/>
        </w:rPr>
        <w:t>10分钟社区生活圈各邻里中心残疾人日间照料托养服务机构，提供残疾人日间照料、功能训练、家庭康复指导、咨询和转介服务、心理疏导、康复政策和知识宣传等基本康复服务。</w:t>
      </w:r>
    </w:p>
    <w:p w14:paraId="2093DE6C">
      <w:pPr>
        <w:rPr>
          <w:u w:val="none"/>
        </w:rPr>
      </w:pPr>
    </w:p>
    <w:p w14:paraId="00CCE69E">
      <w:pPr>
        <w:rPr>
          <w:u w:val="none"/>
        </w:rPr>
      </w:pPr>
      <w:r>
        <w:rPr>
          <w:u w:val="none"/>
        </w:rPr>
        <w:t>（3）村级社会福利设施</w:t>
      </w:r>
    </w:p>
    <w:p w14:paraId="5C462D0B">
      <w:pPr>
        <w:rPr>
          <w:u w:val="none"/>
        </w:rPr>
      </w:pPr>
      <w:r>
        <w:rPr>
          <w:u w:val="none"/>
        </w:rPr>
        <w:t>依托行政村、较大自然村，充分利用农家大院等，建设提供老年活动与服务的邻里中心，并组织与老年人相关的活动。充分发挥村民自治功能和老年协会作用，督促家庭成员承担赡养责任，组织开展邻里互助、志愿服务，解决周围老年人实际生活困难。</w:t>
      </w:r>
    </w:p>
    <w:p w14:paraId="37BEA11C">
      <w:pPr>
        <w:rPr>
          <w:snapToGrid w:val="0"/>
          <w:u w:val="none"/>
        </w:rPr>
      </w:pPr>
      <w:bookmarkStart w:id="255" w:name="_Toc11460"/>
      <w:bookmarkStart w:id="256" w:name="_Toc18173"/>
      <w:bookmarkStart w:id="257" w:name="_Toc30522"/>
      <w:r>
        <w:rPr>
          <w:snapToGrid w:val="0"/>
          <w:u w:val="none"/>
        </w:rPr>
        <w:t>6.其他公共服务设施</w:t>
      </w:r>
      <w:bookmarkEnd w:id="255"/>
      <w:bookmarkEnd w:id="256"/>
      <w:bookmarkEnd w:id="257"/>
      <w:r>
        <w:rPr>
          <w:rFonts w:hint="eastAsia"/>
          <w:u w:val="none"/>
        </w:rPr>
        <w:t>规划</w:t>
      </w:r>
    </w:p>
    <w:p w14:paraId="5EEA26EA">
      <w:pPr>
        <w:rPr>
          <w:u w:val="none"/>
        </w:rPr>
      </w:pPr>
      <w:r>
        <w:rPr>
          <w:u w:val="none"/>
        </w:rPr>
        <w:t>推动中心城区与虎头镇旅游集散、星级宾馆、快捷酒店、购物中心、商业步行街区等功能的建设；支持东方红镇、杨岗镇结合产业发展方向与优势资源建设仓储物流、创新研发设施、创业创新服务中心，同时通过农业产销、精深加工、冷链物流、技术推广的加强，提高企业及产品知名度，拓展市场。</w:t>
      </w:r>
    </w:p>
    <w:p w14:paraId="1CE218B0">
      <w:pPr>
        <w:rPr>
          <w:u w:val="none"/>
        </w:rPr>
      </w:pPr>
      <w:r>
        <w:rPr>
          <w:u w:val="none"/>
        </w:rPr>
        <w:t>结合15分钟、5</w:t>
      </w:r>
      <w:r>
        <w:rPr>
          <w:rFonts w:hint="eastAsia"/>
          <w:u w:val="none"/>
        </w:rPr>
        <w:t>—</w:t>
      </w:r>
      <w:r>
        <w:rPr>
          <w:u w:val="none"/>
        </w:rPr>
        <w:t>10分钟社区生活圈配置要求，根据市场需求，完善中心城区</w:t>
      </w:r>
      <w:r>
        <w:rPr>
          <w:rFonts w:hint="eastAsia"/>
          <w:u w:val="none"/>
        </w:rPr>
        <w:t>以及</w:t>
      </w:r>
      <w:r>
        <w:rPr>
          <w:u w:val="none"/>
        </w:rPr>
        <w:t>各乡镇（农场）的便民服务网点与商务设施建设，打造支撑虎林市</w:t>
      </w:r>
      <w:r>
        <w:rPr>
          <w:rFonts w:hint="eastAsia"/>
          <w:u w:val="none"/>
        </w:rPr>
        <w:t>两</w:t>
      </w:r>
      <w:r>
        <w:rPr>
          <w:u w:val="none"/>
        </w:rPr>
        <w:t>级物流配送体系的建设。</w:t>
      </w:r>
    </w:p>
    <w:p w14:paraId="33F666D7">
      <w:pPr>
        <w:pStyle w:val="2"/>
        <w:ind w:firstLine="480"/>
        <w:rPr>
          <w:u w:val="none"/>
        </w:rPr>
      </w:pPr>
    </w:p>
    <w:p w14:paraId="344F8D91">
      <w:pPr>
        <w:rPr>
          <w:u w:val="none"/>
        </w:rPr>
      </w:pPr>
    </w:p>
    <w:p w14:paraId="3DC12A5E">
      <w:pPr>
        <w:pStyle w:val="4"/>
        <w:widowControl w:val="0"/>
        <w:snapToGrid/>
        <w:spacing w:before="120" w:beforeLines="50" w:after="120" w:afterLines="50" w:line="600" w:lineRule="exact"/>
        <w:ind w:firstLine="0" w:firstLineChars="0"/>
        <w:rPr>
          <w:b w:val="0"/>
          <w:bCs w:val="0"/>
          <w:color w:val="auto"/>
          <w:u w:val="none"/>
        </w:rPr>
      </w:pPr>
      <w:bookmarkStart w:id="258" w:name="_Toc32353"/>
      <w:bookmarkStart w:id="259" w:name="_Toc181784665"/>
      <w:bookmarkStart w:id="260" w:name="_Toc181784595"/>
      <w:bookmarkStart w:id="261" w:name="_Toc165"/>
      <w:bookmarkStart w:id="262" w:name="_Toc181784455"/>
      <w:r>
        <w:rPr>
          <w:b w:val="0"/>
          <w:bCs w:val="0"/>
          <w:color w:val="auto"/>
          <w:u w:val="none"/>
        </w:rPr>
        <w:t>第</w:t>
      </w:r>
      <w:r>
        <w:rPr>
          <w:rFonts w:hint="eastAsia"/>
          <w:b w:val="0"/>
          <w:bCs w:val="0"/>
          <w:color w:val="auto"/>
          <w:u w:val="none"/>
        </w:rPr>
        <w:t>五</w:t>
      </w:r>
      <w:r>
        <w:rPr>
          <w:b w:val="0"/>
          <w:bCs w:val="0"/>
          <w:color w:val="auto"/>
          <w:u w:val="none"/>
        </w:rPr>
        <w:t>节 推进城镇用地节约集约利用</w:t>
      </w:r>
      <w:bookmarkEnd w:id="258"/>
      <w:bookmarkEnd w:id="259"/>
      <w:bookmarkEnd w:id="260"/>
      <w:bookmarkEnd w:id="261"/>
      <w:bookmarkEnd w:id="262"/>
    </w:p>
    <w:p w14:paraId="2E227F1F">
      <w:pPr>
        <w:pStyle w:val="5"/>
        <w:spacing w:before="120" w:after="120"/>
      </w:pPr>
      <w:bookmarkStart w:id="263" w:name="_Toc184"/>
      <w:bookmarkStart w:id="264" w:name="_Toc4167"/>
      <w:bookmarkStart w:id="265" w:name="_Toc20311"/>
      <w:r>
        <w:t>第</w:t>
      </w:r>
      <w:r>
        <w:rPr>
          <w:rFonts w:hint="eastAsia"/>
        </w:rPr>
        <w:t>63</w:t>
      </w:r>
      <w:r>
        <w:t>条 积极盘活存量和低效用地</w:t>
      </w:r>
      <w:bookmarkEnd w:id="263"/>
      <w:bookmarkEnd w:id="264"/>
      <w:bookmarkEnd w:id="265"/>
    </w:p>
    <w:p w14:paraId="42E714D3">
      <w:pPr>
        <w:rPr>
          <w:u w:val="none"/>
          <w:lang w:val="zh-CN"/>
        </w:rPr>
      </w:pPr>
      <w:r>
        <w:rPr>
          <w:rFonts w:eastAsia="楷体"/>
          <w:u w:val="none"/>
          <w:lang w:val="zh-CN"/>
        </w:rPr>
        <w:t>实行差别化存量用地消化政策。</w:t>
      </w:r>
      <w:r>
        <w:rPr>
          <w:u w:val="none"/>
          <w:lang w:val="zh-CN"/>
        </w:rPr>
        <w:t>针对批而未供用地不同形成原因，通过加大征地拆迁实施力度、开展招商引资工作、安排临时项目、明确规划地块用途、补办用地审批手续等方式分类处置。针对闲置土地不同形成原因，通过收购储备、实施流转、协议置换、转型升级等途径实施盘活。加强存量盘活工作组织保障，优化供地程序，推进批而未供和闲置土地消化处置，提升土地利用效率。</w:t>
      </w:r>
    </w:p>
    <w:p w14:paraId="53151F2D">
      <w:pPr>
        <w:rPr>
          <w:u w:val="none"/>
          <w:lang w:val="zh-CN"/>
        </w:rPr>
      </w:pPr>
      <w:r>
        <w:rPr>
          <w:rFonts w:eastAsia="楷体_GB2312"/>
          <w:u w:val="none"/>
          <w:lang w:val="zh-CN"/>
        </w:rPr>
        <w:t>分类推进城镇低效用地再开发。</w:t>
      </w:r>
      <w:r>
        <w:rPr>
          <w:u w:val="none"/>
          <w:lang w:val="zh-CN"/>
        </w:rPr>
        <w:t>摸清城镇低效用地的现状和再开发潜力，开展低效用地整治。推动工业用地向产业集聚区集中，加强村镇零散工业用地综合整治，针对旧厂房，通过拆改结合、局部扩建、空间集聚、产业升级、退二进三等方式开展更新。针对旧街区和村庄，通过改造更新、功能置换、引入第三产业、提升容积率、复合开发等方式开展更新。</w:t>
      </w:r>
    </w:p>
    <w:p w14:paraId="05E98D47">
      <w:pPr>
        <w:rPr>
          <w:u w:val="none"/>
          <w:lang w:val="zh-CN"/>
        </w:rPr>
      </w:pPr>
      <w:r>
        <w:rPr>
          <w:rFonts w:eastAsia="楷体_GB2312"/>
          <w:u w:val="none"/>
          <w:lang w:val="zh-CN"/>
        </w:rPr>
        <w:t>推进存量采矿用地整治。</w:t>
      </w:r>
      <w:r>
        <w:rPr>
          <w:u w:val="none"/>
          <w:lang w:val="zh-CN"/>
        </w:rPr>
        <w:t>存量采矿用地整治应因地制宜、实事求是确定土地用途。按照相关法律法规及政策文件，鼓励对依法取得的采矿用地和历史遗留废弃采矿用地进行复垦修复腾退后用于新增用地相关指标增减挂钩。</w:t>
      </w:r>
    </w:p>
    <w:p w14:paraId="7C7CBAC6">
      <w:pPr>
        <w:pStyle w:val="5"/>
        <w:spacing w:before="120" w:after="120"/>
      </w:pPr>
      <w:bookmarkStart w:id="266" w:name="_Toc22183"/>
      <w:bookmarkStart w:id="267" w:name="_Toc15898"/>
      <w:bookmarkStart w:id="268" w:name="_Toc8664"/>
      <w:r>
        <w:t>第</w:t>
      </w:r>
      <w:r>
        <w:rPr>
          <w:rFonts w:hint="eastAsia"/>
        </w:rPr>
        <w:t>64</w:t>
      </w:r>
      <w:r>
        <w:t>条 推进建设用地集约利用</w:t>
      </w:r>
      <w:bookmarkEnd w:id="266"/>
      <w:bookmarkEnd w:id="267"/>
      <w:bookmarkEnd w:id="268"/>
    </w:p>
    <w:p w14:paraId="76401A8B">
      <w:pPr>
        <w:rPr>
          <w:u w:val="none"/>
          <w:lang w:val="zh-CN"/>
        </w:rPr>
      </w:pPr>
      <w:r>
        <w:rPr>
          <w:u w:val="none"/>
          <w:lang w:val="zh-CN"/>
        </w:rPr>
        <w:t>完善建设用地绩效监测评估预警反馈机制，确保建设用地指标精准高效投放。动态监测城镇人口规模、用地规模、存量用地挖潜规模、单位国内生产总值地耗量，作为新增城镇</w:t>
      </w:r>
      <w:r>
        <w:rPr>
          <w:u w:val="none"/>
        </w:rPr>
        <w:t>建设</w:t>
      </w:r>
      <w:r>
        <w:rPr>
          <w:u w:val="none"/>
          <w:lang w:val="zh-CN"/>
        </w:rPr>
        <w:t>用地指标投放的参考依据。对于城镇人均用地规模大、存量用地规模大且处置推进不力、单位国内生产总值地耗较高的地区，适当缩减新增城镇</w:t>
      </w:r>
      <w:r>
        <w:rPr>
          <w:u w:val="none"/>
        </w:rPr>
        <w:t>建设</w:t>
      </w:r>
      <w:r>
        <w:rPr>
          <w:u w:val="none"/>
          <w:lang w:val="zh-CN"/>
        </w:rPr>
        <w:t>用地指标安排。构建工业用地节约集约利用激励约束机制。推进新增工业项目“标准地”出让，严控项目准入门槛，严把项目用地合同约定及土地</w:t>
      </w:r>
      <w:r>
        <w:rPr>
          <w:u w:val="none"/>
        </w:rPr>
        <w:t>审</w:t>
      </w:r>
      <w:r>
        <w:rPr>
          <w:u w:val="none"/>
          <w:lang w:val="zh-CN"/>
        </w:rPr>
        <w:t>批后监管，提高新建项目节约集约用地水平。</w:t>
      </w:r>
    </w:p>
    <w:p w14:paraId="2D9E1F41">
      <w:pPr>
        <w:pStyle w:val="5"/>
        <w:spacing w:before="120" w:after="120"/>
      </w:pPr>
      <w:bookmarkStart w:id="269" w:name="_Toc7826"/>
      <w:bookmarkStart w:id="270" w:name="_Toc9022"/>
      <w:bookmarkStart w:id="271" w:name="_Toc3734"/>
      <w:r>
        <w:t>第</w:t>
      </w:r>
      <w:r>
        <w:rPr>
          <w:rFonts w:hint="eastAsia"/>
        </w:rPr>
        <w:t>65</w:t>
      </w:r>
      <w:r>
        <w:t>条 统筹地下与地上空间资源开发利用</w:t>
      </w:r>
      <w:bookmarkEnd w:id="269"/>
      <w:bookmarkEnd w:id="270"/>
      <w:bookmarkEnd w:id="271"/>
    </w:p>
    <w:p w14:paraId="3CE8F696">
      <w:pPr>
        <w:rPr>
          <w:u w:val="none"/>
          <w:lang w:val="zh-CN"/>
        </w:rPr>
      </w:pPr>
      <w:r>
        <w:rPr>
          <w:u w:val="none"/>
          <w:lang w:val="zh-CN"/>
        </w:rPr>
        <w:t>合理安排地下空间和重要矿产资源保护开发等重点区域，处理好地上与地下、矿产资源勘查开采与生态保护红线及永久基本农田等控制线的关系。提出地下空间的开发目标、规模、重点区域、分层分区和协调连通的管控要求。</w:t>
      </w:r>
    </w:p>
    <w:p w14:paraId="5B9E7B78">
      <w:pPr>
        <w:rPr>
          <w:u w:val="none"/>
          <w:lang w:val="zh-CN"/>
        </w:rPr>
      </w:pPr>
      <w:r>
        <w:rPr>
          <w:u w:val="none"/>
          <w:lang w:val="zh-CN"/>
        </w:rPr>
        <w:t>规划期内调控主要矿产品开采总量，实现有限资源高效利用，规划期内要对重要矿种开采总量做合理调控，在以市场需求为调整前提下，积极提出建议性目标，引导企业量产量出，做到开采有节，利用有度，细水长流。规划期内调整优化矿产资源开发结构，提高各项利用指标，进一步规范矿产开发秩序，逐步进行矿权整合，形成与产业布局相协调的矿业发展新格局。</w:t>
      </w:r>
    </w:p>
    <w:p w14:paraId="38AFABFE">
      <w:pPr>
        <w:rPr>
          <w:u w:val="none"/>
          <w:lang w:val="zh-CN"/>
        </w:rPr>
      </w:pPr>
      <w:r>
        <w:rPr>
          <w:u w:val="none"/>
          <w:lang w:val="zh-CN"/>
        </w:rPr>
        <w:t>规划到2035年，建立健全政府、企业、社会共同参与的矿山环境治理新机制，矿山环境的影响程度得到有效控制，历史遗留问题逐步得到治理；到2035年开展矿山环境治理工程；矿山地质环境质量总体改善；矿山地质环境保护与治理责任机制基本确立。</w:t>
      </w:r>
    </w:p>
    <w:p w14:paraId="117D1E36">
      <w:pPr>
        <w:pStyle w:val="5"/>
        <w:spacing w:before="120" w:after="120"/>
      </w:pPr>
      <w:bookmarkStart w:id="272" w:name="_Toc13060"/>
      <w:bookmarkStart w:id="273" w:name="_Toc13071"/>
      <w:bookmarkStart w:id="274" w:name="_Toc19968"/>
      <w:r>
        <w:t>第</w:t>
      </w:r>
      <w:r>
        <w:rPr>
          <w:rFonts w:hint="eastAsia"/>
        </w:rPr>
        <w:t>66</w:t>
      </w:r>
      <w:r>
        <w:t>条 推进开发区集约高效利用土地</w:t>
      </w:r>
      <w:bookmarkEnd w:id="272"/>
      <w:bookmarkEnd w:id="273"/>
      <w:bookmarkEnd w:id="274"/>
    </w:p>
    <w:p w14:paraId="754967BA">
      <w:pPr>
        <w:rPr>
          <w:u w:val="none"/>
          <w:lang w:val="zh-CN"/>
        </w:rPr>
      </w:pPr>
      <w:r>
        <w:rPr>
          <w:u w:val="none"/>
          <w:lang w:val="zh-CN"/>
        </w:rPr>
        <w:t>提高开发区土地利用效率，实行开发区节约集约用地水平与城镇新增建设用地挂钩制度，严控低效开发区新增建设用地。在保持环境适宜的前提下，适度提高开发区工业用地开发强度。依托开发区，整合改造各类“小、散、乱”产业园区。鼓励对口支援、协作</w:t>
      </w:r>
      <w:r>
        <w:rPr>
          <w:u w:val="none"/>
        </w:rPr>
        <w:t>互补</w:t>
      </w:r>
      <w:r>
        <w:rPr>
          <w:u w:val="none"/>
          <w:lang w:val="zh-CN"/>
        </w:rPr>
        <w:t>，探索园区共建、飞地经济等开发利益共享的区域合作模式。</w:t>
      </w:r>
    </w:p>
    <w:p w14:paraId="3420E41A">
      <w:pPr>
        <w:pStyle w:val="5"/>
        <w:spacing w:before="120" w:after="120"/>
      </w:pPr>
      <w:bookmarkStart w:id="275" w:name="_Toc3348"/>
      <w:bookmarkStart w:id="276" w:name="_Toc5387"/>
      <w:bookmarkStart w:id="277" w:name="_Toc32571"/>
      <w:r>
        <w:t>第</w:t>
      </w:r>
      <w:r>
        <w:rPr>
          <w:rFonts w:hint="eastAsia"/>
        </w:rPr>
        <w:t>67</w:t>
      </w:r>
      <w:r>
        <w:t>条 健全存量土地利用政策机制</w:t>
      </w:r>
      <w:bookmarkEnd w:id="275"/>
      <w:bookmarkEnd w:id="276"/>
      <w:bookmarkEnd w:id="277"/>
    </w:p>
    <w:p w14:paraId="6FC136F4">
      <w:pPr>
        <w:rPr>
          <w:u w:val="none"/>
          <w:lang w:val="zh-CN"/>
        </w:rPr>
      </w:pPr>
      <w:r>
        <w:rPr>
          <w:u w:val="none"/>
          <w:lang w:val="zh-CN"/>
        </w:rPr>
        <w:t>统筹城乡和区域的国土空间资源，完善与存量土地利用相适应的规划政策。土地开发利用应符合相应规划用途的土壤环境质量要求，支持土地混合开发和空间复合利用，促进城市内涵式集约型绿色化发展。将国土调查、地籍调查、不动产登记作为工作基础，结合规划实施评估，完善土地权属和用途变更、整合、置换等政策。引导消化城镇批而未供和闲置土地，严格控制新增闲置土地，推动城市存量空间盘整、激活和优化，支撑城市更新行动，提升城市价值。</w:t>
      </w:r>
    </w:p>
    <w:p w14:paraId="78B89A1E">
      <w:pPr>
        <w:pStyle w:val="4"/>
        <w:widowControl w:val="0"/>
        <w:snapToGrid/>
        <w:spacing w:before="120" w:beforeLines="50" w:after="120" w:afterLines="50" w:line="600" w:lineRule="exact"/>
        <w:ind w:firstLine="0" w:firstLineChars="0"/>
        <w:rPr>
          <w:b w:val="0"/>
          <w:bCs w:val="0"/>
          <w:color w:val="auto"/>
          <w:u w:val="none"/>
        </w:rPr>
      </w:pPr>
      <w:bookmarkStart w:id="278" w:name="_Toc181784596"/>
      <w:bookmarkStart w:id="279" w:name="_Toc128139618"/>
      <w:bookmarkStart w:id="280" w:name="_Toc181784666"/>
      <w:bookmarkStart w:id="281" w:name="_Toc10396"/>
      <w:bookmarkStart w:id="282" w:name="_Toc14699"/>
      <w:bookmarkStart w:id="283" w:name="_Toc181784456"/>
      <w:r>
        <w:rPr>
          <w:rFonts w:hint="eastAsia"/>
          <w:b w:val="0"/>
          <w:bCs w:val="0"/>
          <w:color w:val="auto"/>
          <w:u w:val="none"/>
        </w:rPr>
        <w:t>第六节 建立健全绿色低碳发展</w:t>
      </w:r>
      <w:bookmarkEnd w:id="278"/>
      <w:bookmarkEnd w:id="279"/>
      <w:bookmarkEnd w:id="280"/>
      <w:bookmarkEnd w:id="281"/>
      <w:bookmarkEnd w:id="282"/>
      <w:bookmarkEnd w:id="283"/>
    </w:p>
    <w:p w14:paraId="1E89165C">
      <w:pPr>
        <w:pStyle w:val="5"/>
        <w:spacing w:before="120" w:after="120"/>
      </w:pPr>
      <w:r>
        <w:t>第</w:t>
      </w:r>
      <w:r>
        <w:rPr>
          <w:rFonts w:hint="eastAsia"/>
        </w:rPr>
        <w:t>68</w:t>
      </w:r>
      <w:r>
        <w:t xml:space="preserve">条 </w:t>
      </w:r>
      <w:r>
        <w:rPr>
          <w:rFonts w:hint="eastAsia"/>
        </w:rPr>
        <w:t>生活节能低碳工程</w:t>
      </w:r>
    </w:p>
    <w:p w14:paraId="5F708787">
      <w:pPr>
        <w:rPr>
          <w:u w:val="none"/>
        </w:rPr>
      </w:pPr>
      <w:r>
        <w:rPr>
          <w:rFonts w:hint="eastAsia"/>
          <w:u w:val="none"/>
        </w:rPr>
        <w:t>1.推进建筑低碳化</w:t>
      </w:r>
    </w:p>
    <w:p w14:paraId="3AD61F6F">
      <w:pPr>
        <w:rPr>
          <w:u w:val="none"/>
          <w:lang w:val="zh-CN"/>
        </w:rPr>
      </w:pPr>
      <w:r>
        <w:rPr>
          <w:rFonts w:hint="eastAsia"/>
          <w:u w:val="none"/>
          <w:lang w:val="zh-CN"/>
        </w:rPr>
        <w:t>严格执行低能耗建筑节能设计标准，标准执行率达到</w:t>
      </w:r>
      <w:r>
        <w:rPr>
          <w:u w:val="none"/>
          <w:lang w:val="zh-CN"/>
        </w:rPr>
        <w:t>100%</w:t>
      </w:r>
      <w:r>
        <w:rPr>
          <w:rFonts w:hint="eastAsia"/>
          <w:u w:val="none"/>
          <w:lang w:val="zh-CN"/>
        </w:rPr>
        <w:t>。提倡建设低碳生态示范区、绿色建筑集中区，可再生能源建筑占当年新建建筑的</w:t>
      </w:r>
      <w:r>
        <w:rPr>
          <w:u w:val="none"/>
          <w:lang w:val="zh-CN"/>
        </w:rPr>
        <w:t>50%</w:t>
      </w:r>
      <w:r>
        <w:rPr>
          <w:rFonts w:hint="eastAsia"/>
          <w:u w:val="none"/>
          <w:lang w:val="zh-CN"/>
        </w:rPr>
        <w:t>以上；乡村新型墙体材料推广应用率达到</w:t>
      </w:r>
      <w:r>
        <w:rPr>
          <w:u w:val="none"/>
          <w:lang w:val="zh-CN"/>
        </w:rPr>
        <w:t>100%</w:t>
      </w:r>
      <w:r>
        <w:rPr>
          <w:rFonts w:hint="eastAsia"/>
          <w:u w:val="none"/>
          <w:lang w:val="zh-CN"/>
        </w:rPr>
        <w:t>，建材行业无废渣、废水排放。推进建筑产业现代化发展，建筑产业现代化建造项目占当年开工面积的比例不低于</w:t>
      </w:r>
      <w:r>
        <w:rPr>
          <w:u w:val="none"/>
          <w:lang w:val="zh-CN"/>
        </w:rPr>
        <w:t>20%</w:t>
      </w:r>
      <w:r>
        <w:rPr>
          <w:rFonts w:hint="eastAsia"/>
          <w:u w:val="none"/>
          <w:lang w:val="zh-CN"/>
        </w:rPr>
        <w:t>，此后每年增长不低于</w:t>
      </w:r>
      <w:r>
        <w:rPr>
          <w:u w:val="none"/>
          <w:lang w:val="zh-CN"/>
        </w:rPr>
        <w:t>5%</w:t>
      </w:r>
      <w:r>
        <w:rPr>
          <w:rFonts w:hint="eastAsia"/>
          <w:u w:val="none"/>
          <w:lang w:val="zh-CN"/>
        </w:rPr>
        <w:t>，到</w:t>
      </w:r>
      <w:r>
        <w:rPr>
          <w:u w:val="none"/>
          <w:lang w:val="zh-CN"/>
        </w:rPr>
        <w:t>2025</w:t>
      </w:r>
      <w:r>
        <w:rPr>
          <w:rFonts w:hint="eastAsia"/>
          <w:u w:val="none"/>
          <w:lang w:val="zh-CN"/>
        </w:rPr>
        <w:t>年，城镇新建建筑全面执行绿色建筑标准。</w:t>
      </w:r>
    </w:p>
    <w:p w14:paraId="4BA35B7C">
      <w:pPr>
        <w:rPr>
          <w:u w:val="none"/>
          <w:lang w:val="zh-CN"/>
        </w:rPr>
      </w:pPr>
      <w:r>
        <w:rPr>
          <w:rFonts w:hint="eastAsia"/>
          <w:u w:val="none"/>
          <w:lang w:val="zh-CN"/>
        </w:rPr>
        <w:t>2.推进绿色交通低碳化</w:t>
      </w:r>
    </w:p>
    <w:p w14:paraId="7E939BF4">
      <w:pPr>
        <w:rPr>
          <w:u w:val="none"/>
          <w:lang w:val="zh-CN"/>
        </w:rPr>
      </w:pPr>
      <w:r>
        <w:rPr>
          <w:rFonts w:hint="eastAsia"/>
          <w:u w:val="none"/>
          <w:lang w:val="zh-CN"/>
        </w:rPr>
        <w:t>到</w:t>
      </w:r>
      <w:r>
        <w:rPr>
          <w:u w:val="none"/>
          <w:lang w:val="zh-CN"/>
        </w:rPr>
        <w:t>2035</w:t>
      </w:r>
      <w:r>
        <w:rPr>
          <w:rFonts w:hint="eastAsia"/>
          <w:u w:val="none"/>
          <w:lang w:val="zh-CN"/>
        </w:rPr>
        <w:t>年，公共交通占机动化出行的比例超过</w:t>
      </w:r>
      <w:r>
        <w:rPr>
          <w:u w:val="none"/>
          <w:lang w:val="zh-CN"/>
        </w:rPr>
        <w:t>60%</w:t>
      </w:r>
      <w:r>
        <w:rPr>
          <w:rFonts w:hint="eastAsia"/>
          <w:u w:val="none"/>
          <w:lang w:val="zh-CN"/>
        </w:rPr>
        <w:t>，适时增加公交专用道。推进共享交通建设，完善公交、客运出租汽车智能调度系统。全县推广新能源汽车，建设集中式充换电站、充电桩。倡导百姓少开车不开车，提倡步行交通。</w:t>
      </w:r>
    </w:p>
    <w:p w14:paraId="7724C2F2">
      <w:pPr>
        <w:rPr>
          <w:rFonts w:hint="eastAsia"/>
          <w:u w:val="none"/>
        </w:rPr>
      </w:pPr>
    </w:p>
    <w:p w14:paraId="424F3D0C">
      <w:pPr>
        <w:rPr>
          <w:rFonts w:hint="eastAsia"/>
          <w:u w:val="none"/>
        </w:rPr>
      </w:pPr>
    </w:p>
    <w:p w14:paraId="526AE814">
      <w:pPr>
        <w:rPr>
          <w:u w:val="none"/>
        </w:rPr>
      </w:pPr>
      <w:r>
        <w:rPr>
          <w:rFonts w:hint="eastAsia"/>
          <w:u w:val="none"/>
        </w:rPr>
        <w:t>3.推进公共低碳化</w:t>
      </w:r>
    </w:p>
    <w:p w14:paraId="4349F455">
      <w:pPr>
        <w:rPr>
          <w:u w:val="none"/>
          <w:lang w:val="zh-CN"/>
        </w:rPr>
      </w:pPr>
      <w:r>
        <w:rPr>
          <w:rFonts w:hint="eastAsia"/>
          <w:u w:val="none"/>
          <w:lang w:val="zh-CN"/>
        </w:rPr>
        <w:t>推行精简高效会议组织模式，继续完善远程会议系统，开展“低碳办公”活动。减少一次性餐具使用，减少塑料垃圾污染率，提倡环保餐具和垃圾袋，提倡自备随身杯、环保袋，减少污染，降低不可降解物品使用频率和范围。</w:t>
      </w:r>
    </w:p>
    <w:p w14:paraId="27895584">
      <w:pPr>
        <w:rPr>
          <w:u w:val="none"/>
          <w:lang w:val="zh-CN"/>
        </w:rPr>
      </w:pPr>
      <w:r>
        <w:rPr>
          <w:rFonts w:hint="eastAsia"/>
          <w:u w:val="none"/>
          <w:lang w:val="zh-CN"/>
        </w:rPr>
        <w:t>4.推进生活方式低碳化</w:t>
      </w:r>
    </w:p>
    <w:p w14:paraId="51F0007C">
      <w:pPr>
        <w:rPr>
          <w:u w:val="none"/>
          <w:lang w:val="zh-CN"/>
        </w:rPr>
      </w:pPr>
      <w:r>
        <w:rPr>
          <w:rFonts w:hint="eastAsia"/>
          <w:u w:val="none"/>
          <w:lang w:val="zh-CN"/>
        </w:rPr>
        <w:t>启动家庭式低碳生活，引导消费者购买居家产品时选择低碳产品。加强节能产品、环境标志产品的认证。推进生活垃圾收运处置体系，全面实现分类投放、分类收集、分类运输和分类处理，完善垃圾综合利用设施。支持和引导共享经济发展，创新共享经济发展模式和领域。开展低碳主题校园宣传活动，不定期开展学生集体参与的低碳实践活动。</w:t>
      </w:r>
    </w:p>
    <w:p w14:paraId="43DF0459">
      <w:pPr>
        <w:pStyle w:val="5"/>
        <w:spacing w:before="120" w:after="120"/>
      </w:pPr>
      <w:r>
        <w:rPr>
          <w:rFonts w:hint="eastAsia"/>
        </w:rPr>
        <w:t>第69条 社会能源优化工程</w:t>
      </w:r>
    </w:p>
    <w:p w14:paraId="34FD7176">
      <w:pPr>
        <w:rPr>
          <w:u w:val="none"/>
          <w:lang w:val="zh-CN"/>
        </w:rPr>
      </w:pPr>
      <w:r>
        <w:rPr>
          <w:rFonts w:hint="eastAsia"/>
          <w:u w:val="none"/>
          <w:lang w:val="zh-CN"/>
        </w:rPr>
        <w:t>1.实施煤炭污染防治工程</w:t>
      </w:r>
    </w:p>
    <w:p w14:paraId="6E8A2BE8">
      <w:pPr>
        <w:rPr>
          <w:u w:val="none"/>
          <w:lang w:val="zh-CN"/>
        </w:rPr>
      </w:pPr>
      <w:r>
        <w:rPr>
          <w:rFonts w:hint="eastAsia"/>
          <w:u w:val="none"/>
          <w:lang w:val="zh-CN"/>
        </w:rPr>
        <w:t>严格落实秸秆焚烧和综合利用政策，推广秸秆还田技术，综合利用率提高95%以上，淘汰小型燃煤锅炉，新建项目原则上不批准燃煤锅炉，鼓励使用清洁能源。加强工业企业污染治理、环境综合整治、机动车尾气污染防治、矿山企业粉尘规范化管理。推进散煤替代改造，改善大气环境质量，提高空气质量优良天数比率。到2035年，空气质量优良天数比例稳定达到90%以上。</w:t>
      </w:r>
    </w:p>
    <w:p w14:paraId="57B600DC">
      <w:pPr>
        <w:rPr>
          <w:u w:val="none"/>
          <w:lang w:val="zh-CN"/>
        </w:rPr>
      </w:pPr>
      <w:r>
        <w:rPr>
          <w:rFonts w:hint="eastAsia"/>
          <w:u w:val="none"/>
          <w:lang w:val="zh-CN"/>
        </w:rPr>
        <w:t>2.提高资源利用率</w:t>
      </w:r>
    </w:p>
    <w:p w14:paraId="6FA07605">
      <w:pPr>
        <w:rPr>
          <w:u w:val="none"/>
          <w:lang w:val="zh-CN"/>
        </w:rPr>
      </w:pPr>
      <w:r>
        <w:rPr>
          <w:rFonts w:hint="eastAsia"/>
          <w:u w:val="none"/>
          <w:lang w:val="zh-CN"/>
        </w:rPr>
        <w:t>严格落实能源和水资源消耗、建设用地总量和强度双控制</w:t>
      </w:r>
      <w:r>
        <w:rPr>
          <w:rFonts w:hint="eastAsia"/>
          <w:u w:val="none"/>
        </w:rPr>
        <w:t>制</w:t>
      </w:r>
      <w:r>
        <w:rPr>
          <w:rFonts w:hint="eastAsia"/>
          <w:u w:val="none"/>
          <w:lang w:val="zh-CN"/>
        </w:rPr>
        <w:t>度，提高土地管理集约利用水平，强化耕地占补平衡管理，推进未纳入耕地保护范围的农用地整治，加大节水力度，降低供水管网漏损，大幅提升再生水利用比例。</w:t>
      </w:r>
    </w:p>
    <w:p w14:paraId="28DBFB74">
      <w:pPr>
        <w:rPr>
          <w:u w:val="none"/>
          <w:lang w:val="zh-CN"/>
        </w:rPr>
      </w:pPr>
      <w:r>
        <w:rPr>
          <w:rFonts w:hint="eastAsia"/>
          <w:u w:val="none"/>
          <w:lang w:val="zh-CN"/>
        </w:rPr>
        <w:t>3.大力发展新能源设施</w:t>
      </w:r>
    </w:p>
    <w:p w14:paraId="54F1130D">
      <w:pPr>
        <w:rPr>
          <w:u w:val="none"/>
          <w:lang w:val="zh-CN"/>
        </w:rPr>
      </w:pPr>
      <w:r>
        <w:rPr>
          <w:rFonts w:hint="eastAsia"/>
          <w:u w:val="none"/>
          <w:lang w:val="zh-CN"/>
        </w:rPr>
        <w:t>加强城乡电网改造升级，优化</w:t>
      </w:r>
      <w:r>
        <w:rPr>
          <w:rFonts w:hint="eastAsia"/>
          <w:u w:val="none"/>
        </w:rPr>
        <w:t>虎林市</w:t>
      </w:r>
      <w:r>
        <w:rPr>
          <w:rFonts w:hint="eastAsia"/>
          <w:u w:val="none"/>
          <w:lang w:val="zh-CN"/>
        </w:rPr>
        <w:t>各类开发区配电网布局，保障电力需求。提升电网扩容能力，构建现代化配电网络。大力支持生物质能、风能、光能等可再生能源开发利用，发展风电和光伏发电项目，加强“互补”式能源基础设施建设，推行风、光、火、电等能源互补优化调度模型，提高能源基础设施安全运行水平。到2025年，城镇新建公共机构建筑、新建厂房建筑屋顶光伏覆盖率达到50%。</w:t>
      </w:r>
    </w:p>
    <w:p w14:paraId="6367D6A1">
      <w:pPr>
        <w:rPr>
          <w:u w:val="none"/>
        </w:rPr>
      </w:pPr>
      <w:r>
        <w:rPr>
          <w:rFonts w:hint="eastAsia"/>
          <w:u w:val="none"/>
        </w:rPr>
        <w:t>乡村范围内推进绿色农房建设，加快农房节能改造，乡村新建住宅屋顶光伏覆盖率达到</w:t>
      </w:r>
      <w:r>
        <w:rPr>
          <w:u w:val="none"/>
        </w:rPr>
        <w:t>50%</w:t>
      </w:r>
      <w:r>
        <w:rPr>
          <w:rFonts w:hint="eastAsia"/>
          <w:u w:val="none"/>
        </w:rPr>
        <w:t>。持续推进农村地区清洁取暖，发展节能低碳农业大棚，推广农村节能电动农用车辆，加强农村电网建设，提升农村用能电气化水平。</w:t>
      </w:r>
    </w:p>
    <w:p w14:paraId="0646D0FC">
      <w:pPr>
        <w:rPr>
          <w:rFonts w:hint="eastAsia"/>
          <w:u w:val="none"/>
          <w:lang w:val="zh-CN"/>
        </w:rPr>
      </w:pPr>
    </w:p>
    <w:p w14:paraId="3E099941">
      <w:pPr>
        <w:rPr>
          <w:rFonts w:hint="eastAsia"/>
          <w:u w:val="none"/>
          <w:lang w:val="zh-CN"/>
        </w:rPr>
      </w:pPr>
    </w:p>
    <w:p w14:paraId="64011A86">
      <w:pPr>
        <w:rPr>
          <w:u w:val="none"/>
          <w:lang w:val="zh-CN"/>
        </w:rPr>
      </w:pPr>
      <w:r>
        <w:rPr>
          <w:rFonts w:hint="eastAsia"/>
          <w:u w:val="none"/>
          <w:lang w:val="zh-CN"/>
        </w:rPr>
        <w:t>4.优化清洁能源供给网架</w:t>
      </w:r>
    </w:p>
    <w:p w14:paraId="4CC86449">
      <w:pPr>
        <w:rPr>
          <w:u w:val="none"/>
          <w:lang w:val="zh-CN"/>
        </w:rPr>
      </w:pPr>
      <w:r>
        <w:rPr>
          <w:rFonts w:hint="eastAsia"/>
          <w:u w:val="none"/>
          <w:lang w:val="zh-CN"/>
        </w:rPr>
        <w:t>在深化终端用能清洁替代方面，构建绿色低碳能源消费模式，积极推动综合能源服务，实现能源消费电气化；在能源电力技术创新方面，建设区域能源管控云平台，加快数字化转型，推动能源互联网创新成果转化，提升能源运行智能化和效率水平；在节能减排加快实施方面，全面实现电网节能管理，强化办公节能减排，着力降低区域内碳排放水平；在内外交流合作方面，强化政企合作与宣传引导，倡导绿色低碳生活方式，凝聚能源绿色转型多方合作。</w:t>
      </w:r>
    </w:p>
    <w:p w14:paraId="1CA93EA7">
      <w:pPr>
        <w:rPr>
          <w:u w:val="none"/>
        </w:rPr>
      </w:pPr>
      <w:r>
        <w:rPr>
          <w:rFonts w:hint="eastAsia"/>
          <w:u w:val="none"/>
        </w:rPr>
        <w:t>5.推进产业园区循环化发展</w:t>
      </w:r>
    </w:p>
    <w:p w14:paraId="10E59C55">
      <w:pPr>
        <w:rPr>
          <w:u w:val="none"/>
          <w:lang w:val="zh-CN"/>
        </w:rPr>
      </w:pPr>
      <w:r>
        <w:rPr>
          <w:u w:val="none"/>
          <w:lang w:val="zh-CN"/>
        </w:rPr>
        <w:t>以提升循环利用率为目的，优化园区空间布局，开展园区内循环化改造，推动园区内企业循环式生产，促进废物综合利用、能源梯级利用、水资源循环利用，推动工业余压余热、废气废渣废液资源化利用。到2035年，地区级以上重点项目产业园区内全部实施循环化改造。</w:t>
      </w:r>
    </w:p>
    <w:p w14:paraId="28C039A8">
      <w:pPr>
        <w:pStyle w:val="5"/>
        <w:spacing w:before="120" w:after="120"/>
      </w:pPr>
      <w:r>
        <w:rPr>
          <w:rFonts w:hint="eastAsia"/>
        </w:rPr>
        <w:t>第70条 碳汇能力巩固提升行动</w:t>
      </w:r>
    </w:p>
    <w:p w14:paraId="6ACAABC1">
      <w:pPr>
        <w:rPr>
          <w:u w:val="none"/>
          <w:lang w:val="zh-CN"/>
        </w:rPr>
      </w:pPr>
      <w:r>
        <w:rPr>
          <w:u w:val="none"/>
          <w:lang w:val="zh-CN"/>
        </w:rPr>
        <w:t>坚持推进生态系统观念，推进山水林田湖草沙一体化保护和修复，提高生态系统质量和稳定性，提升生态系统碳汇增量。</w:t>
      </w:r>
    </w:p>
    <w:p w14:paraId="673F4B8D">
      <w:pPr>
        <w:rPr>
          <w:rFonts w:hint="eastAsia"/>
          <w:u w:val="none"/>
          <w:lang w:val="zh-CN"/>
        </w:rPr>
      </w:pPr>
    </w:p>
    <w:p w14:paraId="7F83C84D">
      <w:pPr>
        <w:rPr>
          <w:u w:val="none"/>
          <w:lang w:val="zh-CN"/>
        </w:rPr>
      </w:pPr>
      <w:r>
        <w:rPr>
          <w:rFonts w:hint="eastAsia"/>
          <w:u w:val="none"/>
          <w:lang w:val="zh-CN"/>
        </w:rPr>
        <w:t>1.巩固生态系统固碳作用</w:t>
      </w:r>
    </w:p>
    <w:p w14:paraId="6E8826B2">
      <w:pPr>
        <w:rPr>
          <w:u w:val="none"/>
          <w:lang w:val="zh-CN"/>
        </w:rPr>
      </w:pPr>
      <w:r>
        <w:rPr>
          <w:rFonts w:hint="eastAsia"/>
          <w:u w:val="none"/>
          <w:lang w:val="zh-CN"/>
        </w:rPr>
        <w:t>严守生态保护红线，严控生态空间占用，建立以国家公园为主体的自然保护地体系，稳定现有森林、草原、湿地、海洋、土壤、冻土、岩溶等固碳作用。严格执行土地使用标准，加强节约集约用地评价，推广节地技术和节地模式。</w:t>
      </w:r>
    </w:p>
    <w:p w14:paraId="660FBB7B">
      <w:pPr>
        <w:rPr>
          <w:u w:val="none"/>
          <w:lang w:val="zh-CN"/>
        </w:rPr>
      </w:pPr>
      <w:r>
        <w:rPr>
          <w:rFonts w:hint="eastAsia"/>
          <w:u w:val="none"/>
          <w:lang w:val="zh-CN"/>
        </w:rPr>
        <w:t>2.提升生态系统碳汇能力</w:t>
      </w:r>
    </w:p>
    <w:p w14:paraId="15000DE1">
      <w:pPr>
        <w:rPr>
          <w:u w:val="none"/>
          <w:lang w:val="zh-CN"/>
        </w:rPr>
      </w:pPr>
      <w:r>
        <w:rPr>
          <w:rFonts w:hint="eastAsia"/>
          <w:u w:val="none"/>
          <w:lang w:val="zh-CN"/>
        </w:rPr>
        <w:t>实施生态保护修复重大工程。深入推进大规模国土绿化行动，巩固退耕还林还草成果，强化森林资源保护，实施森林质量精准提升工程，提高森林质量和稳定性。加强草原生态保护修复，提高草原综合植被</w:t>
      </w:r>
      <w:r>
        <w:rPr>
          <w:rFonts w:hint="eastAsia"/>
          <w:u w:val="none"/>
        </w:rPr>
        <w:t>覆盖</w:t>
      </w:r>
      <w:r>
        <w:rPr>
          <w:rFonts w:hint="eastAsia"/>
          <w:u w:val="none"/>
          <w:lang w:val="zh-CN"/>
        </w:rPr>
        <w:t>度。加强河湖、湿地保护修复。加强退化土地修复治理，开展荒漠化、石漠化、水土流失综合治理，实施遗留矿山生态修复工程。</w:t>
      </w:r>
    </w:p>
    <w:p w14:paraId="5209E03A">
      <w:pPr>
        <w:rPr>
          <w:u w:val="none"/>
          <w:lang w:val="zh-CN"/>
        </w:rPr>
      </w:pPr>
      <w:r>
        <w:rPr>
          <w:rFonts w:hint="eastAsia"/>
          <w:u w:val="none"/>
          <w:lang w:val="zh-CN"/>
        </w:rPr>
        <w:t>3.加强生态系统碳汇基础支撑</w:t>
      </w:r>
    </w:p>
    <w:p w14:paraId="079ECB5D">
      <w:pPr>
        <w:rPr>
          <w:u w:val="none"/>
          <w:lang w:val="zh-CN"/>
        </w:rPr>
      </w:pPr>
      <w:r>
        <w:rPr>
          <w:rFonts w:hint="eastAsia"/>
          <w:u w:val="none"/>
          <w:lang w:val="zh-CN"/>
        </w:rPr>
        <w:t>依托和拓展自然资源调查监测体系，利用国家林草生态综合监测评价结果，建立生态系统碳汇监测核算体系，开展森林、草原、湿地、土壤等碳汇本底调查、碳储量评估、潜力分析，实施生态保护修复碳汇成效监测评估。加强生态系统碳汇基础理论、基础方法、前沿</w:t>
      </w:r>
      <w:r>
        <w:rPr>
          <w:rFonts w:hint="eastAsia"/>
          <w:u w:val="none"/>
        </w:rPr>
        <w:t>突破性</w:t>
      </w:r>
      <w:r>
        <w:rPr>
          <w:rFonts w:hint="eastAsia"/>
          <w:u w:val="none"/>
          <w:lang w:val="zh-CN"/>
        </w:rPr>
        <w:t>技术研究。建立健全能够体现碳汇价值的生态保护补偿机制，研究制定碳汇项目参与全国碳排放权交易相关规则。</w:t>
      </w:r>
    </w:p>
    <w:p w14:paraId="13901011">
      <w:pPr>
        <w:rPr>
          <w:u w:val="none"/>
          <w:lang w:val="zh-CN"/>
        </w:rPr>
      </w:pPr>
      <w:r>
        <w:rPr>
          <w:rFonts w:hint="eastAsia"/>
          <w:u w:val="none"/>
          <w:lang w:val="zh-CN"/>
        </w:rPr>
        <w:t>4.推进农业农村减排固碳</w:t>
      </w:r>
    </w:p>
    <w:p w14:paraId="5B6E3449">
      <w:pPr>
        <w:rPr>
          <w:u w:val="none"/>
          <w:lang w:val="zh-CN"/>
        </w:rPr>
      </w:pPr>
      <w:r>
        <w:rPr>
          <w:rFonts w:hint="eastAsia"/>
          <w:u w:val="none"/>
          <w:lang w:val="zh-CN"/>
        </w:rPr>
        <w:t>大力发展绿色低碳循环农业，推进农光互补、“光伏+设施农业”等低碳农业模式。开展耕地质量提升行动，实施国家黑土地保护工程，提升土壤有机碳储量。合理控制化肥、农药、地膜使用量，实施化肥农药减量替代计划，加强农作物秸秆综合利用和畜禽粪污资源化利用。</w:t>
      </w:r>
    </w:p>
    <w:p w14:paraId="5AA7782B">
      <w:pPr>
        <w:pStyle w:val="5"/>
        <w:spacing w:before="120" w:after="120"/>
      </w:pPr>
      <w:r>
        <w:t>第</w:t>
      </w:r>
      <w:r>
        <w:rPr>
          <w:rFonts w:hint="eastAsia"/>
        </w:rPr>
        <w:t>71</w:t>
      </w:r>
      <w:r>
        <w:t xml:space="preserve">条 </w:t>
      </w:r>
      <w:r>
        <w:rPr>
          <w:rFonts w:hint="eastAsia"/>
        </w:rPr>
        <w:t>建立“双碳”行动措施</w:t>
      </w:r>
    </w:p>
    <w:p w14:paraId="6A697543">
      <w:pPr>
        <w:rPr>
          <w:u w:val="none"/>
          <w:lang w:val="zh-CN"/>
        </w:rPr>
      </w:pPr>
      <w:r>
        <w:rPr>
          <w:rFonts w:hint="eastAsia"/>
          <w:u w:val="none"/>
          <w:lang w:val="zh-CN"/>
        </w:rPr>
        <w:t>将碳达峰贯穿于经济社会发展全过程和各方面，重点实施能源绿色低碳转型行动、节能降碳增效行动、工业领域碳达峰行动、城乡建设碳达峰行动、交通运输绿色低碳行动、循环经济助力降碳行动、绿色低碳科技创新行动、碳汇能力巩固提升行动和绿色低碳全民行动。</w:t>
      </w:r>
    </w:p>
    <w:p w14:paraId="278CF04C">
      <w:pPr>
        <w:rPr>
          <w:u w:val="none"/>
          <w:lang w:val="zh-CN"/>
        </w:rPr>
      </w:pPr>
      <w:r>
        <w:rPr>
          <w:rFonts w:hint="eastAsia"/>
          <w:u w:val="none"/>
          <w:lang w:val="zh-CN"/>
        </w:rPr>
        <w:t>1.加强生态文明宣传教育</w:t>
      </w:r>
    </w:p>
    <w:p w14:paraId="0BFF2FB5">
      <w:pPr>
        <w:rPr>
          <w:u w:val="none"/>
          <w:lang w:val="zh-CN"/>
        </w:rPr>
      </w:pPr>
      <w:r>
        <w:rPr>
          <w:rFonts w:hint="eastAsia"/>
          <w:u w:val="none"/>
          <w:lang w:val="zh-CN"/>
        </w:rPr>
        <w:t>将生态文明教育纳入国民教育体系，开展多种形式资源环境国情教育，普及碳达峰、碳中和基础知识。加强对公众的生态文明科普教育，将绿色低碳理念有机融入文艺作品，制作文创产品和公益广告，持续开展世界地球日、世界环境日、全国节能宣传周、全国低碳日等主题宣传活动，增强社会公众绿色低碳意识，推动生态文明理念更加深入人心。</w:t>
      </w:r>
    </w:p>
    <w:p w14:paraId="30F9071D">
      <w:pPr>
        <w:rPr>
          <w:u w:val="none"/>
          <w:lang w:val="zh-CN"/>
        </w:rPr>
      </w:pPr>
      <w:r>
        <w:rPr>
          <w:rFonts w:hint="eastAsia"/>
          <w:u w:val="none"/>
          <w:lang w:val="zh-CN"/>
        </w:rPr>
        <w:t>2.引导企业履行社会责任</w:t>
      </w:r>
    </w:p>
    <w:p w14:paraId="6ABDFB53">
      <w:pPr>
        <w:rPr>
          <w:u w:val="none"/>
          <w:lang w:val="zh-CN"/>
        </w:rPr>
      </w:pPr>
      <w:r>
        <w:rPr>
          <w:rFonts w:hint="eastAsia"/>
          <w:u w:val="none"/>
          <w:lang w:val="zh-CN"/>
        </w:rPr>
        <w:t>引导企业主动适应绿色低碳发展要求，强化环境责任意识，加强能源资源节约，提升绿色创新水平。重点用能单位要梳理核算自身碳排放情况，深入研究碳减排路径，“一企一策”制定专项工作方案，推进节能降碳。相关上市公司和发债企业要按照环境信息依法披露要求，定期公布企业碳排放信息。充分发挥行业协会等社会团体作用，督促企业自觉履行社会责任。</w:t>
      </w:r>
    </w:p>
    <w:p w14:paraId="42088C18">
      <w:pPr>
        <w:rPr>
          <w:u w:val="none"/>
          <w:lang w:val="zh-CN"/>
        </w:rPr>
      </w:pPr>
      <w:r>
        <w:rPr>
          <w:rFonts w:hint="eastAsia"/>
          <w:u w:val="none"/>
          <w:lang w:val="zh-CN"/>
        </w:rPr>
        <w:t>3.加强领导干部培训</w:t>
      </w:r>
    </w:p>
    <w:p w14:paraId="7F8F1B01">
      <w:pPr>
        <w:rPr>
          <w:u w:val="none"/>
          <w:lang w:val="zh-CN"/>
        </w:rPr>
      </w:pPr>
      <w:r>
        <w:rPr>
          <w:rFonts w:hint="eastAsia"/>
          <w:u w:val="none"/>
          <w:lang w:val="zh-CN"/>
        </w:rPr>
        <w:t>将学习贯彻习近平生态文明思想作为干部教育培训的重要内容，各级党校要把碳达峰、碳中和相关内容列入教学计划，分阶段、多层次对各级领导干部开展培训，普及科学知识，宣讲政策要点，强化法治意识，深化各级领导干部对碳达峰、碳中和工作重要性、紧迫性、科学性、系统性地认识。从事绿色低碳发展相关工作的领导干部要尽快提升专业素养和业务能力，切实增强推动绿色低碳发展的本领。</w:t>
      </w:r>
    </w:p>
    <w:p w14:paraId="5CFA2758">
      <w:pPr>
        <w:pStyle w:val="2"/>
        <w:ind w:firstLine="480"/>
        <w:rPr>
          <w:lang w:val="zh-CN"/>
        </w:rPr>
      </w:pPr>
    </w:p>
    <w:p w14:paraId="7CC3DEE4">
      <w:pPr>
        <w:rPr>
          <w:lang w:val="zh-CN"/>
        </w:rPr>
      </w:pPr>
    </w:p>
    <w:p w14:paraId="07B35989">
      <w:pPr>
        <w:pStyle w:val="2"/>
        <w:ind w:firstLine="480"/>
        <w:rPr>
          <w:lang w:val="zh-CN"/>
        </w:rPr>
      </w:pPr>
    </w:p>
    <w:p w14:paraId="3BE4BE60">
      <w:pPr>
        <w:rPr>
          <w:lang w:val="zh-CN"/>
        </w:rPr>
      </w:pPr>
    </w:p>
    <w:p w14:paraId="7A5AFC4C">
      <w:pPr>
        <w:pStyle w:val="2"/>
        <w:ind w:firstLine="480"/>
        <w:rPr>
          <w:lang w:val="zh-CN"/>
        </w:rPr>
      </w:pPr>
    </w:p>
    <w:p w14:paraId="7AEBB24A">
      <w:pPr>
        <w:rPr>
          <w:lang w:val="zh-CN"/>
        </w:rPr>
      </w:pPr>
    </w:p>
    <w:p w14:paraId="022E3048">
      <w:pPr>
        <w:pStyle w:val="3"/>
        <w:widowControl w:val="0"/>
        <w:snapToGrid/>
        <w:spacing w:before="10" w:after="10" w:line="600" w:lineRule="exact"/>
        <w:ind w:firstLine="0" w:firstLineChars="0"/>
        <w:jc w:val="center"/>
        <w:rPr>
          <w:rFonts w:ascii="Times New Roman" w:hAnsi="Times New Roman" w:eastAsia="方正小标宋简体"/>
          <w:b w:val="0"/>
          <w:bCs w:val="0"/>
          <w:color w:val="auto"/>
          <w:sz w:val="36"/>
          <w:u w:val="none"/>
        </w:rPr>
      </w:pPr>
      <w:bookmarkStart w:id="284" w:name="_Toc30299"/>
      <w:bookmarkStart w:id="285" w:name="_Toc677"/>
      <w:bookmarkStart w:id="286" w:name="_Toc181784667"/>
      <w:bookmarkStart w:id="287" w:name="_Toc181784597"/>
      <w:bookmarkStart w:id="288" w:name="_Toc181784457"/>
      <w:r>
        <w:rPr>
          <w:rFonts w:ascii="Times New Roman" w:hAnsi="Times New Roman" w:eastAsia="方正小标宋简体"/>
          <w:b w:val="0"/>
          <w:bCs w:val="0"/>
          <w:color w:val="auto"/>
          <w:sz w:val="36"/>
          <w:u w:val="none"/>
        </w:rPr>
        <w:t>第</w:t>
      </w:r>
      <w:r>
        <w:rPr>
          <w:rFonts w:hint="eastAsia" w:ascii="Times New Roman" w:hAnsi="Times New Roman" w:eastAsia="方正小标宋简体"/>
          <w:b w:val="0"/>
          <w:bCs w:val="0"/>
          <w:color w:val="auto"/>
          <w:sz w:val="36"/>
          <w:u w:val="none"/>
        </w:rPr>
        <w:t>七</w:t>
      </w:r>
      <w:r>
        <w:rPr>
          <w:rFonts w:ascii="Times New Roman" w:hAnsi="Times New Roman" w:eastAsia="方正小标宋简体"/>
          <w:b w:val="0"/>
          <w:bCs w:val="0"/>
          <w:color w:val="auto"/>
          <w:sz w:val="36"/>
          <w:u w:val="none"/>
        </w:rPr>
        <w:t xml:space="preserve">章 </w:t>
      </w:r>
      <w:r>
        <w:rPr>
          <w:rFonts w:hint="eastAsia" w:ascii="Times New Roman" w:hAnsi="Times New Roman" w:eastAsia="方正小标宋简体"/>
          <w:b w:val="0"/>
          <w:bCs w:val="0"/>
          <w:color w:val="auto"/>
          <w:sz w:val="36"/>
          <w:u w:val="none"/>
        </w:rPr>
        <w:t>建设高品质中心城</w:t>
      </w:r>
      <w:bookmarkEnd w:id="284"/>
      <w:bookmarkEnd w:id="285"/>
      <w:r>
        <w:rPr>
          <w:rFonts w:hint="eastAsia" w:ascii="Times New Roman" w:hAnsi="Times New Roman" w:eastAsia="方正小标宋简体"/>
          <w:b w:val="0"/>
          <w:bCs w:val="0"/>
          <w:color w:val="auto"/>
          <w:sz w:val="36"/>
          <w:u w:val="none"/>
        </w:rPr>
        <w:t>区</w:t>
      </w:r>
      <w:bookmarkEnd w:id="286"/>
      <w:bookmarkEnd w:id="287"/>
      <w:bookmarkEnd w:id="288"/>
    </w:p>
    <w:p w14:paraId="16C5810D">
      <w:pPr>
        <w:pStyle w:val="4"/>
        <w:widowControl w:val="0"/>
        <w:snapToGrid/>
        <w:spacing w:before="120" w:beforeLines="50" w:after="120" w:afterLines="50" w:line="600" w:lineRule="exact"/>
        <w:ind w:firstLine="0" w:firstLineChars="0"/>
        <w:rPr>
          <w:b w:val="0"/>
          <w:bCs w:val="0"/>
          <w:color w:val="auto"/>
          <w:u w:val="none"/>
        </w:rPr>
      </w:pPr>
      <w:bookmarkStart w:id="289" w:name="_Toc181784458"/>
      <w:bookmarkStart w:id="290" w:name="_Toc29129"/>
      <w:bookmarkStart w:id="291" w:name="_Toc30848"/>
      <w:bookmarkStart w:id="292" w:name="_Toc181784668"/>
      <w:bookmarkStart w:id="293" w:name="_Toc181784598"/>
      <w:r>
        <w:rPr>
          <w:b w:val="0"/>
          <w:bCs w:val="0"/>
          <w:color w:val="auto"/>
          <w:u w:val="none"/>
        </w:rPr>
        <w:t xml:space="preserve">第一节 </w:t>
      </w:r>
      <w:r>
        <w:rPr>
          <w:rFonts w:hint="eastAsia"/>
          <w:b w:val="0"/>
          <w:bCs w:val="0"/>
          <w:color w:val="auto"/>
          <w:u w:val="none"/>
        </w:rPr>
        <w:t>中心城区</w:t>
      </w:r>
      <w:r>
        <w:rPr>
          <w:b w:val="0"/>
          <w:bCs w:val="0"/>
          <w:color w:val="auto"/>
          <w:u w:val="none"/>
        </w:rPr>
        <w:t>范围</w:t>
      </w:r>
      <w:bookmarkEnd w:id="289"/>
      <w:bookmarkEnd w:id="290"/>
      <w:bookmarkEnd w:id="291"/>
      <w:bookmarkEnd w:id="292"/>
      <w:bookmarkEnd w:id="293"/>
    </w:p>
    <w:p w14:paraId="4A9EC8E3">
      <w:pPr>
        <w:pStyle w:val="5"/>
        <w:spacing w:before="120" w:after="120"/>
        <w:rPr>
          <w:rFonts w:hint="default" w:eastAsia="楷体_GB2312"/>
          <w:lang w:val="en-US" w:eastAsia="zh-CN"/>
        </w:rPr>
      </w:pPr>
      <w:r>
        <w:t>第</w:t>
      </w:r>
      <w:r>
        <w:rPr>
          <w:rFonts w:hint="eastAsia"/>
        </w:rPr>
        <w:t>72</w:t>
      </w:r>
      <w:r>
        <w:t>条</w:t>
      </w:r>
      <w:r>
        <w:rPr>
          <w:rFonts w:hint="eastAsia"/>
        </w:rPr>
        <w:t xml:space="preserve"> </w:t>
      </w:r>
      <w:r>
        <w:rPr>
          <w:rFonts w:hint="eastAsia"/>
          <w:lang w:val="en-US" w:eastAsia="zh-CN"/>
        </w:rPr>
        <w:t>中心城区范围</w:t>
      </w:r>
    </w:p>
    <w:p w14:paraId="36CFB1B8">
      <w:pPr>
        <w:rPr>
          <w:u w:val="none"/>
        </w:rPr>
      </w:pPr>
      <w:r>
        <w:rPr>
          <w:u w:val="none"/>
        </w:rPr>
        <w:t>虎林市中心城镇范围为虎林市政府所在地虎林镇行政辖区范围。</w:t>
      </w:r>
    </w:p>
    <w:p w14:paraId="0540E6F2">
      <w:pPr>
        <w:rPr>
          <w:u w:val="none"/>
        </w:rPr>
      </w:pPr>
      <w:r>
        <w:rPr>
          <w:u w:val="none"/>
        </w:rPr>
        <w:t>虎林市中心城区为虎林市下辖的城东社区、中心社区、曙光社区、铁南社区、西苑社区以及与其联系较紧密的部分村屯用地均</w:t>
      </w:r>
      <w:r>
        <w:rPr>
          <w:rFonts w:hint="eastAsia"/>
          <w:u w:val="none"/>
        </w:rPr>
        <w:t>纳入</w:t>
      </w:r>
      <w:r>
        <w:rPr>
          <w:u w:val="none"/>
        </w:rPr>
        <w:t>中心城区控制范围。</w:t>
      </w:r>
    </w:p>
    <w:p w14:paraId="290A8210">
      <w:pPr>
        <w:pStyle w:val="4"/>
        <w:widowControl w:val="0"/>
        <w:snapToGrid/>
        <w:spacing w:before="120" w:beforeLines="50" w:after="120" w:afterLines="50" w:line="600" w:lineRule="exact"/>
        <w:ind w:firstLine="0" w:firstLineChars="0"/>
        <w:rPr>
          <w:b w:val="0"/>
          <w:bCs w:val="0"/>
          <w:color w:val="auto"/>
          <w:u w:val="none"/>
        </w:rPr>
      </w:pPr>
      <w:bookmarkStart w:id="294" w:name="_Toc24683"/>
      <w:bookmarkStart w:id="295" w:name="_Toc181784459"/>
      <w:bookmarkStart w:id="296" w:name="_Toc181784599"/>
      <w:bookmarkStart w:id="297" w:name="_Toc181784669"/>
      <w:bookmarkStart w:id="298" w:name="_Toc22098"/>
      <w:r>
        <w:rPr>
          <w:b w:val="0"/>
          <w:bCs w:val="0"/>
          <w:color w:val="auto"/>
          <w:u w:val="none"/>
        </w:rPr>
        <w:t xml:space="preserve">第二节 </w:t>
      </w:r>
      <w:bookmarkEnd w:id="294"/>
      <w:r>
        <w:rPr>
          <w:rFonts w:hint="eastAsia"/>
          <w:b w:val="0"/>
          <w:bCs w:val="0"/>
          <w:color w:val="auto"/>
          <w:u w:val="none"/>
        </w:rPr>
        <w:t>优化空间结构和功能布局</w:t>
      </w:r>
      <w:bookmarkEnd w:id="295"/>
      <w:bookmarkEnd w:id="296"/>
      <w:bookmarkEnd w:id="297"/>
      <w:bookmarkEnd w:id="298"/>
    </w:p>
    <w:p w14:paraId="0507CDB9">
      <w:pPr>
        <w:pStyle w:val="5"/>
        <w:spacing w:before="120" w:after="120"/>
      </w:pPr>
      <w:r>
        <w:t>第</w:t>
      </w:r>
      <w:r>
        <w:rPr>
          <w:rFonts w:hint="eastAsia"/>
        </w:rPr>
        <w:t>7</w:t>
      </w:r>
      <w:r>
        <w:rPr>
          <w:rFonts w:hint="eastAsia"/>
          <w:lang w:val="en-US" w:eastAsia="zh-CN"/>
        </w:rPr>
        <w:t>3</w:t>
      </w:r>
      <w:r>
        <w:t>条</w:t>
      </w:r>
      <w:r>
        <w:rPr>
          <w:rFonts w:hint="eastAsia"/>
        </w:rPr>
        <w:t xml:space="preserve"> </w:t>
      </w:r>
      <w:r>
        <w:t>“向西、向南”拓展</w:t>
      </w:r>
      <w:r>
        <w:rPr>
          <w:rFonts w:hint="eastAsia"/>
        </w:rPr>
        <w:t>为发展方向</w:t>
      </w:r>
    </w:p>
    <w:p w14:paraId="3E1973A6">
      <w:pPr>
        <w:rPr>
          <w:u w:val="none"/>
        </w:rPr>
      </w:pPr>
      <w:r>
        <w:rPr>
          <w:u w:val="none"/>
        </w:rPr>
        <w:t>用地控制策略确定为：北控、南进、西拓、东优、中心提升。</w:t>
      </w:r>
    </w:p>
    <w:p w14:paraId="53B2BDC5">
      <w:pPr>
        <w:rPr>
          <w:u w:val="none"/>
        </w:rPr>
      </w:pPr>
      <w:r>
        <w:rPr>
          <w:u w:val="none"/>
        </w:rPr>
        <w:t>北控：受自然条件限制，大多为不宜建设用地，控制其向北部延伸。</w:t>
      </w:r>
    </w:p>
    <w:p w14:paraId="0FE10563">
      <w:pPr>
        <w:rPr>
          <w:u w:val="none"/>
        </w:rPr>
      </w:pPr>
      <w:r>
        <w:rPr>
          <w:u w:val="none"/>
        </w:rPr>
        <w:t>南进：依托铁路及产业发展，适宜建设用地优先纳入城市建设。</w:t>
      </w:r>
    </w:p>
    <w:p w14:paraId="35DAA8AA">
      <w:pPr>
        <w:rPr>
          <w:u w:val="none"/>
        </w:rPr>
      </w:pPr>
      <w:r>
        <w:rPr>
          <w:u w:val="none"/>
        </w:rPr>
        <w:t>西拓：西部平坦，地质较好，建设发展腹地宽阔，交通便利，可以有力拉动城区西部拓展。</w:t>
      </w:r>
    </w:p>
    <w:p w14:paraId="17EFF340">
      <w:pPr>
        <w:rPr>
          <w:u w:val="none"/>
        </w:rPr>
      </w:pPr>
      <w:r>
        <w:rPr>
          <w:u w:val="none"/>
        </w:rPr>
        <w:t>东优：交通联系不便，优化其主要承担城市外向型功能。</w:t>
      </w:r>
    </w:p>
    <w:p w14:paraId="5C4C9AA7">
      <w:pPr>
        <w:rPr>
          <w:u w:val="none"/>
        </w:rPr>
      </w:pPr>
      <w:r>
        <w:rPr>
          <w:u w:val="none"/>
        </w:rPr>
        <w:t>中心提升：优化用地布局，整体提升老城区景观风貌与生活品质。</w:t>
      </w:r>
    </w:p>
    <w:p w14:paraId="587884E3">
      <w:pPr>
        <w:pStyle w:val="5"/>
        <w:spacing w:before="120" w:after="120"/>
      </w:pPr>
      <w:r>
        <w:rPr>
          <w:snapToGrid w:val="0"/>
        </w:rPr>
        <w:t>第</w:t>
      </w:r>
      <w:r>
        <w:rPr>
          <w:rFonts w:hint="eastAsia"/>
        </w:rPr>
        <w:t>7</w:t>
      </w:r>
      <w:r>
        <w:rPr>
          <w:rFonts w:hint="eastAsia"/>
          <w:snapToGrid w:val="0"/>
          <w:lang w:val="en-US" w:eastAsia="zh-CN"/>
        </w:rPr>
        <w:t>4</w:t>
      </w:r>
      <w:r>
        <w:rPr>
          <w:snapToGrid w:val="0"/>
        </w:rPr>
        <w:t xml:space="preserve">条 </w:t>
      </w:r>
      <w:r>
        <w:t xml:space="preserve">“背山面水、一城三区、三轴多点” </w:t>
      </w:r>
      <w:r>
        <w:rPr>
          <w:snapToGrid w:val="0"/>
        </w:rPr>
        <w:t>空间结构</w:t>
      </w:r>
    </w:p>
    <w:p w14:paraId="33DC52EF">
      <w:pPr>
        <w:rPr>
          <w:u w:val="none"/>
        </w:rPr>
      </w:pPr>
      <w:r>
        <w:rPr>
          <w:u w:val="none"/>
        </w:rPr>
        <w:t>背山面水</w:t>
      </w:r>
      <w:r>
        <w:rPr>
          <w:rFonts w:hint="eastAsia"/>
          <w:u w:val="none"/>
        </w:rPr>
        <w:t>：</w:t>
      </w:r>
      <w:r>
        <w:rPr>
          <w:u w:val="none"/>
        </w:rPr>
        <w:t>打造城市生态廊道，与城市景观相呼应，构成城市融于自然，自然包容城市的整体空间形态。</w:t>
      </w:r>
    </w:p>
    <w:p w14:paraId="380A0B58">
      <w:pPr>
        <w:rPr>
          <w:u w:val="none"/>
        </w:rPr>
      </w:pPr>
      <w:r>
        <w:rPr>
          <w:rFonts w:hint="eastAsia"/>
          <w:u w:val="none"/>
        </w:rPr>
        <w:t>一城</w:t>
      </w:r>
      <w:r>
        <w:rPr>
          <w:u w:val="none"/>
        </w:rPr>
        <w:t>三区</w:t>
      </w:r>
      <w:r>
        <w:rPr>
          <w:rFonts w:hint="eastAsia"/>
          <w:u w:val="none"/>
        </w:rPr>
        <w:t>：</w:t>
      </w:r>
      <w:r>
        <w:rPr>
          <w:u w:val="none"/>
        </w:rPr>
        <w:t>老城片区推动老城职能疏解，优化人居环境，引导棚户区改造有序开发；西岗片区培育办公、商业、地产、文化、休闲、咨询等多元职能，建设区域性创新发展中心；铁南片区以园区建设为主，加强设施建设，架构道路网疏解交通，优化区域人居环境，合理划分产业分区，实现产业发展信息化。</w:t>
      </w:r>
    </w:p>
    <w:p w14:paraId="0BBA0DE3">
      <w:pPr>
        <w:rPr>
          <w:u w:val="none"/>
        </w:rPr>
      </w:pPr>
      <w:r>
        <w:rPr>
          <w:u w:val="none"/>
        </w:rPr>
        <w:t>三轴</w:t>
      </w:r>
      <w:r>
        <w:rPr>
          <w:rFonts w:hint="eastAsia"/>
          <w:u w:val="none"/>
        </w:rPr>
        <w:t>：</w:t>
      </w:r>
      <w:r>
        <w:rPr>
          <w:u w:val="none"/>
        </w:rPr>
        <w:t>平安路联系老城与工业园区，是老城第二产业转移和居住休闲职能向南疏解的主要通道；晨光路向北延伸完善城市功能，打造对外交流、旅游服务、文化展示的展示窗口；依托解放街西延，加强老城与西岗片区联系，促进行政办公、文化、居住、休闲职能的疏解，强化西部门户特征。</w:t>
      </w:r>
    </w:p>
    <w:p w14:paraId="03167E89">
      <w:pPr>
        <w:rPr>
          <w:u w:val="none"/>
        </w:rPr>
      </w:pPr>
      <w:r>
        <w:rPr>
          <w:u w:val="none"/>
        </w:rPr>
        <w:t>多点</w:t>
      </w:r>
      <w:r>
        <w:rPr>
          <w:rFonts w:hint="eastAsia"/>
          <w:u w:val="none"/>
        </w:rPr>
        <w:t>：</w:t>
      </w:r>
      <w:r>
        <w:rPr>
          <w:u w:val="none"/>
        </w:rPr>
        <w:t>打造虎林市政府综合服务、老城区商业服务、北出口旅游服务、青少年宫周边文化服务、市医院医疗服务、北部体育服务六个中心。</w:t>
      </w:r>
    </w:p>
    <w:p w14:paraId="05450C92">
      <w:pPr>
        <w:pStyle w:val="5"/>
        <w:spacing w:before="120" w:after="120"/>
        <w:rPr>
          <w:snapToGrid w:val="0"/>
        </w:rPr>
      </w:pPr>
      <w:r>
        <w:rPr>
          <w:snapToGrid w:val="0"/>
        </w:rPr>
        <w:t>第</w:t>
      </w:r>
      <w:r>
        <w:rPr>
          <w:rFonts w:hint="eastAsia"/>
        </w:rPr>
        <w:t>7</w:t>
      </w:r>
      <w:r>
        <w:rPr>
          <w:rFonts w:hint="eastAsia"/>
          <w:snapToGrid w:val="0"/>
          <w:lang w:val="en-US" w:eastAsia="zh-CN"/>
        </w:rPr>
        <w:t>5</w:t>
      </w:r>
      <w:r>
        <w:rPr>
          <w:snapToGrid w:val="0"/>
        </w:rPr>
        <w:t>条 用地构成</w:t>
      </w:r>
    </w:p>
    <w:p w14:paraId="02E6B957">
      <w:pPr>
        <w:rPr>
          <w:u w:val="none"/>
        </w:rPr>
      </w:pPr>
      <w:r>
        <w:rPr>
          <w:rFonts w:hint="eastAsia" w:cs="仿宋"/>
          <w:u w:val="none"/>
        </w:rPr>
        <w:t>中心城区</w:t>
      </w:r>
      <w:r>
        <w:rPr>
          <w:rFonts w:cs="仿宋"/>
          <w:u w:val="none"/>
        </w:rPr>
        <w:t>规划至2035年，城镇建设</w:t>
      </w:r>
      <w:r>
        <w:rPr>
          <w:rFonts w:hint="eastAsia" w:cs="仿宋"/>
          <w:u w:val="none"/>
        </w:rPr>
        <w:t>及</w:t>
      </w:r>
      <w:r>
        <w:rPr>
          <w:rFonts w:cs="仿宋"/>
          <w:u w:val="none"/>
        </w:rPr>
        <w:t>留白用地</w:t>
      </w:r>
      <w:r>
        <w:rPr>
          <w:u w:val="none"/>
        </w:rPr>
        <w:t>用于面对未来发展不确定性，以提高城市的适应能力和应急能力。</w:t>
      </w:r>
      <w:r>
        <w:rPr>
          <w:rFonts w:hint="eastAsia"/>
          <w:u w:val="none"/>
        </w:rPr>
        <w:t>各类用地具体地块用途、边界定位、开发建设强度、用地兼容等规划管控要求在详细规划中确定。</w:t>
      </w:r>
    </w:p>
    <w:p w14:paraId="42314E4D">
      <w:pPr>
        <w:pStyle w:val="5"/>
        <w:spacing w:before="120" w:after="120"/>
        <w:rPr>
          <w:snapToGrid w:val="0"/>
        </w:rPr>
      </w:pPr>
      <w:r>
        <w:rPr>
          <w:snapToGrid w:val="0"/>
        </w:rPr>
        <w:t>第</w:t>
      </w:r>
      <w:r>
        <w:rPr>
          <w:rFonts w:hint="eastAsia"/>
        </w:rPr>
        <w:t>7</w:t>
      </w:r>
      <w:r>
        <w:rPr>
          <w:rFonts w:hint="eastAsia"/>
          <w:snapToGrid w:val="0"/>
          <w:lang w:val="en-US" w:eastAsia="zh-CN"/>
        </w:rPr>
        <w:t>6</w:t>
      </w:r>
      <w:r>
        <w:rPr>
          <w:snapToGrid w:val="0"/>
        </w:rPr>
        <w:t>条 规划分区</w:t>
      </w:r>
    </w:p>
    <w:p w14:paraId="759FC2F8">
      <w:pPr>
        <w:rPr>
          <w:u w:val="none"/>
        </w:rPr>
      </w:pPr>
      <w:bookmarkStart w:id="299" w:name="_Toc17249"/>
      <w:r>
        <w:rPr>
          <w:u w:val="none"/>
        </w:rPr>
        <w:t>1.居住生活区</w:t>
      </w:r>
    </w:p>
    <w:p w14:paraId="544B5FE0">
      <w:pPr>
        <w:rPr>
          <w:u w:val="none"/>
        </w:rPr>
      </w:pPr>
      <w:r>
        <w:rPr>
          <w:u w:val="none"/>
        </w:rPr>
        <w:t>主要由居住用地构成，以住宅建筑和居住配套设施为主要功能导向的区域，包括老城居住片区、西岗居住片区、铁南居住片区。</w:t>
      </w:r>
    </w:p>
    <w:p w14:paraId="348F7E09">
      <w:pPr>
        <w:rPr>
          <w:u w:val="none"/>
        </w:rPr>
      </w:pPr>
      <w:r>
        <w:rPr>
          <w:u w:val="none"/>
        </w:rPr>
        <w:t>2.综合服务区</w:t>
      </w:r>
    </w:p>
    <w:p w14:paraId="7959F15D">
      <w:pPr>
        <w:rPr>
          <w:u w:val="none"/>
        </w:rPr>
      </w:pPr>
      <w:r>
        <w:rPr>
          <w:u w:val="none"/>
        </w:rPr>
        <w:t>以提供行政办公、文化、教育、医疗等服务为主要功能导向的区域，包括虎林市的市政府综合服务片区、铁南综合服务片区、职业学院片区以及中医院、市医院、高级中学、体育馆、文化站等设施聚集的综合服务片区。</w:t>
      </w:r>
    </w:p>
    <w:p w14:paraId="1EFA323D">
      <w:pPr>
        <w:rPr>
          <w:u w:val="none"/>
        </w:rPr>
      </w:pPr>
      <w:r>
        <w:rPr>
          <w:u w:val="none"/>
        </w:rPr>
        <w:t>3.商业商务区</w:t>
      </w:r>
    </w:p>
    <w:p w14:paraId="4E60134C">
      <w:pPr>
        <w:rPr>
          <w:u w:val="none"/>
        </w:rPr>
      </w:pPr>
      <w:r>
        <w:rPr>
          <w:u w:val="none"/>
        </w:rPr>
        <w:t>以提供商业、商务办公等就业岗位为主要功能导向的区域，包括零售商业、批发市场、餐饮、旅馆及公用设施营业网点等服务业用地和商务金融、娱乐等用地，主要为老城区形成的步行商业街片区、东西出城口沿街独立商业等。</w:t>
      </w:r>
    </w:p>
    <w:p w14:paraId="36142DD8">
      <w:pPr>
        <w:rPr>
          <w:u w:val="none"/>
        </w:rPr>
      </w:pPr>
      <w:r>
        <w:rPr>
          <w:u w:val="none"/>
        </w:rPr>
        <w:t>4.工业发展区</w:t>
      </w:r>
    </w:p>
    <w:p w14:paraId="27191B04">
      <w:pPr>
        <w:rPr>
          <w:u w:val="none"/>
        </w:rPr>
      </w:pPr>
      <w:r>
        <w:rPr>
          <w:u w:val="none"/>
        </w:rPr>
        <w:t>以工业及其配套产业为主要功能导向的区域，主要分布在铁南产业园区、铁北二热源区域。</w:t>
      </w:r>
    </w:p>
    <w:p w14:paraId="346FE947">
      <w:pPr>
        <w:rPr>
          <w:u w:val="none"/>
        </w:rPr>
      </w:pPr>
      <w:r>
        <w:rPr>
          <w:u w:val="none"/>
        </w:rPr>
        <w:t>5.物流仓储区</w:t>
      </w:r>
    </w:p>
    <w:p w14:paraId="3B161F28">
      <w:pPr>
        <w:rPr>
          <w:u w:val="none"/>
        </w:rPr>
      </w:pPr>
      <w:r>
        <w:rPr>
          <w:u w:val="none"/>
        </w:rPr>
        <w:t>以物流仓储及其配套产业为主要功能导向的区域，包括铁路配套物流仓储用地、东西出城口物流用地区域。</w:t>
      </w:r>
    </w:p>
    <w:p w14:paraId="0412A7AD">
      <w:pPr>
        <w:rPr>
          <w:u w:val="none"/>
        </w:rPr>
      </w:pPr>
      <w:r>
        <w:rPr>
          <w:u w:val="none"/>
        </w:rPr>
        <w:t>6.绿地休闲区</w:t>
      </w:r>
    </w:p>
    <w:p w14:paraId="0D2A776B">
      <w:pPr>
        <w:rPr>
          <w:u w:val="none"/>
        </w:rPr>
      </w:pPr>
      <w:r>
        <w:rPr>
          <w:u w:val="none"/>
        </w:rPr>
        <w:t>以公园绿地、广场用地、开敞空间、防护绿地等为主要功能导向的区域，包括虎林市西大沟周边公园、东山公园、桦树公园、西岗公园、吉祥广场等各级公园广场用地。</w:t>
      </w:r>
    </w:p>
    <w:p w14:paraId="5CDE81FB">
      <w:pPr>
        <w:rPr>
          <w:u w:val="none"/>
        </w:rPr>
      </w:pPr>
      <w:r>
        <w:rPr>
          <w:u w:val="none"/>
        </w:rPr>
        <w:t>7.交通枢纽区</w:t>
      </w:r>
    </w:p>
    <w:p w14:paraId="2CC306D7">
      <w:pPr>
        <w:rPr>
          <w:u w:val="none"/>
        </w:rPr>
      </w:pPr>
      <w:r>
        <w:rPr>
          <w:u w:val="none"/>
        </w:rPr>
        <w:t>以客运站等交通设施为主要功能导向的区域，包括虎林市火车站、公路客运站和城区主要道路等用地。</w:t>
      </w:r>
    </w:p>
    <w:p w14:paraId="6CFA9400">
      <w:pPr>
        <w:rPr>
          <w:u w:val="none"/>
        </w:rPr>
      </w:pPr>
      <w:r>
        <w:rPr>
          <w:u w:val="none"/>
        </w:rPr>
        <w:t>8.战略预留区</w:t>
      </w:r>
    </w:p>
    <w:p w14:paraId="26CEEDFF">
      <w:pPr>
        <w:rPr>
          <w:u w:val="none"/>
        </w:rPr>
      </w:pPr>
      <w:r>
        <w:rPr>
          <w:u w:val="none"/>
        </w:rPr>
        <w:t>集中建设区中，为城镇重大战略性功能控制的留白区域，主要分布在西岗区域二热源用地北侧以及五虎山山脚区域。是为应对未来发展的不确定性预留的一定规模的规划建设用地。战略留白用地的启用，需经政府同意后，按照“论证评估</w:t>
      </w:r>
      <w:r>
        <w:rPr>
          <w:rFonts w:hint="eastAsia"/>
          <w:u w:val="none"/>
        </w:rPr>
        <w:t>—</w:t>
      </w:r>
      <w:r>
        <w:rPr>
          <w:u w:val="none"/>
        </w:rPr>
        <w:t>提交申请</w:t>
      </w:r>
      <w:r>
        <w:rPr>
          <w:rFonts w:hint="eastAsia"/>
          <w:u w:val="none"/>
        </w:rPr>
        <w:t>—</w:t>
      </w:r>
      <w:r>
        <w:rPr>
          <w:u w:val="none"/>
        </w:rPr>
        <w:t>意见征询</w:t>
      </w:r>
      <w:r>
        <w:rPr>
          <w:rFonts w:hint="eastAsia"/>
          <w:u w:val="none"/>
        </w:rPr>
        <w:t>—</w:t>
      </w:r>
      <w:r>
        <w:rPr>
          <w:u w:val="none"/>
        </w:rPr>
        <w:t>审议批准”的程序进行用地投放。</w:t>
      </w:r>
      <w:r>
        <w:rPr>
          <w:rFonts w:hint="eastAsia"/>
          <w:u w:val="none"/>
        </w:rPr>
        <w:t>具体地块用途、边界定位、开发建设强度、用地兼容等规划管控要求在详细规划中确定。</w:t>
      </w:r>
    </w:p>
    <w:p w14:paraId="66E365F2">
      <w:pPr>
        <w:pStyle w:val="4"/>
        <w:widowControl w:val="0"/>
        <w:snapToGrid/>
        <w:spacing w:before="120" w:beforeLines="50" w:after="120" w:afterLines="50" w:line="600" w:lineRule="exact"/>
        <w:ind w:firstLine="0" w:firstLineChars="0"/>
        <w:rPr>
          <w:b w:val="0"/>
          <w:bCs w:val="0"/>
          <w:color w:val="auto"/>
          <w:u w:val="none"/>
        </w:rPr>
      </w:pPr>
      <w:bookmarkStart w:id="300" w:name="_Toc181784600"/>
      <w:bookmarkStart w:id="301" w:name="_Toc181784670"/>
      <w:bookmarkStart w:id="302" w:name="_Toc21962"/>
      <w:bookmarkStart w:id="303" w:name="_Toc181784460"/>
      <w:r>
        <w:rPr>
          <w:b w:val="0"/>
          <w:bCs w:val="0"/>
          <w:color w:val="auto"/>
          <w:u w:val="none"/>
        </w:rPr>
        <w:t xml:space="preserve">第三节 </w:t>
      </w:r>
      <w:r>
        <w:rPr>
          <w:rFonts w:hint="eastAsia"/>
          <w:b w:val="0"/>
          <w:bCs w:val="0"/>
          <w:color w:val="auto"/>
          <w:u w:val="none"/>
        </w:rPr>
        <w:t>完善</w:t>
      </w:r>
      <w:r>
        <w:rPr>
          <w:b w:val="0"/>
          <w:bCs w:val="0"/>
          <w:color w:val="auto"/>
          <w:u w:val="none"/>
        </w:rPr>
        <w:t>住房保障</w:t>
      </w:r>
      <w:bookmarkEnd w:id="299"/>
      <w:bookmarkEnd w:id="300"/>
      <w:bookmarkEnd w:id="301"/>
      <w:bookmarkEnd w:id="302"/>
      <w:bookmarkEnd w:id="303"/>
    </w:p>
    <w:p w14:paraId="03F3CB3F">
      <w:pPr>
        <w:pStyle w:val="5"/>
        <w:spacing w:before="120" w:after="120"/>
        <w:rPr>
          <w:snapToGrid w:val="0"/>
        </w:rPr>
      </w:pPr>
      <w:r>
        <w:rPr>
          <w:snapToGrid w:val="0"/>
        </w:rPr>
        <w:t>第</w:t>
      </w:r>
      <w:r>
        <w:rPr>
          <w:rFonts w:hint="eastAsia"/>
          <w:snapToGrid w:val="0"/>
        </w:rPr>
        <w:t>7</w:t>
      </w:r>
      <w:r>
        <w:rPr>
          <w:rFonts w:hint="eastAsia"/>
          <w:snapToGrid w:val="0"/>
          <w:lang w:val="en-US" w:eastAsia="zh-CN"/>
        </w:rPr>
        <w:t>7</w:t>
      </w:r>
      <w:r>
        <w:rPr>
          <w:snapToGrid w:val="0"/>
        </w:rPr>
        <w:t>条 居住用地建设引导</w:t>
      </w:r>
    </w:p>
    <w:p w14:paraId="4ABF4D3F">
      <w:pPr>
        <w:rPr>
          <w:u w:val="none"/>
        </w:rPr>
      </w:pPr>
      <w:r>
        <w:rPr>
          <w:u w:val="none"/>
        </w:rPr>
        <w:t>针对老城片区、西岗片区、铁南片区，采取差异化的规划对策。</w:t>
      </w:r>
    </w:p>
    <w:p w14:paraId="64BF5BC8">
      <w:pPr>
        <w:rPr>
          <w:u w:val="none"/>
        </w:rPr>
      </w:pPr>
      <w:r>
        <w:rPr>
          <w:u w:val="none"/>
        </w:rPr>
        <w:t>老城片区：以内部存量改造为主；综合配套公共服务设施，存量改造现有住房，加大棚户区改造力度，进行环境综合整治，适当疏解居住密度；增加保障性住房供给，完</w:t>
      </w:r>
      <w:r>
        <w:rPr>
          <w:rFonts w:hint="eastAsia"/>
          <w:u w:val="none"/>
        </w:rPr>
        <w:t>善公</w:t>
      </w:r>
      <w:r>
        <w:rPr>
          <w:u w:val="none"/>
        </w:rPr>
        <w:t>租房体系。</w:t>
      </w:r>
    </w:p>
    <w:p w14:paraId="670D2FE4">
      <w:pPr>
        <w:rPr>
          <w:u w:val="none"/>
        </w:rPr>
      </w:pPr>
      <w:r>
        <w:rPr>
          <w:u w:val="none"/>
        </w:rPr>
        <w:t>西岗片区：按照中强度进行开发，集中居住用地供应时，鼓励与其他适宜用途混合安排，提供面向高中低多个阶层的住房需求。西沟公园、市政府区域鼓励中高强度开发，西岗公园等其他区域则控制进行中低强度开发。</w:t>
      </w:r>
    </w:p>
    <w:p w14:paraId="3A88C814">
      <w:pPr>
        <w:rPr>
          <w:u w:val="none"/>
        </w:rPr>
      </w:pPr>
      <w:r>
        <w:rPr>
          <w:u w:val="none"/>
        </w:rPr>
        <w:t>铁南片区：承担工业园区就业岗位的居住职能。加大“城中村”的改造力度，加强环境综合整治，适度提高密度，完善租房体系保证保障性住房供给。</w:t>
      </w:r>
    </w:p>
    <w:p w14:paraId="7927E8DE">
      <w:pPr>
        <w:pStyle w:val="5"/>
        <w:spacing w:before="120" w:after="120"/>
        <w:rPr>
          <w:snapToGrid w:val="0"/>
        </w:rPr>
      </w:pPr>
      <w:r>
        <w:rPr>
          <w:snapToGrid w:val="0"/>
        </w:rPr>
        <w:t>第</w:t>
      </w:r>
      <w:r>
        <w:rPr>
          <w:rFonts w:hint="eastAsia"/>
          <w:snapToGrid w:val="0"/>
        </w:rPr>
        <w:t>7</w:t>
      </w:r>
      <w:r>
        <w:rPr>
          <w:rFonts w:hint="eastAsia"/>
          <w:snapToGrid w:val="0"/>
          <w:lang w:val="en-US" w:eastAsia="zh-CN"/>
        </w:rPr>
        <w:t>8</w:t>
      </w:r>
      <w:r>
        <w:rPr>
          <w:snapToGrid w:val="0"/>
        </w:rPr>
        <w:t>条 住房供应结构</w:t>
      </w:r>
    </w:p>
    <w:p w14:paraId="28125353">
      <w:pPr>
        <w:rPr>
          <w:u w:val="none"/>
        </w:rPr>
      </w:pPr>
      <w:r>
        <w:rPr>
          <w:u w:val="none"/>
        </w:rPr>
        <w:t>1.住房供应类型</w:t>
      </w:r>
    </w:p>
    <w:p w14:paraId="60ADDC15">
      <w:pPr>
        <w:rPr>
          <w:u w:val="none"/>
        </w:rPr>
      </w:pPr>
      <w:r>
        <w:rPr>
          <w:u w:val="none"/>
        </w:rPr>
        <w:t>确定虎林市住房供应类型主要包括：</w:t>
      </w:r>
    </w:p>
    <w:p w14:paraId="131C3F9F">
      <w:pPr>
        <w:rPr>
          <w:u w:val="none"/>
        </w:rPr>
      </w:pPr>
      <w:r>
        <w:rPr>
          <w:u w:val="none"/>
        </w:rPr>
        <w:t>商品住房：房地产商建造，由市场直接销售或出租的</w:t>
      </w:r>
      <w:r>
        <w:fldChar w:fldCharType="begin"/>
      </w:r>
      <w:r>
        <w:instrText xml:space="preserve"> HYPERLINK "https://baike.baidu.com/item/%E4%BD%8F%E6%88%BF/289826" </w:instrText>
      </w:r>
      <w:r>
        <w:fldChar w:fldCharType="separate"/>
      </w:r>
      <w:r>
        <w:rPr>
          <w:u w:val="none"/>
        </w:rPr>
        <w:t>住房</w:t>
      </w:r>
      <w:r>
        <w:rPr>
          <w:u w:val="none"/>
        </w:rPr>
        <w:fldChar w:fldCharType="end"/>
      </w:r>
      <w:r>
        <w:rPr>
          <w:u w:val="none"/>
        </w:rPr>
        <w:t>。</w:t>
      </w:r>
    </w:p>
    <w:p w14:paraId="492D509C">
      <w:pPr>
        <w:rPr>
          <w:u w:val="none"/>
        </w:rPr>
      </w:pPr>
      <w:r>
        <w:rPr>
          <w:u w:val="none"/>
        </w:rPr>
        <w:t>保障性住房：政府为</w:t>
      </w:r>
      <w:r>
        <w:fldChar w:fldCharType="begin"/>
      </w:r>
      <w:r>
        <w:instrText xml:space="preserve"> HYPERLINK "https://baike.baidu.com/item/%E4%B8%AD%E4%BD%8E%E6%94%B6%E5%85%A5/6168663" </w:instrText>
      </w:r>
      <w:r>
        <w:fldChar w:fldCharType="separate"/>
      </w:r>
      <w:r>
        <w:rPr>
          <w:u w:val="none"/>
        </w:rPr>
        <w:t>中低收入</w:t>
      </w:r>
      <w:r>
        <w:rPr>
          <w:u w:val="none"/>
        </w:rPr>
        <w:fldChar w:fldCharType="end"/>
      </w:r>
      <w:r>
        <w:rPr>
          <w:u w:val="none"/>
        </w:rPr>
        <w:t>住房困难家庭所提供的限定标准、限定价格或租金的住房。</w:t>
      </w:r>
    </w:p>
    <w:p w14:paraId="4B2C66EE">
      <w:pPr>
        <w:rPr>
          <w:u w:val="none"/>
        </w:rPr>
      </w:pPr>
      <w:r>
        <w:rPr>
          <w:u w:val="none"/>
        </w:rPr>
        <w:t>安置房：政府进行城市道路建设和其他公共设施建设项目时，对被拆迁住户进行安置所建的</w:t>
      </w:r>
      <w:r>
        <w:fldChar w:fldCharType="begin"/>
      </w:r>
      <w:r>
        <w:instrText xml:space="preserve"> HYPERLINK "https://baike.baidu.com/item/%E6%88%BF%E5%B1%8B/1040087" </w:instrText>
      </w:r>
      <w:r>
        <w:fldChar w:fldCharType="separate"/>
      </w:r>
      <w:r>
        <w:rPr>
          <w:u w:val="none"/>
        </w:rPr>
        <w:t>房屋</w:t>
      </w:r>
      <w:r>
        <w:rPr>
          <w:u w:val="none"/>
        </w:rPr>
        <w:fldChar w:fldCharType="end"/>
      </w:r>
      <w:r>
        <w:rPr>
          <w:u w:val="none"/>
        </w:rPr>
        <w:t>。</w:t>
      </w:r>
    </w:p>
    <w:p w14:paraId="367D6F2E">
      <w:pPr>
        <w:rPr>
          <w:u w:val="none"/>
        </w:rPr>
      </w:pPr>
      <w:r>
        <w:rPr>
          <w:u w:val="none"/>
        </w:rPr>
        <w:t>2.住房供应结构</w:t>
      </w:r>
    </w:p>
    <w:p w14:paraId="52AEA987">
      <w:pPr>
        <w:rPr>
          <w:u w:val="none"/>
        </w:rPr>
      </w:pPr>
      <w:r>
        <w:rPr>
          <w:u w:val="none"/>
        </w:rPr>
        <w:t>确保新审批、新开工商品住房建设，从总量上保证套型建筑面积90平方米以下住房面积所占比重达到开发建设总面积的70％以上。</w:t>
      </w:r>
    </w:p>
    <w:p w14:paraId="3768F804">
      <w:pPr>
        <w:rPr>
          <w:u w:val="none"/>
        </w:rPr>
      </w:pPr>
      <w:r>
        <w:rPr>
          <w:u w:val="none"/>
        </w:rPr>
        <w:t>合理安排住房</w:t>
      </w:r>
      <w:r>
        <w:rPr>
          <w:rFonts w:hint="eastAsia"/>
          <w:u w:val="none"/>
        </w:rPr>
        <w:t>和</w:t>
      </w:r>
      <w:r>
        <w:rPr>
          <w:u w:val="none"/>
        </w:rPr>
        <w:t>用地供应规模：编制虎林市住房建设规划及年度实施计划，对住房的建设总量、供应结构、空间布局和开发进度等统筹安排，因地制宜确定保障性住房、安置房和商品住房的供应比例。</w:t>
      </w:r>
    </w:p>
    <w:p w14:paraId="593AF31F">
      <w:pPr>
        <w:rPr>
          <w:u w:val="none"/>
        </w:rPr>
      </w:pPr>
      <w:r>
        <w:rPr>
          <w:u w:val="none"/>
        </w:rPr>
        <w:t>3.住房供应保障</w:t>
      </w:r>
    </w:p>
    <w:p w14:paraId="2E5078DC">
      <w:pPr>
        <w:rPr>
          <w:u w:val="none"/>
        </w:rPr>
      </w:pPr>
      <w:r>
        <w:rPr>
          <w:u w:val="none"/>
        </w:rPr>
        <w:t>住房消费健康发展</w:t>
      </w:r>
      <w:r>
        <w:rPr>
          <w:rFonts w:hint="eastAsia"/>
          <w:u w:val="none"/>
        </w:rPr>
        <w:t>—</w:t>
      </w:r>
      <w:r>
        <w:rPr>
          <w:rFonts w:hint="eastAsia"/>
          <w:u w:val="none"/>
          <w:lang w:val="en-US" w:eastAsia="zh-CN"/>
        </w:rPr>
        <w:t>控制</w:t>
      </w:r>
      <w:r>
        <w:rPr>
          <w:u w:val="none"/>
        </w:rPr>
        <w:t>新建商品住宅价格年度涨幅</w:t>
      </w:r>
      <w:r>
        <w:rPr>
          <w:rFonts w:hint="eastAsia"/>
          <w:u w:val="none"/>
          <w:lang w:val="en-US" w:eastAsia="zh-CN"/>
        </w:rPr>
        <w:t>与</w:t>
      </w:r>
      <w:r>
        <w:rPr>
          <w:u w:val="none"/>
        </w:rPr>
        <w:t>住房租金价格年度涨幅。推动房地产同实体经济均衡发展，促进市场平稳健康可持续发展。</w:t>
      </w:r>
    </w:p>
    <w:p w14:paraId="4C37E183">
      <w:pPr>
        <w:rPr>
          <w:u w:val="none"/>
        </w:rPr>
      </w:pPr>
      <w:r>
        <w:rPr>
          <w:u w:val="none"/>
        </w:rPr>
        <w:t>居住品质显著提高</w:t>
      </w:r>
      <w:r>
        <w:rPr>
          <w:rFonts w:hint="eastAsia"/>
          <w:u w:val="none"/>
        </w:rPr>
        <w:t>—</w:t>
      </w:r>
      <w:r>
        <w:rPr>
          <w:u w:val="none"/>
        </w:rPr>
        <w:t>不断提高城乡居民人均住房面积。促进产城融合、职住平衡。加快老旧小区和城中村改造，推动住房功能和配套持续完善。推广绿色建筑和装配式建筑，实现居住环境和品质优化提升。</w:t>
      </w:r>
    </w:p>
    <w:p w14:paraId="5417D59D">
      <w:pPr>
        <w:rPr>
          <w:u w:val="none"/>
        </w:rPr>
      </w:pPr>
      <w:r>
        <w:rPr>
          <w:u w:val="none"/>
        </w:rPr>
        <w:t>住房治理效能提升</w:t>
      </w:r>
      <w:r>
        <w:rPr>
          <w:rFonts w:hint="eastAsia"/>
          <w:u w:val="none"/>
        </w:rPr>
        <w:t>—</w:t>
      </w:r>
      <w:r>
        <w:rPr>
          <w:u w:val="none"/>
        </w:rPr>
        <w:t>充分发挥市场调节器作用，运用</w:t>
      </w:r>
      <w:r>
        <w:fldChar w:fldCharType="begin"/>
      </w:r>
      <w:r>
        <w:instrText xml:space="preserve"> HYPERLINK "http://www.askci.com/reports/20180228/1126467146829320.shtml" </w:instrText>
      </w:r>
      <w:r>
        <w:fldChar w:fldCharType="separate"/>
      </w:r>
      <w:r>
        <w:rPr>
          <w:u w:val="none"/>
        </w:rPr>
        <w:t>大数据</w:t>
      </w:r>
      <w:r>
        <w:rPr>
          <w:u w:val="none"/>
        </w:rPr>
        <w:fldChar w:fldCharType="end"/>
      </w:r>
      <w:r>
        <w:rPr>
          <w:u w:val="none"/>
        </w:rPr>
        <w:t>等现代技术手段辅助管理，加强市场监测分析，防范市场风险。建设住房安全管理长效机制，保障人民群众生命财产安全。</w:t>
      </w:r>
    </w:p>
    <w:p w14:paraId="194431CA">
      <w:pPr>
        <w:pStyle w:val="5"/>
        <w:spacing w:before="120" w:after="120"/>
        <w:rPr>
          <w:snapToGrid w:val="0"/>
        </w:rPr>
      </w:pPr>
      <w:r>
        <w:rPr>
          <w:snapToGrid w:val="0"/>
        </w:rPr>
        <w:t>第</w:t>
      </w:r>
      <w:r>
        <w:rPr>
          <w:rFonts w:hint="eastAsia"/>
        </w:rPr>
        <w:t>7</w:t>
      </w:r>
      <w:r>
        <w:rPr>
          <w:rFonts w:hint="eastAsia"/>
          <w:lang w:val="en-US" w:eastAsia="zh-CN"/>
        </w:rPr>
        <w:t>9</w:t>
      </w:r>
      <w:r>
        <w:rPr>
          <w:snapToGrid w:val="0"/>
        </w:rPr>
        <w:t>条 住房建设引导</w:t>
      </w:r>
    </w:p>
    <w:p w14:paraId="49957C28">
      <w:pPr>
        <w:rPr>
          <w:u w:val="none"/>
        </w:rPr>
      </w:pPr>
      <w:bookmarkStart w:id="304" w:name="_Toc11617"/>
      <w:r>
        <w:rPr>
          <w:u w:val="none"/>
        </w:rPr>
        <w:t>1.商品住房</w:t>
      </w:r>
    </w:p>
    <w:p w14:paraId="5AABC6FE">
      <w:pPr>
        <w:rPr>
          <w:u w:val="none"/>
        </w:rPr>
      </w:pPr>
      <w:r>
        <w:rPr>
          <w:u w:val="none"/>
        </w:rPr>
        <w:t>按照城市更新规划由内而外地实施圈层，建设商品住宅配置的90平方米以下中小户型住房建筑面积，占全部商品住宅建筑面积的比例应不低于40%</w:t>
      </w:r>
      <w:r>
        <w:rPr>
          <w:rFonts w:hint="eastAsia"/>
          <w:u w:val="none"/>
        </w:rPr>
        <w:t>—</w:t>
      </w:r>
      <w:r>
        <w:rPr>
          <w:u w:val="none"/>
        </w:rPr>
        <w:t>25%，其中60平方米以下的小户型住房建筑面积占全部商品住宅建筑面积的比例应不低于15%</w:t>
      </w:r>
      <w:r>
        <w:rPr>
          <w:rFonts w:hint="eastAsia"/>
          <w:u w:val="none"/>
        </w:rPr>
        <w:t>—</w:t>
      </w:r>
      <w:r>
        <w:rPr>
          <w:u w:val="none"/>
        </w:rPr>
        <w:t>5%。建议住宅商品房层高至少满足3米要求。</w:t>
      </w:r>
    </w:p>
    <w:p w14:paraId="13BB1A6D">
      <w:pPr>
        <w:rPr>
          <w:u w:val="none"/>
        </w:rPr>
      </w:pPr>
      <w:r>
        <w:rPr>
          <w:u w:val="none"/>
        </w:rPr>
        <w:t>2.安置房</w:t>
      </w:r>
    </w:p>
    <w:p w14:paraId="4E31C0AE">
      <w:pPr>
        <w:rPr>
          <w:u w:val="none"/>
        </w:rPr>
      </w:pPr>
      <w:r>
        <w:rPr>
          <w:u w:val="none"/>
        </w:rPr>
        <w:t>符合国家相关设计规范，每套房屋面积不低于45平方米，所有证照应齐全，从修建到竣工都必须达到安全标准。安置房的套型面积根据居民安置方案，在充分征求居民意见后自行确定。</w:t>
      </w:r>
    </w:p>
    <w:p w14:paraId="362CF433">
      <w:pPr>
        <w:rPr>
          <w:u w:val="none"/>
        </w:rPr>
      </w:pPr>
      <w:r>
        <w:rPr>
          <w:u w:val="none"/>
        </w:rPr>
        <w:t>3.保障性住房</w:t>
      </w:r>
    </w:p>
    <w:p w14:paraId="380CDB84">
      <w:pPr>
        <w:rPr>
          <w:u w:val="none"/>
        </w:rPr>
      </w:pPr>
      <w:r>
        <w:rPr>
          <w:u w:val="none"/>
        </w:rPr>
        <w:t>体现区域均衡和职住平衡，保证保障性住房在一定区域范围内达到相对均衡，满足保障人群的地缘、交通等</w:t>
      </w:r>
      <w:r>
        <w:rPr>
          <w:rFonts w:hint="eastAsia"/>
          <w:u w:val="none"/>
        </w:rPr>
        <w:t>需</w:t>
      </w:r>
      <w:r>
        <w:rPr>
          <w:u w:val="none"/>
        </w:rPr>
        <w:t>求，防止“大疏大密”的空间格局。保障性住房包括公租房单套建筑面积以40平方米为主，原则上不超过60平方米；保障性租赁住房建筑面积以不超过70平方米小户型为主；共有产权房建议建筑面积最大120平方米。</w:t>
      </w:r>
    </w:p>
    <w:p w14:paraId="0FD70818">
      <w:pPr>
        <w:rPr>
          <w:u w:val="none"/>
        </w:rPr>
      </w:pPr>
      <w:r>
        <w:rPr>
          <w:u w:val="none"/>
        </w:rPr>
        <w:t>4.住房设计要求</w:t>
      </w:r>
    </w:p>
    <w:p w14:paraId="74D5EB54">
      <w:pPr>
        <w:rPr>
          <w:u w:val="none"/>
        </w:rPr>
      </w:pPr>
      <w:r>
        <w:rPr>
          <w:u w:val="none"/>
        </w:rPr>
        <w:t>居住区和住房建设要体现地域特征和地方特色，强化宜居中小套型住房设计创新。积极关注和加强老年人住房研究，保证每户住宅具有适宜的采光、日照、通风条件，严格执行噪声防治标准，提供人性化公共空间和绿地。</w:t>
      </w:r>
    </w:p>
    <w:p w14:paraId="2EA8030F">
      <w:pPr>
        <w:pStyle w:val="4"/>
        <w:widowControl w:val="0"/>
        <w:snapToGrid/>
        <w:spacing w:before="120" w:beforeLines="50" w:after="120" w:afterLines="50" w:line="600" w:lineRule="exact"/>
        <w:ind w:firstLine="0" w:firstLineChars="0"/>
        <w:rPr>
          <w:b w:val="0"/>
          <w:bCs w:val="0"/>
          <w:color w:val="auto"/>
          <w:u w:val="none"/>
        </w:rPr>
      </w:pPr>
      <w:bookmarkStart w:id="305" w:name="_Toc181784461"/>
      <w:bookmarkStart w:id="306" w:name="_Toc181784601"/>
      <w:bookmarkStart w:id="307" w:name="_Toc181784671"/>
      <w:bookmarkStart w:id="308" w:name="_Toc18261"/>
      <w:r>
        <w:rPr>
          <w:b w:val="0"/>
          <w:bCs w:val="0"/>
          <w:color w:val="auto"/>
          <w:u w:val="none"/>
        </w:rPr>
        <w:t>第</w:t>
      </w:r>
      <w:r>
        <w:rPr>
          <w:rFonts w:hint="eastAsia"/>
          <w:b w:val="0"/>
          <w:bCs w:val="0"/>
          <w:color w:val="auto"/>
          <w:u w:val="none"/>
        </w:rPr>
        <w:t>四</w:t>
      </w:r>
      <w:r>
        <w:rPr>
          <w:b w:val="0"/>
          <w:bCs w:val="0"/>
          <w:color w:val="auto"/>
          <w:u w:val="none"/>
        </w:rPr>
        <w:t xml:space="preserve">节 </w:t>
      </w:r>
      <w:r>
        <w:rPr>
          <w:rFonts w:hint="eastAsia"/>
          <w:b w:val="0"/>
          <w:bCs w:val="0"/>
          <w:color w:val="auto"/>
          <w:u w:val="none"/>
        </w:rPr>
        <w:t>保障</w:t>
      </w:r>
      <w:r>
        <w:rPr>
          <w:b w:val="0"/>
          <w:bCs w:val="0"/>
          <w:color w:val="auto"/>
          <w:u w:val="none"/>
        </w:rPr>
        <w:t>公共服务设施</w:t>
      </w:r>
      <w:r>
        <w:rPr>
          <w:rFonts w:hint="eastAsia"/>
          <w:b w:val="0"/>
          <w:bCs w:val="0"/>
          <w:color w:val="auto"/>
          <w:u w:val="none"/>
        </w:rPr>
        <w:t>建设</w:t>
      </w:r>
      <w:bookmarkEnd w:id="305"/>
      <w:bookmarkEnd w:id="306"/>
      <w:bookmarkEnd w:id="307"/>
      <w:bookmarkEnd w:id="308"/>
    </w:p>
    <w:p w14:paraId="081EBE5C">
      <w:pPr>
        <w:pStyle w:val="5"/>
        <w:spacing w:before="120" w:after="120"/>
        <w:rPr>
          <w:snapToGrid w:val="0"/>
        </w:rPr>
      </w:pPr>
      <w:r>
        <w:rPr>
          <w:snapToGrid w:val="0"/>
        </w:rPr>
        <w:t>第</w:t>
      </w:r>
      <w:r>
        <w:rPr>
          <w:rFonts w:hint="eastAsia"/>
          <w:lang w:val="en-US" w:eastAsia="zh-CN"/>
        </w:rPr>
        <w:t>80</w:t>
      </w:r>
      <w:r>
        <w:rPr>
          <w:snapToGrid w:val="0"/>
        </w:rPr>
        <w:t>条 公共服务设施体系</w:t>
      </w:r>
    </w:p>
    <w:p w14:paraId="69922614">
      <w:pPr>
        <w:rPr>
          <w:u w:val="none"/>
        </w:rPr>
      </w:pPr>
      <w:r>
        <w:rPr>
          <w:u w:val="none"/>
        </w:rPr>
        <w:t>规划以市级、15分钟、5</w:t>
      </w:r>
      <w:r>
        <w:rPr>
          <w:rFonts w:hint="eastAsia"/>
          <w:u w:val="none"/>
        </w:rPr>
        <w:t>—</w:t>
      </w:r>
      <w:r>
        <w:rPr>
          <w:u w:val="none"/>
        </w:rPr>
        <w:t>10分钟步行等时圈的几何中心点作为公共服务设施供给的空间落位点。以公园城市理念，设置包括机关团体、商业服务业用地在内的公共服务设施功能。</w:t>
      </w:r>
    </w:p>
    <w:p w14:paraId="3CD73C88">
      <w:pPr>
        <w:pStyle w:val="5"/>
        <w:spacing w:before="120" w:after="120"/>
        <w:rPr>
          <w:snapToGrid w:val="0"/>
        </w:rPr>
      </w:pPr>
      <w:r>
        <w:rPr>
          <w:snapToGrid w:val="0"/>
        </w:rPr>
        <w:t>第</w:t>
      </w:r>
      <w:r>
        <w:rPr>
          <w:rFonts w:hint="eastAsia"/>
        </w:rPr>
        <w:t>8</w:t>
      </w:r>
      <w:r>
        <w:rPr>
          <w:rFonts w:hint="eastAsia"/>
          <w:lang w:val="en-US" w:eastAsia="zh-CN"/>
        </w:rPr>
        <w:t>1</w:t>
      </w:r>
      <w:r>
        <w:rPr>
          <w:snapToGrid w:val="0"/>
        </w:rPr>
        <w:t>条 重点公共服务设施布局</w:t>
      </w:r>
    </w:p>
    <w:p w14:paraId="45E9E6A7">
      <w:pPr>
        <w:rPr>
          <w:u w:val="none"/>
        </w:rPr>
      </w:pPr>
      <w:r>
        <w:rPr>
          <w:rFonts w:eastAsia="楷体_GB2312"/>
          <w:u w:val="none"/>
        </w:rPr>
        <w:t>机关团体设施：</w:t>
      </w:r>
      <w:r>
        <w:rPr>
          <w:u w:val="none"/>
        </w:rPr>
        <w:t>老城片区以维持现状用地与布局为主；西岗片区为未来行政职能向西岗市委、市政府附近聚集奠定基础，在其西侧预留</w:t>
      </w:r>
      <w:r>
        <w:rPr>
          <w:rFonts w:hint="eastAsia"/>
          <w:u w:val="none"/>
        </w:rPr>
        <w:t>部分</w:t>
      </w:r>
      <w:r>
        <w:rPr>
          <w:u w:val="none"/>
        </w:rPr>
        <w:t>用地，形成新的行政中心，其周围配置绿地广场和文化商业设施，形成开敞繁荣的公共空间。</w:t>
      </w:r>
    </w:p>
    <w:p w14:paraId="4F48F02D">
      <w:pPr>
        <w:keepNext w:val="0"/>
        <w:keepLines w:val="0"/>
        <w:pageBreakBefore w:val="0"/>
        <w:widowControl w:val="0"/>
        <w:kinsoku/>
        <w:wordWrap/>
        <w:overflowPunct/>
        <w:topLinePunct w:val="0"/>
        <w:autoSpaceDE/>
        <w:autoSpaceDN/>
        <w:bidi w:val="0"/>
        <w:adjustRightInd/>
        <w:snapToGrid w:val="0"/>
        <w:textAlignment w:val="auto"/>
        <w:rPr>
          <w:rFonts w:eastAsia="仿宋"/>
          <w:u w:val="none"/>
        </w:rPr>
      </w:pPr>
      <w:r>
        <w:rPr>
          <w:rFonts w:eastAsia="楷体_GB2312"/>
          <w:u w:val="none"/>
        </w:rPr>
        <w:t>文化设施：</w:t>
      </w:r>
      <w:r>
        <w:rPr>
          <w:u w:val="none"/>
        </w:rPr>
        <w:t>规划建议市政府区域结合综合服务中心，或结合城市出入口，新增展示虎林文化的展览馆或者博物馆用地，打造虎林市级文化中心。</w:t>
      </w:r>
    </w:p>
    <w:p w14:paraId="67DC54D9">
      <w:pPr>
        <w:rPr>
          <w:u w:val="none"/>
        </w:rPr>
      </w:pPr>
      <w:r>
        <w:rPr>
          <w:rFonts w:eastAsia="楷体_GB2312"/>
          <w:u w:val="none"/>
        </w:rPr>
        <w:t>体育设施：</w:t>
      </w:r>
      <w:r>
        <w:rPr>
          <w:rFonts w:cs="仿宋"/>
          <w:u w:val="none"/>
        </w:rPr>
        <w:t>对原体育场扩建，以支撑大型体育赛事举办，结合北入口新建的全民健身中心，</w:t>
      </w:r>
      <w:r>
        <w:rPr>
          <w:u w:val="none"/>
        </w:rPr>
        <w:t>与扩建体育馆兼顾室内室外体育活动，打造虎林市级体育活动中心。</w:t>
      </w:r>
      <w:r>
        <w:rPr>
          <w:rFonts w:cs="仿宋"/>
          <w:u w:val="none"/>
        </w:rPr>
        <w:t>在现状市政府北侧建设片区级体育场馆，</w:t>
      </w:r>
      <w:r>
        <w:rPr>
          <w:u w:val="none"/>
        </w:rPr>
        <w:t>满足西岗新区的冬季室内体育活动需求。另外结合穆棱河两岸景观绿地，建设一批体育设施，包括沙滩排球场、门球场、网球场、健身路径、排球场、羽毛球场等，实现体育园林化。</w:t>
      </w:r>
    </w:p>
    <w:p w14:paraId="4A5967ED">
      <w:pPr>
        <w:rPr>
          <w:u w:val="none"/>
        </w:rPr>
      </w:pPr>
      <w:r>
        <w:rPr>
          <w:rFonts w:eastAsia="楷体_GB2312"/>
          <w:u w:val="none"/>
        </w:rPr>
        <w:t>教育设施：</w:t>
      </w:r>
      <w:r>
        <w:rPr>
          <w:u w:val="none"/>
        </w:rPr>
        <w:t>利用现职中用地，整合资源加强与城市主导产业现代农业、加工制造、物流仓储、旅游服务对应的职业教育培训，为虎林市经济发展培育专业技术人才。</w:t>
      </w:r>
    </w:p>
    <w:p w14:paraId="0EBECDC3">
      <w:pPr>
        <w:rPr>
          <w:u w:val="none"/>
        </w:rPr>
      </w:pPr>
      <w:r>
        <w:rPr>
          <w:rFonts w:eastAsia="楷体_GB2312"/>
          <w:u w:val="none"/>
        </w:rPr>
        <w:t>医疗设施：</w:t>
      </w:r>
      <w:r>
        <w:rPr>
          <w:u w:val="none"/>
        </w:rPr>
        <w:t>规划对现有市医院、中医院、红十字</w:t>
      </w:r>
      <w:r>
        <w:rPr>
          <w:rFonts w:hint="eastAsia"/>
          <w:u w:val="none"/>
        </w:rPr>
        <w:t>医院</w:t>
      </w:r>
      <w:r>
        <w:rPr>
          <w:u w:val="none"/>
        </w:rPr>
        <w:t>进行改扩建或设施提档升级，提升城市卫生服务水平。</w:t>
      </w:r>
    </w:p>
    <w:p w14:paraId="60CF6E31">
      <w:pPr>
        <w:rPr>
          <w:u w:val="none"/>
        </w:rPr>
      </w:pPr>
      <w:r>
        <w:rPr>
          <w:rFonts w:eastAsia="楷体_GB2312"/>
          <w:u w:val="none"/>
        </w:rPr>
        <w:t>社会福利设施：</w:t>
      </w:r>
      <w:r>
        <w:rPr>
          <w:rFonts w:cs="仿宋"/>
          <w:u w:val="none"/>
        </w:rPr>
        <w:t>对现有养老院进行扩建，</w:t>
      </w:r>
      <w:r>
        <w:rPr>
          <w:u w:val="none"/>
        </w:rPr>
        <w:t>打造虎林市医养康养全系列服务，保障虎林市养老的高标准需求。</w:t>
      </w:r>
    </w:p>
    <w:p w14:paraId="16B781FD">
      <w:pPr>
        <w:rPr>
          <w:u w:val="none"/>
        </w:rPr>
      </w:pPr>
      <w:r>
        <w:rPr>
          <w:rFonts w:eastAsia="楷体_GB2312"/>
          <w:u w:val="none"/>
        </w:rPr>
        <w:t>商业服务业设施：</w:t>
      </w:r>
      <w:r>
        <w:rPr>
          <w:u w:val="none"/>
        </w:rPr>
        <w:t>规划改善提升老城片区商业中心，打造西岗片区商业副中心。结合便捷通道合理布局各类市场，包括老城片区北部现有的联鑫农资批发市场；改造马路市场，退路进厅，西岗片区与老城片区站前区域规划新建农贸市场；东入口新建集中市场区一处，设置农资农机具交易市场等。依托虎林市全域旅游示范区建设，建议在北入口增加旅游集散用地一处，结合晨光路沿线娱乐、酒店等打造虎林市旅游服务功能区。另外由于现有步行街现状杂乱，环境较差，形式多样，规划以社交化思维模式打造整条步行街。在街区形象方面，整体整治建筑与环境，增加座椅、小品等设施，促进社交；在商品类别方面，完善餐饮、购物、休闲、娱乐等各种生活服务类型，通过引进热门品牌、营造网红打卡地等方式，提升街区档次；在经营管理方面，采用分段差异化经营模式，晨光路</w:t>
      </w:r>
      <w:r>
        <w:rPr>
          <w:rFonts w:hint="eastAsia"/>
          <w:u w:val="none"/>
        </w:rPr>
        <w:t>—</w:t>
      </w:r>
      <w:r>
        <w:rPr>
          <w:u w:val="none"/>
        </w:rPr>
        <w:t>中心路打造高品质特色街区，中心路以东在提升环境质量基础上维持原有农贸市场经营模式。</w:t>
      </w:r>
    </w:p>
    <w:p w14:paraId="14FC9E93">
      <w:pPr>
        <w:pStyle w:val="5"/>
        <w:spacing w:before="120" w:after="120"/>
        <w:rPr>
          <w:snapToGrid w:val="0"/>
        </w:rPr>
      </w:pPr>
      <w:r>
        <w:rPr>
          <w:snapToGrid w:val="0"/>
        </w:rPr>
        <w:t>第</w:t>
      </w:r>
      <w:r>
        <w:rPr>
          <w:rFonts w:hint="eastAsia"/>
          <w:snapToGrid w:val="0"/>
        </w:rPr>
        <w:t>8</w:t>
      </w:r>
      <w:r>
        <w:rPr>
          <w:rFonts w:hint="eastAsia"/>
          <w:snapToGrid w:val="0"/>
          <w:lang w:val="en-US" w:eastAsia="zh-CN"/>
        </w:rPr>
        <w:t>2</w:t>
      </w:r>
      <w:r>
        <w:rPr>
          <w:snapToGrid w:val="0"/>
        </w:rPr>
        <w:t>条 社区生活圈划定</w:t>
      </w:r>
    </w:p>
    <w:p w14:paraId="4A3F2589">
      <w:pPr>
        <w:rPr>
          <w:u w:val="none"/>
        </w:rPr>
      </w:pPr>
      <w:r>
        <w:rPr>
          <w:u w:val="none"/>
        </w:rPr>
        <w:t>依据现有社区分布划定可满足其物质与生活文化需求的生活圈范围，可分为六个宜居生活圈。按照生活圈服务半径配置各类社区服务功能，其中曙光社区、中心社区、城东社区协调配置，西苑社区、西岗社区、城南社区独立配置。</w:t>
      </w:r>
    </w:p>
    <w:p w14:paraId="7CC145C3">
      <w:pPr>
        <w:pStyle w:val="5"/>
        <w:spacing w:before="120" w:after="120"/>
        <w:rPr>
          <w:snapToGrid w:val="0"/>
        </w:rPr>
      </w:pPr>
      <w:r>
        <w:rPr>
          <w:snapToGrid w:val="0"/>
        </w:rPr>
        <w:t>第</w:t>
      </w:r>
      <w:r>
        <w:rPr>
          <w:rFonts w:hint="eastAsia"/>
          <w:snapToGrid w:val="0"/>
        </w:rPr>
        <w:t>8</w:t>
      </w:r>
      <w:r>
        <w:rPr>
          <w:rFonts w:hint="eastAsia"/>
          <w:snapToGrid w:val="0"/>
          <w:lang w:val="en-US" w:eastAsia="zh-CN"/>
        </w:rPr>
        <w:t>3</w:t>
      </w:r>
      <w:r>
        <w:rPr>
          <w:snapToGrid w:val="0"/>
        </w:rPr>
        <w:t>条 社区公服设施配置标准</w:t>
      </w:r>
    </w:p>
    <w:p w14:paraId="4C5E4FE3">
      <w:pPr>
        <w:keepNext w:val="0"/>
        <w:keepLines w:val="0"/>
        <w:pageBreakBefore w:val="0"/>
        <w:widowControl w:val="0"/>
        <w:kinsoku/>
        <w:wordWrap/>
        <w:overflowPunct/>
        <w:topLinePunct w:val="0"/>
        <w:autoSpaceDE/>
        <w:autoSpaceDN/>
        <w:bidi w:val="0"/>
        <w:adjustRightInd/>
        <w:snapToGrid w:val="0"/>
        <w:textAlignment w:val="auto"/>
        <w:rPr>
          <w:u w:val="none"/>
        </w:rPr>
      </w:pPr>
      <w:r>
        <w:rPr>
          <w:u w:val="none"/>
        </w:rPr>
        <w:t>1.文化设施</w:t>
      </w:r>
    </w:p>
    <w:p w14:paraId="1EBEC7CF">
      <w:pPr>
        <w:keepNext w:val="0"/>
        <w:keepLines w:val="0"/>
        <w:pageBreakBefore w:val="0"/>
        <w:widowControl w:val="0"/>
        <w:kinsoku/>
        <w:wordWrap/>
        <w:overflowPunct/>
        <w:topLinePunct w:val="0"/>
        <w:autoSpaceDE/>
        <w:autoSpaceDN/>
        <w:bidi w:val="0"/>
        <w:adjustRightInd/>
        <w:snapToGrid w:val="0"/>
        <w:textAlignment w:val="auto"/>
        <w:rPr>
          <w:u w:val="none"/>
        </w:rPr>
      </w:pPr>
      <w:r>
        <w:rPr>
          <w:u w:val="none"/>
        </w:rPr>
        <w:t>（1）15分钟社区生活圈</w:t>
      </w:r>
    </w:p>
    <w:p w14:paraId="5FC129F4">
      <w:pPr>
        <w:keepNext w:val="0"/>
        <w:keepLines w:val="0"/>
        <w:pageBreakBefore w:val="0"/>
        <w:widowControl w:val="0"/>
        <w:kinsoku/>
        <w:wordWrap/>
        <w:overflowPunct/>
        <w:topLinePunct w:val="0"/>
        <w:autoSpaceDE/>
        <w:autoSpaceDN/>
        <w:bidi w:val="0"/>
        <w:adjustRightInd/>
        <w:snapToGrid w:val="0"/>
        <w:textAlignment w:val="auto"/>
        <w:rPr>
          <w:u w:val="none"/>
        </w:rPr>
      </w:pPr>
      <w:r>
        <w:rPr>
          <w:u w:val="none"/>
        </w:rPr>
        <w:t>曙光、中心、城东社区统筹新增两处文化活动中心，分别为逸夫中学北部</w:t>
      </w:r>
      <w:r>
        <w:rPr>
          <w:rFonts w:hint="eastAsia"/>
          <w:u w:val="none"/>
        </w:rPr>
        <w:t>部分</w:t>
      </w:r>
      <w:r>
        <w:rPr>
          <w:u w:val="none"/>
        </w:rPr>
        <w:t>用地、东山公园北部</w:t>
      </w:r>
      <w:r>
        <w:rPr>
          <w:rFonts w:hint="eastAsia"/>
          <w:u w:val="none"/>
        </w:rPr>
        <w:t>部分</w:t>
      </w:r>
      <w:r>
        <w:rPr>
          <w:u w:val="none"/>
        </w:rPr>
        <w:t>用地；西岗社区与铁南社区分别新增一处社区文化活动中心；提倡西岗片区的文化创意产品兼顾社区文化活动中心功能。</w:t>
      </w:r>
    </w:p>
    <w:p w14:paraId="70476C86">
      <w:pPr>
        <w:rPr>
          <w:u w:val="none"/>
        </w:rPr>
      </w:pPr>
      <w:r>
        <w:rPr>
          <w:u w:val="none"/>
        </w:rPr>
        <w:t>（2）5</w:t>
      </w:r>
      <w:r>
        <w:rPr>
          <w:rFonts w:hint="eastAsia"/>
          <w:u w:val="none"/>
        </w:rPr>
        <w:t>—</w:t>
      </w:r>
      <w:r>
        <w:rPr>
          <w:u w:val="none"/>
        </w:rPr>
        <w:t>10分钟邻里生活圈</w:t>
      </w:r>
    </w:p>
    <w:p w14:paraId="3AE0C60A">
      <w:pPr>
        <w:rPr>
          <w:u w:val="none"/>
        </w:rPr>
      </w:pPr>
      <w:r>
        <w:rPr>
          <w:u w:val="none"/>
        </w:rPr>
        <w:t>结合邻里服务中心配置文化活动站（含青少年活动站、老年活动站），可在居住区规划中联合建设。</w:t>
      </w:r>
    </w:p>
    <w:p w14:paraId="0DCBC3F2">
      <w:pPr>
        <w:rPr>
          <w:u w:val="none"/>
        </w:rPr>
      </w:pPr>
      <w:r>
        <w:rPr>
          <w:u w:val="none"/>
        </w:rPr>
        <w:t>2.体育设施</w:t>
      </w:r>
    </w:p>
    <w:p w14:paraId="7C3ADF59">
      <w:pPr>
        <w:rPr>
          <w:u w:val="none"/>
        </w:rPr>
      </w:pPr>
      <w:r>
        <w:rPr>
          <w:u w:val="none"/>
        </w:rPr>
        <w:t>（1）15分钟社区生活圈</w:t>
      </w:r>
    </w:p>
    <w:p w14:paraId="1A3F5C50">
      <w:pPr>
        <w:rPr>
          <w:u w:val="none"/>
        </w:rPr>
      </w:pPr>
      <w:r>
        <w:rPr>
          <w:u w:val="none"/>
        </w:rPr>
        <w:t>西岗社区利用区级体育场馆兼顾15分钟社区生活圈服务；曙光、城东、铁南社区结合东山公园等大型公园配置大型多功能运动场地，集中设置篮球、排球、7人足球场地等。</w:t>
      </w:r>
    </w:p>
    <w:p w14:paraId="7825797A">
      <w:pPr>
        <w:rPr>
          <w:u w:val="none"/>
        </w:rPr>
      </w:pPr>
      <w:r>
        <w:rPr>
          <w:u w:val="none"/>
        </w:rPr>
        <w:t>（2）5</w:t>
      </w:r>
      <w:r>
        <w:rPr>
          <w:rFonts w:hint="eastAsia"/>
          <w:u w:val="none"/>
        </w:rPr>
        <w:t>—</w:t>
      </w:r>
      <w:r>
        <w:rPr>
          <w:u w:val="none"/>
        </w:rPr>
        <w:t>10分钟邻里生活圈</w:t>
      </w:r>
    </w:p>
    <w:p w14:paraId="7620A2FC">
      <w:pPr>
        <w:rPr>
          <w:u w:val="none"/>
        </w:rPr>
      </w:pPr>
      <w:r>
        <w:rPr>
          <w:u w:val="none"/>
        </w:rPr>
        <w:t>结合各级公园建设，统筹布局休闲、健身、运动场地，以全龄友好为原则，保证各邻里生活圈充足的活动设施与场地。</w:t>
      </w:r>
    </w:p>
    <w:p w14:paraId="49440CD4">
      <w:pPr>
        <w:rPr>
          <w:u w:val="none"/>
        </w:rPr>
      </w:pPr>
      <w:r>
        <w:rPr>
          <w:u w:val="none"/>
        </w:rPr>
        <w:t>充分发挥大型企事业单位、高校体育设施的作用，在不影响正常工作前提下，推动对社会开放。</w:t>
      </w:r>
    </w:p>
    <w:p w14:paraId="707CE92A">
      <w:pPr>
        <w:rPr>
          <w:u w:val="none"/>
        </w:rPr>
      </w:pPr>
      <w:r>
        <w:rPr>
          <w:u w:val="none"/>
        </w:rPr>
        <w:t>3.教育设施</w:t>
      </w:r>
    </w:p>
    <w:p w14:paraId="2A9E3731">
      <w:pPr>
        <w:rPr>
          <w:u w:val="none"/>
        </w:rPr>
      </w:pPr>
      <w:r>
        <w:rPr>
          <w:u w:val="none"/>
        </w:rPr>
        <w:t>（1）15分钟社区生活圈</w:t>
      </w:r>
    </w:p>
    <w:p w14:paraId="49EA0B1E">
      <w:pPr>
        <w:rPr>
          <w:u w:val="none"/>
        </w:rPr>
      </w:pPr>
      <w:r>
        <w:rPr>
          <w:u w:val="none"/>
        </w:rPr>
        <w:t>西岗社区规模成型后，于解放街和发展路交口处新增建设九年制学校一处；学校规模依据该区域学龄人口确定。</w:t>
      </w:r>
    </w:p>
    <w:p w14:paraId="79BD9E1D">
      <w:pPr>
        <w:rPr>
          <w:u w:val="none"/>
        </w:rPr>
      </w:pPr>
      <w:r>
        <w:rPr>
          <w:u w:val="none"/>
        </w:rPr>
        <w:t>（2）5</w:t>
      </w:r>
      <w:r>
        <w:rPr>
          <w:rFonts w:hint="eastAsia"/>
          <w:u w:val="none"/>
        </w:rPr>
        <w:t>—</w:t>
      </w:r>
      <w:r>
        <w:rPr>
          <w:u w:val="none"/>
        </w:rPr>
        <w:t>10分钟邻里生活圈</w:t>
      </w:r>
    </w:p>
    <w:p w14:paraId="279CEBD5">
      <w:pPr>
        <w:keepNext w:val="0"/>
        <w:keepLines w:val="0"/>
        <w:pageBreakBefore w:val="0"/>
        <w:widowControl w:val="0"/>
        <w:kinsoku/>
        <w:wordWrap/>
        <w:overflowPunct/>
        <w:topLinePunct w:val="0"/>
        <w:autoSpaceDE/>
        <w:autoSpaceDN/>
        <w:bidi w:val="0"/>
        <w:adjustRightInd/>
        <w:snapToGrid w:val="0"/>
        <w:textAlignment w:val="auto"/>
        <w:rPr>
          <w:u w:val="none"/>
        </w:rPr>
      </w:pPr>
      <w:r>
        <w:rPr>
          <w:u w:val="none"/>
        </w:rPr>
        <w:t>东山棚户区改造完成后，利用原六小用地</w:t>
      </w:r>
      <w:r>
        <w:rPr>
          <w:rFonts w:hint="eastAsia"/>
          <w:u w:val="none"/>
        </w:rPr>
        <w:t>部分</w:t>
      </w:r>
      <w:r>
        <w:rPr>
          <w:u w:val="none"/>
        </w:rPr>
        <w:t>完善小学教育用地。</w:t>
      </w:r>
    </w:p>
    <w:p w14:paraId="442CFA5F">
      <w:pPr>
        <w:rPr>
          <w:u w:val="none"/>
        </w:rPr>
      </w:pPr>
      <w:r>
        <w:rPr>
          <w:u w:val="none"/>
        </w:rPr>
        <w:t>按五分钟生活圈配置幼儿园1处，可根据实际情况结合居住区规划设计按需配建。</w:t>
      </w:r>
    </w:p>
    <w:p w14:paraId="3BC3DF0C">
      <w:pPr>
        <w:rPr>
          <w:u w:val="none"/>
        </w:rPr>
      </w:pPr>
      <w:r>
        <w:rPr>
          <w:u w:val="none"/>
        </w:rPr>
        <w:t>4.医疗设施</w:t>
      </w:r>
    </w:p>
    <w:p w14:paraId="0B283A59">
      <w:pPr>
        <w:rPr>
          <w:u w:val="none"/>
        </w:rPr>
      </w:pPr>
      <w:r>
        <w:rPr>
          <w:u w:val="none"/>
        </w:rPr>
        <w:t>（1）15分钟社区生活圈</w:t>
      </w:r>
    </w:p>
    <w:p w14:paraId="36380392">
      <w:pPr>
        <w:rPr>
          <w:u w:val="none"/>
        </w:rPr>
      </w:pPr>
      <w:r>
        <w:rPr>
          <w:rFonts w:cs="仿宋"/>
          <w:u w:val="none"/>
        </w:rPr>
        <w:t>统筹曙光、中心、城东社区范围，在东山区域与西岗区域分别新增一处社区级卫生服务中心</w:t>
      </w:r>
      <w:r>
        <w:rPr>
          <w:u w:val="none"/>
        </w:rPr>
        <w:t>，主要考虑要避开学校、市场、娱乐场所、垃圾转运等设施，功能上能够满足保健、计生、健康教育、预防接种等。整体与市级医疗服务构建两级卫生服务网络。</w:t>
      </w:r>
    </w:p>
    <w:p w14:paraId="61CDAAA2">
      <w:pPr>
        <w:rPr>
          <w:u w:val="none"/>
        </w:rPr>
      </w:pPr>
      <w:r>
        <w:rPr>
          <w:u w:val="none"/>
        </w:rPr>
        <w:t>（2）5</w:t>
      </w:r>
      <w:r>
        <w:rPr>
          <w:rFonts w:hint="eastAsia"/>
          <w:u w:val="none"/>
        </w:rPr>
        <w:t>—</w:t>
      </w:r>
      <w:r>
        <w:rPr>
          <w:u w:val="none"/>
        </w:rPr>
        <w:t>10分钟邻里生活圈</w:t>
      </w:r>
    </w:p>
    <w:p w14:paraId="1DD23817">
      <w:pPr>
        <w:rPr>
          <w:u w:val="none"/>
        </w:rPr>
      </w:pPr>
      <w:r>
        <w:rPr>
          <w:u w:val="none"/>
        </w:rPr>
        <w:t>结合居住区规划建设社区卫生服务站，主要以预防、医疗、计生等服务为主，服务半径不宜大于300米。</w:t>
      </w:r>
    </w:p>
    <w:p w14:paraId="4FADABA5">
      <w:pPr>
        <w:rPr>
          <w:u w:val="none"/>
        </w:rPr>
      </w:pPr>
      <w:r>
        <w:rPr>
          <w:u w:val="none"/>
        </w:rPr>
        <w:t>5.社会福利设施</w:t>
      </w:r>
    </w:p>
    <w:p w14:paraId="17D482DD">
      <w:pPr>
        <w:rPr>
          <w:u w:val="none"/>
        </w:rPr>
      </w:pPr>
      <w:r>
        <w:rPr>
          <w:u w:val="none"/>
        </w:rPr>
        <w:t>（1）15分钟社区生活圈</w:t>
      </w:r>
    </w:p>
    <w:p w14:paraId="01A89D38">
      <w:pPr>
        <w:rPr>
          <w:u w:val="none"/>
        </w:rPr>
      </w:pPr>
      <w:r>
        <w:rPr>
          <w:rFonts w:cs="仿宋"/>
          <w:u w:val="none"/>
        </w:rPr>
        <w:t>依托社区服务中心、卫生服务中心等联合设立残疾人日间照料托养服务机构与老年人日间照料中心</w:t>
      </w:r>
      <w:r>
        <w:rPr>
          <w:u w:val="none"/>
        </w:rPr>
        <w:t>，提供日间照料、功能训练、家庭康复指导、咨询和转介服务、心理疏导、康复政策、知识宣传等基本康复服务以及餐饮、娱乐、健身、保健等基本生活需求。</w:t>
      </w:r>
    </w:p>
    <w:p w14:paraId="34B45EE7">
      <w:pPr>
        <w:rPr>
          <w:u w:val="none"/>
        </w:rPr>
      </w:pPr>
      <w:r>
        <w:rPr>
          <w:u w:val="none"/>
        </w:rPr>
        <w:t>（2）5</w:t>
      </w:r>
      <w:r>
        <w:rPr>
          <w:rFonts w:hint="eastAsia"/>
          <w:u w:val="none"/>
        </w:rPr>
        <w:t>—</w:t>
      </w:r>
      <w:r>
        <w:rPr>
          <w:u w:val="none"/>
        </w:rPr>
        <w:t>10分钟邻里生活圈</w:t>
      </w:r>
    </w:p>
    <w:p w14:paraId="4208E4D3">
      <w:pPr>
        <w:keepNext w:val="0"/>
        <w:keepLines w:val="0"/>
        <w:pageBreakBefore w:val="0"/>
        <w:widowControl w:val="0"/>
        <w:kinsoku/>
        <w:wordWrap/>
        <w:overflowPunct/>
        <w:topLinePunct w:val="0"/>
        <w:autoSpaceDE/>
        <w:autoSpaceDN/>
        <w:bidi w:val="0"/>
        <w:adjustRightInd/>
        <w:snapToGrid w:val="0"/>
        <w:textAlignment w:val="auto"/>
        <w:rPr>
          <w:u w:val="none"/>
        </w:rPr>
      </w:pPr>
      <w:r>
        <w:rPr>
          <w:u w:val="none"/>
        </w:rPr>
        <w:t>结合居住区设计配置老年人日间照料中心（托老所）、老年活动站、老年户外活动场地。其中老年活动站可结合文化活动站设置；老年户外活动场地可结合室外综合健身场地设置。</w:t>
      </w:r>
    </w:p>
    <w:p w14:paraId="1FDD0D72">
      <w:pPr>
        <w:rPr>
          <w:u w:val="none"/>
        </w:rPr>
      </w:pPr>
      <w:r>
        <w:rPr>
          <w:u w:val="none"/>
        </w:rPr>
        <w:t>6.商业服务业设施</w:t>
      </w:r>
    </w:p>
    <w:p w14:paraId="4FF1C2B1">
      <w:pPr>
        <w:rPr>
          <w:u w:val="none"/>
        </w:rPr>
      </w:pPr>
      <w:r>
        <w:rPr>
          <w:u w:val="none"/>
        </w:rPr>
        <w:t>鼓励结合居住区建设综合开发，各类歌厅、网吧、游戏厅等中小型娱乐设施用地与商业用地高度兼容。新建、改建居住小区，须按建筑总面积配套商业网点；对分散在其他街巷且居民较集中的居民区，以服务半径300</w:t>
      </w:r>
      <w:r>
        <w:rPr>
          <w:rFonts w:hint="eastAsia"/>
          <w:u w:val="none"/>
        </w:rPr>
        <w:t>—</w:t>
      </w:r>
      <w:r>
        <w:rPr>
          <w:u w:val="none"/>
        </w:rPr>
        <w:t>500米为标准设置生活必需品供应的商业网点。</w:t>
      </w:r>
    </w:p>
    <w:p w14:paraId="742A1146">
      <w:pPr>
        <w:pStyle w:val="4"/>
        <w:widowControl w:val="0"/>
        <w:snapToGrid/>
        <w:spacing w:before="120" w:beforeLines="50" w:after="120" w:afterLines="50" w:line="600" w:lineRule="exact"/>
        <w:ind w:firstLine="0" w:firstLineChars="0"/>
        <w:rPr>
          <w:b w:val="0"/>
          <w:bCs w:val="0"/>
          <w:color w:val="auto"/>
          <w:u w:val="none"/>
        </w:rPr>
      </w:pPr>
      <w:bookmarkStart w:id="309" w:name="_Toc32073"/>
      <w:bookmarkStart w:id="310" w:name="_Toc181784602"/>
      <w:bookmarkStart w:id="311" w:name="_Toc181784672"/>
      <w:bookmarkStart w:id="312" w:name="_Toc181784462"/>
      <w:r>
        <w:rPr>
          <w:b w:val="0"/>
          <w:bCs w:val="0"/>
          <w:color w:val="auto"/>
          <w:u w:val="none"/>
        </w:rPr>
        <w:t>第</w:t>
      </w:r>
      <w:r>
        <w:rPr>
          <w:rFonts w:hint="eastAsia"/>
          <w:b w:val="0"/>
          <w:bCs w:val="0"/>
          <w:color w:val="auto"/>
          <w:u w:val="none"/>
        </w:rPr>
        <w:t>五</w:t>
      </w:r>
      <w:r>
        <w:rPr>
          <w:b w:val="0"/>
          <w:bCs w:val="0"/>
          <w:color w:val="auto"/>
          <w:u w:val="none"/>
        </w:rPr>
        <w:t xml:space="preserve">节 </w:t>
      </w:r>
      <w:r>
        <w:rPr>
          <w:rFonts w:hint="eastAsia"/>
          <w:b w:val="0"/>
          <w:bCs w:val="0"/>
          <w:color w:val="auto"/>
          <w:u w:val="none"/>
        </w:rPr>
        <w:t>优化产业空间布局</w:t>
      </w:r>
      <w:bookmarkEnd w:id="309"/>
      <w:bookmarkEnd w:id="310"/>
      <w:bookmarkEnd w:id="311"/>
      <w:bookmarkEnd w:id="312"/>
    </w:p>
    <w:p w14:paraId="7D1543DA">
      <w:pPr>
        <w:pStyle w:val="5"/>
        <w:spacing w:before="120" w:after="120"/>
        <w:rPr>
          <w:snapToGrid w:val="0"/>
        </w:rPr>
      </w:pPr>
      <w:r>
        <w:rPr>
          <w:snapToGrid w:val="0"/>
        </w:rPr>
        <w:t>第</w:t>
      </w:r>
      <w:r>
        <w:rPr>
          <w:rFonts w:hint="eastAsia"/>
          <w:snapToGrid w:val="0"/>
        </w:rPr>
        <w:t>8</w:t>
      </w:r>
      <w:r>
        <w:rPr>
          <w:rFonts w:hint="eastAsia"/>
          <w:snapToGrid w:val="0"/>
          <w:lang w:val="en-US" w:eastAsia="zh-CN"/>
        </w:rPr>
        <w:t>4</w:t>
      </w:r>
      <w:r>
        <w:rPr>
          <w:snapToGrid w:val="0"/>
        </w:rPr>
        <w:t>条 产业布局优化</w:t>
      </w:r>
    </w:p>
    <w:p w14:paraId="6F1BDB7E">
      <w:pPr>
        <w:rPr>
          <w:u w:val="none"/>
        </w:rPr>
      </w:pPr>
      <w:r>
        <w:rPr>
          <w:u w:val="none"/>
        </w:rPr>
        <w:t>1.老城片区</w:t>
      </w:r>
    </w:p>
    <w:p w14:paraId="1ACDCD83">
      <w:pPr>
        <w:rPr>
          <w:u w:val="none"/>
        </w:rPr>
      </w:pPr>
      <w:r>
        <w:rPr>
          <w:u w:val="none"/>
        </w:rPr>
        <w:t>对无污染的虎林粮库和铁路货运堆场等企业可以继续保留，延伸发展为以粮食为主的农副产品仓储区；对有一定污染的企业近期限制其发展规模，严格做到达标排放；远期将秸秆燃料厂、保温厂等污染企业搬迁至工业园区。</w:t>
      </w:r>
    </w:p>
    <w:p w14:paraId="4635B7E9">
      <w:pPr>
        <w:rPr>
          <w:u w:val="none"/>
        </w:rPr>
      </w:pPr>
      <w:r>
        <w:rPr>
          <w:u w:val="none"/>
        </w:rPr>
        <w:t>2.西岗片区</w:t>
      </w:r>
    </w:p>
    <w:p w14:paraId="53A74817">
      <w:pPr>
        <w:rPr>
          <w:u w:val="none"/>
        </w:rPr>
      </w:pPr>
      <w:r>
        <w:rPr>
          <w:u w:val="none"/>
        </w:rPr>
        <w:t>对乌苏里江制药厂内部进行大面积绿化，对废水废气进行相应治理，厂区外种植防护林带；远景建议其迁往工业园区。</w:t>
      </w:r>
    </w:p>
    <w:p w14:paraId="0873824E">
      <w:pPr>
        <w:rPr>
          <w:u w:val="none"/>
        </w:rPr>
      </w:pPr>
    </w:p>
    <w:p w14:paraId="324403EB">
      <w:pPr>
        <w:rPr>
          <w:u w:val="none"/>
        </w:rPr>
      </w:pPr>
      <w:r>
        <w:rPr>
          <w:u w:val="none"/>
        </w:rPr>
        <w:t>3.铁南片区</w:t>
      </w:r>
    </w:p>
    <w:p w14:paraId="2C0EB2DA">
      <w:pPr>
        <w:keepNext w:val="0"/>
        <w:keepLines w:val="0"/>
        <w:pageBreakBefore w:val="0"/>
        <w:widowControl w:val="0"/>
        <w:kinsoku/>
        <w:wordWrap/>
        <w:overflowPunct/>
        <w:topLinePunct w:val="0"/>
        <w:autoSpaceDE/>
        <w:autoSpaceDN/>
        <w:bidi w:val="0"/>
        <w:adjustRightInd/>
        <w:snapToGrid w:val="0"/>
        <w:textAlignment w:val="auto"/>
        <w:rPr>
          <w:u w:val="none"/>
        </w:rPr>
      </w:pPr>
      <w:r>
        <w:rPr>
          <w:u w:val="none"/>
        </w:rPr>
        <w:t>大力发展对俄进出口加工业，推进寒地龙药、绿色食品、仓储、商贸等项目开发，建设综合性、多功能的工业园区。</w:t>
      </w:r>
    </w:p>
    <w:p w14:paraId="4A8D3CCE">
      <w:pPr>
        <w:rPr>
          <w:u w:val="none"/>
        </w:rPr>
      </w:pPr>
      <w:r>
        <w:rPr>
          <w:u w:val="none"/>
        </w:rPr>
        <w:t>实行绿色招商和产业链招商，大力推广无碳、减碳、去碳等低碳技术，从生产源头减少碳排放。重点控制桦树村周边产业类型，不对其产生环境、噪声等污染。</w:t>
      </w:r>
    </w:p>
    <w:p w14:paraId="6E74829F">
      <w:pPr>
        <w:rPr>
          <w:u w:val="none"/>
        </w:rPr>
      </w:pPr>
      <w:r>
        <w:rPr>
          <w:u w:val="none"/>
        </w:rPr>
        <w:t>提高工业园区的入驻条件，落户项目的投资强度不能低于国家标准，结合自然资源部《工业项目建设用地控制指标》标准执行。</w:t>
      </w:r>
    </w:p>
    <w:p w14:paraId="15C94B9A">
      <w:pPr>
        <w:pStyle w:val="5"/>
        <w:spacing w:before="120" w:after="120"/>
        <w:rPr>
          <w:snapToGrid w:val="0"/>
        </w:rPr>
      </w:pPr>
      <w:r>
        <w:rPr>
          <w:snapToGrid w:val="0"/>
        </w:rPr>
        <w:t>第</w:t>
      </w:r>
      <w:r>
        <w:rPr>
          <w:rFonts w:hint="eastAsia"/>
        </w:rPr>
        <w:t>8</w:t>
      </w:r>
      <w:r>
        <w:rPr>
          <w:rFonts w:hint="eastAsia"/>
          <w:snapToGrid w:val="0"/>
          <w:lang w:val="en-US" w:eastAsia="zh-CN"/>
        </w:rPr>
        <w:t>5</w:t>
      </w:r>
      <w:r>
        <w:rPr>
          <w:snapToGrid w:val="0"/>
        </w:rPr>
        <w:t>条 开发区分区布局</w:t>
      </w:r>
    </w:p>
    <w:p w14:paraId="528177FB">
      <w:pPr>
        <w:rPr>
          <w:u w:val="none"/>
        </w:rPr>
      </w:pPr>
      <w:r>
        <w:rPr>
          <w:u w:val="none"/>
        </w:rPr>
        <w:t>引导虎林市经济开发区建设绿色食品加工园区、对俄产业园区、配套仓储物流园区、寒地龙药加工园区以及数字产业园。</w:t>
      </w:r>
    </w:p>
    <w:p w14:paraId="11242122">
      <w:pPr>
        <w:pStyle w:val="5"/>
        <w:spacing w:before="120" w:after="120"/>
        <w:rPr>
          <w:snapToGrid w:val="0"/>
        </w:rPr>
      </w:pPr>
      <w:r>
        <w:rPr>
          <w:snapToGrid w:val="0"/>
        </w:rPr>
        <w:t>第</w:t>
      </w:r>
      <w:r>
        <w:rPr>
          <w:rFonts w:hint="eastAsia"/>
        </w:rPr>
        <w:t>8</w:t>
      </w:r>
      <w:r>
        <w:rPr>
          <w:rFonts w:hint="eastAsia"/>
          <w:snapToGrid w:val="0"/>
          <w:lang w:val="en-US" w:eastAsia="zh-CN"/>
        </w:rPr>
        <w:t>6</w:t>
      </w:r>
      <w:r>
        <w:rPr>
          <w:snapToGrid w:val="0"/>
        </w:rPr>
        <w:t>条 分区建设指引</w:t>
      </w:r>
    </w:p>
    <w:p w14:paraId="6068F795">
      <w:pPr>
        <w:rPr>
          <w:u w:val="none"/>
        </w:rPr>
      </w:pPr>
      <w:r>
        <w:rPr>
          <w:u w:val="none"/>
        </w:rPr>
        <w:t>1.绿色食品加工园区</w:t>
      </w:r>
    </w:p>
    <w:p w14:paraId="397A07EC">
      <w:pPr>
        <w:rPr>
          <w:u w:val="none"/>
        </w:rPr>
      </w:pPr>
      <w:r>
        <w:rPr>
          <w:u w:val="none"/>
        </w:rPr>
        <w:t>发挥福娃、汇源、甄源坊等龙头企业引领带动作用，以绿色食品加工为重点，以粮油、果蔬食品加工、畜禽、水产品（养殖）加工、林特产品加工为主攻方向，做大做强优势食品加工业，培育壮大新兴食品加工业，拓展产能空间、延伸产业链、丰富业态，以规模化布局、园区化推进、标准化生产、组织化引领、品牌化打造、融合化发展“六大抓手”，打牢产业发展基础，积极做好绿色有机的品牌文章。</w:t>
      </w:r>
    </w:p>
    <w:p w14:paraId="4966A3F2">
      <w:pPr>
        <w:rPr>
          <w:u w:val="none"/>
        </w:rPr>
      </w:pPr>
      <w:r>
        <w:rPr>
          <w:u w:val="none"/>
        </w:rPr>
        <w:t>2.对俄产业园区</w:t>
      </w:r>
    </w:p>
    <w:p w14:paraId="7126E9D0">
      <w:pPr>
        <w:rPr>
          <w:u w:val="none"/>
        </w:rPr>
      </w:pPr>
      <w:r>
        <w:rPr>
          <w:u w:val="none"/>
        </w:rPr>
        <w:t>突出进口抓落地加工，引入木材、煤炭、冰鲜海产品等入境项目，培育跨境电商主体，鼓励发展跨境电子商务、外贸综合服务等，建设跨境电商生态链。积极开展以商招商、代理招商、中介招商模式，聚焦玖龙纸业、中能建等500强企业，探索“总部+基地”“研创+产业化”等合作模式，定制个性化招商方案，形成一批干部交流、产业对接等项目合作成果。</w:t>
      </w:r>
    </w:p>
    <w:p w14:paraId="72B645E9">
      <w:pPr>
        <w:rPr>
          <w:u w:val="none"/>
        </w:rPr>
      </w:pPr>
      <w:r>
        <w:rPr>
          <w:u w:val="none"/>
        </w:rPr>
        <w:t>3.寒地龙药加工园区</w:t>
      </w:r>
    </w:p>
    <w:p w14:paraId="5B75FFE4">
      <w:pPr>
        <w:rPr>
          <w:u w:val="none"/>
        </w:rPr>
      </w:pPr>
      <w:r>
        <w:rPr>
          <w:u w:val="none"/>
        </w:rPr>
        <w:t>发挥珍宝岛药业、乌苏里江药业的引领带动作用，推动北药加工全产业链条开发，重点从</w:t>
      </w:r>
      <w:r>
        <w:rPr>
          <w:rFonts w:hint="eastAsia"/>
          <w:u w:val="none"/>
        </w:rPr>
        <w:t>复方</w:t>
      </w:r>
      <w:r>
        <w:rPr>
          <w:u w:val="none"/>
        </w:rPr>
        <w:t>颗粒产业链、中医药有效成分提取产业链、饮片加工产业链、康养保健产业链、医药化妆品产业链等方向强链补链，将虎林市寒地龙药产业整体发展水平提高到一个新层次。</w:t>
      </w:r>
    </w:p>
    <w:p w14:paraId="02E32C76">
      <w:pPr>
        <w:rPr>
          <w:u w:val="none"/>
        </w:rPr>
      </w:pPr>
      <w:r>
        <w:rPr>
          <w:u w:val="none"/>
        </w:rPr>
        <w:t>重点加强关键药物中间体和高端原料药的研发与制造，并支持其与国内龙头开展合作，研究开发高科技高附加值的保健产品，推动保健品产业发展向高端高质迈进。</w:t>
      </w:r>
    </w:p>
    <w:p w14:paraId="1CE59095">
      <w:pPr>
        <w:rPr>
          <w:u w:val="none"/>
        </w:rPr>
      </w:pPr>
    </w:p>
    <w:p w14:paraId="79D7D7FC">
      <w:pPr>
        <w:rPr>
          <w:u w:val="none"/>
        </w:rPr>
      </w:pPr>
    </w:p>
    <w:p w14:paraId="5BECA7D1">
      <w:pPr>
        <w:rPr>
          <w:u w:val="none"/>
        </w:rPr>
      </w:pPr>
      <w:r>
        <w:rPr>
          <w:u w:val="none"/>
        </w:rPr>
        <w:t>4.配套仓储物流园区</w:t>
      </w:r>
    </w:p>
    <w:p w14:paraId="0736A929">
      <w:pPr>
        <w:rPr>
          <w:u w:val="none"/>
        </w:rPr>
      </w:pPr>
      <w:r>
        <w:rPr>
          <w:u w:val="none"/>
        </w:rPr>
        <w:t>构建仓储、运输、配送、装卸搬运、包装、展示交易等为一体的综合性仓储物流园区，通过仓储物流园区连接生产、物流、客户以及其他配套服务供应商，为各类园区发展奠定基础。</w:t>
      </w:r>
    </w:p>
    <w:p w14:paraId="54A86E25">
      <w:pPr>
        <w:rPr>
          <w:u w:val="none"/>
        </w:rPr>
      </w:pPr>
      <w:r>
        <w:rPr>
          <w:u w:val="none"/>
        </w:rPr>
        <w:t>5.数字产业园区</w:t>
      </w:r>
    </w:p>
    <w:p w14:paraId="7222B66C">
      <w:pPr>
        <w:rPr>
          <w:u w:val="none"/>
        </w:rPr>
      </w:pPr>
      <w:r>
        <w:rPr>
          <w:u w:val="none"/>
        </w:rPr>
        <w:t>运用各种大数据手段，实现产业生态系统化、基础设施网络化、功能服务精准化和运营发展智能化。主要运用云计算、大数据、区块链、人工智能、物联网、5G等技术，实现产业生态系统化、基础设施网络化、功能服务精准化和运营发展智能化的智慧园区。</w:t>
      </w:r>
    </w:p>
    <w:p w14:paraId="5C2BFC59">
      <w:pPr>
        <w:pStyle w:val="4"/>
        <w:widowControl w:val="0"/>
        <w:snapToGrid/>
        <w:spacing w:before="120" w:beforeLines="50" w:after="120" w:afterLines="50" w:line="600" w:lineRule="exact"/>
        <w:ind w:firstLine="0" w:firstLineChars="0"/>
        <w:rPr>
          <w:b w:val="0"/>
          <w:bCs w:val="0"/>
          <w:color w:val="auto"/>
          <w:u w:val="none"/>
        </w:rPr>
      </w:pPr>
      <w:bookmarkStart w:id="313" w:name="_Toc2366"/>
      <w:bookmarkStart w:id="314" w:name="_Toc181784603"/>
      <w:bookmarkStart w:id="315" w:name="_Toc181784463"/>
      <w:bookmarkStart w:id="316" w:name="_Toc181784673"/>
      <w:bookmarkStart w:id="317" w:name="_Toc27745"/>
      <w:r>
        <w:rPr>
          <w:b w:val="0"/>
          <w:bCs w:val="0"/>
          <w:color w:val="auto"/>
          <w:u w:val="none"/>
        </w:rPr>
        <w:t xml:space="preserve">第六节 </w:t>
      </w:r>
      <w:bookmarkEnd w:id="313"/>
      <w:r>
        <w:rPr>
          <w:rFonts w:hint="eastAsia"/>
          <w:b w:val="0"/>
          <w:bCs w:val="0"/>
          <w:color w:val="auto"/>
          <w:u w:val="none"/>
        </w:rPr>
        <w:t>优化公共绿地与开敞空间</w:t>
      </w:r>
      <w:bookmarkEnd w:id="314"/>
      <w:bookmarkEnd w:id="315"/>
      <w:bookmarkEnd w:id="316"/>
      <w:bookmarkEnd w:id="317"/>
    </w:p>
    <w:p w14:paraId="007058A6">
      <w:pPr>
        <w:pStyle w:val="5"/>
        <w:spacing w:before="120" w:after="120"/>
        <w:rPr>
          <w:snapToGrid w:val="0"/>
        </w:rPr>
      </w:pPr>
      <w:r>
        <w:rPr>
          <w:snapToGrid w:val="0"/>
        </w:rPr>
        <w:t>第</w:t>
      </w:r>
      <w:r>
        <w:rPr>
          <w:rFonts w:hint="eastAsia"/>
          <w:snapToGrid w:val="0"/>
        </w:rPr>
        <w:t>8</w:t>
      </w:r>
      <w:r>
        <w:rPr>
          <w:rFonts w:hint="eastAsia"/>
          <w:snapToGrid w:val="0"/>
          <w:lang w:val="en-US" w:eastAsia="zh-CN"/>
        </w:rPr>
        <w:t>7</w:t>
      </w:r>
      <w:r>
        <w:rPr>
          <w:snapToGrid w:val="0"/>
        </w:rPr>
        <w:t>条 绿地系统规划指标</w:t>
      </w:r>
    </w:p>
    <w:p w14:paraId="0FFD1F85">
      <w:pPr>
        <w:rPr>
          <w:u w:val="none"/>
        </w:rPr>
      </w:pPr>
      <w:r>
        <w:rPr>
          <w:u w:val="none"/>
        </w:rPr>
        <w:t>至2035年，步行5分钟覆盖率达到98%。保障城市建成区绿地率和人均公园绿地面积不低于相关行业主管部门的规定。</w:t>
      </w:r>
    </w:p>
    <w:p w14:paraId="4A2ABD05">
      <w:pPr>
        <w:pStyle w:val="5"/>
        <w:spacing w:before="120" w:after="120"/>
        <w:rPr>
          <w:snapToGrid w:val="0"/>
        </w:rPr>
      </w:pPr>
      <w:r>
        <w:rPr>
          <w:snapToGrid w:val="0"/>
        </w:rPr>
        <w:t>第</w:t>
      </w:r>
      <w:r>
        <w:rPr>
          <w:rFonts w:hint="eastAsia"/>
        </w:rPr>
        <w:t>8</w:t>
      </w:r>
      <w:r>
        <w:rPr>
          <w:rFonts w:hint="eastAsia"/>
          <w:lang w:val="en-US" w:eastAsia="zh-CN"/>
        </w:rPr>
        <w:t>8</w:t>
      </w:r>
      <w:r>
        <w:rPr>
          <w:snapToGrid w:val="0"/>
        </w:rPr>
        <w:t>条 城市蓝绿网络结构</w:t>
      </w:r>
    </w:p>
    <w:p w14:paraId="43C326A2">
      <w:pPr>
        <w:rPr>
          <w:u w:val="none"/>
        </w:rPr>
      </w:pPr>
      <w:r>
        <w:rPr>
          <w:u w:val="none"/>
        </w:rPr>
        <w:t>构建公园为主、游园呼应，街景为骨、绿廊为络，点在网中、片在城中的“两廊六轴多园”的蓝绿网络空间格局。</w:t>
      </w:r>
    </w:p>
    <w:p w14:paraId="4B731D51">
      <w:pPr>
        <w:rPr>
          <w:u w:val="none"/>
        </w:rPr>
      </w:pPr>
      <w:r>
        <w:rPr>
          <w:u w:val="none"/>
        </w:rPr>
        <w:t>两廊六轴多点：“两廊”是指穆棱河水系与西大沟的绿色景观廊道；“六轴”即六条绿色景观轴，是指通过北兴街、爱民街、建设街、解放街、工业街、平安路由外向内的绿化渗透串联各类绿地与开敞空间；“多园”指绿地系统中大小公园的渗透。</w:t>
      </w:r>
    </w:p>
    <w:p w14:paraId="41C9585F">
      <w:pPr>
        <w:pStyle w:val="5"/>
        <w:spacing w:before="120" w:after="120"/>
        <w:rPr>
          <w:snapToGrid w:val="0"/>
        </w:rPr>
      </w:pPr>
      <w:r>
        <w:rPr>
          <w:snapToGrid w:val="0"/>
        </w:rPr>
        <w:t>第</w:t>
      </w:r>
      <w:r>
        <w:rPr>
          <w:rFonts w:hint="eastAsia"/>
        </w:rPr>
        <w:t>8</w:t>
      </w:r>
      <w:r>
        <w:rPr>
          <w:rFonts w:hint="eastAsia"/>
          <w:lang w:val="en-US" w:eastAsia="zh-CN"/>
        </w:rPr>
        <w:t>9</w:t>
      </w:r>
      <w:r>
        <w:rPr>
          <w:snapToGrid w:val="0"/>
        </w:rPr>
        <w:t>条 绿地与开敞空间系统布局</w:t>
      </w:r>
    </w:p>
    <w:p w14:paraId="53984F24">
      <w:pPr>
        <w:rPr>
          <w:u w:val="none"/>
        </w:rPr>
      </w:pPr>
      <w:r>
        <w:rPr>
          <w:u w:val="none"/>
        </w:rPr>
        <w:t>1.生态绿地</w:t>
      </w:r>
    </w:p>
    <w:p w14:paraId="5FC5BF3A">
      <w:pPr>
        <w:rPr>
          <w:u w:val="none"/>
        </w:rPr>
      </w:pPr>
      <w:r>
        <w:rPr>
          <w:u w:val="none"/>
        </w:rPr>
        <w:t>穆棱河风光带、红星水上公园和森林公园、五虎山森林公园、观光农业区整体构成虎林市中心城区的生态屏障。</w:t>
      </w:r>
    </w:p>
    <w:p w14:paraId="2253377E">
      <w:pPr>
        <w:rPr>
          <w:u w:val="none"/>
        </w:rPr>
      </w:pPr>
      <w:r>
        <w:rPr>
          <w:u w:val="none"/>
        </w:rPr>
        <w:t>2.公园绿地</w:t>
      </w:r>
    </w:p>
    <w:p w14:paraId="1B7F4F24">
      <w:pPr>
        <w:rPr>
          <w:u w:val="none"/>
        </w:rPr>
      </w:pPr>
      <w:r>
        <w:rPr>
          <w:u w:val="none"/>
        </w:rPr>
        <w:t>新区均衡布局，老城利用边角用地，多举措增加城市绿地等开敞空间。沿街带状绿地的打造，将生态要素渗透入城区，构成网状脉络，保障绿地与开敞空间系统的完整性。实现中心城区300米见绿，500米入园。</w:t>
      </w:r>
    </w:p>
    <w:p w14:paraId="7BD94557">
      <w:pPr>
        <w:rPr>
          <w:u w:val="none"/>
        </w:rPr>
      </w:pPr>
      <w:r>
        <w:rPr>
          <w:u w:val="none"/>
        </w:rPr>
        <w:t>15分钟生活圈公园：800</w:t>
      </w:r>
      <w:r>
        <w:rPr>
          <w:rFonts w:hint="eastAsia"/>
          <w:u w:val="none"/>
        </w:rPr>
        <w:t>—</w:t>
      </w:r>
      <w:r>
        <w:rPr>
          <w:u w:val="none"/>
        </w:rPr>
        <w:t>1000米服务半径，面积不小于5公顷。共规划5处，分别为运动主题的西岗公园、回忆主题的拾光公园、观城主题的改造东山公园、创意为主题的创意公园以及已建成的晨光带状公园。</w:t>
      </w:r>
    </w:p>
    <w:p w14:paraId="712F50D2">
      <w:pPr>
        <w:rPr>
          <w:u w:val="none"/>
        </w:rPr>
      </w:pPr>
      <w:r>
        <w:rPr>
          <w:u w:val="none"/>
        </w:rPr>
        <w:t>10分钟生活圈公园：500米服务半径，面积原则不小于1公顷。共规划8处，分别为市政公园、知青公园、学子公园、匠心公园、铁南公园、希望公园、北兴公园、活力公园。</w:t>
      </w:r>
    </w:p>
    <w:p w14:paraId="3DBC4CD6">
      <w:pPr>
        <w:rPr>
          <w:u w:val="none"/>
        </w:rPr>
      </w:pPr>
      <w:r>
        <w:rPr>
          <w:u w:val="none"/>
        </w:rPr>
        <w:t>5分钟公园与街头绿地：主要位于中心城区景观道路两侧、居住区出入口与服务节点附近、步行环线沿线，采取多种方式，以丰富城市空间环境、消灭绿化盲区，增加更多亲切宜人的绿色空间。重点改善老城区公园绿地严重不足的状况。</w:t>
      </w:r>
    </w:p>
    <w:p w14:paraId="788794DF">
      <w:pPr>
        <w:rPr>
          <w:u w:val="none"/>
        </w:rPr>
      </w:pPr>
      <w:r>
        <w:rPr>
          <w:u w:val="none"/>
        </w:rPr>
        <w:t>3.防护绿地</w:t>
      </w:r>
    </w:p>
    <w:p w14:paraId="2A74F4DF">
      <w:pPr>
        <w:rPr>
          <w:u w:val="none"/>
        </w:rPr>
      </w:pPr>
      <w:r>
        <w:rPr>
          <w:u w:val="none"/>
        </w:rPr>
        <w:t>二热源、东部仓储用地等工业用地的防护绿地宽度为15</w:t>
      </w:r>
      <w:r>
        <w:rPr>
          <w:rFonts w:hint="eastAsia"/>
          <w:u w:val="none"/>
        </w:rPr>
        <w:t>—</w:t>
      </w:r>
      <w:r>
        <w:rPr>
          <w:u w:val="none"/>
        </w:rPr>
        <w:t>25米；南外环平安路</w:t>
      </w:r>
      <w:r>
        <w:rPr>
          <w:rFonts w:hint="eastAsia"/>
          <w:u w:val="none"/>
        </w:rPr>
        <w:t>—</w:t>
      </w:r>
      <w:r>
        <w:rPr>
          <w:u w:val="none"/>
        </w:rPr>
        <w:t>勤勉路段高压线走廊防护绿带宽度25</w:t>
      </w:r>
      <w:r>
        <w:rPr>
          <w:rFonts w:hint="eastAsia"/>
          <w:u w:val="none"/>
        </w:rPr>
        <w:t>—</w:t>
      </w:r>
      <w:r>
        <w:rPr>
          <w:u w:val="none"/>
        </w:rPr>
        <w:t>100米，其余路段防护绿带宽度20米；铁路与居民区之间控制至少8米宽的防护绿带。</w:t>
      </w:r>
    </w:p>
    <w:p w14:paraId="7C389334">
      <w:pPr>
        <w:rPr>
          <w:u w:val="none"/>
        </w:rPr>
      </w:pPr>
      <w:r>
        <w:rPr>
          <w:u w:val="none"/>
        </w:rPr>
        <w:t>4.广场用地</w:t>
      </w:r>
    </w:p>
    <w:p w14:paraId="5AA5E9D4">
      <w:pPr>
        <w:rPr>
          <w:u w:val="none"/>
        </w:rPr>
      </w:pPr>
      <w:r>
        <w:rPr>
          <w:u w:val="none"/>
        </w:rPr>
        <w:t>规划广场用地可分为交通集散广场和游憩广场。现状游憩广场</w:t>
      </w:r>
      <w:r>
        <w:rPr>
          <w:rFonts w:hint="eastAsia"/>
          <w:u w:val="none"/>
        </w:rPr>
        <w:t>2</w:t>
      </w:r>
      <w:r>
        <w:rPr>
          <w:u w:val="none"/>
        </w:rPr>
        <w:t>处，分别为吉祥广场、文化广场，规划游憩广场1处，结合大型体育场馆统一设置。另规划交通集散广场1处，即站前广场。</w:t>
      </w:r>
    </w:p>
    <w:p w14:paraId="57E422EB">
      <w:pPr>
        <w:pStyle w:val="4"/>
        <w:widowControl w:val="0"/>
        <w:snapToGrid/>
        <w:spacing w:before="120" w:beforeLines="50" w:after="120" w:afterLines="50" w:line="600" w:lineRule="exact"/>
        <w:ind w:firstLine="0" w:firstLineChars="0"/>
        <w:rPr>
          <w:b w:val="0"/>
          <w:bCs w:val="0"/>
          <w:color w:val="auto"/>
          <w:u w:val="none"/>
        </w:rPr>
      </w:pPr>
      <w:bookmarkStart w:id="318" w:name="_Toc181784464"/>
      <w:bookmarkStart w:id="319" w:name="_Toc181784604"/>
      <w:bookmarkStart w:id="320" w:name="_Toc181784674"/>
      <w:bookmarkStart w:id="321" w:name="_Toc6706"/>
      <w:r>
        <w:rPr>
          <w:b w:val="0"/>
          <w:bCs w:val="0"/>
          <w:color w:val="auto"/>
          <w:u w:val="none"/>
        </w:rPr>
        <w:t>第</w:t>
      </w:r>
      <w:r>
        <w:rPr>
          <w:rFonts w:hint="eastAsia"/>
          <w:b w:val="0"/>
          <w:bCs w:val="0"/>
          <w:color w:val="auto"/>
          <w:u w:val="none"/>
        </w:rPr>
        <w:t>七</w:t>
      </w:r>
      <w:r>
        <w:rPr>
          <w:b w:val="0"/>
          <w:bCs w:val="0"/>
          <w:color w:val="auto"/>
          <w:u w:val="none"/>
        </w:rPr>
        <w:t xml:space="preserve">节 </w:t>
      </w:r>
      <w:r>
        <w:rPr>
          <w:rFonts w:hint="eastAsia"/>
          <w:b w:val="0"/>
          <w:bCs w:val="0"/>
          <w:color w:val="auto"/>
          <w:u w:val="none"/>
        </w:rPr>
        <w:t>构建</w:t>
      </w:r>
      <w:r>
        <w:rPr>
          <w:b w:val="0"/>
          <w:bCs w:val="0"/>
          <w:color w:val="auto"/>
          <w:u w:val="none"/>
        </w:rPr>
        <w:t>综合交通</w:t>
      </w:r>
      <w:bookmarkEnd w:id="304"/>
      <w:r>
        <w:rPr>
          <w:rFonts w:hint="eastAsia"/>
          <w:b w:val="0"/>
          <w:bCs w:val="0"/>
          <w:color w:val="auto"/>
          <w:u w:val="none"/>
        </w:rPr>
        <w:t>体系</w:t>
      </w:r>
      <w:bookmarkEnd w:id="318"/>
      <w:bookmarkEnd w:id="319"/>
      <w:bookmarkEnd w:id="320"/>
      <w:bookmarkEnd w:id="321"/>
    </w:p>
    <w:p w14:paraId="1EEB98BC">
      <w:pPr>
        <w:pStyle w:val="5"/>
        <w:spacing w:before="120" w:after="120"/>
        <w:rPr>
          <w:snapToGrid w:val="0"/>
        </w:rPr>
      </w:pPr>
      <w:r>
        <w:rPr>
          <w:snapToGrid w:val="0"/>
        </w:rPr>
        <w:t>第</w:t>
      </w:r>
      <w:r>
        <w:rPr>
          <w:rFonts w:hint="eastAsia"/>
          <w:lang w:val="en-US" w:eastAsia="zh-CN"/>
        </w:rPr>
        <w:t>90</w:t>
      </w:r>
      <w:r>
        <w:rPr>
          <w:snapToGrid w:val="0"/>
        </w:rPr>
        <w:t>条 城市对外交通</w:t>
      </w:r>
    </w:p>
    <w:p w14:paraId="1B5D8870">
      <w:pPr>
        <w:rPr>
          <w:u w:val="none"/>
        </w:rPr>
      </w:pPr>
      <w:r>
        <w:rPr>
          <w:u w:val="none"/>
        </w:rPr>
        <w:t>1.铁路</w:t>
      </w:r>
    </w:p>
    <w:p w14:paraId="459F36EF">
      <w:pPr>
        <w:rPr>
          <w:u w:val="none"/>
        </w:rPr>
      </w:pPr>
      <w:r>
        <w:rPr>
          <w:u w:val="none"/>
        </w:rPr>
        <w:t>（1）对铁路货运站场及设施进行改善、改进和升级。</w:t>
      </w:r>
    </w:p>
    <w:p w14:paraId="747EF96C">
      <w:pPr>
        <w:rPr>
          <w:u w:val="none"/>
        </w:rPr>
      </w:pPr>
      <w:r>
        <w:rPr>
          <w:u w:val="none"/>
        </w:rPr>
        <w:t>（2）改造现有的铁路客运站，包括铁路客运站与周边建筑立面、西侧公共停车场、站前广场，形成一个能够反映虎林市现代化城市精神面貌的对外窗口。</w:t>
      </w:r>
    </w:p>
    <w:p w14:paraId="3E4FC22C">
      <w:pPr>
        <w:rPr>
          <w:u w:val="none"/>
        </w:rPr>
      </w:pPr>
      <w:r>
        <w:rPr>
          <w:u w:val="none"/>
        </w:rPr>
        <w:t>（3）加快虎林</w:t>
      </w:r>
      <w:r>
        <w:rPr>
          <w:rFonts w:hint="eastAsia"/>
          <w:u w:val="none"/>
        </w:rPr>
        <w:t>—</w:t>
      </w:r>
      <w:r>
        <w:rPr>
          <w:u w:val="none"/>
        </w:rPr>
        <w:t>列索铁路建设，规划从密东铁路东侧编组站接入，从工业园区东侧外围通过，以避免铁路对城市的分割。</w:t>
      </w:r>
    </w:p>
    <w:p w14:paraId="6A940982">
      <w:pPr>
        <w:rPr>
          <w:u w:val="none"/>
        </w:rPr>
      </w:pPr>
      <w:r>
        <w:rPr>
          <w:u w:val="none"/>
        </w:rPr>
        <w:t>2.公路</w:t>
      </w:r>
    </w:p>
    <w:p w14:paraId="0E95FD41">
      <w:pPr>
        <w:rPr>
          <w:u w:val="none"/>
        </w:rPr>
      </w:pPr>
      <w:r>
        <w:rPr>
          <w:u w:val="none"/>
        </w:rPr>
        <w:t>（1）对现有公路客运站适当改扩建，完善并更新各类办公、消防等服务设施，以保障虎林客运站的顺利、高质量运行。</w:t>
      </w:r>
    </w:p>
    <w:p w14:paraId="2BDD673B">
      <w:pPr>
        <w:rPr>
          <w:u w:val="none"/>
        </w:rPr>
      </w:pPr>
      <w:r>
        <w:rPr>
          <w:u w:val="none"/>
        </w:rPr>
        <w:t>（2）为了满足过境车辆通行、高压走廊安全并强化道路景观效果，规划南外环路道路沿线设置20米/25米宽绿化隔离带。</w:t>
      </w:r>
    </w:p>
    <w:p w14:paraId="2B9366B2">
      <w:pPr>
        <w:rPr>
          <w:u w:val="none"/>
        </w:rPr>
      </w:pPr>
      <w:r>
        <w:rPr>
          <w:u w:val="none"/>
        </w:rPr>
        <w:t>3.城市出入口</w:t>
      </w:r>
    </w:p>
    <w:p w14:paraId="70ED8BF7">
      <w:pPr>
        <w:rPr>
          <w:u w:val="none"/>
        </w:rPr>
      </w:pPr>
      <w:r>
        <w:rPr>
          <w:u w:val="none"/>
        </w:rPr>
        <w:t>城市各个方向出入口均为两个，满足防灾需求。主出入口在东西两侧，分别通往饶河、密山。</w:t>
      </w:r>
    </w:p>
    <w:p w14:paraId="7F87382C">
      <w:pPr>
        <w:pStyle w:val="5"/>
        <w:spacing w:before="120" w:after="120"/>
        <w:rPr>
          <w:snapToGrid w:val="0"/>
        </w:rPr>
      </w:pPr>
      <w:r>
        <w:rPr>
          <w:snapToGrid w:val="0"/>
        </w:rPr>
        <w:t>第</w:t>
      </w:r>
      <w:r>
        <w:rPr>
          <w:rFonts w:hint="eastAsia"/>
          <w:snapToGrid w:val="0"/>
          <w:lang w:val="en-US" w:eastAsia="zh-CN"/>
        </w:rPr>
        <w:t>91</w:t>
      </w:r>
      <w:r>
        <w:rPr>
          <w:snapToGrid w:val="0"/>
        </w:rPr>
        <w:t>条 城市道路网结构</w:t>
      </w:r>
    </w:p>
    <w:p w14:paraId="14CB934D">
      <w:pPr>
        <w:rPr>
          <w:u w:val="none"/>
        </w:rPr>
      </w:pPr>
      <w:r>
        <w:rPr>
          <w:u w:val="none"/>
        </w:rPr>
        <w:t>1.道路网络结构</w:t>
      </w:r>
    </w:p>
    <w:p w14:paraId="215A3FB0">
      <w:pPr>
        <w:rPr>
          <w:u w:val="none"/>
        </w:rPr>
      </w:pPr>
      <w:r>
        <w:rPr>
          <w:u w:val="none"/>
        </w:rPr>
        <w:t>构建铁北“四横五纵（北兴街、爱民街、解放街、建设街、致富路、晨光路、平安路、中心路、东山路）”铁南“一横三纵（工业街、勤奋路、汇源路、平安路）”的结构性主干路网络。</w:t>
      </w:r>
    </w:p>
    <w:p w14:paraId="365AC52C">
      <w:pPr>
        <w:rPr>
          <w:u w:val="none"/>
        </w:rPr>
      </w:pPr>
      <w:r>
        <w:rPr>
          <w:u w:val="none"/>
        </w:rPr>
        <w:t>2.道路系统</w:t>
      </w:r>
    </w:p>
    <w:p w14:paraId="36929E5A">
      <w:pPr>
        <w:rPr>
          <w:u w:val="none"/>
        </w:rPr>
      </w:pPr>
      <w:r>
        <w:rPr>
          <w:u w:val="none"/>
        </w:rPr>
        <w:t>城市主干路：规划主干路系统仍维持采用方格网结构，设计车速</w:t>
      </w:r>
      <w:r>
        <w:rPr>
          <w:rFonts w:hint="eastAsia"/>
          <w:u w:val="none"/>
        </w:rPr>
        <w:t>40千—60千</w:t>
      </w:r>
      <w:r>
        <w:rPr>
          <w:u w:val="none"/>
        </w:rPr>
        <w:t>米/时，红线40</w:t>
      </w:r>
      <w:r>
        <w:rPr>
          <w:rFonts w:hint="eastAsia"/>
          <w:u w:val="none"/>
        </w:rPr>
        <w:t>—</w:t>
      </w:r>
      <w:r>
        <w:rPr>
          <w:u w:val="none"/>
        </w:rPr>
        <w:t>42米。</w:t>
      </w:r>
    </w:p>
    <w:p w14:paraId="46DD3A65">
      <w:pPr>
        <w:rPr>
          <w:u w:val="none"/>
        </w:rPr>
      </w:pPr>
      <w:r>
        <w:rPr>
          <w:u w:val="none"/>
        </w:rPr>
        <w:t>城市次干路：不应进入居住区，道路设计比较开放，设计车速</w:t>
      </w:r>
      <w:r>
        <w:rPr>
          <w:rFonts w:hint="eastAsia"/>
          <w:u w:val="none"/>
        </w:rPr>
        <w:t>30千—40千</w:t>
      </w:r>
      <w:r>
        <w:rPr>
          <w:u w:val="none"/>
        </w:rPr>
        <w:t>米/时，红线宽度30米，次干道路网密度为1.95千米/平方公里。</w:t>
      </w:r>
    </w:p>
    <w:p w14:paraId="5BBAFF60">
      <w:pPr>
        <w:rPr>
          <w:u w:val="none"/>
        </w:rPr>
      </w:pPr>
      <w:r>
        <w:rPr>
          <w:u w:val="none"/>
        </w:rPr>
        <w:t>城市支路：有效分流城市主干路和次干路的交通流量，疏解交通。设计车速</w:t>
      </w:r>
      <w:r>
        <w:rPr>
          <w:rFonts w:hint="eastAsia"/>
          <w:u w:val="none"/>
        </w:rPr>
        <w:t>20千—30千</w:t>
      </w:r>
      <w:r>
        <w:rPr>
          <w:u w:val="none"/>
        </w:rPr>
        <w:t>米/时，道路红线12</w:t>
      </w:r>
      <w:r>
        <w:rPr>
          <w:rFonts w:hint="eastAsia"/>
          <w:u w:val="none"/>
        </w:rPr>
        <w:t>—</w:t>
      </w:r>
      <w:r>
        <w:rPr>
          <w:u w:val="none"/>
        </w:rPr>
        <w:t>20米。</w:t>
      </w:r>
    </w:p>
    <w:p w14:paraId="27D63E49">
      <w:pPr>
        <w:rPr>
          <w:u w:val="none"/>
        </w:rPr>
      </w:pPr>
      <w:r>
        <w:rPr>
          <w:u w:val="none"/>
        </w:rPr>
        <w:t>道路交叉口：规划城市道路与铁路、快速路交口共5处立交路口，包括现状西外环路与铁路交口的分离式立体交叉，规划改造解放街、平安路、解放街南西岗村与铁路交口的分离式立体交叉，以及规划新建的南外环与规划列索铁路交口的分离式立体交叉，以增强交通能力。除跨铁路交叉口外，城区内部其他道路均为平交，尽量考虑信号灯控制，对于重要交叉路口，可以考虑信号灯控制的渠化拓宽的交叉口。</w:t>
      </w:r>
    </w:p>
    <w:p w14:paraId="04C54C79">
      <w:pPr>
        <w:pStyle w:val="5"/>
        <w:spacing w:before="120" w:after="120"/>
        <w:rPr>
          <w:snapToGrid w:val="0"/>
        </w:rPr>
      </w:pPr>
      <w:r>
        <w:rPr>
          <w:snapToGrid w:val="0"/>
        </w:rPr>
        <w:t>第</w:t>
      </w:r>
      <w:r>
        <w:rPr>
          <w:rFonts w:hint="eastAsia"/>
          <w:snapToGrid w:val="0"/>
        </w:rPr>
        <w:t>9</w:t>
      </w:r>
      <w:r>
        <w:rPr>
          <w:rFonts w:hint="eastAsia"/>
          <w:snapToGrid w:val="0"/>
          <w:lang w:val="en-US" w:eastAsia="zh-CN"/>
        </w:rPr>
        <w:t>2</w:t>
      </w:r>
      <w:r>
        <w:rPr>
          <w:snapToGrid w:val="0"/>
        </w:rPr>
        <w:t>条 城市公共交通</w:t>
      </w:r>
    </w:p>
    <w:p w14:paraId="3C21526E">
      <w:pPr>
        <w:rPr>
          <w:u w:val="none"/>
        </w:rPr>
      </w:pPr>
      <w:r>
        <w:rPr>
          <w:u w:val="none"/>
        </w:rPr>
        <w:t>公交线路：主要完善东山公园周边，西岗片区、产业园区西部的公交线路，规划布置5条城区线路。公共交通不同线路之间换乘距离不宜大于200米，换乘时间控制在10分钟以内。</w:t>
      </w:r>
    </w:p>
    <w:p w14:paraId="21F2311B">
      <w:pPr>
        <w:rPr>
          <w:u w:val="none"/>
        </w:rPr>
      </w:pPr>
      <w:r>
        <w:rPr>
          <w:u w:val="none"/>
        </w:rPr>
        <w:t>绿色公交：在5</w:t>
      </w:r>
      <w:r>
        <w:rPr>
          <w:rFonts w:hint="eastAsia"/>
          <w:u w:val="none"/>
        </w:rPr>
        <w:t>—</w:t>
      </w:r>
      <w:r>
        <w:rPr>
          <w:u w:val="none"/>
        </w:rPr>
        <w:t>10年内公共汽车和出租车应逐步推广电动化。至2035年，万人公共交通车辆拥有量达到12标台以上，预计公交车总数达到120辆。</w:t>
      </w:r>
    </w:p>
    <w:p w14:paraId="736A940C">
      <w:pPr>
        <w:rPr>
          <w:u w:val="none"/>
        </w:rPr>
      </w:pPr>
      <w:r>
        <w:rPr>
          <w:u w:val="none"/>
        </w:rPr>
        <w:t>公交停靠站：结合路网同步建设站点设施配套，完善公交站台设施。公共汽车停靠站城区站距为500</w:t>
      </w:r>
      <w:r>
        <w:rPr>
          <w:rFonts w:hint="eastAsia"/>
          <w:u w:val="none"/>
        </w:rPr>
        <w:t>—</w:t>
      </w:r>
      <w:r>
        <w:rPr>
          <w:u w:val="none"/>
        </w:rPr>
        <w:t>800米，郊区站距为800</w:t>
      </w:r>
      <w:r>
        <w:rPr>
          <w:rFonts w:hint="eastAsia"/>
          <w:u w:val="none"/>
        </w:rPr>
        <w:t>—</w:t>
      </w:r>
      <w:r>
        <w:rPr>
          <w:u w:val="none"/>
        </w:rPr>
        <w:t>1000米。公共汽车停靠站采用港湾式布置，中心城区的港湾式停车站长度，至少应有2个停车位。</w:t>
      </w:r>
    </w:p>
    <w:p w14:paraId="2DBBF8A8">
      <w:pPr>
        <w:rPr>
          <w:u w:val="none"/>
        </w:rPr>
      </w:pPr>
      <w:r>
        <w:rPr>
          <w:u w:val="none"/>
        </w:rPr>
        <w:t>公交信息化：完善车辆运营调度与安全监控子系统，推行5G智慧公交线路。建立应急处理系统，完善公交“一卡通”系统，至2035年力争超过60%，同时增设IC卡数据的分析决策功能。</w:t>
      </w:r>
    </w:p>
    <w:p w14:paraId="14410FA2">
      <w:pPr>
        <w:rPr>
          <w:u w:val="none"/>
        </w:rPr>
      </w:pPr>
      <w:r>
        <w:rPr>
          <w:u w:val="none"/>
        </w:rPr>
        <w:t>公交首末站：根据现状公交线路的走向和用地布局确定一处首末站，设置于西岗片区二热源北侧。</w:t>
      </w:r>
    </w:p>
    <w:p w14:paraId="2473D49F">
      <w:pPr>
        <w:rPr>
          <w:u w:val="none"/>
        </w:rPr>
      </w:pPr>
      <w:r>
        <w:rPr>
          <w:u w:val="none"/>
        </w:rPr>
        <w:t>停保场站：规划新增公交停保场1处，与首末站统一设置。公交停保场应符合国家建设部城市公共交通场站设施建设标准，建设保养场、加油（气）站、洗车台等作业、办公区。</w:t>
      </w:r>
    </w:p>
    <w:p w14:paraId="42F389AC">
      <w:pPr>
        <w:pStyle w:val="5"/>
        <w:spacing w:before="120" w:after="120"/>
        <w:rPr>
          <w:snapToGrid w:val="0"/>
        </w:rPr>
      </w:pPr>
      <w:r>
        <w:rPr>
          <w:snapToGrid w:val="0"/>
        </w:rPr>
        <w:t>第</w:t>
      </w:r>
      <w:r>
        <w:rPr>
          <w:rFonts w:hint="eastAsia"/>
          <w:snapToGrid w:val="0"/>
        </w:rPr>
        <w:t>9</w:t>
      </w:r>
      <w:r>
        <w:rPr>
          <w:rFonts w:hint="eastAsia"/>
          <w:snapToGrid w:val="0"/>
          <w:lang w:val="en-US" w:eastAsia="zh-CN"/>
        </w:rPr>
        <w:t>3</w:t>
      </w:r>
      <w:r>
        <w:rPr>
          <w:snapToGrid w:val="0"/>
        </w:rPr>
        <w:t>条 静态交通设施布局</w:t>
      </w:r>
    </w:p>
    <w:p w14:paraId="014036A4">
      <w:pPr>
        <w:rPr>
          <w:u w:val="none"/>
        </w:rPr>
      </w:pPr>
      <w:r>
        <w:rPr>
          <w:u w:val="none"/>
        </w:rPr>
        <w:t>公共停车场：规划公共停车场结合服务中心和交通枢纽布置。</w:t>
      </w:r>
      <w:r>
        <w:rPr>
          <w:rFonts w:cs="仿宋"/>
          <w:u w:val="none"/>
        </w:rPr>
        <w:t>城市南外环西侧规划一处大车停车场，</w:t>
      </w:r>
      <w:r>
        <w:rPr>
          <w:u w:val="none"/>
        </w:rPr>
        <w:t>满足大车停车400辆左右；</w:t>
      </w:r>
      <w:r>
        <w:rPr>
          <w:rFonts w:cs="仿宋"/>
          <w:u w:val="none"/>
        </w:rPr>
        <w:t>规划其他公共停车场15处</w:t>
      </w:r>
      <w:r>
        <w:rPr>
          <w:u w:val="none"/>
        </w:rPr>
        <w:t>。</w:t>
      </w:r>
    </w:p>
    <w:p w14:paraId="446A190A">
      <w:pPr>
        <w:rPr>
          <w:u w:val="none"/>
        </w:rPr>
      </w:pPr>
      <w:r>
        <w:rPr>
          <w:u w:val="none"/>
        </w:rPr>
        <w:t>配建停车场：200</w:t>
      </w:r>
      <w:r>
        <w:rPr>
          <w:rFonts w:hint="eastAsia"/>
          <w:u w:val="none"/>
        </w:rPr>
        <w:t>—</w:t>
      </w:r>
      <w:r>
        <w:rPr>
          <w:u w:val="none"/>
        </w:rPr>
        <w:t>300米范围内没有公共停车场的公共建筑应严格执行国家或本地停车配建标准要求，建设相应数量的停车位或停车场。</w:t>
      </w:r>
    </w:p>
    <w:p w14:paraId="6DCB635C">
      <w:pPr>
        <w:rPr>
          <w:u w:val="none"/>
        </w:rPr>
      </w:pPr>
      <w:r>
        <w:rPr>
          <w:u w:val="none"/>
        </w:rPr>
        <w:t>路内停车：路内停车泊位不得超过泊位供给总量的15%。设置路内临时占道车位区域及时完善标志标线，制定临时设置路内停车位的效益评估和退出机制，在不同时间内动态调节，有效补充城市机动车停车位供给。</w:t>
      </w:r>
    </w:p>
    <w:p w14:paraId="49AA35BD">
      <w:pPr>
        <w:rPr>
          <w:u w:val="none"/>
        </w:rPr>
      </w:pPr>
      <w:r>
        <w:rPr>
          <w:u w:val="none"/>
        </w:rPr>
        <w:t>新能源汽车充电桩：结合公共停车场，配建电动汽车充电设施和预留安装条件，并加强监管，推动形成布线合理、接电方便、用电安全、智能高效的充电设施体系。</w:t>
      </w:r>
    </w:p>
    <w:p w14:paraId="65D47733">
      <w:pPr>
        <w:pStyle w:val="5"/>
        <w:spacing w:before="120" w:after="120"/>
        <w:rPr>
          <w:snapToGrid w:val="0"/>
        </w:rPr>
      </w:pPr>
      <w:r>
        <w:rPr>
          <w:rFonts w:hint="eastAsia"/>
          <w:snapToGrid w:val="0"/>
        </w:rPr>
        <w:t>第9</w:t>
      </w:r>
      <w:r>
        <w:rPr>
          <w:rFonts w:hint="eastAsia"/>
          <w:snapToGrid w:val="0"/>
          <w:lang w:val="en-US" w:eastAsia="zh-CN"/>
        </w:rPr>
        <w:t>4</w:t>
      </w:r>
      <w:r>
        <w:rPr>
          <w:rFonts w:hint="eastAsia"/>
          <w:snapToGrid w:val="0"/>
        </w:rPr>
        <w:t>条 慢行交通系统</w:t>
      </w:r>
    </w:p>
    <w:p w14:paraId="783BCA41">
      <w:pPr>
        <w:rPr>
          <w:u w:val="none"/>
        </w:rPr>
      </w:pPr>
      <w:bookmarkStart w:id="322" w:name="_Toc28378"/>
      <w:r>
        <w:rPr>
          <w:u w:val="none"/>
        </w:rPr>
        <w:t>1.自行车慢行系统</w:t>
      </w:r>
    </w:p>
    <w:p w14:paraId="5AC4B574">
      <w:pPr>
        <w:rPr>
          <w:u w:val="none"/>
        </w:rPr>
      </w:pPr>
      <w:r>
        <w:rPr>
          <w:u w:val="none"/>
        </w:rPr>
        <w:t>（1）穆棱河沿线、环五虎山自行车专用通道和自行车绿道等；</w:t>
      </w:r>
    </w:p>
    <w:p w14:paraId="2DF12663">
      <w:pPr>
        <w:rPr>
          <w:u w:val="none"/>
        </w:rPr>
      </w:pPr>
      <w:r>
        <w:rPr>
          <w:u w:val="none"/>
        </w:rPr>
        <w:t>（2）沿城市主干路、市场路至西大沟的商业步行街等，通过管理手段、铺装差异等措施设置自行车道，保障通达主要节点的便利性。从而构建虎林市中心城区“一廊两环”的自行车慢行系统：</w:t>
      </w:r>
    </w:p>
    <w:p w14:paraId="3BCCE8B2">
      <w:pPr>
        <w:rPr>
          <w:u w:val="none"/>
        </w:rPr>
      </w:pPr>
      <w:r>
        <w:rPr>
          <w:u w:val="none"/>
        </w:rPr>
        <w:t>一廊：穆棱河沿线自行车慢行廊道；</w:t>
      </w:r>
    </w:p>
    <w:p w14:paraId="0E7BF1D0">
      <w:pPr>
        <w:rPr>
          <w:u w:val="none"/>
        </w:rPr>
      </w:pPr>
      <w:r>
        <w:rPr>
          <w:u w:val="none"/>
        </w:rPr>
        <w:t>两环：分别为外环路生态景观慢行环路，铁北解放街</w:t>
      </w:r>
      <w:r>
        <w:rPr>
          <w:rFonts w:hint="eastAsia"/>
          <w:u w:val="none"/>
        </w:rPr>
        <w:t>—</w:t>
      </w:r>
      <w:r>
        <w:rPr>
          <w:u w:val="none"/>
        </w:rPr>
        <w:t>三小东路</w:t>
      </w:r>
      <w:r>
        <w:rPr>
          <w:rFonts w:hint="eastAsia"/>
          <w:u w:val="none"/>
        </w:rPr>
        <w:t>—</w:t>
      </w:r>
      <w:r>
        <w:rPr>
          <w:u w:val="none"/>
        </w:rPr>
        <w:t>北兴街</w:t>
      </w:r>
      <w:r>
        <w:rPr>
          <w:rFonts w:hint="eastAsia"/>
          <w:u w:val="none"/>
        </w:rPr>
        <w:t>—</w:t>
      </w:r>
      <w:r>
        <w:rPr>
          <w:u w:val="none"/>
        </w:rPr>
        <w:t>西岗路的多元景观慢行环路。</w:t>
      </w:r>
    </w:p>
    <w:p w14:paraId="42054518">
      <w:pPr>
        <w:rPr>
          <w:u w:val="none"/>
        </w:rPr>
      </w:pPr>
      <w:r>
        <w:rPr>
          <w:u w:val="none"/>
        </w:rPr>
        <w:t>2.步行系统</w:t>
      </w:r>
    </w:p>
    <w:p w14:paraId="38D8AE41">
      <w:pPr>
        <w:rPr>
          <w:u w:val="none"/>
        </w:rPr>
      </w:pPr>
      <w:r>
        <w:rPr>
          <w:u w:val="none"/>
        </w:rPr>
        <w:t>（1）沿西大沟等河道水渠岸线、生态郊野边界、城市公园、社区绿地、市场路至西大沟商业步行街等开敞空间设置重要步行通道。</w:t>
      </w:r>
    </w:p>
    <w:p w14:paraId="3EF65CDB">
      <w:pPr>
        <w:rPr>
          <w:u w:val="none"/>
        </w:rPr>
      </w:pPr>
      <w:r>
        <w:rPr>
          <w:u w:val="none"/>
        </w:rPr>
        <w:t>（2）沿北兴街、解放街、东山路、平安路等城市主干道，打通片区步行通道。</w:t>
      </w:r>
    </w:p>
    <w:p w14:paraId="141688DF">
      <w:pPr>
        <w:rPr>
          <w:u w:val="none"/>
        </w:rPr>
      </w:pPr>
      <w:r>
        <w:rPr>
          <w:u w:val="none"/>
        </w:rPr>
        <w:t>（3）结合邮政路、学子路、政府路等城市次级道路和周边地块功能布置一般性步行通道。</w:t>
      </w:r>
    </w:p>
    <w:p w14:paraId="7E165AE8">
      <w:pPr>
        <w:rPr>
          <w:u w:val="none"/>
        </w:rPr>
      </w:pPr>
      <w:r>
        <w:rPr>
          <w:u w:val="none"/>
        </w:rPr>
        <w:t>打造老城片区与新区西岗片区独立的步行运动环。</w:t>
      </w:r>
    </w:p>
    <w:p w14:paraId="7AB1653C">
      <w:pPr>
        <w:rPr>
          <w:u w:val="none"/>
        </w:rPr>
      </w:pPr>
      <w:r>
        <w:rPr>
          <w:u w:val="none"/>
        </w:rPr>
        <w:t>西岗片区运动环线：西大沟带状公园</w:t>
      </w:r>
      <w:r>
        <w:rPr>
          <w:rFonts w:hint="eastAsia"/>
          <w:u w:val="none"/>
        </w:rPr>
        <w:t>—</w:t>
      </w:r>
      <w:r>
        <w:rPr>
          <w:u w:val="none"/>
        </w:rPr>
        <w:t>希望街</w:t>
      </w:r>
      <w:r>
        <w:rPr>
          <w:rFonts w:hint="eastAsia"/>
          <w:u w:val="none"/>
        </w:rPr>
        <w:t>—</w:t>
      </w:r>
      <w:r>
        <w:rPr>
          <w:u w:val="none"/>
        </w:rPr>
        <w:t>西岗公园</w:t>
      </w:r>
      <w:r>
        <w:rPr>
          <w:rFonts w:hint="eastAsia"/>
          <w:u w:val="none"/>
        </w:rPr>
        <w:t>—</w:t>
      </w:r>
      <w:r>
        <w:rPr>
          <w:u w:val="none"/>
        </w:rPr>
        <w:t>发展路（体育场馆）</w:t>
      </w:r>
      <w:r>
        <w:rPr>
          <w:rFonts w:hint="eastAsia"/>
          <w:u w:val="none"/>
        </w:rPr>
        <w:t>—</w:t>
      </w:r>
      <w:r>
        <w:rPr>
          <w:u w:val="none"/>
        </w:rPr>
        <w:t>市政府区域</w:t>
      </w:r>
      <w:r>
        <w:rPr>
          <w:rFonts w:hint="eastAsia"/>
          <w:u w:val="none"/>
        </w:rPr>
        <w:t>—</w:t>
      </w:r>
      <w:r>
        <w:rPr>
          <w:u w:val="none"/>
        </w:rPr>
        <w:t>西大沟带状公园；</w:t>
      </w:r>
    </w:p>
    <w:p w14:paraId="16D59CD0">
      <w:pPr>
        <w:rPr>
          <w:u w:val="none"/>
        </w:rPr>
      </w:pPr>
      <w:r>
        <w:rPr>
          <w:u w:val="none"/>
        </w:rPr>
        <w:t>老城片区运动环线：解放街（集中商业风貌）</w:t>
      </w:r>
      <w:r>
        <w:rPr>
          <w:rFonts w:hint="eastAsia"/>
          <w:u w:val="none"/>
        </w:rPr>
        <w:t>—</w:t>
      </w:r>
      <w:r>
        <w:rPr>
          <w:u w:val="none"/>
        </w:rPr>
        <w:t>东山路（东山公园沿线）</w:t>
      </w:r>
      <w:r>
        <w:rPr>
          <w:rFonts w:hint="eastAsia"/>
          <w:u w:val="none"/>
        </w:rPr>
        <w:t>—</w:t>
      </w:r>
      <w:r>
        <w:rPr>
          <w:u w:val="none"/>
        </w:rPr>
        <w:t>北兴街（文化中心、体育场）、平安路（希望公园）</w:t>
      </w:r>
      <w:r>
        <w:rPr>
          <w:rFonts w:hint="eastAsia"/>
          <w:u w:val="none"/>
        </w:rPr>
        <w:t>—</w:t>
      </w:r>
      <w:r>
        <w:rPr>
          <w:u w:val="none"/>
        </w:rPr>
        <w:t>解放街（站前区域）。</w:t>
      </w:r>
    </w:p>
    <w:p w14:paraId="7F467222">
      <w:pPr>
        <w:pStyle w:val="4"/>
        <w:widowControl w:val="0"/>
        <w:snapToGrid/>
        <w:spacing w:before="120" w:beforeLines="50" w:after="120" w:afterLines="50" w:line="600" w:lineRule="exact"/>
        <w:ind w:firstLine="0" w:firstLineChars="0"/>
        <w:rPr>
          <w:b w:val="0"/>
          <w:bCs w:val="0"/>
          <w:color w:val="auto"/>
          <w:u w:val="none"/>
        </w:rPr>
      </w:pPr>
      <w:bookmarkStart w:id="323" w:name="_Toc12250"/>
      <w:bookmarkStart w:id="324" w:name="_Toc181784465"/>
      <w:bookmarkStart w:id="325" w:name="_Toc21926"/>
      <w:bookmarkStart w:id="326" w:name="_Toc181784675"/>
      <w:bookmarkStart w:id="327" w:name="_Toc181784605"/>
      <w:bookmarkStart w:id="328" w:name="_Hlk181731452"/>
      <w:r>
        <w:rPr>
          <w:b w:val="0"/>
          <w:bCs w:val="0"/>
          <w:color w:val="auto"/>
          <w:u w:val="none"/>
        </w:rPr>
        <w:t>第</w:t>
      </w:r>
      <w:r>
        <w:rPr>
          <w:rFonts w:hint="eastAsia"/>
          <w:b w:val="0"/>
          <w:bCs w:val="0"/>
          <w:color w:val="auto"/>
          <w:u w:val="none"/>
        </w:rPr>
        <w:t>八</w:t>
      </w:r>
      <w:r>
        <w:rPr>
          <w:b w:val="0"/>
          <w:bCs w:val="0"/>
          <w:color w:val="auto"/>
          <w:u w:val="none"/>
        </w:rPr>
        <w:t xml:space="preserve">节 </w:t>
      </w:r>
      <w:bookmarkEnd w:id="323"/>
      <w:r>
        <w:rPr>
          <w:rFonts w:hint="eastAsia"/>
          <w:b w:val="0"/>
          <w:bCs w:val="0"/>
          <w:color w:val="auto"/>
          <w:u w:val="none"/>
        </w:rPr>
        <w:t>完善市政公用设施</w:t>
      </w:r>
      <w:bookmarkEnd w:id="324"/>
      <w:bookmarkEnd w:id="325"/>
      <w:bookmarkEnd w:id="326"/>
      <w:bookmarkEnd w:id="327"/>
    </w:p>
    <w:bookmarkEnd w:id="328"/>
    <w:p w14:paraId="06BCBB81">
      <w:pPr>
        <w:pStyle w:val="5"/>
        <w:spacing w:before="120" w:after="120"/>
        <w:rPr>
          <w:snapToGrid w:val="0"/>
        </w:rPr>
      </w:pPr>
      <w:r>
        <w:rPr>
          <w:snapToGrid w:val="0"/>
        </w:rPr>
        <w:t>第</w:t>
      </w:r>
      <w:r>
        <w:rPr>
          <w:rFonts w:hint="eastAsia"/>
          <w:snapToGrid w:val="0"/>
        </w:rPr>
        <w:t>9</w:t>
      </w:r>
      <w:r>
        <w:rPr>
          <w:rFonts w:hint="eastAsia"/>
          <w:snapToGrid w:val="0"/>
          <w:lang w:val="en-US" w:eastAsia="zh-CN"/>
        </w:rPr>
        <w:t>5</w:t>
      </w:r>
      <w:r>
        <w:rPr>
          <w:snapToGrid w:val="0"/>
        </w:rPr>
        <w:t>条 给水工程</w:t>
      </w:r>
    </w:p>
    <w:p w14:paraId="58EA8726">
      <w:pPr>
        <w:rPr>
          <w:u w:val="none"/>
        </w:rPr>
      </w:pPr>
      <w:r>
        <w:rPr>
          <w:u w:val="none"/>
        </w:rPr>
        <w:t>1.用水量预测</w:t>
      </w:r>
    </w:p>
    <w:p w14:paraId="05FB6103">
      <w:pPr>
        <w:rPr>
          <w:u w:val="none"/>
        </w:rPr>
      </w:pPr>
      <w:r>
        <w:rPr>
          <w:u w:val="none"/>
        </w:rPr>
        <w:t>（1）城市综合用水量</w:t>
      </w:r>
    </w:p>
    <w:p w14:paraId="779491C1">
      <w:pPr>
        <w:rPr>
          <w:u w:val="none"/>
        </w:rPr>
      </w:pPr>
      <w:r>
        <w:rPr>
          <w:u w:val="none"/>
        </w:rPr>
        <w:t>虎林市中心城区2025年总用水量为2.4万立方米/日；2035年总用水量为3.3万立方米/日。</w:t>
      </w:r>
    </w:p>
    <w:p w14:paraId="6A4471FD">
      <w:pPr>
        <w:rPr>
          <w:u w:val="none"/>
        </w:rPr>
      </w:pPr>
      <w:r>
        <w:rPr>
          <w:u w:val="none"/>
        </w:rPr>
        <w:t>（2）消防用水量</w:t>
      </w:r>
    </w:p>
    <w:p w14:paraId="66A871B8">
      <w:pPr>
        <w:rPr>
          <w:u w:val="none"/>
        </w:rPr>
      </w:pPr>
      <w:r>
        <w:rPr>
          <w:u w:val="none"/>
        </w:rPr>
        <w:t>消防用水按每次着火点为</w:t>
      </w:r>
      <w:r>
        <w:rPr>
          <w:rFonts w:hint="eastAsia"/>
          <w:u w:val="none"/>
        </w:rPr>
        <w:t>2</w:t>
      </w:r>
      <w:r>
        <w:rPr>
          <w:u w:val="none"/>
        </w:rPr>
        <w:t>处，火灾延续时间为</w:t>
      </w:r>
      <w:r>
        <w:rPr>
          <w:rFonts w:hint="eastAsia"/>
          <w:u w:val="none"/>
        </w:rPr>
        <w:t>2</w:t>
      </w:r>
      <w:r>
        <w:rPr>
          <w:u w:val="none"/>
        </w:rPr>
        <w:t>小时，消防用水流量为45升/秒，消防用水量为648立方米/日。</w:t>
      </w:r>
    </w:p>
    <w:p w14:paraId="2B42F573">
      <w:pPr>
        <w:rPr>
          <w:u w:val="none"/>
        </w:rPr>
      </w:pPr>
      <w:r>
        <w:rPr>
          <w:u w:val="none"/>
        </w:rPr>
        <w:t>2.水源地</w:t>
      </w:r>
    </w:p>
    <w:p w14:paraId="70054F07">
      <w:pPr>
        <w:rPr>
          <w:u w:val="none"/>
        </w:rPr>
      </w:pPr>
      <w:r>
        <w:rPr>
          <w:u w:val="none"/>
        </w:rPr>
        <w:t>规划选用原有水源地作为虎林市近、远期的城市供水水源。现有水源地建设10眼深井，取水量满足近、远期规划要求。</w:t>
      </w:r>
    </w:p>
    <w:p w14:paraId="1A66957B">
      <w:pPr>
        <w:rPr>
          <w:u w:val="none"/>
        </w:rPr>
      </w:pPr>
      <w:r>
        <w:rPr>
          <w:u w:val="none"/>
        </w:rPr>
        <w:t>3.净水厂</w:t>
      </w:r>
    </w:p>
    <w:p w14:paraId="07E7C2E4">
      <w:pPr>
        <w:rPr>
          <w:u w:val="none"/>
        </w:rPr>
      </w:pPr>
      <w:r>
        <w:rPr>
          <w:u w:val="none"/>
        </w:rPr>
        <w:t>规划在公安街以西、义和路以南新建净水厂1座，供水能力为2.0万立方米/日。</w:t>
      </w:r>
    </w:p>
    <w:p w14:paraId="7D596C33">
      <w:pPr>
        <w:rPr>
          <w:u w:val="none"/>
        </w:rPr>
      </w:pPr>
      <w:r>
        <w:rPr>
          <w:u w:val="none"/>
        </w:rPr>
        <w:t>4.配水管网</w:t>
      </w:r>
    </w:p>
    <w:p w14:paraId="7609D8CF">
      <w:pPr>
        <w:rPr>
          <w:u w:val="none"/>
        </w:rPr>
      </w:pPr>
      <w:r>
        <w:rPr>
          <w:u w:val="none"/>
        </w:rPr>
        <w:t>规划供水管网按照远期给水规模对城镇管网进行统一考虑。配水管网设计采用生活、生产、消防统一供水系统，管网采用环状网与枝状网相结合的方式布置。配水管网可采用分区配水系统。</w:t>
      </w:r>
    </w:p>
    <w:p w14:paraId="230F6CAA">
      <w:pPr>
        <w:rPr>
          <w:u w:val="none"/>
        </w:rPr>
      </w:pPr>
      <w:r>
        <w:rPr>
          <w:u w:val="none"/>
        </w:rPr>
        <w:t>5.水源地保护</w:t>
      </w:r>
    </w:p>
    <w:p w14:paraId="58AD8745">
      <w:pPr>
        <w:rPr>
          <w:u w:val="none"/>
        </w:rPr>
      </w:pPr>
      <w:r>
        <w:rPr>
          <w:rFonts w:hint="eastAsia"/>
          <w:u w:val="none"/>
        </w:rPr>
        <w:t>规划</w:t>
      </w:r>
      <w:r>
        <w:rPr>
          <w:u w:val="none"/>
        </w:rPr>
        <w:t>对虎林市中心城区饮用水水源地实行二级保护，规划水源地一级保护范围分别以每眼取水井为中心，100米为半径的10个圆形区域。水源地二级保护范围以10眼取水井外围井的外接多边形为边界，向外径向1000米所围成的多边形区域，北侧以穆棱河支流的南岸为界。</w:t>
      </w:r>
    </w:p>
    <w:p w14:paraId="5A1D4D73">
      <w:pPr>
        <w:rPr>
          <w:u w:val="none"/>
        </w:rPr>
      </w:pPr>
      <w:r>
        <w:rPr>
          <w:u w:val="none"/>
        </w:rPr>
        <w:t>6.节约用水</w:t>
      </w:r>
    </w:p>
    <w:p w14:paraId="652C1CDA">
      <w:pPr>
        <w:rPr>
          <w:u w:val="none"/>
        </w:rPr>
      </w:pPr>
      <w:r>
        <w:rPr>
          <w:u w:val="none"/>
        </w:rPr>
        <w:t>万元工业产值增加值用水量下降30%，工业用水重复利用率达到80%以上；城镇污水回用率达到60%以上；水功能区水质达标率100%。</w:t>
      </w:r>
    </w:p>
    <w:p w14:paraId="423A7989">
      <w:pPr>
        <w:pStyle w:val="5"/>
        <w:spacing w:before="120" w:after="120"/>
        <w:rPr>
          <w:snapToGrid w:val="0"/>
        </w:rPr>
      </w:pPr>
      <w:bookmarkStart w:id="329" w:name="_Hlk181731117"/>
      <w:r>
        <w:rPr>
          <w:snapToGrid w:val="0"/>
        </w:rPr>
        <w:t>第</w:t>
      </w:r>
      <w:r>
        <w:rPr>
          <w:rFonts w:hint="eastAsia"/>
          <w:snapToGrid w:val="0"/>
        </w:rPr>
        <w:t>9</w:t>
      </w:r>
      <w:r>
        <w:rPr>
          <w:rFonts w:hint="eastAsia"/>
          <w:snapToGrid w:val="0"/>
          <w:lang w:val="en-US" w:eastAsia="zh-CN"/>
        </w:rPr>
        <w:t>6</w:t>
      </w:r>
      <w:r>
        <w:rPr>
          <w:snapToGrid w:val="0"/>
        </w:rPr>
        <w:t>条 排水工程</w:t>
      </w:r>
    </w:p>
    <w:bookmarkEnd w:id="329"/>
    <w:p w14:paraId="291AB693">
      <w:pPr>
        <w:rPr>
          <w:u w:val="none"/>
        </w:rPr>
      </w:pPr>
      <w:r>
        <w:rPr>
          <w:u w:val="none"/>
        </w:rPr>
        <w:t>1.排水体制</w:t>
      </w:r>
    </w:p>
    <w:p w14:paraId="34A383E5">
      <w:pPr>
        <w:rPr>
          <w:u w:val="none"/>
        </w:rPr>
      </w:pPr>
      <w:r>
        <w:rPr>
          <w:u w:val="none"/>
        </w:rPr>
        <w:t>规划虎林市中心城区的合流制排水系统改造为分流制。其中老城区逐步改造为分流制，新建区均采用分流制。新建成后的污水系统将收纳城区全部污水，并输送到城市污水处理厂进行处理，以保护环境，防治水体污染，改善居住环境。雨水则由单独雨水系统收集后就近排入水体。</w:t>
      </w:r>
    </w:p>
    <w:p w14:paraId="7FC2E274">
      <w:pPr>
        <w:rPr>
          <w:u w:val="none"/>
        </w:rPr>
      </w:pPr>
      <w:r>
        <w:rPr>
          <w:u w:val="none"/>
        </w:rPr>
        <w:t>2.污水量预测</w:t>
      </w:r>
    </w:p>
    <w:p w14:paraId="38EF8768">
      <w:pPr>
        <w:rPr>
          <w:u w:val="none"/>
        </w:rPr>
      </w:pPr>
      <w:r>
        <w:rPr>
          <w:u w:val="none"/>
        </w:rPr>
        <w:t>虎林市中心城区污水集中处理率100%。</w:t>
      </w:r>
    </w:p>
    <w:p w14:paraId="5E31FE3F">
      <w:pPr>
        <w:rPr>
          <w:u w:val="none"/>
        </w:rPr>
      </w:pPr>
    </w:p>
    <w:p w14:paraId="4E86E86E">
      <w:pPr>
        <w:rPr>
          <w:u w:val="none"/>
        </w:rPr>
      </w:pPr>
    </w:p>
    <w:p w14:paraId="70A11C84">
      <w:pPr>
        <w:rPr>
          <w:u w:val="none"/>
        </w:rPr>
      </w:pPr>
      <w:r>
        <w:rPr>
          <w:u w:val="none"/>
        </w:rPr>
        <w:t>3.排水管网</w:t>
      </w:r>
    </w:p>
    <w:p w14:paraId="665D83B0">
      <w:pPr>
        <w:rPr>
          <w:u w:val="none"/>
        </w:rPr>
      </w:pPr>
      <w:r>
        <w:rPr>
          <w:u w:val="none"/>
        </w:rPr>
        <w:t>虎林市中心城区排水系统划分西沟区污水系统、中部区污水系统、东沟区污水系统，污水干管将城市污水送入城市污水处理厂。中心城区内的雨水经雨水管网经收集汇流后排入自然水体。</w:t>
      </w:r>
    </w:p>
    <w:p w14:paraId="76FAE364">
      <w:pPr>
        <w:rPr>
          <w:u w:val="none"/>
        </w:rPr>
      </w:pPr>
      <w:r>
        <w:rPr>
          <w:u w:val="none"/>
        </w:rPr>
        <w:t>4.污水处理厂</w:t>
      </w:r>
    </w:p>
    <w:p w14:paraId="50403D7F">
      <w:pPr>
        <w:rPr>
          <w:u w:val="none"/>
        </w:rPr>
      </w:pPr>
      <w:r>
        <w:rPr>
          <w:rFonts w:cs="仿宋"/>
          <w:u w:val="none"/>
        </w:rPr>
        <w:t>规划新建污水处理厂设计处理规模</w:t>
      </w:r>
      <w:r>
        <w:rPr>
          <w:u w:val="none"/>
        </w:rPr>
        <w:t>满足城市2035年的需求。污水经处理后达到国家《城镇污水处理厂污染物排放标准》（GB18918</w:t>
      </w:r>
      <w:r>
        <w:rPr>
          <w:rFonts w:hint="eastAsia"/>
          <w:u w:val="none"/>
        </w:rPr>
        <w:t>—</w:t>
      </w:r>
      <w:r>
        <w:rPr>
          <w:u w:val="none"/>
        </w:rPr>
        <w:t>2002）一级A标准后排放。</w:t>
      </w:r>
    </w:p>
    <w:p w14:paraId="590340A5">
      <w:pPr>
        <w:rPr>
          <w:u w:val="none"/>
        </w:rPr>
      </w:pPr>
      <w:r>
        <w:rPr>
          <w:u w:val="none"/>
        </w:rPr>
        <w:t>5.防涝工程</w:t>
      </w:r>
    </w:p>
    <w:p w14:paraId="6B13C55B">
      <w:pPr>
        <w:rPr>
          <w:u w:val="none"/>
        </w:rPr>
      </w:pPr>
      <w:r>
        <w:rPr>
          <w:u w:val="none"/>
        </w:rPr>
        <w:t>规划虎林市中心城区雨水管网规划设计重现期采用2年一遇；内涝防治设计重现期为20年一遇。</w:t>
      </w:r>
    </w:p>
    <w:p w14:paraId="61E1A493">
      <w:pPr>
        <w:rPr>
          <w:u w:val="none"/>
        </w:rPr>
      </w:pPr>
      <w:r>
        <w:rPr>
          <w:u w:val="none"/>
        </w:rPr>
        <w:t>在发生超标雨水时，城市南部可以利用道路作为行泄通道，城市北部的超标雨水可先进入到东大沟和西大沟，以东大沟和西大沟及周边绿地作为行泄通道。规划采用蓄、渗、净、排相结合的措施，构建可持续的城市排水系统。</w:t>
      </w:r>
    </w:p>
    <w:p w14:paraId="64B511D8">
      <w:pPr>
        <w:rPr>
          <w:u w:val="none"/>
        </w:rPr>
      </w:pPr>
      <w:r>
        <w:rPr>
          <w:u w:val="none"/>
        </w:rPr>
        <w:t>6.污泥处理</w:t>
      </w:r>
    </w:p>
    <w:p w14:paraId="64AE1E8A">
      <w:pPr>
        <w:rPr>
          <w:u w:val="none"/>
        </w:rPr>
      </w:pPr>
      <w:r>
        <w:rPr>
          <w:u w:val="none"/>
        </w:rPr>
        <w:t>规划远期对污泥处理厂扩建，使远期污泥处理规模达到60吨污泥/天，污泥处理范围包括虎林市中心城区、6个农场、8个乡镇、2个林业局污水处理厂产生的污泥。</w:t>
      </w:r>
    </w:p>
    <w:p w14:paraId="7BC822BE">
      <w:pPr>
        <w:rPr>
          <w:u w:val="none"/>
        </w:rPr>
      </w:pPr>
    </w:p>
    <w:p w14:paraId="1EDD7059">
      <w:pPr>
        <w:rPr>
          <w:u w:val="none"/>
        </w:rPr>
      </w:pPr>
    </w:p>
    <w:p w14:paraId="41F042F5">
      <w:pPr>
        <w:rPr>
          <w:u w:val="none"/>
        </w:rPr>
      </w:pPr>
      <w:r>
        <w:rPr>
          <w:u w:val="none"/>
        </w:rPr>
        <w:t>7.再生水综合利用</w:t>
      </w:r>
    </w:p>
    <w:p w14:paraId="179CC192">
      <w:pPr>
        <w:rPr>
          <w:u w:val="none"/>
        </w:rPr>
      </w:pPr>
      <w:r>
        <w:rPr>
          <w:u w:val="none"/>
        </w:rPr>
        <w:t>规划在新建污水处理厂南侧建设再生水回用装置。进入污水处理厂的污水除少量废水随污泥带走外，其余基本可回用，规划回用系统再生水回用率远期达到60%。</w:t>
      </w:r>
    </w:p>
    <w:p w14:paraId="3AA9BC45">
      <w:pPr>
        <w:rPr>
          <w:u w:val="none"/>
        </w:rPr>
      </w:pPr>
      <w:r>
        <w:rPr>
          <w:u w:val="none"/>
        </w:rPr>
        <w:t>中水回用系统出水水质达到《污水再生利用工程设计规范》规定的“再生水用作冷却用水的水质控制指标”及《城市污水再生利用</w:t>
      </w:r>
      <w:r>
        <w:rPr>
          <w:rFonts w:hint="eastAsia"/>
          <w:u w:val="none"/>
        </w:rPr>
        <w:t>—</w:t>
      </w:r>
      <w:r>
        <w:rPr>
          <w:u w:val="none"/>
        </w:rPr>
        <w:t>城市杂用水水质》相关要求。</w:t>
      </w:r>
    </w:p>
    <w:p w14:paraId="71A97290">
      <w:pPr>
        <w:pStyle w:val="5"/>
        <w:spacing w:before="120" w:after="120"/>
        <w:rPr>
          <w:snapToGrid w:val="0"/>
        </w:rPr>
      </w:pPr>
      <w:r>
        <w:rPr>
          <w:snapToGrid w:val="0"/>
        </w:rPr>
        <w:t>第</w:t>
      </w:r>
      <w:r>
        <w:rPr>
          <w:rFonts w:hint="eastAsia"/>
          <w:snapToGrid w:val="0"/>
        </w:rPr>
        <w:t>9</w:t>
      </w:r>
      <w:r>
        <w:rPr>
          <w:rFonts w:hint="eastAsia"/>
          <w:snapToGrid w:val="0"/>
          <w:lang w:val="en-US" w:eastAsia="zh-CN"/>
        </w:rPr>
        <w:t>7</w:t>
      </w:r>
      <w:r>
        <w:rPr>
          <w:snapToGrid w:val="0"/>
        </w:rPr>
        <w:t>条 电力工程</w:t>
      </w:r>
    </w:p>
    <w:p w14:paraId="6CA3E31B">
      <w:pPr>
        <w:rPr>
          <w:u w:val="none"/>
        </w:rPr>
      </w:pPr>
      <w:r>
        <w:rPr>
          <w:u w:val="none"/>
        </w:rPr>
        <w:t>1.建设目标</w:t>
      </w:r>
    </w:p>
    <w:p w14:paraId="5B20B924">
      <w:pPr>
        <w:keepNext w:val="0"/>
        <w:keepLines w:val="0"/>
        <w:pageBreakBefore w:val="0"/>
        <w:widowControl w:val="0"/>
        <w:kinsoku/>
        <w:wordWrap/>
        <w:overflowPunct/>
        <w:topLinePunct w:val="0"/>
        <w:autoSpaceDE/>
        <w:autoSpaceDN/>
        <w:bidi w:val="0"/>
        <w:adjustRightInd/>
        <w:snapToGrid w:val="0"/>
        <w:textAlignment w:val="auto"/>
        <w:rPr>
          <w:u w:val="none"/>
        </w:rPr>
      </w:pPr>
      <w:r>
        <w:rPr>
          <w:u w:val="none"/>
        </w:rPr>
        <w:t>规划期末虎林市中心城区电网停电时间大幅降低；供电可靠率达到99.96%，综合电压合格率提升至99.91%，66千伏线损率下降至5.01%，C类供电区10千伏线路N</w:t>
      </w:r>
      <w:r>
        <w:rPr>
          <w:rFonts w:hint="eastAsia"/>
          <w:u w:val="none"/>
        </w:rPr>
        <w:t>—</w:t>
      </w:r>
      <w:r>
        <w:rPr>
          <w:u w:val="none"/>
        </w:rPr>
        <w:t>1通过率达到100%，线路转供能力全面提升。</w:t>
      </w:r>
    </w:p>
    <w:p w14:paraId="4A2F75ED">
      <w:pPr>
        <w:rPr>
          <w:u w:val="none"/>
        </w:rPr>
      </w:pPr>
      <w:r>
        <w:rPr>
          <w:u w:val="none"/>
        </w:rPr>
        <w:t>2.用电量负荷预测</w:t>
      </w:r>
    </w:p>
    <w:p w14:paraId="6ABA373E">
      <w:pPr>
        <w:rPr>
          <w:u w:val="none"/>
        </w:rPr>
      </w:pPr>
      <w:r>
        <w:rPr>
          <w:u w:val="none"/>
        </w:rPr>
        <w:t>2025年虎林市中心城区全社会用电量为1.65亿千瓦时，2035年虎林市中心城区全社会用电量为1.92亿千瓦时。2025年虎林市中心城区全社会最大负荷为38.64兆瓦，2035年虎林市中心城区全社会最大负荷为45兆瓦。</w:t>
      </w:r>
    </w:p>
    <w:p w14:paraId="401FE8BD">
      <w:pPr>
        <w:rPr>
          <w:u w:val="none"/>
        </w:rPr>
      </w:pPr>
    </w:p>
    <w:p w14:paraId="437E8655">
      <w:pPr>
        <w:rPr>
          <w:u w:val="none"/>
        </w:rPr>
      </w:pPr>
    </w:p>
    <w:p w14:paraId="1B3208EA">
      <w:pPr>
        <w:rPr>
          <w:u w:val="none"/>
        </w:rPr>
      </w:pPr>
    </w:p>
    <w:p w14:paraId="3FD8A44D">
      <w:pPr>
        <w:rPr>
          <w:u w:val="none"/>
        </w:rPr>
      </w:pPr>
      <w:r>
        <w:rPr>
          <w:u w:val="none"/>
        </w:rPr>
        <w:t>3.电源电网</w:t>
      </w:r>
    </w:p>
    <w:p w14:paraId="35444C77">
      <w:pPr>
        <w:rPr>
          <w:u w:val="none"/>
        </w:rPr>
      </w:pPr>
      <w:r>
        <w:rPr>
          <w:u w:val="none"/>
        </w:rPr>
        <w:t>（1）66千伏线路走廊宽度为15</w:t>
      </w:r>
      <w:r>
        <w:rPr>
          <w:rFonts w:hint="eastAsia"/>
          <w:u w:val="none"/>
        </w:rPr>
        <w:t>—</w:t>
      </w:r>
      <w:r>
        <w:rPr>
          <w:u w:val="none"/>
        </w:rPr>
        <w:t>25米，220千伏线路走廊宽度为30</w:t>
      </w:r>
      <w:r>
        <w:rPr>
          <w:rFonts w:hint="eastAsia"/>
          <w:u w:val="none"/>
        </w:rPr>
        <w:t>—</w:t>
      </w:r>
      <w:r>
        <w:rPr>
          <w:u w:val="none"/>
        </w:rPr>
        <w:t>40米，500千伏线路走廊宽度为60</w:t>
      </w:r>
      <w:r>
        <w:rPr>
          <w:rFonts w:hint="eastAsia"/>
          <w:u w:val="none"/>
        </w:rPr>
        <w:t>—</w:t>
      </w:r>
      <w:r>
        <w:rPr>
          <w:u w:val="none"/>
        </w:rPr>
        <w:t>75米，全线装设防震锤，安装光纤通讯线路。</w:t>
      </w:r>
    </w:p>
    <w:p w14:paraId="287F0BC4">
      <w:pPr>
        <w:rPr>
          <w:u w:val="none"/>
        </w:rPr>
      </w:pPr>
      <w:r>
        <w:rPr>
          <w:u w:val="none"/>
        </w:rPr>
        <w:t>（2）变电站10千伏线路廊道、电缆沟槽优化整理，满足10千伏电网对重要用户、新能源及分布式电源接入等项目需求。</w:t>
      </w:r>
    </w:p>
    <w:p w14:paraId="1AD502FB">
      <w:pPr>
        <w:rPr>
          <w:u w:val="none"/>
        </w:rPr>
      </w:pPr>
      <w:r>
        <w:rPr>
          <w:u w:val="none"/>
        </w:rPr>
        <w:t>（3）在10千伏线路规划过程中已经把线路正常运行时的负载率和接线模式按“N</w:t>
      </w:r>
      <w:r>
        <w:rPr>
          <w:rFonts w:hint="eastAsia"/>
          <w:u w:val="none"/>
        </w:rPr>
        <w:t>—</w:t>
      </w:r>
      <w:r>
        <w:rPr>
          <w:u w:val="none"/>
        </w:rPr>
        <w:t>1”准则进行综合考虑，例如“手拉手”接线模式中每条线路的负载率不超过50%，分段两联络接线模式中每条线路的负载率不超过67%，分段三联络接线模式中每条线路的负载率不超过75%。一条线路故障时，与之联络的线路均能够转带全部负荷且不会出现过负载的问题。城区除部分用户直供的单辐射线路外，其余线路均满足“N</w:t>
      </w:r>
      <w:r>
        <w:rPr>
          <w:rFonts w:hint="eastAsia"/>
          <w:u w:val="none"/>
        </w:rPr>
        <w:t>—</w:t>
      </w:r>
      <w:r>
        <w:rPr>
          <w:u w:val="none"/>
        </w:rPr>
        <w:t>1”校验要求。</w:t>
      </w:r>
    </w:p>
    <w:p w14:paraId="63129E85">
      <w:pPr>
        <w:rPr>
          <w:u w:val="none"/>
        </w:rPr>
      </w:pPr>
      <w:r>
        <w:rPr>
          <w:u w:val="none"/>
        </w:rPr>
        <w:t>（4）中低压配电网：0.4千伏以下线路供电半径控制在300</w:t>
      </w:r>
      <w:r>
        <w:rPr>
          <w:rFonts w:hint="eastAsia"/>
          <w:u w:val="none"/>
        </w:rPr>
        <w:t>—</w:t>
      </w:r>
      <w:r>
        <w:rPr>
          <w:u w:val="none"/>
        </w:rPr>
        <w:t>500米。考虑到中心城区实际，近期城区10千伏线路仍以架空敷设为主，在变电站出线等线路较密集的地段，可采用电缆直埋敷设；远期依据中心城区建设发展的实际，在中心区域和景观地带沿非机动车道或绿化带埋地敷设，其余地区以架空为主。</w:t>
      </w:r>
    </w:p>
    <w:p w14:paraId="764E6CB9">
      <w:pPr>
        <w:pStyle w:val="5"/>
        <w:spacing w:before="120" w:after="120"/>
        <w:rPr>
          <w:snapToGrid w:val="0"/>
        </w:rPr>
      </w:pPr>
      <w:r>
        <w:rPr>
          <w:snapToGrid w:val="0"/>
        </w:rPr>
        <w:t>第</w:t>
      </w:r>
      <w:r>
        <w:rPr>
          <w:rFonts w:hint="eastAsia"/>
          <w:snapToGrid w:val="0"/>
        </w:rPr>
        <w:t>9</w:t>
      </w:r>
      <w:r>
        <w:rPr>
          <w:rFonts w:hint="eastAsia"/>
          <w:snapToGrid w:val="0"/>
          <w:lang w:val="en-US" w:eastAsia="zh-CN"/>
        </w:rPr>
        <w:t>8</w:t>
      </w:r>
      <w:r>
        <w:rPr>
          <w:snapToGrid w:val="0"/>
        </w:rPr>
        <w:t>条 通信工程</w:t>
      </w:r>
    </w:p>
    <w:p w14:paraId="588F70A9">
      <w:pPr>
        <w:rPr>
          <w:u w:val="none"/>
        </w:rPr>
      </w:pPr>
      <w:r>
        <w:rPr>
          <w:u w:val="none"/>
        </w:rPr>
        <w:t>1.无线宽带网络</w:t>
      </w:r>
    </w:p>
    <w:p w14:paraId="5E5C0EF3">
      <w:pPr>
        <w:rPr>
          <w:u w:val="none"/>
        </w:rPr>
      </w:pPr>
      <w:r>
        <w:rPr>
          <w:u w:val="none"/>
        </w:rPr>
        <w:t>到2025年，4G覆盖率达到98%峰值下载速率达到10兆比特/秒；在有业务需求的发达地区规划，部署5G网络，下载速率达到1千兆比特/秒。</w:t>
      </w:r>
    </w:p>
    <w:p w14:paraId="00E77CE0">
      <w:pPr>
        <w:rPr>
          <w:u w:val="none"/>
        </w:rPr>
      </w:pPr>
      <w:r>
        <w:rPr>
          <w:u w:val="none"/>
        </w:rPr>
        <w:t>到2035年，5G覆盖率达到95%以上，峰值下载速率超过1兆比特/秒；在有业务需求的地区规划部署高频段5G网络，热点区域下载速率可达到10千兆比特/秒。</w:t>
      </w:r>
    </w:p>
    <w:p w14:paraId="3D45BE7A">
      <w:pPr>
        <w:rPr>
          <w:u w:val="none"/>
        </w:rPr>
      </w:pPr>
      <w:r>
        <w:rPr>
          <w:u w:val="none"/>
        </w:rPr>
        <w:t>2.有线宽带网络</w:t>
      </w:r>
    </w:p>
    <w:p w14:paraId="029CF5B3">
      <w:pPr>
        <w:rPr>
          <w:u w:val="none"/>
        </w:rPr>
      </w:pPr>
      <w:r>
        <w:rPr>
          <w:u w:val="none"/>
        </w:rPr>
        <w:t>到2025年，基本建成覆盖农村地区家庭和政企的全光接入网络，全面具备百兆接入能力，满足千兆需求。FTTH家庭覆盖率达到95%以上，全面具备百兆接入能力，试点部署10GPON技术，按需提供千兆服务；推进部署智能家庭网络，满足客户大带宽，差异化服务需求。</w:t>
      </w:r>
    </w:p>
    <w:p w14:paraId="61FB3F01">
      <w:pPr>
        <w:rPr>
          <w:u w:val="none"/>
        </w:rPr>
      </w:pPr>
      <w:r>
        <w:rPr>
          <w:u w:val="none"/>
        </w:rPr>
        <w:t>到2035年，全面建成涵盖乡镇、农村地区、家庭和政企以及家庭终端的端到端智能光网络，全面具备千兆接入能力，满足万兆需求。中心城区的智能家庭覆盖率达到95%以上，满足千兆接入能力和万兆接入需求，按需提供由用户自定义的带宽和服务。</w:t>
      </w:r>
    </w:p>
    <w:p w14:paraId="4F4AC573">
      <w:pPr>
        <w:rPr>
          <w:u w:val="none"/>
        </w:rPr>
      </w:pPr>
      <w:r>
        <w:rPr>
          <w:u w:val="none"/>
        </w:rPr>
        <w:t>3.移动电话预测</w:t>
      </w:r>
    </w:p>
    <w:p w14:paraId="09FD24D7">
      <w:pPr>
        <w:rPr>
          <w:u w:val="none"/>
        </w:rPr>
      </w:pPr>
      <w:r>
        <w:rPr>
          <w:u w:val="none"/>
        </w:rPr>
        <w:t>规划期末移动电话拥有量为9.5万部</w:t>
      </w:r>
      <w:r>
        <w:rPr>
          <w:rFonts w:hint="eastAsia"/>
          <w:u w:val="none"/>
        </w:rPr>
        <w:t>—</w:t>
      </w:r>
      <w:r>
        <w:rPr>
          <w:u w:val="none"/>
        </w:rPr>
        <w:t>11万部。</w:t>
      </w:r>
    </w:p>
    <w:p w14:paraId="2F3963D0">
      <w:pPr>
        <w:rPr>
          <w:u w:val="none"/>
        </w:rPr>
      </w:pPr>
      <w:r>
        <w:rPr>
          <w:u w:val="none"/>
        </w:rPr>
        <w:t>4.电信线路</w:t>
      </w:r>
    </w:p>
    <w:p w14:paraId="0634B8D6">
      <w:pPr>
        <w:rPr>
          <w:u w:val="none"/>
        </w:rPr>
      </w:pPr>
      <w:r>
        <w:rPr>
          <w:u w:val="none"/>
        </w:rPr>
        <w:t>规划进入虎林市电信线路均采用电信电缆管沟及直埋方式敷设，埋深在</w:t>
      </w:r>
      <w:r>
        <w:rPr>
          <w:rFonts w:hint="eastAsia"/>
          <w:u w:val="none"/>
        </w:rPr>
        <w:t>—</w:t>
      </w:r>
      <w:r>
        <w:rPr>
          <w:u w:val="none"/>
        </w:rPr>
        <w:t>0.7米以下，过道路及广场均穿镀锌钢管保护。越桥梁时在桥两侧人行道下用硬塑料管保护。电信线路全部采用通信光缆，引入引出光缆芯数及排孔规格由电信部门确定。</w:t>
      </w:r>
    </w:p>
    <w:p w14:paraId="51C81EFE">
      <w:pPr>
        <w:pStyle w:val="5"/>
        <w:spacing w:before="120" w:after="120"/>
        <w:rPr>
          <w:snapToGrid w:val="0"/>
        </w:rPr>
      </w:pPr>
      <w:r>
        <w:rPr>
          <w:snapToGrid w:val="0"/>
        </w:rPr>
        <w:t>第</w:t>
      </w:r>
      <w:r>
        <w:rPr>
          <w:rFonts w:hint="eastAsia"/>
          <w:snapToGrid w:val="0"/>
        </w:rPr>
        <w:t>9</w:t>
      </w:r>
      <w:r>
        <w:rPr>
          <w:rFonts w:hint="eastAsia"/>
          <w:snapToGrid w:val="0"/>
          <w:lang w:val="en-US" w:eastAsia="zh-CN"/>
        </w:rPr>
        <w:t>9</w:t>
      </w:r>
      <w:r>
        <w:rPr>
          <w:snapToGrid w:val="0"/>
        </w:rPr>
        <w:t>条 供热工程</w:t>
      </w:r>
    </w:p>
    <w:p w14:paraId="613FAA93">
      <w:pPr>
        <w:rPr>
          <w:u w:val="none"/>
        </w:rPr>
      </w:pPr>
      <w:r>
        <w:rPr>
          <w:u w:val="none"/>
        </w:rPr>
        <w:t>1.供热负荷预测</w:t>
      </w:r>
    </w:p>
    <w:p w14:paraId="1A97AE35">
      <w:pPr>
        <w:rPr>
          <w:u w:val="none"/>
        </w:rPr>
      </w:pPr>
      <w:r>
        <w:rPr>
          <w:u w:val="none"/>
        </w:rPr>
        <w:t>规划2035年虎林市中心城区集中供热面积</w:t>
      </w:r>
      <w:r>
        <w:rPr>
          <w:rFonts w:hint="eastAsia"/>
          <w:u w:val="none"/>
        </w:rPr>
        <w:t>满足规划期末要求</w:t>
      </w:r>
      <w:r>
        <w:rPr>
          <w:u w:val="none"/>
        </w:rPr>
        <w:t>。</w:t>
      </w:r>
    </w:p>
    <w:p w14:paraId="1E34D49D">
      <w:pPr>
        <w:rPr>
          <w:u w:val="none"/>
        </w:rPr>
      </w:pPr>
      <w:r>
        <w:rPr>
          <w:u w:val="none"/>
        </w:rPr>
        <w:t>2.热源</w:t>
      </w:r>
    </w:p>
    <w:p w14:paraId="3291E57A">
      <w:pPr>
        <w:rPr>
          <w:u w:val="none"/>
        </w:rPr>
      </w:pPr>
      <w:r>
        <w:rPr>
          <w:u w:val="none"/>
        </w:rPr>
        <w:t>第一、第二热电厂现有供热能力可以满足远期供热需求，不再扩建。规划第三热电厂位于市区东部，新建3×65吨/时中温中压生物质锅炉，配套建设2台12兆瓦抽汽式汽轮机，以满足东部第三供热分区新增用户需求。</w:t>
      </w:r>
    </w:p>
    <w:p w14:paraId="4AD64CCB">
      <w:pPr>
        <w:rPr>
          <w:u w:val="none"/>
        </w:rPr>
      </w:pPr>
      <w:r>
        <w:rPr>
          <w:u w:val="none"/>
        </w:rPr>
        <w:t>3.供热管网</w:t>
      </w:r>
    </w:p>
    <w:p w14:paraId="1751606E">
      <w:pPr>
        <w:rPr>
          <w:u w:val="none"/>
        </w:rPr>
      </w:pPr>
      <w:r>
        <w:rPr>
          <w:u w:val="none"/>
        </w:rPr>
        <w:t>规划热水管网采用一供一回的双管制，采用枝状管网形式，供回水温度为75/55℃，供热管网采用直埋保温敷设。</w:t>
      </w:r>
    </w:p>
    <w:p w14:paraId="5C2E9DD3">
      <w:pPr>
        <w:pStyle w:val="2"/>
        <w:rPr>
          <w:u w:val="none"/>
        </w:rPr>
      </w:pPr>
    </w:p>
    <w:p w14:paraId="6CDED1EB"/>
    <w:p w14:paraId="1124D2B1">
      <w:pPr>
        <w:pStyle w:val="5"/>
        <w:spacing w:before="120" w:after="120"/>
        <w:rPr>
          <w:snapToGrid w:val="0"/>
        </w:rPr>
      </w:pPr>
      <w:r>
        <w:rPr>
          <w:snapToGrid w:val="0"/>
        </w:rPr>
        <w:t>第</w:t>
      </w:r>
      <w:r>
        <w:rPr>
          <w:rFonts w:hint="eastAsia"/>
          <w:snapToGrid w:val="0"/>
          <w:lang w:val="en-US" w:eastAsia="zh-CN"/>
        </w:rPr>
        <w:t>100</w:t>
      </w:r>
      <w:r>
        <w:rPr>
          <w:snapToGrid w:val="0"/>
        </w:rPr>
        <w:t>条 燃气工程</w:t>
      </w:r>
    </w:p>
    <w:p w14:paraId="79D50903">
      <w:pPr>
        <w:rPr>
          <w:u w:val="none"/>
        </w:rPr>
      </w:pPr>
      <w:r>
        <w:rPr>
          <w:u w:val="none"/>
        </w:rPr>
        <w:t>1.气源布局</w:t>
      </w:r>
    </w:p>
    <w:p w14:paraId="7E711A64">
      <w:pPr>
        <w:rPr>
          <w:u w:val="none"/>
        </w:rPr>
      </w:pPr>
      <w:r>
        <w:rPr>
          <w:u w:val="none"/>
        </w:rPr>
        <w:t>规划以天然气为虎林市中心城区供气主气源。虎林吉隆燃气有限公司的LNG来自大庆中瑞，可以保证LNG的供应，满足虎林市的用气需求。其他LNG气源可以作为后备气源。</w:t>
      </w:r>
    </w:p>
    <w:p w14:paraId="370E2147">
      <w:pPr>
        <w:rPr>
          <w:u w:val="none"/>
        </w:rPr>
      </w:pPr>
      <w:r>
        <w:rPr>
          <w:u w:val="none"/>
        </w:rPr>
        <w:t>规划远期管道天然气来自中俄远东线天然气管道。2022年2月中俄两国能源合作再进一步，签署了《中国石油天然气集团有限公司与俄罗斯天然气工业股份公司远东天然气购销协议》，这成为继中俄东线天然气管道之后能源领域的又一重大标志性合作，为我国实现双碳目标提供了新的保障。</w:t>
      </w:r>
    </w:p>
    <w:p w14:paraId="5F71A13A">
      <w:pPr>
        <w:rPr>
          <w:u w:val="none"/>
        </w:rPr>
      </w:pPr>
      <w:r>
        <w:rPr>
          <w:u w:val="none"/>
        </w:rPr>
        <w:t>中俄远东线将在虎林市入境，设有输气干线首站，在虎林市建设分输站预留一路出口，将管输气输送至虎林市</w:t>
      </w:r>
      <w:r>
        <w:rPr>
          <w:rFonts w:hint="eastAsia"/>
          <w:u w:val="none"/>
        </w:rPr>
        <w:t>，需预留区域性输气管线廊道</w:t>
      </w:r>
      <w:r>
        <w:rPr>
          <w:u w:val="none"/>
        </w:rPr>
        <w:t>。根据长输管线和分输站位置在城市西南侧建设门站，作为远期虎林市管网供气气源站，城区内的LNG气化站</w:t>
      </w:r>
      <w:r>
        <w:rPr>
          <w:rFonts w:hint="eastAsia"/>
          <w:u w:val="none"/>
        </w:rPr>
        <w:t>作为</w:t>
      </w:r>
      <w:r>
        <w:rPr>
          <w:u w:val="none"/>
        </w:rPr>
        <w:t>储备、应急气源，现有管网仍加以利用。长输管道建成前，仍用LNG为虎林市中心城区供气。</w:t>
      </w:r>
    </w:p>
    <w:p w14:paraId="1DC53F21">
      <w:pPr>
        <w:rPr>
          <w:u w:val="none"/>
        </w:rPr>
      </w:pPr>
      <w:r>
        <w:rPr>
          <w:u w:val="none"/>
        </w:rPr>
        <w:t>虎林市域内的液化石油气依靠外供，主要来自中石油昆仑燃气有限公司液化气哈尔滨分公司，黑龙江省内液化石油气气源丰富，可以保障充足的供应。</w:t>
      </w:r>
    </w:p>
    <w:p w14:paraId="26AEAA5A">
      <w:pPr>
        <w:rPr>
          <w:u w:val="none"/>
        </w:rPr>
      </w:pPr>
      <w:r>
        <w:rPr>
          <w:u w:val="none"/>
        </w:rPr>
        <w:t>2.燃气指标和供气规模</w:t>
      </w:r>
    </w:p>
    <w:p w14:paraId="348CF155">
      <w:pPr>
        <w:rPr>
          <w:u w:val="none"/>
        </w:rPr>
      </w:pPr>
      <w:r>
        <w:rPr>
          <w:u w:val="none"/>
        </w:rPr>
        <w:t>（1）气化率</w:t>
      </w:r>
    </w:p>
    <w:p w14:paraId="4DC75449">
      <w:pPr>
        <w:rPr>
          <w:u w:val="none"/>
        </w:rPr>
      </w:pPr>
      <w:r>
        <w:rPr>
          <w:u w:val="none"/>
        </w:rPr>
        <w:t>居民、商业、工业及L</w:t>
      </w:r>
      <w:r>
        <w:rPr>
          <w:rFonts w:hint="eastAsia"/>
          <w:u w:val="none"/>
        </w:rPr>
        <w:t>—</w:t>
      </w:r>
      <w:r>
        <w:rPr>
          <w:u w:val="none"/>
        </w:rPr>
        <w:t>CNG汽车用户。规划近期2025年居民用天然气管道气化率为40%，远期2035年居民天然气管道气化率为80%。对于远离管道燃气系统的区域以及没有条件使用管道燃气的用户仍采用瓶装液化石油气进行供气，气源站采用原有的液化石油气储配站。规划近期2025年居民液化石油气气化率为45%，远期2035年居民液化石油气气化率为15%。</w:t>
      </w:r>
    </w:p>
    <w:p w14:paraId="48367809">
      <w:pPr>
        <w:rPr>
          <w:u w:val="none"/>
        </w:rPr>
      </w:pPr>
      <w:r>
        <w:rPr>
          <w:u w:val="none"/>
        </w:rPr>
        <w:t>2025年居民用户总气化率为85%，2035年居民用户总气化率为95%。</w:t>
      </w:r>
    </w:p>
    <w:p w14:paraId="31E73D55">
      <w:pPr>
        <w:rPr>
          <w:u w:val="none"/>
        </w:rPr>
      </w:pPr>
      <w:r>
        <w:rPr>
          <w:u w:val="none"/>
        </w:rPr>
        <w:t>规划至2025年出租车改装率为50%；至2030年，考虑到电动汽车等新能源汽车的发展，出租车改装率确定为70%。</w:t>
      </w:r>
    </w:p>
    <w:p w14:paraId="396F63B6">
      <w:pPr>
        <w:rPr>
          <w:u w:val="none"/>
        </w:rPr>
      </w:pPr>
      <w:r>
        <w:rPr>
          <w:u w:val="none"/>
        </w:rPr>
        <w:t>（2）用气量预测</w:t>
      </w:r>
    </w:p>
    <w:p w14:paraId="73746C73">
      <w:pPr>
        <w:rPr>
          <w:u w:val="none"/>
        </w:rPr>
      </w:pPr>
      <w:r>
        <w:rPr>
          <w:u w:val="none"/>
        </w:rPr>
        <w:t>规划燃气近期用气量约为850万标方每小时，远期用气量约为1900万标方每小时。近期高峰小时用气量约为2500标方每小时，远期高峰小时用气量约为6200标方每小时。</w:t>
      </w:r>
    </w:p>
    <w:p w14:paraId="3370D9E4">
      <w:pPr>
        <w:rPr>
          <w:u w:val="none"/>
        </w:rPr>
      </w:pPr>
      <w:r>
        <w:rPr>
          <w:u w:val="none"/>
        </w:rPr>
        <w:t>规划奥德燃气近、远期供气量按居民用户和商业用户用气量总和的50%，吉隆燃气供应其余50%的居民用户和商业用户及全部工业用户。</w:t>
      </w:r>
    </w:p>
    <w:p w14:paraId="5ABFB489">
      <w:pPr>
        <w:rPr>
          <w:u w:val="none"/>
        </w:rPr>
      </w:pPr>
      <w:r>
        <w:rPr>
          <w:u w:val="none"/>
        </w:rPr>
        <w:t>3.供气站</w:t>
      </w:r>
    </w:p>
    <w:p w14:paraId="1BD4106D">
      <w:pPr>
        <w:rPr>
          <w:u w:val="none"/>
        </w:rPr>
      </w:pPr>
      <w:r>
        <w:rPr>
          <w:u w:val="none"/>
        </w:rPr>
        <w:t>（1）吉隆LNG气化站设计规模为3000标方每小时，可以满足供气区域各类用户用气需求。远期需对LNG气化站进行扩建，使其供气规模达到5000标方每小时，以满足各类用户的用气需求。</w:t>
      </w:r>
    </w:p>
    <w:p w14:paraId="087E9EE1">
      <w:pPr>
        <w:rPr>
          <w:u w:val="none"/>
        </w:rPr>
      </w:pPr>
      <w:r>
        <w:rPr>
          <w:u w:val="none"/>
        </w:rPr>
        <w:t>（2）奥德LNG气化站设计规模为5000标方每小时，现设计规模可以满足近、远期各类用户用气需求，无需进行改扩建。</w:t>
      </w:r>
    </w:p>
    <w:p w14:paraId="30D31977">
      <w:pPr>
        <w:rPr>
          <w:u w:val="none"/>
        </w:rPr>
      </w:pPr>
      <w:r>
        <w:rPr>
          <w:u w:val="none"/>
        </w:rPr>
        <w:t>4.输配设施</w:t>
      </w:r>
    </w:p>
    <w:p w14:paraId="2BB92976">
      <w:pPr>
        <w:rPr>
          <w:u w:val="none"/>
        </w:rPr>
      </w:pPr>
      <w:r>
        <w:rPr>
          <w:u w:val="none"/>
        </w:rPr>
        <w:t>规划近期仍采用LNG气化站供气，其主要工艺流程为：LNG气化站</w:t>
      </w:r>
      <w:r>
        <w:rPr>
          <w:rFonts w:hint="eastAsia"/>
          <w:u w:val="none"/>
        </w:rPr>
        <w:t>—</w:t>
      </w:r>
      <w:r>
        <w:rPr>
          <w:u w:val="none"/>
        </w:rPr>
        <w:t>〉中压管网</w:t>
      </w:r>
      <w:r>
        <w:rPr>
          <w:rFonts w:hint="eastAsia"/>
          <w:u w:val="none"/>
        </w:rPr>
        <w:t>—</w:t>
      </w:r>
      <w:r>
        <w:rPr>
          <w:u w:val="none"/>
        </w:rPr>
        <w:t>〉调压设施</w:t>
      </w:r>
      <w:r>
        <w:rPr>
          <w:rFonts w:hint="eastAsia"/>
          <w:u w:val="none"/>
        </w:rPr>
        <w:t>—</w:t>
      </w:r>
      <w:r>
        <w:rPr>
          <w:u w:val="none"/>
        </w:rPr>
        <w:t>〉用户。</w:t>
      </w:r>
    </w:p>
    <w:p w14:paraId="12501A73">
      <w:pPr>
        <w:rPr>
          <w:u w:val="none"/>
        </w:rPr>
      </w:pPr>
      <w:r>
        <w:rPr>
          <w:u w:val="none"/>
        </w:rPr>
        <w:t>远期虎林市燃气输配系统由输气管道、门站、LNG气化站（改为储气调峰站）、中压输配管网、调压设施、低压管网等组成，或LNG气化站、中压输配管网、调压设施、低压管网等组成。其主要工艺流程为：门站（LNG储气调峰站）</w:t>
      </w:r>
      <w:r>
        <w:rPr>
          <w:rFonts w:hint="eastAsia"/>
          <w:u w:val="none"/>
        </w:rPr>
        <w:t>—</w:t>
      </w:r>
      <w:r>
        <w:rPr>
          <w:u w:val="none"/>
        </w:rPr>
        <w:t>〉中压管网</w:t>
      </w:r>
      <w:r>
        <w:rPr>
          <w:rFonts w:hint="eastAsia"/>
          <w:u w:val="none"/>
        </w:rPr>
        <w:t>—</w:t>
      </w:r>
      <w:r>
        <w:rPr>
          <w:u w:val="none"/>
        </w:rPr>
        <w:t>〉调压设施</w:t>
      </w:r>
      <w:r>
        <w:rPr>
          <w:rFonts w:hint="eastAsia"/>
          <w:u w:val="none"/>
        </w:rPr>
        <w:t>—</w:t>
      </w:r>
      <w:r>
        <w:rPr>
          <w:u w:val="none"/>
        </w:rPr>
        <w:t>〉用户。</w:t>
      </w:r>
    </w:p>
    <w:p w14:paraId="064299C0">
      <w:pPr>
        <w:rPr>
          <w:u w:val="none"/>
        </w:rPr>
      </w:pPr>
      <w:r>
        <w:rPr>
          <w:u w:val="none"/>
        </w:rPr>
        <w:t>如长输管线天然气不能如期到来，则由LNG气化站继续为中压管网供气，天然气输配系统由LNG气化站、中压输配管网、调压设施、低压管网等组成。</w:t>
      </w:r>
    </w:p>
    <w:p w14:paraId="6A975C9D">
      <w:pPr>
        <w:rPr>
          <w:u w:val="none"/>
        </w:rPr>
      </w:pPr>
      <w:r>
        <w:rPr>
          <w:u w:val="none"/>
        </w:rPr>
        <w:t>5.输配管网</w:t>
      </w:r>
    </w:p>
    <w:p w14:paraId="1952E2C6">
      <w:pPr>
        <w:rPr>
          <w:u w:val="none"/>
        </w:rPr>
      </w:pPr>
      <w:r>
        <w:rPr>
          <w:u w:val="none"/>
        </w:rPr>
        <w:t>目前虎林市中心城区已经敷设中压管线25.9公里（吉隆燃气管线18.5公里，奥德燃气管线7.4公里），规划供气区域内燃气管线以环状与枝状相结合的方式进行布置。中压燃气管道采用直埋敷设方式。</w:t>
      </w:r>
    </w:p>
    <w:p w14:paraId="561969E1">
      <w:pPr>
        <w:pStyle w:val="5"/>
        <w:spacing w:before="120" w:after="120"/>
        <w:rPr>
          <w:snapToGrid w:val="0"/>
        </w:rPr>
      </w:pPr>
      <w:r>
        <w:rPr>
          <w:snapToGrid w:val="0"/>
        </w:rPr>
        <w:t>第</w:t>
      </w:r>
      <w:r>
        <w:rPr>
          <w:rFonts w:hint="eastAsia"/>
          <w:snapToGrid w:val="0"/>
          <w:lang w:val="en-US" w:eastAsia="zh-CN"/>
        </w:rPr>
        <w:t>101</w:t>
      </w:r>
      <w:r>
        <w:rPr>
          <w:snapToGrid w:val="0"/>
        </w:rPr>
        <w:t>条 环卫工程</w:t>
      </w:r>
    </w:p>
    <w:p w14:paraId="2718AE45">
      <w:pPr>
        <w:rPr>
          <w:u w:val="none"/>
        </w:rPr>
      </w:pPr>
      <w:r>
        <w:rPr>
          <w:u w:val="none"/>
        </w:rPr>
        <w:t>1.规划目标</w:t>
      </w:r>
    </w:p>
    <w:p w14:paraId="7BE42FE5">
      <w:pPr>
        <w:rPr>
          <w:u w:val="none"/>
        </w:rPr>
      </w:pPr>
      <w:r>
        <w:rPr>
          <w:u w:val="none"/>
        </w:rPr>
        <w:t>可回收生活垃圾回收率达到90%；生活垃圾分类收集率达到100%；生活垃圾无害化处理率达到100%；城市粪便无害化处理率达到100%。</w:t>
      </w:r>
    </w:p>
    <w:p w14:paraId="4D22D663">
      <w:pPr>
        <w:rPr>
          <w:u w:val="none"/>
        </w:rPr>
      </w:pPr>
      <w:r>
        <w:rPr>
          <w:u w:val="none"/>
        </w:rPr>
        <w:t>2.生活垃圾产生量预测</w:t>
      </w:r>
    </w:p>
    <w:p w14:paraId="3594D812">
      <w:pPr>
        <w:rPr>
          <w:u w:val="none"/>
        </w:rPr>
      </w:pPr>
      <w:r>
        <w:rPr>
          <w:u w:val="none"/>
        </w:rPr>
        <w:t>虎林市中心城区垃圾产生量为3.65万吨/年。</w:t>
      </w:r>
    </w:p>
    <w:p w14:paraId="6FF323E3">
      <w:pPr>
        <w:rPr>
          <w:u w:val="none"/>
        </w:rPr>
      </w:pPr>
      <w:r>
        <w:rPr>
          <w:u w:val="none"/>
        </w:rPr>
        <w:t>3.环境卫生设施</w:t>
      </w:r>
    </w:p>
    <w:p w14:paraId="0911C1D8">
      <w:pPr>
        <w:rPr>
          <w:u w:val="none"/>
        </w:rPr>
      </w:pPr>
      <w:r>
        <w:rPr>
          <w:u w:val="none"/>
        </w:rPr>
        <w:t>（1）公共厕所</w:t>
      </w:r>
    </w:p>
    <w:p w14:paraId="0CA4CF07">
      <w:pPr>
        <w:rPr>
          <w:u w:val="none"/>
        </w:rPr>
      </w:pPr>
      <w:r>
        <w:rPr>
          <w:u w:val="none"/>
        </w:rPr>
        <w:t>公共厕所一般按常住人口2500</w:t>
      </w:r>
      <w:r>
        <w:rPr>
          <w:rFonts w:hint="eastAsia"/>
          <w:u w:val="none"/>
        </w:rPr>
        <w:t>—</w:t>
      </w:r>
      <w:r>
        <w:rPr>
          <w:u w:val="none"/>
        </w:rPr>
        <w:t>3000人设置1个，主要街道按每隔500米设置1个，一般街道按每隔750</w:t>
      </w:r>
      <w:r>
        <w:rPr>
          <w:rFonts w:hint="eastAsia"/>
          <w:u w:val="none"/>
        </w:rPr>
        <w:t>—</w:t>
      </w:r>
      <w:r>
        <w:rPr>
          <w:u w:val="none"/>
        </w:rPr>
        <w:t>1000米设置1个，成片改造的生活小区每平方公里设3座公厕。规划虎林市中心城区共需设置公共厕所60座左右。每个公厕建筑面积不少于60平方米，均采用水冲式。</w:t>
      </w:r>
    </w:p>
    <w:p w14:paraId="0FF39245">
      <w:pPr>
        <w:rPr>
          <w:u w:val="none"/>
        </w:rPr>
      </w:pPr>
    </w:p>
    <w:p w14:paraId="181CD5AD">
      <w:pPr>
        <w:rPr>
          <w:u w:val="none"/>
        </w:rPr>
      </w:pPr>
    </w:p>
    <w:p w14:paraId="4FC4372A">
      <w:pPr>
        <w:rPr>
          <w:u w:val="none"/>
        </w:rPr>
      </w:pPr>
      <w:r>
        <w:rPr>
          <w:u w:val="none"/>
        </w:rPr>
        <w:t>（2）垃圾收集点</w:t>
      </w:r>
    </w:p>
    <w:p w14:paraId="6CE3D888">
      <w:pPr>
        <w:rPr>
          <w:u w:val="none"/>
        </w:rPr>
      </w:pPr>
      <w:r>
        <w:rPr>
          <w:u w:val="none"/>
        </w:rPr>
        <w:t>中心城区采用袋装、上门收集垃圾，为减少垃圾容器和垃圾容器间的设置，规划在中心城区内集中设置垃圾收集点，其服务半径70米左右。</w:t>
      </w:r>
    </w:p>
    <w:p w14:paraId="6759442D">
      <w:pPr>
        <w:rPr>
          <w:u w:val="none"/>
        </w:rPr>
      </w:pPr>
      <w:r>
        <w:rPr>
          <w:u w:val="none"/>
        </w:rPr>
        <w:t>（3）垃圾转运站</w:t>
      </w:r>
    </w:p>
    <w:p w14:paraId="3D4449AF">
      <w:pPr>
        <w:rPr>
          <w:u w:val="none"/>
        </w:rPr>
      </w:pPr>
      <w:r>
        <w:rPr>
          <w:u w:val="none"/>
        </w:rPr>
        <w:t>规划设置垃圾收集转运站，全部为集装箱式。每个转运站服务面积5</w:t>
      </w:r>
      <w:r>
        <w:rPr>
          <w:rFonts w:hint="eastAsia"/>
          <w:u w:val="none"/>
        </w:rPr>
        <w:t>—</w:t>
      </w:r>
      <w:r>
        <w:rPr>
          <w:u w:val="none"/>
        </w:rPr>
        <w:t>7平方公里，规划新建垃圾收集转运站尽量和公共厕所、环卫工人休息点合并设置。规划对现有5座垃圾转运站升级改造。</w:t>
      </w:r>
    </w:p>
    <w:p w14:paraId="6A557A6C">
      <w:pPr>
        <w:rPr>
          <w:u w:val="none"/>
        </w:rPr>
      </w:pPr>
      <w:r>
        <w:rPr>
          <w:u w:val="none"/>
        </w:rPr>
        <w:t>（4）环境卫生车辆停车场</w:t>
      </w:r>
    </w:p>
    <w:p w14:paraId="269883E9">
      <w:pPr>
        <w:rPr>
          <w:u w:val="none"/>
        </w:rPr>
      </w:pPr>
      <w:r>
        <w:rPr>
          <w:u w:val="none"/>
        </w:rPr>
        <w:t>环境卫生车辆停车场的位置既要考虑作业方便，又要不影响周围环境。规划结合垃圾转运站共设置5座，可合并建设环卫车辆清洗站。</w:t>
      </w:r>
    </w:p>
    <w:p w14:paraId="1EF62C49">
      <w:pPr>
        <w:rPr>
          <w:u w:val="none"/>
        </w:rPr>
      </w:pPr>
      <w:r>
        <w:rPr>
          <w:u w:val="none"/>
        </w:rPr>
        <w:t>（5）生活垃圾处理设施</w:t>
      </w:r>
    </w:p>
    <w:p w14:paraId="3BBCD6B1">
      <w:pPr>
        <w:rPr>
          <w:u w:val="none"/>
        </w:rPr>
      </w:pPr>
      <w:r>
        <w:rPr>
          <w:u w:val="none"/>
        </w:rPr>
        <w:t>规划虎林市近期新建一座垃圾焚烧厂，位于现状卫生填埋场原址附近，规划处理能力150吨/日。现状卫生填埋场作为应急使用。</w:t>
      </w:r>
    </w:p>
    <w:p w14:paraId="265F3EE3">
      <w:pPr>
        <w:pStyle w:val="5"/>
        <w:spacing w:before="120" w:after="120"/>
        <w:rPr>
          <w:snapToGrid w:val="0"/>
        </w:rPr>
      </w:pPr>
      <w:bookmarkStart w:id="330" w:name="_Toc23593"/>
      <w:r>
        <w:rPr>
          <w:snapToGrid w:val="0"/>
        </w:rPr>
        <w:t>第</w:t>
      </w:r>
      <w:r>
        <w:rPr>
          <w:rFonts w:hint="eastAsia"/>
          <w:snapToGrid w:val="0"/>
        </w:rPr>
        <w:t>10</w:t>
      </w:r>
      <w:r>
        <w:rPr>
          <w:rFonts w:hint="eastAsia"/>
          <w:snapToGrid w:val="0"/>
          <w:lang w:val="en-US" w:eastAsia="zh-CN"/>
        </w:rPr>
        <w:t>2</w:t>
      </w:r>
      <w:r>
        <w:rPr>
          <w:snapToGrid w:val="0"/>
        </w:rPr>
        <w:t>条 综合管廊</w:t>
      </w:r>
      <w:bookmarkEnd w:id="330"/>
    </w:p>
    <w:p w14:paraId="08187885">
      <w:pPr>
        <w:rPr>
          <w:u w:val="none"/>
        </w:rPr>
      </w:pPr>
      <w:r>
        <w:rPr>
          <w:u w:val="none"/>
        </w:rPr>
        <w:t>规划综合管廊建设规划应合理确定综合管廊建设区域、系统布局、建设规模和时序，划定综合管廊廊体三维控制线，明确监控中心等设施用地范围。</w:t>
      </w:r>
    </w:p>
    <w:p w14:paraId="15B3639A">
      <w:pPr>
        <w:rPr>
          <w:u w:val="none"/>
        </w:rPr>
      </w:pPr>
      <w:r>
        <w:rPr>
          <w:u w:val="none"/>
        </w:rPr>
        <w:t>（1）新老城区统筹。综合管廊建设规划应统筹兼顾城市新区和老城区，老城区应结合棚户区改造、道路改造、河道治理、管线改造、架空线入地、地下空间开发等编制。</w:t>
      </w:r>
    </w:p>
    <w:p w14:paraId="3129C3D8">
      <w:pPr>
        <w:rPr>
          <w:u w:val="none"/>
        </w:rPr>
      </w:pPr>
      <w:r>
        <w:rPr>
          <w:u w:val="none"/>
        </w:rPr>
        <w:t>（2）地下空间统筹。做到与地下管线、轨道交通、人民防空、地下综合体等工程的统筹衔接，实施地下空间分层管控。</w:t>
      </w:r>
    </w:p>
    <w:p w14:paraId="59588A64">
      <w:pPr>
        <w:rPr>
          <w:u w:val="none"/>
        </w:rPr>
      </w:pPr>
      <w:r>
        <w:rPr>
          <w:u w:val="none"/>
        </w:rPr>
        <w:t>（3）管线统筹。因地制宜将综合管廊建设区域内的管线纳入综合管廊。</w:t>
      </w:r>
    </w:p>
    <w:p w14:paraId="5267C6D3">
      <w:pPr>
        <w:pStyle w:val="2"/>
        <w:ind w:firstLine="480"/>
      </w:pPr>
    </w:p>
    <w:p w14:paraId="31180877">
      <w:pPr>
        <w:pStyle w:val="4"/>
        <w:widowControl w:val="0"/>
        <w:snapToGrid/>
        <w:spacing w:before="120" w:beforeLines="50" w:after="120" w:afterLines="50" w:line="600" w:lineRule="exact"/>
        <w:ind w:firstLine="0" w:firstLineChars="0"/>
        <w:rPr>
          <w:b w:val="0"/>
          <w:bCs w:val="0"/>
          <w:color w:val="auto"/>
          <w:u w:val="none"/>
        </w:rPr>
      </w:pPr>
      <w:bookmarkStart w:id="331" w:name="_Toc181784606"/>
      <w:bookmarkStart w:id="332" w:name="_Toc29184"/>
      <w:bookmarkStart w:id="333" w:name="_Toc181784676"/>
      <w:bookmarkStart w:id="334" w:name="_Toc181784466"/>
      <w:r>
        <w:rPr>
          <w:b w:val="0"/>
          <w:bCs w:val="0"/>
          <w:color w:val="auto"/>
          <w:u w:val="none"/>
        </w:rPr>
        <w:t>第</w:t>
      </w:r>
      <w:r>
        <w:rPr>
          <w:rFonts w:hint="eastAsia"/>
          <w:b w:val="0"/>
          <w:bCs w:val="0"/>
          <w:color w:val="auto"/>
          <w:u w:val="none"/>
        </w:rPr>
        <w:t>九</w:t>
      </w:r>
      <w:r>
        <w:rPr>
          <w:b w:val="0"/>
          <w:bCs w:val="0"/>
          <w:color w:val="auto"/>
          <w:u w:val="none"/>
        </w:rPr>
        <w:t xml:space="preserve">节 </w:t>
      </w:r>
      <w:r>
        <w:rPr>
          <w:rFonts w:hint="eastAsia"/>
          <w:b w:val="0"/>
          <w:bCs w:val="0"/>
          <w:color w:val="auto"/>
          <w:u w:val="none"/>
        </w:rPr>
        <w:t>塑造景观风貌与城市设计</w:t>
      </w:r>
      <w:bookmarkEnd w:id="331"/>
      <w:bookmarkEnd w:id="332"/>
      <w:bookmarkEnd w:id="333"/>
      <w:bookmarkEnd w:id="334"/>
    </w:p>
    <w:p w14:paraId="2FE9BFC3">
      <w:pPr>
        <w:pStyle w:val="5"/>
        <w:spacing w:before="120" w:after="120"/>
        <w:rPr>
          <w:snapToGrid w:val="0"/>
        </w:rPr>
      </w:pPr>
      <w:r>
        <w:rPr>
          <w:snapToGrid w:val="0"/>
        </w:rPr>
        <w:t>第</w:t>
      </w:r>
      <w:r>
        <w:rPr>
          <w:rFonts w:hint="eastAsia"/>
          <w:snapToGrid w:val="0"/>
        </w:rPr>
        <w:t>10</w:t>
      </w:r>
      <w:r>
        <w:rPr>
          <w:rFonts w:hint="eastAsia"/>
          <w:snapToGrid w:val="0"/>
          <w:lang w:val="en-US" w:eastAsia="zh-CN"/>
        </w:rPr>
        <w:t>3</w:t>
      </w:r>
      <w:r>
        <w:rPr>
          <w:snapToGrid w:val="0"/>
        </w:rPr>
        <w:t>条 总体形象定位</w:t>
      </w:r>
    </w:p>
    <w:p w14:paraId="50C001A9">
      <w:pPr>
        <w:rPr>
          <w:u w:val="none"/>
        </w:rPr>
      </w:pPr>
      <w:r>
        <w:rPr>
          <w:u w:val="none"/>
        </w:rPr>
        <w:t>突出虎林市整体风貌定位，补齐城市公共服务功能，凸显生态宜居康养特色，形成各具组团特点的城市整体风貌。从而打造虎林中心城区富有特色的“北方寒地生态宜居示范城市”。</w:t>
      </w:r>
    </w:p>
    <w:p w14:paraId="4224CE64">
      <w:pPr>
        <w:pStyle w:val="5"/>
        <w:spacing w:before="120" w:after="120"/>
        <w:rPr>
          <w:snapToGrid w:val="0"/>
        </w:rPr>
      </w:pPr>
      <w:r>
        <w:rPr>
          <w:snapToGrid w:val="0"/>
        </w:rPr>
        <w:t>第</w:t>
      </w:r>
      <w:r>
        <w:rPr>
          <w:rFonts w:hint="eastAsia"/>
          <w:snapToGrid w:val="0"/>
        </w:rPr>
        <w:t>10</w:t>
      </w:r>
      <w:r>
        <w:rPr>
          <w:rFonts w:hint="eastAsia"/>
          <w:snapToGrid w:val="0"/>
          <w:lang w:val="en-US" w:eastAsia="zh-CN"/>
        </w:rPr>
        <w:t>4</w:t>
      </w:r>
      <w:r>
        <w:rPr>
          <w:snapToGrid w:val="0"/>
        </w:rPr>
        <w:t>条 整体风貌引导与控制</w:t>
      </w:r>
    </w:p>
    <w:p w14:paraId="68C5B605">
      <w:pPr>
        <w:rPr>
          <w:u w:val="none"/>
        </w:rPr>
      </w:pPr>
      <w:r>
        <w:rPr>
          <w:u w:val="none"/>
        </w:rPr>
        <w:t>1.合理确定开发总量</w:t>
      </w:r>
    </w:p>
    <w:p w14:paraId="5C609501">
      <w:pPr>
        <w:rPr>
          <w:u w:val="none"/>
        </w:rPr>
      </w:pPr>
      <w:r>
        <w:rPr>
          <w:u w:val="none"/>
        </w:rPr>
        <w:t>严格控制开发容量</w:t>
      </w:r>
      <w:r>
        <w:rPr>
          <w:rFonts w:hint="eastAsia"/>
          <w:u w:val="none"/>
        </w:rPr>
        <w:t>—</w:t>
      </w:r>
      <w:r>
        <w:rPr>
          <w:u w:val="none"/>
        </w:rPr>
        <w:t>合理增加西岗区域中心用地的开发容量；严格控制西大沟等重要生态廊道两侧的城市建设用地容量；适当降低外围各功能组团开发容量，促进新区与田园景观的有机融合。</w:t>
      </w:r>
    </w:p>
    <w:p w14:paraId="798F2A56">
      <w:pPr>
        <w:rPr>
          <w:u w:val="none"/>
        </w:rPr>
      </w:pPr>
      <w:r>
        <w:rPr>
          <w:u w:val="none"/>
        </w:rPr>
        <w:t>塑造疏密有致的内部格局</w:t>
      </w:r>
      <w:r>
        <w:rPr>
          <w:rFonts w:hint="eastAsia"/>
          <w:u w:val="none"/>
        </w:rPr>
        <w:t>—</w:t>
      </w:r>
      <w:r>
        <w:rPr>
          <w:u w:val="none"/>
        </w:rPr>
        <w:t>结合新建综合、体育、文化等服务中心突出集聚效应，形成建筑高密度地区，向城市边缘以及各类开敞空间延续，形成</w:t>
      </w:r>
      <w:r>
        <w:rPr>
          <w:rFonts w:hint="eastAsia"/>
          <w:u w:val="none"/>
        </w:rPr>
        <w:t>更加合理</w:t>
      </w:r>
      <w:r>
        <w:rPr>
          <w:u w:val="none"/>
        </w:rPr>
        <w:t>的建筑密度控制格局。</w:t>
      </w:r>
    </w:p>
    <w:p w14:paraId="4DFAFAD3">
      <w:pPr>
        <w:rPr>
          <w:u w:val="none"/>
        </w:rPr>
      </w:pPr>
      <w:r>
        <w:rPr>
          <w:u w:val="none"/>
        </w:rPr>
        <w:t>2.合理控制建筑高度</w:t>
      </w:r>
    </w:p>
    <w:p w14:paraId="5DA3DAED">
      <w:pPr>
        <w:rPr>
          <w:u w:val="none"/>
        </w:rPr>
      </w:pPr>
      <w:r>
        <w:rPr>
          <w:u w:val="none"/>
        </w:rPr>
        <w:t>设计三级建筑高度控制标准</w:t>
      </w:r>
      <w:r>
        <w:rPr>
          <w:rFonts w:hint="eastAsia"/>
          <w:u w:val="none"/>
        </w:rPr>
        <w:t>—</w:t>
      </w:r>
      <w:r>
        <w:rPr>
          <w:u w:val="none"/>
        </w:rPr>
        <w:t>强化西岗区域中心及体育、文化服务中心区域建设，高度控制在54米以下，打造城市特色空间；城市一般地区建筑高度控制在40米以下；临近大型生态空间用地和中小学校等特定设施用地周边建筑高度控制在24米以下。并控制总体高度“北高南低、西高东低、逢水跌落、逢绿递退”。</w:t>
      </w:r>
    </w:p>
    <w:p w14:paraId="330DA6FF">
      <w:pPr>
        <w:rPr>
          <w:u w:val="none"/>
        </w:rPr>
      </w:pPr>
      <w:r>
        <w:rPr>
          <w:u w:val="none"/>
        </w:rPr>
        <w:t>强调天际线层次与韵律</w:t>
      </w:r>
      <w:r>
        <w:rPr>
          <w:rFonts w:hint="eastAsia"/>
          <w:u w:val="none"/>
        </w:rPr>
        <w:t>—</w:t>
      </w:r>
      <w:r>
        <w:rPr>
          <w:u w:val="none"/>
        </w:rPr>
        <w:t>重点管控西大沟与山脚沿线建筑高度与体量，形成滨水主次分明、傍山层次丰富的虎林天际线。</w:t>
      </w:r>
    </w:p>
    <w:p w14:paraId="33EECC20">
      <w:pPr>
        <w:rPr>
          <w:u w:val="none"/>
        </w:rPr>
      </w:pPr>
      <w:r>
        <w:rPr>
          <w:u w:val="none"/>
        </w:rPr>
        <w:t>3.合理提高生活密度</w:t>
      </w:r>
    </w:p>
    <w:p w14:paraId="430878E9">
      <w:pPr>
        <w:rPr>
          <w:u w:val="none"/>
        </w:rPr>
      </w:pPr>
      <w:r>
        <w:rPr>
          <w:u w:val="none"/>
        </w:rPr>
        <w:t>控制路网密度</w:t>
      </w:r>
      <w:r>
        <w:rPr>
          <w:rFonts w:hint="eastAsia"/>
          <w:u w:val="none"/>
        </w:rPr>
        <w:t>—</w:t>
      </w:r>
      <w:r>
        <w:rPr>
          <w:u w:val="none"/>
        </w:rPr>
        <w:t>适度加密城镇生活区路网，构建高密度、高效率、功能混合、适宜步行的开放性街道空间。</w:t>
      </w:r>
    </w:p>
    <w:p w14:paraId="2E827ACE">
      <w:pPr>
        <w:rPr>
          <w:u w:val="none"/>
        </w:rPr>
      </w:pPr>
      <w:r>
        <w:rPr>
          <w:u w:val="none"/>
        </w:rPr>
        <w:t>增加活力空间的交往密度</w:t>
      </w:r>
      <w:r>
        <w:rPr>
          <w:rFonts w:hint="eastAsia"/>
          <w:u w:val="none"/>
        </w:rPr>
        <w:t>—</w:t>
      </w:r>
      <w:r>
        <w:rPr>
          <w:u w:val="none"/>
        </w:rPr>
        <w:t>通过社区微更新，利用建筑退界空间设置社区客厅、艺术廊架、微型运动场等小型化、精致化的便利设施，增进邻里的交往密度。</w:t>
      </w:r>
    </w:p>
    <w:p w14:paraId="086EA5E5">
      <w:pPr>
        <w:rPr>
          <w:u w:val="none"/>
        </w:rPr>
      </w:pPr>
      <w:r>
        <w:rPr>
          <w:u w:val="none"/>
        </w:rPr>
        <w:t>提升土地使用的混合指数</w:t>
      </w:r>
      <w:r>
        <w:rPr>
          <w:rFonts w:hint="eastAsia"/>
          <w:u w:val="none"/>
        </w:rPr>
        <w:t>—</w:t>
      </w:r>
      <w:r>
        <w:rPr>
          <w:u w:val="none"/>
        </w:rPr>
        <w:t>创新土地利用分类管理模式，探索弹性可控的混合用地供给机制，在保证各类用地供给均衡的基础上提升公共服务建设的兼容性。</w:t>
      </w:r>
    </w:p>
    <w:p w14:paraId="13EE8595">
      <w:pPr>
        <w:rPr>
          <w:u w:val="none"/>
        </w:rPr>
      </w:pPr>
      <w:r>
        <w:rPr>
          <w:u w:val="none"/>
        </w:rPr>
        <w:t>4.合理管控建筑风貌</w:t>
      </w:r>
    </w:p>
    <w:p w14:paraId="4EF35BC0">
      <w:pPr>
        <w:rPr>
          <w:u w:val="none"/>
        </w:rPr>
      </w:pPr>
      <w:r>
        <w:rPr>
          <w:u w:val="none"/>
        </w:rPr>
        <w:t>居住建筑</w:t>
      </w:r>
      <w:r>
        <w:rPr>
          <w:rFonts w:hint="eastAsia"/>
          <w:u w:val="none"/>
        </w:rPr>
        <w:t>—</w:t>
      </w:r>
      <w:r>
        <w:rPr>
          <w:u w:val="none"/>
        </w:rPr>
        <w:t>以暖色为主，满足通风采光基础上，采用院落式布局，立面细部元素简洁明快，强调近人尺度的亲切感、归属感。</w:t>
      </w:r>
    </w:p>
    <w:p w14:paraId="7E5237DC">
      <w:pPr>
        <w:rPr>
          <w:u w:val="none"/>
        </w:rPr>
      </w:pPr>
      <w:r>
        <w:rPr>
          <w:u w:val="none"/>
        </w:rPr>
        <w:t>商务办公建筑</w:t>
      </w:r>
      <w:r>
        <w:rPr>
          <w:rFonts w:hint="eastAsia"/>
          <w:u w:val="none"/>
        </w:rPr>
        <w:t>—</w:t>
      </w:r>
      <w:r>
        <w:rPr>
          <w:u w:val="none"/>
        </w:rPr>
        <w:t>以中性色调为主，采用群组布局、点板结合，立面元素现代简洁、均衡有序，细部营造简约大方。</w:t>
      </w:r>
    </w:p>
    <w:p w14:paraId="6B30D931">
      <w:pPr>
        <w:rPr>
          <w:u w:val="none"/>
        </w:rPr>
      </w:pPr>
      <w:r>
        <w:rPr>
          <w:u w:val="none"/>
        </w:rPr>
        <w:t>商业建筑</w:t>
      </w:r>
      <w:r>
        <w:rPr>
          <w:rFonts w:hint="eastAsia"/>
          <w:u w:val="none"/>
        </w:rPr>
        <w:t>—</w:t>
      </w:r>
      <w:r>
        <w:rPr>
          <w:u w:val="none"/>
        </w:rPr>
        <w:t>色彩宜与居住建筑形成良好呼应，把控街道界面，立面元素结合业态丰富细腻、尺度宜人，形成连续舒适的活力空间。</w:t>
      </w:r>
    </w:p>
    <w:p w14:paraId="764A54F8">
      <w:pPr>
        <w:rPr>
          <w:u w:val="none"/>
        </w:rPr>
      </w:pPr>
      <w:r>
        <w:rPr>
          <w:u w:val="none"/>
        </w:rPr>
        <w:t>工业建筑</w:t>
      </w:r>
      <w:r>
        <w:rPr>
          <w:rFonts w:hint="eastAsia"/>
          <w:u w:val="none"/>
        </w:rPr>
        <w:t>—</w:t>
      </w:r>
      <w:r>
        <w:rPr>
          <w:u w:val="none"/>
        </w:rPr>
        <w:t>色彩注意不同地块建筑与周边风貌相协调，以简洁明快、凝重大气为特色。</w:t>
      </w:r>
    </w:p>
    <w:p w14:paraId="750E852C">
      <w:pPr>
        <w:rPr>
          <w:u w:val="none"/>
        </w:rPr>
      </w:pPr>
      <w:r>
        <w:rPr>
          <w:u w:val="none"/>
        </w:rPr>
        <w:t>5.合理引导街道</w:t>
      </w:r>
      <w:r>
        <w:rPr>
          <w:rFonts w:hint="eastAsia"/>
          <w:u w:val="none"/>
        </w:rPr>
        <w:t>家居</w:t>
      </w:r>
    </w:p>
    <w:p w14:paraId="2F2F0EB0">
      <w:pPr>
        <w:rPr>
          <w:u w:val="none"/>
        </w:rPr>
      </w:pPr>
      <w:r>
        <w:rPr>
          <w:u w:val="none"/>
        </w:rPr>
        <w:t>材料应用</w:t>
      </w:r>
      <w:r>
        <w:rPr>
          <w:rFonts w:hint="eastAsia"/>
          <w:u w:val="none"/>
        </w:rPr>
        <w:t>—</w:t>
      </w:r>
      <w:r>
        <w:rPr>
          <w:u w:val="none"/>
        </w:rPr>
        <w:t>环保、节能、绿色低碳无污染；要以质感温暖的材料为主，考虑所处环境，营造和谐统一的街道空间。</w:t>
      </w:r>
    </w:p>
    <w:p w14:paraId="375F98BF">
      <w:pPr>
        <w:rPr>
          <w:u w:val="none"/>
        </w:rPr>
      </w:pPr>
      <w:r>
        <w:rPr>
          <w:u w:val="none"/>
        </w:rPr>
        <w:t>造型设计</w:t>
      </w:r>
      <w:r>
        <w:rPr>
          <w:rFonts w:hint="eastAsia"/>
          <w:u w:val="none"/>
        </w:rPr>
        <w:t>—</w:t>
      </w:r>
      <w:r>
        <w:rPr>
          <w:u w:val="none"/>
        </w:rPr>
        <w:t>根据临街功能及要营造氛围设置街道</w:t>
      </w:r>
      <w:r>
        <w:rPr>
          <w:rFonts w:hint="eastAsia"/>
          <w:u w:val="none"/>
        </w:rPr>
        <w:t>家居</w:t>
      </w:r>
      <w:r>
        <w:rPr>
          <w:u w:val="none"/>
        </w:rPr>
        <w:t>，符合人体基本尺度，遵循形式美和谐统一，另外要体现城市特有的人文精神与艺术内涵。</w:t>
      </w:r>
    </w:p>
    <w:p w14:paraId="60412374">
      <w:pPr>
        <w:rPr>
          <w:u w:val="none"/>
        </w:rPr>
      </w:pPr>
      <w:r>
        <w:rPr>
          <w:u w:val="none"/>
        </w:rPr>
        <w:t>色彩设计</w:t>
      </w:r>
      <w:r>
        <w:rPr>
          <w:rFonts w:hint="eastAsia"/>
          <w:u w:val="none"/>
        </w:rPr>
        <w:t>—</w:t>
      </w:r>
      <w:r>
        <w:rPr>
          <w:u w:val="none"/>
        </w:rPr>
        <w:t>尽量多采用暖色，少用冷色，烘托城市色彩。</w:t>
      </w:r>
    </w:p>
    <w:p w14:paraId="7FEC984E">
      <w:pPr>
        <w:pStyle w:val="5"/>
        <w:spacing w:before="120" w:after="120"/>
        <w:rPr>
          <w:snapToGrid w:val="0"/>
        </w:rPr>
      </w:pPr>
      <w:r>
        <w:rPr>
          <w:snapToGrid w:val="0"/>
        </w:rPr>
        <w:t>第</w:t>
      </w:r>
      <w:r>
        <w:rPr>
          <w:rFonts w:hint="eastAsia"/>
          <w:snapToGrid w:val="0"/>
        </w:rPr>
        <w:t>10</w:t>
      </w:r>
      <w:r>
        <w:rPr>
          <w:rFonts w:hint="eastAsia"/>
          <w:snapToGrid w:val="0"/>
          <w:lang w:val="en-US" w:eastAsia="zh-CN"/>
        </w:rPr>
        <w:t>5</w:t>
      </w:r>
      <w:r>
        <w:rPr>
          <w:snapToGrid w:val="0"/>
        </w:rPr>
        <w:t>条 空间景观格局</w:t>
      </w:r>
    </w:p>
    <w:p w14:paraId="3EE9521B">
      <w:pPr>
        <w:rPr>
          <w:u w:val="none"/>
        </w:rPr>
      </w:pPr>
      <w:r>
        <w:rPr>
          <w:u w:val="none"/>
        </w:rPr>
        <w:t>规划将虎林市中心城区按照“两</w:t>
      </w:r>
      <w:r>
        <w:rPr>
          <w:rFonts w:hint="eastAsia"/>
          <w:u w:val="none"/>
        </w:rPr>
        <w:t>带</w:t>
      </w:r>
      <w:r>
        <w:rPr>
          <w:u w:val="none"/>
        </w:rPr>
        <w:t>渗七区、</w:t>
      </w:r>
      <w:r>
        <w:rPr>
          <w:rFonts w:hint="eastAsia"/>
          <w:u w:val="none"/>
        </w:rPr>
        <w:t>七廊</w:t>
      </w:r>
      <w:r>
        <w:rPr>
          <w:u w:val="none"/>
        </w:rPr>
        <w:t>串多点”进行风貌打造。其中“两</w:t>
      </w:r>
      <w:r>
        <w:rPr>
          <w:rFonts w:hint="eastAsia"/>
          <w:u w:val="none"/>
        </w:rPr>
        <w:t>带</w:t>
      </w:r>
      <w:r>
        <w:rPr>
          <w:u w:val="none"/>
        </w:rPr>
        <w:t>渗七区”，即穆棱河与西大沟滨水景观</w:t>
      </w:r>
      <w:r>
        <w:rPr>
          <w:rFonts w:hint="eastAsia"/>
          <w:u w:val="none"/>
        </w:rPr>
        <w:t>带</w:t>
      </w:r>
      <w:r>
        <w:rPr>
          <w:u w:val="none"/>
        </w:rPr>
        <w:t>与城市七大风貌区的相互渗透；“</w:t>
      </w:r>
      <w:r>
        <w:rPr>
          <w:rFonts w:hint="eastAsia"/>
          <w:u w:val="none"/>
        </w:rPr>
        <w:t>七廊串多点</w:t>
      </w:r>
      <w:r>
        <w:rPr>
          <w:u w:val="none"/>
        </w:rPr>
        <w:t>”，即</w:t>
      </w:r>
      <w:r>
        <w:rPr>
          <w:rFonts w:hint="eastAsia"/>
          <w:u w:val="none"/>
        </w:rPr>
        <w:t>七</w:t>
      </w:r>
      <w:r>
        <w:rPr>
          <w:u w:val="none"/>
        </w:rPr>
        <w:t>条街路景观</w:t>
      </w:r>
      <w:r>
        <w:rPr>
          <w:rFonts w:hint="eastAsia"/>
          <w:u w:val="none"/>
        </w:rPr>
        <w:t>廊道</w:t>
      </w:r>
      <w:r>
        <w:rPr>
          <w:u w:val="none"/>
        </w:rPr>
        <w:t>串联虎林市中心城区多个景观节点。</w:t>
      </w:r>
    </w:p>
    <w:p w14:paraId="1BAA5700">
      <w:pPr>
        <w:pStyle w:val="5"/>
        <w:spacing w:before="120" w:after="120"/>
        <w:rPr>
          <w:snapToGrid w:val="0"/>
        </w:rPr>
      </w:pPr>
      <w:r>
        <w:rPr>
          <w:snapToGrid w:val="0"/>
        </w:rPr>
        <w:t>第</w:t>
      </w:r>
      <w:r>
        <w:rPr>
          <w:rFonts w:hint="eastAsia"/>
          <w:snapToGrid w:val="0"/>
        </w:rPr>
        <w:t>10</w:t>
      </w:r>
      <w:r>
        <w:rPr>
          <w:rFonts w:hint="eastAsia"/>
          <w:snapToGrid w:val="0"/>
          <w:lang w:val="en-US" w:eastAsia="zh-CN"/>
        </w:rPr>
        <w:t>6</w:t>
      </w:r>
      <w:r>
        <w:rPr>
          <w:snapToGrid w:val="0"/>
        </w:rPr>
        <w:t>条 重点地区管控要求</w:t>
      </w:r>
    </w:p>
    <w:p w14:paraId="60EF1A2E">
      <w:pPr>
        <w:rPr>
          <w:u w:val="none"/>
        </w:rPr>
      </w:pPr>
      <w:r>
        <w:rPr>
          <w:u w:val="none"/>
        </w:rPr>
        <w:t>1.风貌分区管控</w:t>
      </w:r>
    </w:p>
    <w:p w14:paraId="2CF26860">
      <w:pPr>
        <w:rPr>
          <w:u w:val="none"/>
        </w:rPr>
      </w:pPr>
      <w:r>
        <w:rPr>
          <w:u w:val="none"/>
        </w:rPr>
        <w:t>主要包括老城传统风貌区、城北多层次景观风貌区、西大沟生态康养风貌区、东山生态品质风貌区、西岗现代新城风貌区、铁南现代工业风貌区、山体景观风貌区。</w:t>
      </w:r>
    </w:p>
    <w:p w14:paraId="639A9964">
      <w:pPr>
        <w:rPr>
          <w:u w:val="none"/>
        </w:rPr>
      </w:pPr>
      <w:r>
        <w:rPr>
          <w:u w:val="none"/>
        </w:rPr>
        <w:t>2.重点地区管控</w:t>
      </w:r>
    </w:p>
    <w:p w14:paraId="013042AB">
      <w:pPr>
        <w:rPr>
          <w:u w:val="none"/>
        </w:rPr>
      </w:pPr>
      <w:r>
        <w:rPr>
          <w:u w:val="none"/>
        </w:rPr>
        <w:t>（1）重要景观节点</w:t>
      </w:r>
    </w:p>
    <w:p w14:paraId="3B271983">
      <w:pPr>
        <w:rPr>
          <w:u w:val="none"/>
        </w:rPr>
      </w:pPr>
      <w:r>
        <w:rPr>
          <w:u w:val="none"/>
        </w:rPr>
        <w:t>站前广场</w:t>
      </w:r>
      <w:r>
        <w:rPr>
          <w:rFonts w:hint="eastAsia"/>
          <w:u w:val="none"/>
        </w:rPr>
        <w:t>—</w:t>
      </w:r>
      <w:r>
        <w:rPr>
          <w:u w:val="none"/>
        </w:rPr>
        <w:t>周边以小型超市、餐饮、商店、旅馆等功能为主，同时增加绿化以及能够展现虎林城市地域文化内涵和城市魅力的景观小品等，在满足交通集散功能的前提下，使人们在旅途中了解其城市历史文脉、风土人情、时代风貌。</w:t>
      </w:r>
    </w:p>
    <w:p w14:paraId="581B2B2D">
      <w:pPr>
        <w:rPr>
          <w:u w:val="none"/>
        </w:rPr>
      </w:pPr>
      <w:r>
        <w:rPr>
          <w:u w:val="none"/>
        </w:rPr>
        <w:t>东山公园</w:t>
      </w:r>
      <w:r>
        <w:rPr>
          <w:rFonts w:hint="eastAsia"/>
          <w:u w:val="none"/>
        </w:rPr>
        <w:t>—</w:t>
      </w:r>
      <w:r>
        <w:rPr>
          <w:u w:val="none"/>
        </w:rPr>
        <w:t>突出野趣，打造依托山体地形的可视目标，构成视线焦点，创造景观序列与景观层次，同时应对周边建筑进行高度控制，形成层次丰富的天际轮廓线。</w:t>
      </w:r>
    </w:p>
    <w:p w14:paraId="37130741">
      <w:pPr>
        <w:rPr>
          <w:u w:val="none"/>
        </w:rPr>
      </w:pPr>
      <w:r>
        <w:rPr>
          <w:u w:val="none"/>
        </w:rPr>
        <w:t>市政府综合服务中心</w:t>
      </w:r>
      <w:r>
        <w:rPr>
          <w:rFonts w:hint="eastAsia"/>
          <w:u w:val="none"/>
        </w:rPr>
        <w:t>—</w:t>
      </w:r>
      <w:r>
        <w:rPr>
          <w:u w:val="none"/>
        </w:rPr>
        <w:t>增加市政府前广场及周边公园的绿化层次，控制周边建筑体量与高度，避免形成封闭的总体建筑格局，凸显市政府区域的庄重、大方、新颖、别致，色彩应以淡雅，环境优雅。</w:t>
      </w:r>
    </w:p>
    <w:p w14:paraId="058B6FE7">
      <w:pPr>
        <w:rPr>
          <w:u w:val="none"/>
        </w:rPr>
      </w:pPr>
      <w:r>
        <w:rPr>
          <w:u w:val="none"/>
        </w:rPr>
        <w:t>西、北入城口景观节点</w:t>
      </w:r>
      <w:r>
        <w:rPr>
          <w:rFonts w:hint="eastAsia"/>
          <w:u w:val="none"/>
        </w:rPr>
        <w:t>—</w:t>
      </w:r>
      <w:r>
        <w:rPr>
          <w:u w:val="none"/>
        </w:rPr>
        <w:t>结合生态园建设，增加具有标志性的景观雕塑等，通过绿化、美化、净化、亮化，创造有地方特色的城市入口景观，让出入口成为城市的交通门户，更成为城市的风景线。</w:t>
      </w:r>
    </w:p>
    <w:p w14:paraId="436D37E5">
      <w:pPr>
        <w:rPr>
          <w:u w:val="none"/>
        </w:rPr>
      </w:pPr>
      <w:r>
        <w:rPr>
          <w:u w:val="none"/>
        </w:rPr>
        <w:t>（2）街巷空间</w:t>
      </w:r>
    </w:p>
    <w:p w14:paraId="1221925B">
      <w:pPr>
        <w:rPr>
          <w:u w:val="none"/>
        </w:rPr>
      </w:pPr>
      <w:r>
        <w:rPr>
          <w:u w:val="none"/>
        </w:rPr>
        <w:t>人行道绿荫率达到80%以上，沿街商业、办公等公共建筑贴线率不得小于70%，商业集中区域沿线建筑贴线率不得少于85%。利用建筑前区沿街设置休憩节点、绿化或商业设施，丰富空间体验，形成交流场所。</w:t>
      </w:r>
    </w:p>
    <w:p w14:paraId="07EDA9C2">
      <w:pPr>
        <w:rPr>
          <w:u w:val="none"/>
        </w:rPr>
      </w:pPr>
      <w:r>
        <w:rPr>
          <w:u w:val="none"/>
        </w:rPr>
        <w:t>（3）重要视线通廊</w:t>
      </w:r>
    </w:p>
    <w:p w14:paraId="08C87925">
      <w:pPr>
        <w:rPr>
          <w:u w:val="none"/>
        </w:rPr>
      </w:pPr>
      <w:r>
        <w:rPr>
          <w:u w:val="none"/>
        </w:rPr>
        <w:t>将山体、水体融入城市视觉形象，通过建筑高度和开发强度等控制，形成与重要景观节点之间放射式的视线通廊。</w:t>
      </w:r>
    </w:p>
    <w:p w14:paraId="54CB1F81">
      <w:pPr>
        <w:rPr>
          <w:u w:val="none"/>
        </w:rPr>
      </w:pPr>
      <w:r>
        <w:rPr>
          <w:u w:val="none"/>
        </w:rPr>
        <w:t>需重点控制通廊包括：红星水库西山体</w:t>
      </w:r>
      <w:r>
        <w:rPr>
          <w:rFonts w:hint="eastAsia"/>
          <w:u w:val="none"/>
        </w:rPr>
        <w:t>—</w:t>
      </w:r>
      <w:r>
        <w:rPr>
          <w:u w:val="none"/>
        </w:rPr>
        <w:t>文化教育中心、北入口、市政府综合服务中心、五虎山，五虎山</w:t>
      </w:r>
      <w:r>
        <w:rPr>
          <w:rFonts w:hint="eastAsia"/>
          <w:u w:val="none"/>
        </w:rPr>
        <w:t>—</w:t>
      </w:r>
      <w:r>
        <w:rPr>
          <w:u w:val="none"/>
        </w:rPr>
        <w:t>站前广场、东山公园、红星水库西山体，西岗公园</w:t>
      </w:r>
      <w:r>
        <w:rPr>
          <w:rFonts w:hint="eastAsia"/>
          <w:u w:val="none"/>
        </w:rPr>
        <w:t>—</w:t>
      </w:r>
      <w:r>
        <w:rPr>
          <w:u w:val="none"/>
        </w:rPr>
        <w:t>西入口、市政府综合服务中心等。</w:t>
      </w:r>
    </w:p>
    <w:p w14:paraId="36AC2EC9">
      <w:pPr>
        <w:pStyle w:val="4"/>
        <w:widowControl w:val="0"/>
        <w:snapToGrid/>
        <w:spacing w:before="120" w:beforeLines="50" w:after="120" w:afterLines="50" w:line="600" w:lineRule="exact"/>
        <w:ind w:firstLine="0" w:firstLineChars="0"/>
        <w:rPr>
          <w:b w:val="0"/>
          <w:bCs w:val="0"/>
          <w:color w:val="auto"/>
          <w:u w:val="none"/>
        </w:rPr>
      </w:pPr>
      <w:bookmarkStart w:id="335" w:name="_Toc181784607"/>
      <w:bookmarkStart w:id="336" w:name="_Toc181784467"/>
      <w:bookmarkStart w:id="337" w:name="_Toc6271"/>
      <w:bookmarkStart w:id="338" w:name="_Toc181784677"/>
      <w:r>
        <w:rPr>
          <w:b w:val="0"/>
          <w:bCs w:val="0"/>
          <w:color w:val="auto"/>
          <w:u w:val="none"/>
        </w:rPr>
        <w:t xml:space="preserve">第十节 </w:t>
      </w:r>
      <w:r>
        <w:rPr>
          <w:rFonts w:hint="eastAsia"/>
          <w:b w:val="0"/>
          <w:bCs w:val="0"/>
          <w:color w:val="auto"/>
          <w:u w:val="none"/>
        </w:rPr>
        <w:t>公共安全与综合防灾</w:t>
      </w:r>
      <w:bookmarkEnd w:id="335"/>
      <w:bookmarkEnd w:id="336"/>
      <w:bookmarkEnd w:id="337"/>
      <w:bookmarkEnd w:id="338"/>
    </w:p>
    <w:p w14:paraId="27085B46">
      <w:pPr>
        <w:pStyle w:val="5"/>
        <w:spacing w:before="120" w:after="120"/>
        <w:rPr>
          <w:snapToGrid w:val="0"/>
        </w:rPr>
      </w:pPr>
      <w:r>
        <w:rPr>
          <w:snapToGrid w:val="0"/>
        </w:rPr>
        <w:t>第</w:t>
      </w:r>
      <w:r>
        <w:rPr>
          <w:rFonts w:hint="eastAsia"/>
          <w:snapToGrid w:val="0"/>
        </w:rPr>
        <w:t>10</w:t>
      </w:r>
      <w:r>
        <w:rPr>
          <w:rFonts w:hint="eastAsia"/>
          <w:snapToGrid w:val="0"/>
          <w:lang w:val="en-US" w:eastAsia="zh-CN"/>
        </w:rPr>
        <w:t>7</w:t>
      </w:r>
      <w:r>
        <w:rPr>
          <w:snapToGrid w:val="0"/>
        </w:rPr>
        <w:t>条 城市安全和综合防灾</w:t>
      </w:r>
    </w:p>
    <w:p w14:paraId="4F0F4FD7">
      <w:pPr>
        <w:rPr>
          <w:u w:val="none"/>
        </w:rPr>
      </w:pPr>
      <w:r>
        <w:rPr>
          <w:u w:val="none"/>
        </w:rPr>
        <w:t>通过建设防洪堤坝、蓄滞洪区，清淤加固水库和实施生物治理措施，提高河道行洪和蓄滞洪水的能力，提高流域的综合治理程度和生态环境保护力度，保证防洪安全。</w:t>
      </w:r>
    </w:p>
    <w:p w14:paraId="707481F0">
      <w:pPr>
        <w:rPr>
          <w:u w:val="none"/>
        </w:rPr>
      </w:pPr>
      <w:r>
        <w:rPr>
          <w:u w:val="none"/>
        </w:rPr>
        <w:t>新建建筑和工程按相应的抗震设防烈度设计和施工，提高生命线系统的抗震能力，加大避震疏散场所和防灾通道的建设，提高城乡应对地震危害的能力。</w:t>
      </w:r>
    </w:p>
    <w:p w14:paraId="48A4B5EA">
      <w:pPr>
        <w:rPr>
          <w:u w:val="none"/>
        </w:rPr>
      </w:pPr>
      <w:r>
        <w:rPr>
          <w:u w:val="none"/>
        </w:rPr>
        <w:t>完善城乡消防体系建设、增加消防站点，加强消防水源、消防通道和消防通信建设，提高防火能力。</w:t>
      </w:r>
    </w:p>
    <w:p w14:paraId="3DE60987">
      <w:pPr>
        <w:rPr>
          <w:u w:val="none"/>
        </w:rPr>
      </w:pPr>
      <w:r>
        <w:rPr>
          <w:u w:val="none"/>
        </w:rPr>
        <w:t>完善人防工程设施建设，全面提升城市防空能力。</w:t>
      </w:r>
    </w:p>
    <w:p w14:paraId="7D77032E">
      <w:pPr>
        <w:rPr>
          <w:u w:val="none"/>
        </w:rPr>
      </w:pPr>
      <w:r>
        <w:rPr>
          <w:u w:val="none"/>
        </w:rPr>
        <w:t>将疫情防控规划纳入国土空间规划体系，构建完善的城市安全韧性体系，保障城市能够防患于未然，同时需从预防出发，提出高质量、高保障的疫情防控措施，使城市在各种灾害面前能够拥有更强大的承载能力。</w:t>
      </w:r>
    </w:p>
    <w:p w14:paraId="041FE5BA">
      <w:pPr>
        <w:rPr>
          <w:u w:val="none"/>
        </w:rPr>
      </w:pPr>
      <w:r>
        <w:rPr>
          <w:u w:val="none"/>
        </w:rPr>
        <w:t>完善综合防灾减灾设施建设、构建高效的综合防灾减灾保障体系，全面提升城乡防范灾害和应对灾害的能力，维护人民生命财产的防灾安全。</w:t>
      </w:r>
    </w:p>
    <w:p w14:paraId="2A307905">
      <w:pPr>
        <w:pStyle w:val="5"/>
        <w:spacing w:before="120" w:after="120"/>
        <w:rPr>
          <w:snapToGrid w:val="0"/>
        </w:rPr>
      </w:pPr>
      <w:r>
        <w:rPr>
          <w:snapToGrid w:val="0"/>
        </w:rPr>
        <w:t>第</w:t>
      </w:r>
      <w:r>
        <w:rPr>
          <w:rFonts w:hint="eastAsia"/>
          <w:snapToGrid w:val="0"/>
        </w:rPr>
        <w:t>10</w:t>
      </w:r>
      <w:r>
        <w:rPr>
          <w:rFonts w:hint="eastAsia"/>
          <w:snapToGrid w:val="0"/>
          <w:lang w:val="en-US" w:eastAsia="zh-CN"/>
        </w:rPr>
        <w:t>8</w:t>
      </w:r>
      <w:r>
        <w:rPr>
          <w:snapToGrid w:val="0"/>
        </w:rPr>
        <w:t>条 城市防洪</w:t>
      </w:r>
    </w:p>
    <w:p w14:paraId="54CE7080">
      <w:pPr>
        <w:rPr>
          <w:u w:val="none"/>
          <w:lang w:val="zh-CN"/>
        </w:rPr>
      </w:pPr>
      <w:r>
        <w:rPr>
          <w:u w:val="none"/>
        </w:rPr>
        <w:t>规划穆棱河中心城区段河道防洪按50年一遇洪水设防，西沟按20年一遇洪水设防。</w:t>
      </w:r>
    </w:p>
    <w:p w14:paraId="70DADAFF">
      <w:pPr>
        <w:rPr>
          <w:u w:val="none"/>
        </w:rPr>
      </w:pPr>
      <w:r>
        <w:rPr>
          <w:u w:val="none"/>
        </w:rPr>
        <w:t>对穆棱河水流冲刷或风浪作用强烈的堤段采取工程护岸，穆棱河防洪堤迎水面坡脚外设防浪林，堤防背水面坡脚外为抢险用地，限建各类建筑物并栽植护堤林。</w:t>
      </w:r>
    </w:p>
    <w:p w14:paraId="41F417A7">
      <w:pPr>
        <w:pStyle w:val="5"/>
        <w:spacing w:before="120" w:after="120"/>
        <w:rPr>
          <w:snapToGrid w:val="0"/>
        </w:rPr>
      </w:pPr>
      <w:r>
        <w:rPr>
          <w:snapToGrid w:val="0"/>
        </w:rPr>
        <w:t>第</w:t>
      </w:r>
      <w:r>
        <w:rPr>
          <w:rFonts w:hint="eastAsia"/>
          <w:snapToGrid w:val="0"/>
        </w:rPr>
        <w:t>10</w:t>
      </w:r>
      <w:r>
        <w:rPr>
          <w:rFonts w:hint="eastAsia"/>
          <w:snapToGrid w:val="0"/>
          <w:lang w:val="en-US" w:eastAsia="zh-CN"/>
        </w:rPr>
        <w:t>9</w:t>
      </w:r>
      <w:r>
        <w:rPr>
          <w:snapToGrid w:val="0"/>
        </w:rPr>
        <w:t>条 城市消防</w:t>
      </w:r>
    </w:p>
    <w:p w14:paraId="7C27A09B">
      <w:pPr>
        <w:rPr>
          <w:u w:val="none"/>
        </w:rPr>
      </w:pPr>
      <w:r>
        <w:rPr>
          <w:u w:val="none"/>
        </w:rPr>
        <w:t>1.消防站布局</w:t>
      </w:r>
    </w:p>
    <w:p w14:paraId="37E5F70D">
      <w:pPr>
        <w:rPr>
          <w:u w:val="none"/>
        </w:rPr>
      </w:pPr>
      <w:r>
        <w:rPr>
          <w:u w:val="none"/>
        </w:rPr>
        <w:t>规划保留南侧现有消防站，改造为一级普通消防站，同步将该站升级为“消防通信指挥中心”；并按需求新建2座一级消防站，分别位于中心城区东西两侧，以满足消防要求。</w:t>
      </w:r>
    </w:p>
    <w:p w14:paraId="3A0B8FF8">
      <w:pPr>
        <w:rPr>
          <w:u w:val="none"/>
        </w:rPr>
      </w:pPr>
      <w:r>
        <w:rPr>
          <w:u w:val="none"/>
        </w:rPr>
        <w:t>2.消防给水</w:t>
      </w:r>
    </w:p>
    <w:p w14:paraId="17FDF691">
      <w:pPr>
        <w:rPr>
          <w:u w:val="none"/>
        </w:rPr>
      </w:pPr>
      <w:r>
        <w:rPr>
          <w:u w:val="none"/>
        </w:rPr>
        <w:t>城区给水管网应采取环网供水，提供消防用水的配水管径不小于200毫米。消防水量按同一时间发生2次火灾，火灾延续时间以2小时计，一次灭火流量为45升/秒，一次消防用水量648立方米。该水量分别储存在净水厂清水池、送水泵站清水池及高位水池内。</w:t>
      </w:r>
    </w:p>
    <w:p w14:paraId="758E4598">
      <w:pPr>
        <w:rPr>
          <w:u w:val="none"/>
        </w:rPr>
      </w:pPr>
      <w:r>
        <w:rPr>
          <w:u w:val="none"/>
        </w:rPr>
        <w:t>消防水鹤和消火栓的布置按照规定执行，消火栓的布置间距为120米；消防水鹤的布置间距宜为1000米。规划共需建设消防水鹤19座。</w:t>
      </w:r>
    </w:p>
    <w:p w14:paraId="162B8F1E">
      <w:pPr>
        <w:rPr>
          <w:u w:val="none"/>
        </w:rPr>
      </w:pPr>
      <w:r>
        <w:rPr>
          <w:u w:val="none"/>
        </w:rPr>
        <w:t>3.消防车通道</w:t>
      </w:r>
    </w:p>
    <w:p w14:paraId="7930368A">
      <w:pPr>
        <w:rPr>
          <w:u w:val="none"/>
        </w:rPr>
      </w:pPr>
      <w:r>
        <w:rPr>
          <w:u w:val="none"/>
        </w:rPr>
        <w:t>新区建设要求做到消防车通道100%到达各栋建筑；棚户区随着旧城改造和街道整治，理顺消防通道，力争消防车通道85%能到达各栋建筑，消防车通道宽度应≥4米，间距＞160米。消防车通道和疏散道路要统一考虑，并与避难所结合起来。</w:t>
      </w:r>
    </w:p>
    <w:p w14:paraId="557AE501">
      <w:pPr>
        <w:rPr>
          <w:u w:val="none"/>
        </w:rPr>
      </w:pPr>
      <w:r>
        <w:rPr>
          <w:u w:val="none"/>
        </w:rPr>
        <w:t>4.消防通信</w:t>
      </w:r>
    </w:p>
    <w:p w14:paraId="745444B2">
      <w:pPr>
        <w:rPr>
          <w:u w:val="none"/>
        </w:rPr>
      </w:pPr>
      <w:r>
        <w:rPr>
          <w:u w:val="none"/>
        </w:rPr>
        <w:t>规划消防通信指挥中心每个消防站至少有两对火警调度专用线。消防通信系统与供水、供电、供气、环保、气象、地震、医疗、急救及消防安全重点单位之间设置专线。为提高迅速扑救火灾能力，消防通信逐步建设城市消防远程监控系统。</w:t>
      </w:r>
    </w:p>
    <w:p w14:paraId="761895A3">
      <w:pPr>
        <w:rPr>
          <w:u w:val="none"/>
        </w:rPr>
      </w:pPr>
      <w:r>
        <w:rPr>
          <w:u w:val="none"/>
        </w:rPr>
        <w:t>5.重点防火区</w:t>
      </w:r>
    </w:p>
    <w:p w14:paraId="24CFAFFD">
      <w:pPr>
        <w:rPr>
          <w:u w:val="none"/>
        </w:rPr>
      </w:pPr>
      <w:r>
        <w:rPr>
          <w:u w:val="none"/>
        </w:rPr>
        <w:t>甲类消防安全保护区：甲、乙类生产火灾危险性的工业企业区、大型物资仓库区、商业中心区、高层建筑集中区、人员密集的地下建筑、政府机关地区、砖木结构和木质结构的易燃建筑集中区以及人口密集、街道狭窄地区等。</w:t>
      </w:r>
    </w:p>
    <w:p w14:paraId="69922713">
      <w:pPr>
        <w:rPr>
          <w:u w:val="none"/>
        </w:rPr>
      </w:pPr>
      <w:r>
        <w:rPr>
          <w:u w:val="none"/>
        </w:rPr>
        <w:t>乙类消防安全保护区：丙类生产火灾危险性的工业企业区、科研单位集中区、大中专院校集中区、高层建筑比较集中地区。</w:t>
      </w:r>
    </w:p>
    <w:p w14:paraId="04985FB8">
      <w:pPr>
        <w:rPr>
          <w:u w:val="none"/>
        </w:rPr>
      </w:pPr>
    </w:p>
    <w:p w14:paraId="0EA0DB61">
      <w:pPr>
        <w:rPr>
          <w:u w:val="none"/>
        </w:rPr>
      </w:pPr>
    </w:p>
    <w:p w14:paraId="40E2595C">
      <w:pPr>
        <w:rPr>
          <w:u w:val="none"/>
        </w:rPr>
      </w:pPr>
      <w:r>
        <w:rPr>
          <w:u w:val="none"/>
        </w:rPr>
        <w:t>6.加强消防装备建设</w:t>
      </w:r>
    </w:p>
    <w:p w14:paraId="7FCE5827">
      <w:pPr>
        <w:rPr>
          <w:u w:val="none"/>
        </w:rPr>
      </w:pPr>
      <w:r>
        <w:rPr>
          <w:u w:val="none"/>
        </w:rPr>
        <w:t>按照城市消防站建设标准，分期购置消防车辆及消防站战斗装备，以满足扑救现代火灾的实际需要。消防站战斗装备包括：空气呼吸器、机动链锯、切割锯、防化服、防毒衣，满足扑救各种火灾的需要。此外，消防装备应根据消防装备标准配备社会抢险救援器材。</w:t>
      </w:r>
    </w:p>
    <w:p w14:paraId="228B79F6">
      <w:pPr>
        <w:pStyle w:val="5"/>
        <w:spacing w:before="120" w:after="120"/>
        <w:rPr>
          <w:snapToGrid w:val="0"/>
        </w:rPr>
      </w:pPr>
      <w:r>
        <w:rPr>
          <w:snapToGrid w:val="0"/>
        </w:rPr>
        <w:t>第</w:t>
      </w:r>
      <w:r>
        <w:rPr>
          <w:rFonts w:hint="eastAsia"/>
          <w:snapToGrid w:val="0"/>
        </w:rPr>
        <w:t>1</w:t>
      </w:r>
      <w:r>
        <w:rPr>
          <w:rFonts w:hint="eastAsia"/>
          <w:snapToGrid w:val="0"/>
          <w:lang w:val="en-US" w:eastAsia="zh-CN"/>
        </w:rPr>
        <w:t>10</w:t>
      </w:r>
      <w:r>
        <w:rPr>
          <w:snapToGrid w:val="0"/>
        </w:rPr>
        <w:t>条 城市抗震减灾</w:t>
      </w:r>
    </w:p>
    <w:p w14:paraId="4FF23880">
      <w:pPr>
        <w:rPr>
          <w:u w:val="none"/>
        </w:rPr>
      </w:pPr>
      <w:r>
        <w:rPr>
          <w:u w:val="none"/>
        </w:rPr>
        <w:t>1.抗震设防标准</w:t>
      </w:r>
    </w:p>
    <w:p w14:paraId="7DEA3612">
      <w:pPr>
        <w:rPr>
          <w:u w:val="none"/>
        </w:rPr>
      </w:pPr>
      <w:r>
        <w:rPr>
          <w:u w:val="none"/>
        </w:rPr>
        <w:t>虎林市中心城区基本地震动峰值加速度值为0.05g，地震动加速度反应谱特征周期值为0.35秒，地震烈度为Ⅵ度。</w:t>
      </w:r>
    </w:p>
    <w:p w14:paraId="22A31B41">
      <w:pPr>
        <w:rPr>
          <w:u w:val="none"/>
        </w:rPr>
      </w:pPr>
      <w:r>
        <w:rPr>
          <w:u w:val="none"/>
        </w:rPr>
        <w:t>抗震设防采取“小震不坏、中震可修、大震不倒”的原则，做到平震结合、预防为主、综合治理、逐步完善，要求本地区在遭受设防烈度的地震影响时，要使工程设施的损坏及地震所产生的次生灾害不致危及人民的生命安全，企业不中断生产或经很短时间能迅速恢复生产。</w:t>
      </w:r>
    </w:p>
    <w:p w14:paraId="44DF3D16">
      <w:pPr>
        <w:rPr>
          <w:u w:val="none"/>
        </w:rPr>
      </w:pPr>
      <w:r>
        <w:rPr>
          <w:u w:val="none"/>
        </w:rPr>
        <w:t>2.抗震布局</w:t>
      </w:r>
    </w:p>
    <w:p w14:paraId="54C43F2B">
      <w:pPr>
        <w:rPr>
          <w:u w:val="none"/>
        </w:rPr>
      </w:pPr>
      <w:r>
        <w:rPr>
          <w:u w:val="none"/>
        </w:rPr>
        <w:t>（1）新建工程抗震</w:t>
      </w:r>
    </w:p>
    <w:p w14:paraId="3112C24F">
      <w:pPr>
        <w:rPr>
          <w:u w:val="none"/>
        </w:rPr>
      </w:pPr>
      <w:r>
        <w:rPr>
          <w:u w:val="none"/>
        </w:rPr>
        <w:t>新建、改建、扩建的建筑工程应按国家《建筑工程抗震设防分类标准》规定的抗震设防类别，严格遵照规范进行抗震设防，不符合抗震设防标准的工程不得进行建设。</w:t>
      </w:r>
    </w:p>
    <w:p w14:paraId="1396B2D6">
      <w:pPr>
        <w:rPr>
          <w:u w:val="none"/>
        </w:rPr>
      </w:pPr>
      <w:r>
        <w:rPr>
          <w:u w:val="none"/>
        </w:rPr>
        <w:t>抗震设防工作应保证贯穿工程建设的全部过程。抗震管理机构应承担新建工程抗震设防的监督职能，建设项目主管部门在新建项目的可行性研究、场址选择初始阶段必须提出抗震设防标准，设防依据等报抗震办公室备案核准，否则不予设计、不予发放施工许可证。</w:t>
      </w:r>
    </w:p>
    <w:p w14:paraId="535CC06E">
      <w:pPr>
        <w:rPr>
          <w:u w:val="none"/>
        </w:rPr>
      </w:pPr>
      <w:r>
        <w:rPr>
          <w:u w:val="none"/>
        </w:rPr>
        <w:t>（2）抗震加固</w:t>
      </w:r>
    </w:p>
    <w:p w14:paraId="1EC2AFF3">
      <w:pPr>
        <w:rPr>
          <w:u w:val="none"/>
        </w:rPr>
      </w:pPr>
      <w:r>
        <w:rPr>
          <w:u w:val="none"/>
        </w:rPr>
        <w:t>抗震加固由建设单位向抗震管理部门提交委托书，严格按照抗震鉴定、加固设计、设计审查、加固施工、竣工验收的程序进行。</w:t>
      </w:r>
    </w:p>
    <w:p w14:paraId="711FD522">
      <w:pPr>
        <w:rPr>
          <w:u w:val="none"/>
        </w:rPr>
      </w:pPr>
      <w:r>
        <w:rPr>
          <w:u w:val="none"/>
        </w:rPr>
        <w:t>城镇近期初步完成城镇生命线系统及要害部门的主要用房和主要工厂企业的主要生产用房的抗震加固。完成易产生次生灾害的专业库房及各企业易燃、易爆、有毒库房的抗震加固。完成所有的不符合抗震要求的砖烟囱、水塔、水厂设施的加固工作。</w:t>
      </w:r>
    </w:p>
    <w:p w14:paraId="784D63B1">
      <w:pPr>
        <w:rPr>
          <w:u w:val="none"/>
        </w:rPr>
      </w:pPr>
      <w:r>
        <w:rPr>
          <w:u w:val="none"/>
        </w:rPr>
        <w:t>远期完成生命线系统及要害部门和工矿企业的办公用房、生产用房及设备的抗震鉴定和加固，完成住宅楼的鉴定和加固，完成构筑物及工程设施的抗震鉴定和加固。</w:t>
      </w:r>
    </w:p>
    <w:p w14:paraId="7217DD24">
      <w:pPr>
        <w:rPr>
          <w:u w:val="none"/>
        </w:rPr>
      </w:pPr>
      <w:r>
        <w:rPr>
          <w:u w:val="none"/>
        </w:rPr>
        <w:t>（3）生命线工程</w:t>
      </w:r>
    </w:p>
    <w:p w14:paraId="10ED1B3B">
      <w:pPr>
        <w:rPr>
          <w:u w:val="none"/>
        </w:rPr>
      </w:pPr>
      <w:r>
        <w:rPr>
          <w:u w:val="none"/>
        </w:rPr>
        <w:t>结合人防建设，加强环状供水、供电、通讯建设保证指挥系统，要害部门的供水、供电及通讯不间断。</w:t>
      </w:r>
    </w:p>
    <w:p w14:paraId="0873ED99">
      <w:pPr>
        <w:rPr>
          <w:u w:val="none"/>
        </w:rPr>
      </w:pPr>
      <w:r>
        <w:rPr>
          <w:u w:val="none"/>
        </w:rPr>
        <w:t>交通工程、公路应减少对自然平衡条件的破坏，经过水文地质不良地段时，采取路基防护措施，加强排水处理。</w:t>
      </w:r>
    </w:p>
    <w:p w14:paraId="74BB8D64">
      <w:pPr>
        <w:rPr>
          <w:u w:val="none"/>
        </w:rPr>
      </w:pPr>
      <w:r>
        <w:rPr>
          <w:u w:val="none"/>
        </w:rPr>
        <w:t>通信、供电、消防等工程的布局、结构、规模等必须严格遵循城市总体规划及现行的《建筑工程抗震设防标准》和《建筑抗震设计规范》进行抗震设防。</w:t>
      </w:r>
    </w:p>
    <w:p w14:paraId="1321FA2A">
      <w:pPr>
        <w:rPr>
          <w:u w:val="none"/>
        </w:rPr>
      </w:pPr>
      <w:r>
        <w:rPr>
          <w:u w:val="none"/>
        </w:rPr>
        <w:t>3.减轻和防止次生灾害</w:t>
      </w:r>
    </w:p>
    <w:p w14:paraId="5085F65E">
      <w:pPr>
        <w:rPr>
          <w:u w:val="none"/>
        </w:rPr>
      </w:pPr>
      <w:r>
        <w:rPr>
          <w:u w:val="none"/>
        </w:rPr>
        <w:t>对易产生次生灾害的重要建筑、工程、生产设施、危险品容器等进行抗震鉴定加固，合理处理。</w:t>
      </w:r>
    </w:p>
    <w:p w14:paraId="78B833D7">
      <w:pPr>
        <w:pStyle w:val="5"/>
        <w:spacing w:before="120" w:after="120"/>
        <w:rPr>
          <w:snapToGrid w:val="0"/>
        </w:rPr>
      </w:pPr>
      <w:r>
        <w:rPr>
          <w:snapToGrid w:val="0"/>
        </w:rPr>
        <w:t>第</w:t>
      </w:r>
      <w:r>
        <w:rPr>
          <w:rFonts w:hint="eastAsia"/>
          <w:snapToGrid w:val="0"/>
        </w:rPr>
        <w:t>1</w:t>
      </w:r>
      <w:r>
        <w:rPr>
          <w:rFonts w:hint="eastAsia"/>
          <w:snapToGrid w:val="0"/>
          <w:lang w:val="en-US" w:eastAsia="zh-CN"/>
        </w:rPr>
        <w:t>11</w:t>
      </w:r>
      <w:r>
        <w:rPr>
          <w:snapToGrid w:val="0"/>
        </w:rPr>
        <w:t>条 城市人防</w:t>
      </w:r>
    </w:p>
    <w:p w14:paraId="17ABCEF9">
      <w:pPr>
        <w:rPr>
          <w:u w:val="none"/>
        </w:rPr>
      </w:pPr>
      <w:r>
        <w:rPr>
          <w:u w:val="none"/>
        </w:rPr>
        <w:t>坚持“长期准备、重点建设、平战结合”的人民防空建设方针，以战备为牵引，深入推进城市人民防空建设，有效履行“战时防空、平时服务、应急支援”使命任务。规划建立以人员隐蔽工事为主体，以医疗、通信、运输、防化、消防、治安、物资和车库等为配套的人防工程系统。</w:t>
      </w:r>
    </w:p>
    <w:p w14:paraId="1DA74EFF">
      <w:pPr>
        <w:rPr>
          <w:u w:val="none"/>
        </w:rPr>
      </w:pPr>
      <w:r>
        <w:rPr>
          <w:u w:val="none"/>
        </w:rPr>
        <w:t>1.城镇防护布局</w:t>
      </w:r>
    </w:p>
    <w:p w14:paraId="16FF26F7">
      <w:pPr>
        <w:rPr>
          <w:u w:val="none"/>
        </w:rPr>
      </w:pPr>
      <w:r>
        <w:rPr>
          <w:u w:val="none"/>
        </w:rPr>
        <w:t>规划以中心城区为主要设防区域，人防工程布局考虑平战结合。按功能相类似原则，结合城市交通用地、仓储用地建设专业队工程和物资库工程；结合城市居住用地优先建设人员掩蔽工程，并配建物资库工程、专业队工程和救护站等；结合城市公共设施用地建设平战结合人防工程和兼顾人防的地下空间。</w:t>
      </w:r>
    </w:p>
    <w:p w14:paraId="7F396225">
      <w:pPr>
        <w:rPr>
          <w:u w:val="none"/>
        </w:rPr>
      </w:pPr>
      <w:r>
        <w:rPr>
          <w:u w:val="none"/>
        </w:rPr>
        <w:t>结合城市医疗卫生用地建设医疗救护工程及相对应的专业队工程。结合城市工业用地，建设防空专业队工程、物资库工程和区域电站等。结合大型城市广场和绿地建设应急避难场所。</w:t>
      </w:r>
    </w:p>
    <w:p w14:paraId="76275542">
      <w:pPr>
        <w:rPr>
          <w:u w:val="none"/>
        </w:rPr>
      </w:pPr>
      <w:r>
        <w:rPr>
          <w:u w:val="none"/>
        </w:rPr>
        <w:t>2.指挥通信工程</w:t>
      </w:r>
    </w:p>
    <w:p w14:paraId="5C9B99FB">
      <w:pPr>
        <w:rPr>
          <w:u w:val="none"/>
        </w:rPr>
      </w:pPr>
      <w:r>
        <w:rPr>
          <w:u w:val="none"/>
        </w:rPr>
        <w:t>结合电信、移动及联通等部门的设施建设，完善人防通信、警报网络。新建报警点，增加警报器，覆盖率为100%，以满足战时通信需要。</w:t>
      </w:r>
    </w:p>
    <w:p w14:paraId="262FC2BF">
      <w:pPr>
        <w:rPr>
          <w:u w:val="none"/>
        </w:rPr>
      </w:pPr>
      <w:r>
        <w:rPr>
          <w:u w:val="none"/>
        </w:rPr>
        <w:t>3.防空专业队掩蔽工程</w:t>
      </w:r>
    </w:p>
    <w:p w14:paraId="710ADD62">
      <w:pPr>
        <w:rPr>
          <w:u w:val="none"/>
        </w:rPr>
      </w:pPr>
      <w:r>
        <w:rPr>
          <w:u w:val="none"/>
        </w:rPr>
        <w:t>规划新建防空专业队员掩蔽工程1000平方米。规划防空专业队装备掩蔽工程总面积为2000平方米。</w:t>
      </w:r>
    </w:p>
    <w:p w14:paraId="71C87227">
      <w:pPr>
        <w:rPr>
          <w:u w:val="none"/>
        </w:rPr>
      </w:pPr>
      <w:r>
        <w:rPr>
          <w:u w:val="none"/>
        </w:rPr>
        <w:t>4.医疗救护工程</w:t>
      </w:r>
    </w:p>
    <w:p w14:paraId="565C4DD8">
      <w:pPr>
        <w:rPr>
          <w:u w:val="none"/>
        </w:rPr>
      </w:pPr>
      <w:r>
        <w:rPr>
          <w:u w:val="none"/>
        </w:rPr>
        <w:t>结合现有医疗设施，建立完善的生命线系统，规划设置市级综合指挥中心1处，设中心医院1处，急救医院2处。</w:t>
      </w:r>
    </w:p>
    <w:p w14:paraId="7CC2BB0B">
      <w:pPr>
        <w:rPr>
          <w:u w:val="none"/>
        </w:rPr>
      </w:pPr>
      <w:r>
        <w:rPr>
          <w:u w:val="none"/>
        </w:rPr>
        <w:t>5.人员掩蔽工程</w:t>
      </w:r>
    </w:p>
    <w:p w14:paraId="17DB7BE6">
      <w:pPr>
        <w:rPr>
          <w:u w:val="none"/>
        </w:rPr>
      </w:pPr>
      <w:r>
        <w:rPr>
          <w:u w:val="none"/>
        </w:rPr>
        <w:t>战时按国家标准40%的留城人口，人均掩蔽面积1平方米。规划建筑规模4.0万平方米。</w:t>
      </w:r>
    </w:p>
    <w:p w14:paraId="437C39A7">
      <w:pPr>
        <w:rPr>
          <w:u w:val="none"/>
        </w:rPr>
      </w:pPr>
      <w:r>
        <w:rPr>
          <w:u w:val="none"/>
        </w:rPr>
        <w:t>6.配套工程</w:t>
      </w:r>
    </w:p>
    <w:p w14:paraId="17E1822B">
      <w:pPr>
        <w:rPr>
          <w:u w:val="none"/>
        </w:rPr>
      </w:pPr>
      <w:r>
        <w:rPr>
          <w:u w:val="none"/>
        </w:rPr>
        <w:t>包括生活物资储备和燃料能源供应两类工程，生活物资按留城人口储备一个月的粮、油、盐、肉、蛋、酱油、醋、菜、食品、药品、日用百货及五金库。燃料能源供应包括战时燃油供应、区域电站、供水站等，结合省综合防灾规划统一布置。</w:t>
      </w:r>
    </w:p>
    <w:p w14:paraId="7D946F12">
      <w:pPr>
        <w:pStyle w:val="5"/>
        <w:spacing w:before="120" w:after="120"/>
        <w:rPr>
          <w:snapToGrid w:val="0"/>
        </w:rPr>
      </w:pPr>
      <w:r>
        <w:rPr>
          <w:snapToGrid w:val="0"/>
        </w:rPr>
        <w:t>第</w:t>
      </w:r>
      <w:r>
        <w:rPr>
          <w:rFonts w:hint="eastAsia"/>
          <w:snapToGrid w:val="0"/>
        </w:rPr>
        <w:t>11</w:t>
      </w:r>
      <w:r>
        <w:rPr>
          <w:rFonts w:hint="eastAsia"/>
          <w:snapToGrid w:val="0"/>
          <w:lang w:val="en-US" w:eastAsia="zh-CN"/>
        </w:rPr>
        <w:t>2</w:t>
      </w:r>
      <w:r>
        <w:rPr>
          <w:snapToGrid w:val="0"/>
        </w:rPr>
        <w:t>条 城市应急设施</w:t>
      </w:r>
    </w:p>
    <w:p w14:paraId="45254D0F">
      <w:pPr>
        <w:rPr>
          <w:u w:val="none"/>
        </w:rPr>
      </w:pPr>
      <w:r>
        <w:rPr>
          <w:u w:val="none"/>
        </w:rPr>
        <w:t>1.灾害风险分区</w:t>
      </w:r>
    </w:p>
    <w:p w14:paraId="030CF7D2">
      <w:pPr>
        <w:rPr>
          <w:u w:val="none"/>
        </w:rPr>
      </w:pPr>
      <w:r>
        <w:rPr>
          <w:u w:val="none"/>
        </w:rPr>
        <w:t>规划以铁路为分界，布局2个灾害风险分区，分别为铁北灾害风险区和铁南灾害风险区，实现分层建设与管理，两个防灾分区之间能够有效阻止次生灾害蔓延。</w:t>
      </w:r>
    </w:p>
    <w:p w14:paraId="4B30B506">
      <w:pPr>
        <w:rPr>
          <w:u w:val="none"/>
        </w:rPr>
      </w:pPr>
      <w:r>
        <w:rPr>
          <w:u w:val="none"/>
        </w:rPr>
        <w:t>2.应急指挥救护系统</w:t>
      </w:r>
    </w:p>
    <w:p w14:paraId="06EBADAA">
      <w:pPr>
        <w:rPr>
          <w:u w:val="none"/>
        </w:rPr>
      </w:pPr>
      <w:r>
        <w:rPr>
          <w:u w:val="none"/>
        </w:rPr>
        <w:t>在虎林市政府设置区级指挥中心和应急预警信息平台，构建由虎林市人民医院和各基层医疗机构共同组成医疗救护中心和救灾医院的两级救护体系，完善区域防灾减灾救灾体制机制。</w:t>
      </w:r>
    </w:p>
    <w:p w14:paraId="706F869B">
      <w:pPr>
        <w:rPr>
          <w:u w:val="none"/>
        </w:rPr>
      </w:pPr>
      <w:r>
        <w:rPr>
          <w:u w:val="none"/>
        </w:rPr>
        <w:t>3.应急通道系统</w:t>
      </w:r>
    </w:p>
    <w:p w14:paraId="3807180D">
      <w:pPr>
        <w:rPr>
          <w:u w:val="none"/>
        </w:rPr>
      </w:pPr>
      <w:r>
        <w:rPr>
          <w:u w:val="none"/>
        </w:rPr>
        <w:t>虎林市中心城区共规划6条避难疏散主通道，分别为北兴街、解放街、工业路、南外环路、平安路、三小东路。各住宅区到避难场所有避灾通道连接，且相互贯通。</w:t>
      </w:r>
    </w:p>
    <w:p w14:paraId="5AF0BE11">
      <w:pPr>
        <w:rPr>
          <w:u w:val="none"/>
        </w:rPr>
      </w:pPr>
      <w:r>
        <w:rPr>
          <w:u w:val="none"/>
        </w:rPr>
        <w:t>4.应急避难场所</w:t>
      </w:r>
    </w:p>
    <w:p w14:paraId="47147864">
      <w:pPr>
        <w:rPr>
          <w:u w:val="none"/>
        </w:rPr>
      </w:pPr>
      <w:r>
        <w:rPr>
          <w:u w:val="none"/>
        </w:rPr>
        <w:t>（1）应急避难场所建设标准</w:t>
      </w:r>
    </w:p>
    <w:p w14:paraId="50002082">
      <w:pPr>
        <w:rPr>
          <w:u w:val="none"/>
        </w:rPr>
      </w:pPr>
      <w:r>
        <w:rPr>
          <w:u w:val="none"/>
        </w:rPr>
        <w:t>紧急避震疏散场所按照人均避难面积1.5平方米建设；</w:t>
      </w:r>
    </w:p>
    <w:p w14:paraId="46688FE8">
      <w:pPr>
        <w:rPr>
          <w:u w:val="none"/>
        </w:rPr>
      </w:pPr>
      <w:r>
        <w:rPr>
          <w:u w:val="none"/>
        </w:rPr>
        <w:t>固定避震疏散场所按照人均避难面积2.0平方米建设。</w:t>
      </w:r>
    </w:p>
    <w:p w14:paraId="3C884550">
      <w:pPr>
        <w:rPr>
          <w:u w:val="none"/>
        </w:rPr>
      </w:pPr>
    </w:p>
    <w:p w14:paraId="2BC631FF">
      <w:pPr>
        <w:rPr>
          <w:u w:val="none"/>
        </w:rPr>
      </w:pPr>
    </w:p>
    <w:p w14:paraId="1E7E32D2">
      <w:pPr>
        <w:rPr>
          <w:u w:val="none"/>
        </w:rPr>
      </w:pPr>
    </w:p>
    <w:p w14:paraId="665F522E">
      <w:pPr>
        <w:rPr>
          <w:u w:val="none"/>
        </w:rPr>
      </w:pPr>
      <w:r>
        <w:rPr>
          <w:u w:val="none"/>
        </w:rPr>
        <w:t>（2）应急避难场所</w:t>
      </w:r>
    </w:p>
    <w:p w14:paraId="03C27815">
      <w:pPr>
        <w:rPr>
          <w:u w:val="none"/>
        </w:rPr>
      </w:pPr>
      <w:r>
        <w:rPr>
          <w:u w:val="none"/>
        </w:rPr>
        <w:t>紧急避震疏散人员按照责任区域的100％计算，约10万人；固定避震疏散人员按40%的比例计算，中心城区长期疏散人口4万人。</w:t>
      </w:r>
    </w:p>
    <w:p w14:paraId="55E8E69C">
      <w:pPr>
        <w:rPr>
          <w:u w:val="none"/>
        </w:rPr>
      </w:pPr>
      <w:r>
        <w:rPr>
          <w:u w:val="none"/>
        </w:rPr>
        <w:t>用地面积在2000平方米以上的绿地、广场、公园、体育场（室外）、大专院校操场、中学及小学操场和露天公共停车场等作为应急避难场所。规划8处避难场所。</w:t>
      </w:r>
    </w:p>
    <w:p w14:paraId="581EC222">
      <w:pPr>
        <w:pStyle w:val="5"/>
        <w:spacing w:before="120" w:after="120"/>
        <w:rPr>
          <w:snapToGrid w:val="0"/>
        </w:rPr>
      </w:pPr>
      <w:bookmarkStart w:id="339" w:name="_Toc28838"/>
      <w:r>
        <w:rPr>
          <w:snapToGrid w:val="0"/>
        </w:rPr>
        <w:t>第</w:t>
      </w:r>
      <w:r>
        <w:rPr>
          <w:rFonts w:hint="eastAsia"/>
          <w:snapToGrid w:val="0"/>
        </w:rPr>
        <w:t>11</w:t>
      </w:r>
      <w:r>
        <w:rPr>
          <w:rFonts w:hint="eastAsia"/>
          <w:snapToGrid w:val="0"/>
          <w:lang w:val="en-US" w:eastAsia="zh-CN"/>
        </w:rPr>
        <w:t>3</w:t>
      </w:r>
      <w:r>
        <w:rPr>
          <w:snapToGrid w:val="0"/>
        </w:rPr>
        <w:t>条 城市重大危险源防治</w:t>
      </w:r>
      <w:bookmarkEnd w:id="339"/>
    </w:p>
    <w:p w14:paraId="201DFADA">
      <w:pPr>
        <w:rPr>
          <w:u w:val="none"/>
        </w:rPr>
      </w:pPr>
      <w:r>
        <w:rPr>
          <w:u w:val="none"/>
        </w:rPr>
        <w:t>严格按照国家相关法规规范，加强石油化工企业、化工危险品仓库、燃气储配站等重大危险源的管理。</w:t>
      </w:r>
    </w:p>
    <w:p w14:paraId="0954DA61">
      <w:pPr>
        <w:rPr>
          <w:u w:val="none"/>
        </w:rPr>
      </w:pPr>
      <w:r>
        <w:rPr>
          <w:u w:val="none"/>
        </w:rPr>
        <w:t>采取有机分散与相对集中相结合的布局模式，尽量接近主要服务区域、减少长距离运输，同时减少安全隐患、利于管理。</w:t>
      </w:r>
    </w:p>
    <w:p w14:paraId="5FE44B34">
      <w:pPr>
        <w:rPr>
          <w:u w:val="none"/>
        </w:rPr>
      </w:pPr>
      <w:r>
        <w:rPr>
          <w:u w:val="none"/>
        </w:rPr>
        <w:t>危险品生产和储存设施布局应远离现状和规划的城镇人口密集区域，位于主导风向的下风方向和河流下游，并避开地震活动断层和容易发生洪灾、地质灾害的区域。危险品生产、储存设施与居住区、公共建筑、饮用水源、其他物品货场等场所、设施、区域的安全距离，应满足相关法规和设计规范要求。装运危险品的专用码头、车站必须设置在城市或港区的独立安全地段。在生产集中区和生活区之间、饮用水水源地和油气化学品输送管道以及重要交通运输通道之间，建立风险防范隔离阻断设施。危险品运输路线尽量避开人口密集区和一级水源保护区等敏感区域，减少安全隐患。</w:t>
      </w:r>
    </w:p>
    <w:p w14:paraId="1341DFBB">
      <w:pPr>
        <w:pStyle w:val="5"/>
        <w:spacing w:before="120" w:after="120"/>
        <w:rPr>
          <w:snapToGrid w:val="0"/>
        </w:rPr>
      </w:pPr>
      <w:r>
        <w:rPr>
          <w:snapToGrid w:val="0"/>
        </w:rPr>
        <w:t>第</w:t>
      </w:r>
      <w:r>
        <w:rPr>
          <w:rFonts w:hint="eastAsia"/>
          <w:snapToGrid w:val="0"/>
        </w:rPr>
        <w:t>11</w:t>
      </w:r>
      <w:r>
        <w:rPr>
          <w:rFonts w:hint="eastAsia"/>
          <w:snapToGrid w:val="0"/>
          <w:lang w:val="en-US" w:eastAsia="zh-CN"/>
        </w:rPr>
        <w:t>4</w:t>
      </w:r>
      <w:r>
        <w:rPr>
          <w:snapToGrid w:val="0"/>
        </w:rPr>
        <w:t>条 危险品存储设施布局</w:t>
      </w:r>
    </w:p>
    <w:p w14:paraId="605B3999">
      <w:pPr>
        <w:rPr>
          <w:u w:val="none"/>
        </w:rPr>
      </w:pPr>
      <w:r>
        <w:rPr>
          <w:u w:val="none"/>
        </w:rPr>
        <w:t>规划预留一定应急用地和大型危险品存储用地，科学划定安全防护和缓冲空间，确保危险化学品对城市的影响降至最低。逐步推进危险化学品生产企业实施关、停、转、迁，构建重大危险源动态监管体系，全面推进危险化学品企业安全生产标准化。建设危险化学品安全生产风险监测预警系统，实行动态监管。</w:t>
      </w:r>
    </w:p>
    <w:p w14:paraId="01F64394">
      <w:pPr>
        <w:pStyle w:val="5"/>
        <w:spacing w:before="120" w:after="120"/>
        <w:rPr>
          <w:snapToGrid w:val="0"/>
        </w:rPr>
      </w:pPr>
      <w:r>
        <w:rPr>
          <w:snapToGrid w:val="0"/>
        </w:rPr>
        <w:t>第</w:t>
      </w:r>
      <w:r>
        <w:rPr>
          <w:rFonts w:hint="eastAsia"/>
          <w:snapToGrid w:val="0"/>
        </w:rPr>
        <w:t>11</w:t>
      </w:r>
      <w:r>
        <w:rPr>
          <w:rFonts w:hint="eastAsia"/>
          <w:snapToGrid w:val="0"/>
          <w:lang w:val="en-US" w:eastAsia="zh-CN"/>
        </w:rPr>
        <w:t>5</w:t>
      </w:r>
      <w:r>
        <w:rPr>
          <w:snapToGrid w:val="0"/>
        </w:rPr>
        <w:t>条 城市防灾空间布局</w:t>
      </w:r>
    </w:p>
    <w:p w14:paraId="2DC0C2B6">
      <w:pPr>
        <w:rPr>
          <w:u w:val="none"/>
        </w:rPr>
      </w:pPr>
      <w:r>
        <w:rPr>
          <w:u w:val="none"/>
        </w:rPr>
        <w:t>规划明确各类重大防灾设施标准、布局要求与防灾减灾措施。通过提升防灾减灾标准，加强智慧监测预警，优化城市公共安全空间格局，推进重大防灾减灾工程建设，完善城市公共安全及综合防灾管理体系，全面提高灾害防御能力，筑牢防灾减灾救灾人民防线。在中心城区规划应急物资储备库1处，储存生活必需品、抗震防火、防汛抗旱、抢险救援器械、卫生防疫等常用应急救援物资，保障灾后24小时内灾民能得到基本生活和医疗救助，居民生活基本正常。</w:t>
      </w:r>
    </w:p>
    <w:p w14:paraId="1505DE37">
      <w:pPr>
        <w:rPr>
          <w:u w:val="none"/>
        </w:rPr>
      </w:pPr>
      <w:r>
        <w:rPr>
          <w:rFonts w:hint="eastAsia"/>
          <w:u w:val="none"/>
        </w:rPr>
        <w:t>结合公园绿地广场等开敞空间和体育场馆等公共设施，提出网络化、分布式的应急避难场所、疏散通道的布局要求。在生活圈层面，提出构建城市健康安全单元，完善应急空间网络的要求。分类布局建设符合不同功能区要求的城市人防工程设施，人防工程互联互通，构建完整的城市地下防护网络体系。控制一定应急用地和大型危险品存储用地规模，科学划定安全防护和缓冲空间。提出平灾结合和平急两用的国土空间规划要求，并对疫情或其他重大灾害提出国土空间规划对策。提出乡镇、村庄、海域、海岛等地区的防灾减灾要求。</w:t>
      </w:r>
    </w:p>
    <w:p w14:paraId="414AFA07">
      <w:pPr>
        <w:pStyle w:val="5"/>
        <w:spacing w:before="120" w:after="120"/>
        <w:rPr>
          <w:snapToGrid w:val="0"/>
        </w:rPr>
      </w:pPr>
      <w:r>
        <w:rPr>
          <w:snapToGrid w:val="0"/>
        </w:rPr>
        <w:t>第</w:t>
      </w:r>
      <w:r>
        <w:rPr>
          <w:rFonts w:hint="eastAsia"/>
          <w:snapToGrid w:val="0"/>
        </w:rPr>
        <w:t>11</w:t>
      </w:r>
      <w:r>
        <w:rPr>
          <w:rFonts w:hint="eastAsia"/>
          <w:snapToGrid w:val="0"/>
          <w:lang w:val="en-US" w:eastAsia="zh-CN"/>
        </w:rPr>
        <w:t>6</w:t>
      </w:r>
      <w:r>
        <w:rPr>
          <w:snapToGrid w:val="0"/>
        </w:rPr>
        <w:t>条 城市防疫</w:t>
      </w:r>
    </w:p>
    <w:p w14:paraId="467B0475">
      <w:pPr>
        <w:rPr>
          <w:u w:val="none"/>
        </w:rPr>
      </w:pPr>
      <w:r>
        <w:rPr>
          <w:u w:val="none"/>
        </w:rPr>
        <w:t>建立城市疫情隐患风险评估体系，对所确定的城市内的疫情隐患区进行风险评估。设置传染病相关公共卫生用地和应急疫情防控用地。应急疫情防控用地包括应急医院和方舱医院用地或设施，作为疫情防控空间备份，需明确其用地的性质弹性采取的具体措施。搭建应急联合防控网络，即纵向建立疫情救治机构、联合医疗机构、疾控中心、研究所和社区医院，横向建立应急处理系统，以及设立联合交通、消防、警察、医疗机构协会、通信、电力、煤气和供水等部门，共同形成联防联控机制。</w:t>
      </w:r>
    </w:p>
    <w:p w14:paraId="073560B2">
      <w:pPr>
        <w:rPr>
          <w:u w:val="none"/>
        </w:rPr>
      </w:pPr>
      <w:r>
        <w:rPr>
          <w:u w:val="none"/>
        </w:rPr>
        <w:t>建立公共卫生</w:t>
      </w:r>
      <w:r>
        <w:rPr>
          <w:rFonts w:hint="eastAsia"/>
          <w:u w:val="none"/>
        </w:rPr>
        <w:t>—</w:t>
      </w:r>
      <w:r>
        <w:rPr>
          <w:u w:val="none"/>
        </w:rPr>
        <w:t>地理信息数据系统，进行城市疫情隐患风险评估，预警城市公共活动的潜在风险；建立病原追踪系统，对流行病及感染人群进行感知、追踪及分析，刻画城市“疾病地图”，实时监控并模拟各类隔离和疏散产生的流动性变化；估算隔离单元规模，有效提供空间分散化救治时空数据和城市隔离范围，为疫情防控提供有效空间据点和满足跨区域合作需求。</w:t>
      </w:r>
    </w:p>
    <w:p w14:paraId="24A6B5D1">
      <w:pPr>
        <w:pStyle w:val="5"/>
        <w:spacing w:before="120" w:after="120"/>
      </w:pPr>
      <w:r>
        <w:rPr>
          <w:snapToGrid w:val="0"/>
        </w:rPr>
        <w:t>第</w:t>
      </w:r>
      <w:r>
        <w:rPr>
          <w:rFonts w:hint="eastAsia"/>
          <w:snapToGrid w:val="0"/>
        </w:rPr>
        <w:t>11</w:t>
      </w:r>
      <w:r>
        <w:rPr>
          <w:rFonts w:hint="eastAsia"/>
          <w:snapToGrid w:val="0"/>
          <w:lang w:val="en-US" w:eastAsia="zh-CN"/>
        </w:rPr>
        <w:t>7</w:t>
      </w:r>
      <w:r>
        <w:rPr>
          <w:snapToGrid w:val="0"/>
        </w:rPr>
        <w:t>条 重大基础设施防灾和应急建设要求</w:t>
      </w:r>
    </w:p>
    <w:p w14:paraId="2580794E">
      <w:pPr>
        <w:rPr>
          <w:u w:val="none"/>
        </w:rPr>
      </w:pPr>
      <w:r>
        <w:rPr>
          <w:u w:val="none"/>
        </w:rPr>
        <w:t>建立高效有序的综合防灾减灾管理机构、医疗救护机构，并组建专业救灾队伍，以全面提升城乡防范和应对灾害的综合能力。同时做好城市公共安全法制体系建设，建立完善的灾害防控保险机制及相应的管理机构。</w:t>
      </w:r>
    </w:p>
    <w:bookmarkEnd w:id="322"/>
    <w:p w14:paraId="5D9433BC">
      <w:pPr>
        <w:pStyle w:val="4"/>
        <w:widowControl w:val="0"/>
        <w:snapToGrid/>
        <w:spacing w:before="120" w:beforeLines="50" w:after="120" w:afterLines="50" w:line="600" w:lineRule="exact"/>
        <w:ind w:firstLine="0" w:firstLineChars="0"/>
        <w:rPr>
          <w:b w:val="0"/>
          <w:bCs w:val="0"/>
          <w:color w:val="auto"/>
          <w:u w:val="none"/>
        </w:rPr>
      </w:pPr>
      <w:bookmarkStart w:id="340" w:name="_Toc614"/>
      <w:bookmarkStart w:id="341" w:name="_Toc15178"/>
      <w:bookmarkStart w:id="342" w:name="_Toc181784608"/>
      <w:bookmarkStart w:id="343" w:name="_Toc181784468"/>
      <w:bookmarkStart w:id="344" w:name="_Toc181784678"/>
      <w:r>
        <w:rPr>
          <w:b w:val="0"/>
          <w:bCs w:val="0"/>
          <w:color w:val="auto"/>
          <w:u w:val="none"/>
        </w:rPr>
        <w:t>第</w:t>
      </w:r>
      <w:r>
        <w:rPr>
          <w:rFonts w:hint="eastAsia"/>
          <w:b w:val="0"/>
          <w:bCs w:val="0"/>
          <w:color w:val="auto"/>
          <w:u w:val="none"/>
        </w:rPr>
        <w:t>十一</w:t>
      </w:r>
      <w:r>
        <w:rPr>
          <w:b w:val="0"/>
          <w:bCs w:val="0"/>
          <w:color w:val="auto"/>
          <w:u w:val="none"/>
        </w:rPr>
        <w:t xml:space="preserve">节 </w:t>
      </w:r>
      <w:bookmarkEnd w:id="340"/>
      <w:r>
        <w:rPr>
          <w:rFonts w:hint="eastAsia"/>
          <w:b w:val="0"/>
          <w:bCs w:val="0"/>
          <w:color w:val="auto"/>
          <w:u w:val="none"/>
        </w:rPr>
        <w:t>实施城市更新改造</w:t>
      </w:r>
      <w:bookmarkEnd w:id="341"/>
      <w:bookmarkEnd w:id="342"/>
      <w:bookmarkEnd w:id="343"/>
      <w:bookmarkEnd w:id="344"/>
    </w:p>
    <w:p w14:paraId="2270625E">
      <w:pPr>
        <w:pStyle w:val="5"/>
        <w:spacing w:before="120" w:after="120"/>
        <w:rPr>
          <w:snapToGrid w:val="0"/>
        </w:rPr>
      </w:pPr>
      <w:r>
        <w:rPr>
          <w:snapToGrid w:val="0"/>
        </w:rPr>
        <w:t>第</w:t>
      </w:r>
      <w:r>
        <w:rPr>
          <w:rFonts w:hint="eastAsia"/>
          <w:snapToGrid w:val="0"/>
        </w:rPr>
        <w:t>11</w:t>
      </w:r>
      <w:r>
        <w:rPr>
          <w:rFonts w:hint="eastAsia"/>
          <w:snapToGrid w:val="0"/>
          <w:lang w:val="en-US" w:eastAsia="zh-CN"/>
        </w:rPr>
        <w:t>8</w:t>
      </w:r>
      <w:r>
        <w:rPr>
          <w:snapToGrid w:val="0"/>
        </w:rPr>
        <w:t>条 城市更新总体任务和时序</w:t>
      </w:r>
    </w:p>
    <w:p w14:paraId="14838910">
      <w:pPr>
        <w:rPr>
          <w:u w:val="none"/>
        </w:rPr>
      </w:pPr>
      <w:r>
        <w:rPr>
          <w:u w:val="none"/>
        </w:rPr>
        <w:t>1.更新总体任务</w:t>
      </w:r>
    </w:p>
    <w:p w14:paraId="7079ADAC">
      <w:pPr>
        <w:rPr>
          <w:u w:val="none"/>
        </w:rPr>
      </w:pPr>
      <w:r>
        <w:rPr>
          <w:u w:val="none"/>
        </w:rPr>
        <w:t>通过多元化城市更新，逐步改善和优化城市空间布局结构，促进产业集群化发展和用地高效利用，全面改善旧城镇、旧村居的人居环境，均衡化布局公共服务设施，完成一批具有示范性的城市更新项目。</w:t>
      </w:r>
    </w:p>
    <w:p w14:paraId="182FA694">
      <w:pPr>
        <w:rPr>
          <w:u w:val="none"/>
        </w:rPr>
      </w:pPr>
    </w:p>
    <w:p w14:paraId="69D7C9BD">
      <w:pPr>
        <w:rPr>
          <w:u w:val="none"/>
        </w:rPr>
      </w:pPr>
    </w:p>
    <w:p w14:paraId="7D3DBC53">
      <w:pPr>
        <w:rPr>
          <w:u w:val="none"/>
        </w:rPr>
      </w:pPr>
      <w:r>
        <w:rPr>
          <w:u w:val="none"/>
        </w:rPr>
        <w:t>2.更新时序指引</w:t>
      </w:r>
    </w:p>
    <w:p w14:paraId="0C2F13B8">
      <w:pPr>
        <w:rPr>
          <w:u w:val="none"/>
        </w:rPr>
      </w:pPr>
      <w:r>
        <w:rPr>
          <w:u w:val="none"/>
        </w:rPr>
        <w:t>根据虎林市战略布局需要，重点推进老城区、市政府周边及园区内部村屯用地等重点功能区的城市更新片区与项目，统筹划定更新片区，实施成片连片的更新改造。</w:t>
      </w:r>
    </w:p>
    <w:p w14:paraId="70F9D5D6">
      <w:pPr>
        <w:pStyle w:val="5"/>
        <w:spacing w:before="120" w:after="120"/>
        <w:rPr>
          <w:snapToGrid w:val="0"/>
        </w:rPr>
      </w:pPr>
      <w:bookmarkStart w:id="345" w:name="_Toc24456"/>
      <w:r>
        <w:rPr>
          <w:snapToGrid w:val="0"/>
        </w:rPr>
        <w:t>第</w:t>
      </w:r>
      <w:r>
        <w:rPr>
          <w:rFonts w:hint="eastAsia"/>
          <w:snapToGrid w:val="0"/>
        </w:rPr>
        <w:t>11</w:t>
      </w:r>
      <w:r>
        <w:rPr>
          <w:rFonts w:hint="eastAsia"/>
          <w:snapToGrid w:val="0"/>
          <w:lang w:val="en-US" w:eastAsia="zh-CN"/>
        </w:rPr>
        <w:t>9</w:t>
      </w:r>
      <w:r>
        <w:rPr>
          <w:snapToGrid w:val="0"/>
        </w:rPr>
        <w:t>条 低效存量用地提升</w:t>
      </w:r>
      <w:bookmarkEnd w:id="345"/>
    </w:p>
    <w:p w14:paraId="5E805678">
      <w:pPr>
        <w:rPr>
          <w:u w:val="none"/>
        </w:rPr>
      </w:pPr>
      <w:r>
        <w:rPr>
          <w:u w:val="none"/>
        </w:rPr>
        <w:t>低效存量用地的提升规划可分为四种类型，分别为老旧小区改造、棚户区改造、城中村改造与低效产业用地改造。其中老旧小区主要采用整治类措施</w:t>
      </w:r>
      <w:r>
        <w:rPr>
          <w:rFonts w:hint="eastAsia"/>
          <w:u w:val="none"/>
        </w:rPr>
        <w:t>，</w:t>
      </w:r>
      <w:r>
        <w:rPr>
          <w:u w:val="none"/>
        </w:rPr>
        <w:t>棚户区、城中村与搬迁的低效产业用地改造采用重构型</w:t>
      </w:r>
      <w:r>
        <w:rPr>
          <w:rFonts w:hint="eastAsia"/>
          <w:u w:val="none"/>
        </w:rPr>
        <w:t>，</w:t>
      </w:r>
      <w:r>
        <w:rPr>
          <w:u w:val="none"/>
        </w:rPr>
        <w:t>保留的低效产业用地改造则采用调整型。</w:t>
      </w:r>
    </w:p>
    <w:p w14:paraId="34E8EC93">
      <w:pPr>
        <w:rPr>
          <w:u w:val="none"/>
        </w:rPr>
      </w:pPr>
      <w:r>
        <w:rPr>
          <w:u w:val="none"/>
        </w:rPr>
        <w:t>1.整治型</w:t>
      </w:r>
    </w:p>
    <w:p w14:paraId="628A0CC7">
      <w:pPr>
        <w:rPr>
          <w:u w:val="none"/>
        </w:rPr>
      </w:pPr>
      <w:r>
        <w:rPr>
          <w:u w:val="none"/>
        </w:rPr>
        <w:t>不改变建筑主体结构和使用功能，以消除安全隐患、完善现状功能等为目的，一般不增加建筑面积。</w:t>
      </w:r>
    </w:p>
    <w:p w14:paraId="01A6121B">
      <w:pPr>
        <w:rPr>
          <w:u w:val="none"/>
        </w:rPr>
      </w:pPr>
      <w:r>
        <w:rPr>
          <w:u w:val="none"/>
        </w:rPr>
        <w:t>2.调整型</w:t>
      </w:r>
    </w:p>
    <w:p w14:paraId="264E9D77">
      <w:pPr>
        <w:rPr>
          <w:u w:val="none"/>
        </w:rPr>
      </w:pPr>
      <w:r>
        <w:rPr>
          <w:u w:val="none"/>
        </w:rPr>
        <w:t>一般不改变土地使用权的权力主体和使用期限，在不全部拆除的前提下进行局部拆除或加建，可实施土地用途变更。</w:t>
      </w:r>
    </w:p>
    <w:p w14:paraId="4BEE2E39">
      <w:pPr>
        <w:rPr>
          <w:u w:val="none"/>
        </w:rPr>
      </w:pPr>
      <w:r>
        <w:rPr>
          <w:u w:val="none"/>
        </w:rPr>
        <w:t>3.重构型</w:t>
      </w:r>
    </w:p>
    <w:p w14:paraId="7F8A0B67">
      <w:pPr>
        <w:rPr>
          <w:u w:val="none"/>
        </w:rPr>
      </w:pPr>
      <w:r>
        <w:rPr>
          <w:u w:val="none"/>
        </w:rPr>
        <w:t>对城市更新单元内原有建筑物进行拆除并重新规划建设，可能改变土地使用权的权利主体、可能变更部分土地性质。</w:t>
      </w:r>
      <w:r>
        <w:rPr>
          <w:rFonts w:hint="eastAsia"/>
          <w:u w:val="none"/>
        </w:rPr>
        <w:t>是虎林市城市更新重点区域，需依据城市风貌管控内容重点审查其建设内容。</w:t>
      </w:r>
    </w:p>
    <w:p w14:paraId="1B539035">
      <w:pPr>
        <w:pStyle w:val="5"/>
        <w:spacing w:before="120" w:after="120"/>
        <w:rPr>
          <w:snapToGrid w:val="0"/>
        </w:rPr>
      </w:pPr>
      <w:r>
        <w:rPr>
          <w:snapToGrid w:val="0"/>
        </w:rPr>
        <w:t>第</w:t>
      </w:r>
      <w:r>
        <w:rPr>
          <w:rFonts w:hint="eastAsia"/>
          <w:snapToGrid w:val="0"/>
        </w:rPr>
        <w:t>1</w:t>
      </w:r>
      <w:r>
        <w:rPr>
          <w:rFonts w:hint="eastAsia"/>
          <w:snapToGrid w:val="0"/>
          <w:lang w:val="en-US" w:eastAsia="zh-CN"/>
        </w:rPr>
        <w:t>20</w:t>
      </w:r>
      <w:r>
        <w:rPr>
          <w:snapToGrid w:val="0"/>
        </w:rPr>
        <w:t>条 老旧小区改造</w:t>
      </w:r>
    </w:p>
    <w:p w14:paraId="1536CB02">
      <w:pPr>
        <w:rPr>
          <w:u w:val="none"/>
        </w:rPr>
      </w:pPr>
      <w:r>
        <w:rPr>
          <w:u w:val="none"/>
        </w:rPr>
        <w:t>1.计划2025年底前完成全部老旧小区改造任务，其中2022年完成76个示范小区改造；2023年完成45个示范小区改造；2024年完成38个示范小区改造；2025年实现老旧小区改造提升全覆盖，完成30个示范小区改造。</w:t>
      </w:r>
    </w:p>
    <w:p w14:paraId="5706987F">
      <w:pPr>
        <w:rPr>
          <w:u w:val="none"/>
        </w:rPr>
      </w:pPr>
      <w:r>
        <w:rPr>
          <w:u w:val="none"/>
        </w:rPr>
        <w:t>2.在结合小区实际的基础上，反复勘查现场，广泛征求群众意见，充分论证方案，科学规划设计，分别制定改造方案并组织实施，有重点地解决停车难、雨污水堵塞、环卫设施差、小区治安无保障等问题，彻底解决群众最关心的问题。</w:t>
      </w:r>
    </w:p>
    <w:p w14:paraId="19EF53BC">
      <w:pPr>
        <w:rPr>
          <w:u w:val="none"/>
        </w:rPr>
      </w:pPr>
      <w:r>
        <w:rPr>
          <w:u w:val="none"/>
        </w:rPr>
        <w:t>3.着力提升旧住房修缮改造水平，推进基础设施改造及屋面、外墙、楼梯等公共部位维修，将管线入地、二次供水、消防设施建设、停车设施建设、积水点排除、环境整治、违法建筑整治等统筹实施。推进相邻区域联动改造，形成社区服务、公共空间共建共享的新局面。</w:t>
      </w:r>
    </w:p>
    <w:p w14:paraId="17B28710">
      <w:pPr>
        <w:pStyle w:val="5"/>
        <w:spacing w:before="120" w:after="120"/>
        <w:rPr>
          <w:snapToGrid w:val="0"/>
        </w:rPr>
      </w:pPr>
      <w:r>
        <w:rPr>
          <w:snapToGrid w:val="0"/>
        </w:rPr>
        <w:t>第</w:t>
      </w:r>
      <w:r>
        <w:rPr>
          <w:rFonts w:hint="eastAsia"/>
          <w:snapToGrid w:val="0"/>
        </w:rPr>
        <w:t>1</w:t>
      </w:r>
      <w:r>
        <w:rPr>
          <w:rFonts w:hint="eastAsia"/>
          <w:snapToGrid w:val="0"/>
          <w:lang w:val="en-US" w:eastAsia="zh-CN"/>
        </w:rPr>
        <w:t>21</w:t>
      </w:r>
      <w:r>
        <w:rPr>
          <w:snapToGrid w:val="0"/>
        </w:rPr>
        <w:t>条 棚户区改造</w:t>
      </w:r>
    </w:p>
    <w:p w14:paraId="783C8B9A">
      <w:pPr>
        <w:rPr>
          <w:u w:val="none"/>
        </w:rPr>
      </w:pPr>
      <w:r>
        <w:rPr>
          <w:u w:val="none"/>
        </w:rPr>
        <w:t>1.对中心城区28片棚户区地块进行逐片调查摸底、登记造册、建立棚户区改造项目库。制定有效措施，细化责任分工，建立考核机制，稳步推进棚户区改造工作。</w:t>
      </w:r>
    </w:p>
    <w:p w14:paraId="2346D714">
      <w:pPr>
        <w:rPr>
          <w:u w:val="none"/>
        </w:rPr>
      </w:pPr>
      <w:r>
        <w:rPr>
          <w:u w:val="none"/>
        </w:rPr>
        <w:t>2.周边缺少公共空间且搬迁难度小的整体搬迁，异地安置，结合城市新区开发同时进行。所处位置较好，居民不愿意</w:t>
      </w:r>
      <w:r>
        <w:rPr>
          <w:rFonts w:hint="eastAsia"/>
          <w:u w:val="none"/>
        </w:rPr>
        <w:t>易地搬迁</w:t>
      </w:r>
      <w:r>
        <w:rPr>
          <w:u w:val="none"/>
        </w:rPr>
        <w:t>的，则通过基础设施及配套公建设施补贴，推动市场化运作开发。</w:t>
      </w:r>
    </w:p>
    <w:p w14:paraId="661E37B4">
      <w:pPr>
        <w:rPr>
          <w:u w:val="none"/>
        </w:rPr>
      </w:pPr>
      <w:r>
        <w:rPr>
          <w:u w:val="none"/>
        </w:rPr>
        <w:t>3.建筑质量尚可，占地成规模，搬迁难度大的，重点改造基础设施，完善托幼、社区医疗、体育等公共设施，改善居民生活环境。</w:t>
      </w:r>
    </w:p>
    <w:p w14:paraId="3C59F7CF">
      <w:pPr>
        <w:rPr>
          <w:u w:val="none"/>
        </w:rPr>
      </w:pPr>
      <w:r>
        <w:rPr>
          <w:u w:val="none"/>
        </w:rPr>
        <w:t>4.建筑质量极差，没有维修价值的简易危房，给予适当的货币补偿予以拆除。</w:t>
      </w:r>
    </w:p>
    <w:p w14:paraId="70F6F4B8">
      <w:pPr>
        <w:pStyle w:val="5"/>
        <w:spacing w:before="120" w:after="120"/>
        <w:rPr>
          <w:snapToGrid w:val="0"/>
        </w:rPr>
      </w:pPr>
      <w:r>
        <w:rPr>
          <w:snapToGrid w:val="0"/>
        </w:rPr>
        <w:t>第</w:t>
      </w:r>
      <w:r>
        <w:rPr>
          <w:rFonts w:hint="eastAsia"/>
          <w:snapToGrid w:val="0"/>
        </w:rPr>
        <w:t>12</w:t>
      </w:r>
      <w:r>
        <w:rPr>
          <w:rFonts w:hint="eastAsia"/>
          <w:snapToGrid w:val="0"/>
          <w:lang w:val="en-US" w:eastAsia="zh-CN"/>
        </w:rPr>
        <w:t>2</w:t>
      </w:r>
      <w:r>
        <w:rPr>
          <w:snapToGrid w:val="0"/>
        </w:rPr>
        <w:t>条 城中村改造</w:t>
      </w:r>
    </w:p>
    <w:p w14:paraId="73FC121D">
      <w:pPr>
        <w:rPr>
          <w:u w:val="none"/>
        </w:rPr>
      </w:pPr>
      <w:r>
        <w:rPr>
          <w:u w:val="none"/>
        </w:rPr>
        <w:t>1.注重时序引导，分步成片改造</w:t>
      </w:r>
    </w:p>
    <w:p w14:paraId="7EE74B43">
      <w:pPr>
        <w:rPr>
          <w:u w:val="none"/>
        </w:rPr>
      </w:pPr>
      <w:r>
        <w:rPr>
          <w:u w:val="none"/>
        </w:rPr>
        <w:t>城中村改造须以城市视角，进行成片规划、分步实施。重点实施市政府周边及园区内部村屯用地。</w:t>
      </w:r>
    </w:p>
    <w:p w14:paraId="3E14394B">
      <w:pPr>
        <w:rPr>
          <w:u w:val="none"/>
        </w:rPr>
      </w:pPr>
      <w:r>
        <w:rPr>
          <w:u w:val="none"/>
        </w:rPr>
        <w:t>2.加强廉租房建设，解决农民住房问题</w:t>
      </w:r>
    </w:p>
    <w:p w14:paraId="51D296A3">
      <w:pPr>
        <w:rPr>
          <w:u w:val="none"/>
        </w:rPr>
      </w:pPr>
      <w:r>
        <w:rPr>
          <w:u w:val="none"/>
        </w:rPr>
        <w:t>加强对外来人口的集中管理，解决治安问题，切断城中村村民的租金收入，用经济的手法减少村民的违章建设问题，有利于城中村改造的顺利实施。</w:t>
      </w:r>
    </w:p>
    <w:p w14:paraId="6DAA3419">
      <w:pPr>
        <w:rPr>
          <w:u w:val="none"/>
        </w:rPr>
      </w:pPr>
      <w:r>
        <w:rPr>
          <w:u w:val="none"/>
        </w:rPr>
        <w:t>3.加强教育宣传，解决村民就业</w:t>
      </w:r>
    </w:p>
    <w:p w14:paraId="2D5DE3F8">
      <w:pPr>
        <w:rPr>
          <w:u w:val="none"/>
        </w:rPr>
      </w:pPr>
      <w:r>
        <w:rPr>
          <w:u w:val="none"/>
        </w:rPr>
        <w:t>城中村改造中会产生大量城市中无生存技能的人。积极提供适宜劳动岗位，是城中村改造前政府必须做的一项工作。</w:t>
      </w:r>
    </w:p>
    <w:p w14:paraId="41574F32">
      <w:pPr>
        <w:pStyle w:val="2"/>
        <w:ind w:firstLine="480"/>
      </w:pPr>
    </w:p>
    <w:p w14:paraId="3B0A540A">
      <w:pPr>
        <w:rPr>
          <w:u w:val="none"/>
        </w:rPr>
      </w:pPr>
      <w:r>
        <w:rPr>
          <w:u w:val="none"/>
        </w:rPr>
        <w:t>4.结合实际情况，分类进行改造</w:t>
      </w:r>
    </w:p>
    <w:p w14:paraId="2B584843">
      <w:pPr>
        <w:rPr>
          <w:u w:val="none"/>
        </w:rPr>
      </w:pPr>
      <w:r>
        <w:rPr>
          <w:u w:val="none"/>
        </w:rPr>
        <w:t>将一些规模较小的村庄合并或向中心村集中并严格控制建设区域、指标及建筑体量、造型等。局部改造位于城市建成区边缘的城中村，实现建新村置换旧村。而对于建成区内部、尚有空置地的村庄，鼓励与实力较强的开发商合作，实施旧村滚动改造。</w:t>
      </w:r>
    </w:p>
    <w:p w14:paraId="01FFDC61">
      <w:pPr>
        <w:pStyle w:val="5"/>
        <w:spacing w:before="120" w:after="120"/>
        <w:rPr>
          <w:snapToGrid w:val="0"/>
        </w:rPr>
      </w:pPr>
      <w:r>
        <w:rPr>
          <w:snapToGrid w:val="0"/>
        </w:rPr>
        <w:t>第</w:t>
      </w:r>
      <w:r>
        <w:rPr>
          <w:rFonts w:hint="eastAsia"/>
          <w:snapToGrid w:val="0"/>
        </w:rPr>
        <w:t>12</w:t>
      </w:r>
      <w:r>
        <w:rPr>
          <w:rFonts w:hint="eastAsia"/>
          <w:snapToGrid w:val="0"/>
          <w:lang w:val="en-US" w:eastAsia="zh-CN"/>
        </w:rPr>
        <w:t>3</w:t>
      </w:r>
      <w:r>
        <w:rPr>
          <w:snapToGrid w:val="0"/>
        </w:rPr>
        <w:t>条 低效存量产业用地改造</w:t>
      </w:r>
    </w:p>
    <w:p w14:paraId="2E91ADE1">
      <w:pPr>
        <w:rPr>
          <w:u w:val="none"/>
        </w:rPr>
      </w:pPr>
      <w:bookmarkStart w:id="346" w:name="_Toc15254"/>
      <w:r>
        <w:rPr>
          <w:u w:val="none"/>
        </w:rPr>
        <w:t>1.项目申报</w:t>
      </w:r>
    </w:p>
    <w:p w14:paraId="6EB149E9">
      <w:pPr>
        <w:rPr>
          <w:u w:val="none"/>
        </w:rPr>
      </w:pPr>
      <w:r>
        <w:rPr>
          <w:u w:val="none"/>
        </w:rPr>
        <w:t>通过补交地价优惠等方式，吸引低效企业主体自下而上申报再开发项目，鼓励在项目内适当增加公益性用地规模。</w:t>
      </w:r>
    </w:p>
    <w:p w14:paraId="16688FDA">
      <w:pPr>
        <w:rPr>
          <w:u w:val="none"/>
        </w:rPr>
      </w:pPr>
      <w:r>
        <w:rPr>
          <w:u w:val="none"/>
        </w:rPr>
        <w:t>2.单元划定</w:t>
      </w:r>
    </w:p>
    <w:p w14:paraId="49B6D5AF">
      <w:pPr>
        <w:rPr>
          <w:u w:val="none"/>
        </w:rPr>
      </w:pPr>
      <w:r>
        <w:rPr>
          <w:u w:val="none"/>
        </w:rPr>
        <w:t>允许对在开发单元内地块或单元内外地块之间进行土地置换。在再开发单元内统筹公益性用地与</w:t>
      </w:r>
      <w:r>
        <w:rPr>
          <w:rFonts w:hint="eastAsia"/>
          <w:u w:val="none"/>
        </w:rPr>
        <w:t>营利性</w:t>
      </w:r>
      <w:r>
        <w:rPr>
          <w:u w:val="none"/>
        </w:rPr>
        <w:t>用地的捆绑开发，降低公益性项目融资难度和运营压力。</w:t>
      </w:r>
    </w:p>
    <w:p w14:paraId="0812D714">
      <w:pPr>
        <w:rPr>
          <w:u w:val="none"/>
        </w:rPr>
      </w:pPr>
      <w:r>
        <w:rPr>
          <w:u w:val="none"/>
        </w:rPr>
        <w:t>3.方案编制</w:t>
      </w:r>
    </w:p>
    <w:p w14:paraId="314B0A8B">
      <w:pPr>
        <w:rPr>
          <w:u w:val="none"/>
        </w:rPr>
      </w:pPr>
      <w:r>
        <w:rPr>
          <w:u w:val="none"/>
        </w:rPr>
        <w:t>借鉴已有容积率奖励、转移等政策，根据实际情况和科学论证设定各类性质用地中主导用途和其他用途合理比例以及可混合用地兼容表，提高用地开发的灵活性。</w:t>
      </w:r>
    </w:p>
    <w:p w14:paraId="75D42ED8">
      <w:pPr>
        <w:rPr>
          <w:u w:val="none"/>
        </w:rPr>
      </w:pPr>
    </w:p>
    <w:p w14:paraId="5B71353C">
      <w:pPr>
        <w:rPr>
          <w:u w:val="none"/>
        </w:rPr>
      </w:pPr>
    </w:p>
    <w:p w14:paraId="127B5B9A">
      <w:pPr>
        <w:rPr>
          <w:u w:val="none"/>
        </w:rPr>
      </w:pPr>
      <w:r>
        <w:rPr>
          <w:u w:val="none"/>
        </w:rPr>
        <w:t>4.项目审批</w:t>
      </w:r>
    </w:p>
    <w:p w14:paraId="4791EC8B">
      <w:pPr>
        <w:rPr>
          <w:u w:val="none"/>
        </w:rPr>
      </w:pPr>
      <w:r>
        <w:rPr>
          <w:u w:val="none"/>
        </w:rPr>
        <w:t>简化相关审批流程，确保改造开发过程公开、公平、公正。</w:t>
      </w:r>
    </w:p>
    <w:p w14:paraId="434FC5D7">
      <w:pPr>
        <w:pStyle w:val="4"/>
        <w:widowControl w:val="0"/>
        <w:snapToGrid/>
        <w:spacing w:before="120" w:beforeLines="50" w:after="120" w:afterLines="50" w:line="600" w:lineRule="exact"/>
        <w:ind w:firstLine="0" w:firstLineChars="0"/>
        <w:rPr>
          <w:b w:val="0"/>
          <w:bCs w:val="0"/>
          <w:color w:val="auto"/>
          <w:u w:val="none"/>
        </w:rPr>
      </w:pPr>
      <w:bookmarkStart w:id="347" w:name="_Toc13635"/>
      <w:bookmarkStart w:id="348" w:name="_Toc181784679"/>
      <w:bookmarkStart w:id="349" w:name="_Toc181784469"/>
      <w:bookmarkStart w:id="350" w:name="_Toc181784609"/>
      <w:r>
        <w:rPr>
          <w:b w:val="0"/>
          <w:bCs w:val="0"/>
          <w:color w:val="auto"/>
          <w:u w:val="none"/>
        </w:rPr>
        <w:t>第</w:t>
      </w:r>
      <w:r>
        <w:rPr>
          <w:rFonts w:hint="eastAsia"/>
          <w:b w:val="0"/>
          <w:bCs w:val="0"/>
          <w:color w:val="auto"/>
          <w:u w:val="none"/>
        </w:rPr>
        <w:t>十二</w:t>
      </w:r>
      <w:r>
        <w:rPr>
          <w:b w:val="0"/>
          <w:bCs w:val="0"/>
          <w:color w:val="auto"/>
          <w:u w:val="none"/>
        </w:rPr>
        <w:t xml:space="preserve">节 </w:t>
      </w:r>
      <w:bookmarkEnd w:id="346"/>
      <w:r>
        <w:rPr>
          <w:rFonts w:hint="eastAsia"/>
          <w:b w:val="0"/>
          <w:bCs w:val="0"/>
          <w:color w:val="auto"/>
          <w:u w:val="none"/>
        </w:rPr>
        <w:t>分层利用地下空间开发</w:t>
      </w:r>
      <w:bookmarkEnd w:id="347"/>
      <w:bookmarkEnd w:id="348"/>
      <w:bookmarkEnd w:id="349"/>
      <w:bookmarkEnd w:id="350"/>
    </w:p>
    <w:p w14:paraId="47093299">
      <w:pPr>
        <w:pStyle w:val="5"/>
        <w:spacing w:before="120" w:after="120"/>
        <w:rPr>
          <w:snapToGrid w:val="0"/>
        </w:rPr>
      </w:pPr>
      <w:r>
        <w:rPr>
          <w:snapToGrid w:val="0"/>
        </w:rPr>
        <w:t>第</w:t>
      </w:r>
      <w:r>
        <w:rPr>
          <w:rFonts w:hint="eastAsia"/>
          <w:snapToGrid w:val="0"/>
        </w:rPr>
        <w:t>12</w:t>
      </w:r>
      <w:r>
        <w:rPr>
          <w:rFonts w:hint="eastAsia"/>
          <w:snapToGrid w:val="0"/>
          <w:lang w:val="en-US" w:eastAsia="zh-CN"/>
        </w:rPr>
        <w:t>4</w:t>
      </w:r>
      <w:r>
        <w:rPr>
          <w:snapToGrid w:val="0"/>
        </w:rPr>
        <w:t>条 地下空间利用目标</w:t>
      </w:r>
    </w:p>
    <w:p w14:paraId="1877EB7C">
      <w:pPr>
        <w:rPr>
          <w:u w:val="none"/>
        </w:rPr>
      </w:pPr>
      <w:r>
        <w:rPr>
          <w:u w:val="none"/>
        </w:rPr>
        <w:t>以集中商业地区为重点，以优化提升老城区地下空间综合效能为突破，创新构建“地上地下一体化、功能类型适宜化、空间环境人性化”的地下空间资源综合开发利用与保护体系，实现“生态持续、复合有序、精细舒适、安全便捷”的地下空间开发利用总体目标。</w:t>
      </w:r>
    </w:p>
    <w:p w14:paraId="616132D6">
      <w:pPr>
        <w:pStyle w:val="5"/>
        <w:spacing w:before="120" w:after="120"/>
        <w:rPr>
          <w:snapToGrid w:val="0"/>
        </w:rPr>
      </w:pPr>
      <w:r>
        <w:rPr>
          <w:snapToGrid w:val="0"/>
        </w:rPr>
        <w:t>第</w:t>
      </w:r>
      <w:r>
        <w:rPr>
          <w:rFonts w:hint="eastAsia"/>
          <w:snapToGrid w:val="0"/>
        </w:rPr>
        <w:t>12</w:t>
      </w:r>
      <w:r>
        <w:rPr>
          <w:rFonts w:hint="eastAsia"/>
          <w:snapToGrid w:val="0"/>
          <w:lang w:val="en-US" w:eastAsia="zh-CN"/>
        </w:rPr>
        <w:t>5</w:t>
      </w:r>
      <w:r>
        <w:rPr>
          <w:snapToGrid w:val="0"/>
        </w:rPr>
        <w:t>条 地下空间利用规划分区</w:t>
      </w:r>
    </w:p>
    <w:p w14:paraId="0597922E">
      <w:pPr>
        <w:rPr>
          <w:u w:val="none"/>
        </w:rPr>
      </w:pPr>
      <w:r>
        <w:rPr>
          <w:u w:val="none"/>
        </w:rPr>
        <w:t>1.重点建设区</w:t>
      </w:r>
    </w:p>
    <w:p w14:paraId="2C9AF4E2">
      <w:pPr>
        <w:rPr>
          <w:u w:val="none"/>
        </w:rPr>
      </w:pPr>
      <w:r>
        <w:rPr>
          <w:u w:val="none"/>
        </w:rPr>
        <w:t>主要是指地下空间功能相对混合、连通性要求较强、公共活动人群较为密集、开发强度相对较高的区域，即虎林市老城步行街与西岗片区的商业集中区。该区域鼓励综合开发利用商业、餐饮、娱乐、停车、充电设施等联合开发。</w:t>
      </w:r>
    </w:p>
    <w:p w14:paraId="4EF1EC12">
      <w:pPr>
        <w:rPr>
          <w:u w:val="none"/>
        </w:rPr>
      </w:pPr>
      <w:r>
        <w:rPr>
          <w:u w:val="none"/>
        </w:rPr>
        <w:t>2.限制（禁止）建设区</w:t>
      </w:r>
    </w:p>
    <w:p w14:paraId="09D0FD7F">
      <w:pPr>
        <w:rPr>
          <w:u w:val="none"/>
        </w:rPr>
      </w:pPr>
      <w:r>
        <w:rPr>
          <w:u w:val="none"/>
        </w:rPr>
        <w:t>原则上禁止大规模地下空间的开发利用，主要是指各类生态绿地与各等级绿地用地等。</w:t>
      </w:r>
    </w:p>
    <w:p w14:paraId="6B87E1F1">
      <w:pPr>
        <w:rPr>
          <w:u w:val="none"/>
        </w:rPr>
      </w:pPr>
    </w:p>
    <w:p w14:paraId="6F03765E">
      <w:pPr>
        <w:rPr>
          <w:u w:val="none"/>
        </w:rPr>
      </w:pPr>
      <w:r>
        <w:rPr>
          <w:u w:val="none"/>
        </w:rPr>
        <w:t>3.一般建设区</w:t>
      </w:r>
    </w:p>
    <w:p w14:paraId="159D348D">
      <w:pPr>
        <w:rPr>
          <w:u w:val="none"/>
        </w:rPr>
      </w:pPr>
      <w:r>
        <w:rPr>
          <w:u w:val="none"/>
        </w:rPr>
        <w:t>主要包括虎林市面广量大的居住区、工业区等。该区域以满足相应设施配建为主，并保障人防建设面积的比例。</w:t>
      </w:r>
    </w:p>
    <w:p w14:paraId="6E04CFD5">
      <w:pPr>
        <w:pStyle w:val="5"/>
        <w:spacing w:before="120" w:after="120"/>
        <w:rPr>
          <w:snapToGrid w:val="0"/>
        </w:rPr>
      </w:pPr>
      <w:r>
        <w:rPr>
          <w:snapToGrid w:val="0"/>
        </w:rPr>
        <w:t>第</w:t>
      </w:r>
      <w:r>
        <w:rPr>
          <w:rFonts w:hint="eastAsia"/>
          <w:snapToGrid w:val="0"/>
        </w:rPr>
        <w:t>12</w:t>
      </w:r>
      <w:r>
        <w:rPr>
          <w:rFonts w:hint="eastAsia"/>
          <w:snapToGrid w:val="0"/>
          <w:lang w:val="en-US" w:eastAsia="zh-CN"/>
        </w:rPr>
        <w:t>6</w:t>
      </w:r>
      <w:r>
        <w:rPr>
          <w:snapToGrid w:val="0"/>
        </w:rPr>
        <w:t>条 地下空间利用布局</w:t>
      </w:r>
    </w:p>
    <w:p w14:paraId="1025B233">
      <w:pPr>
        <w:rPr>
          <w:u w:val="none"/>
        </w:rPr>
      </w:pPr>
      <w:bookmarkStart w:id="351" w:name="_Toc24208"/>
      <w:r>
        <w:rPr>
          <w:u w:val="none"/>
        </w:rPr>
        <w:t>1.地下交通设施</w:t>
      </w:r>
    </w:p>
    <w:p w14:paraId="7F6D2D85">
      <w:pPr>
        <w:rPr>
          <w:u w:val="none"/>
        </w:rPr>
      </w:pPr>
      <w:r>
        <w:rPr>
          <w:u w:val="none"/>
        </w:rPr>
        <w:t>规划南兴街跨铁路交口采用下穿形式，建设立体交通，以方便村屯居民出行。</w:t>
      </w:r>
    </w:p>
    <w:p w14:paraId="3A9A3AF8">
      <w:pPr>
        <w:rPr>
          <w:u w:val="none"/>
        </w:rPr>
      </w:pPr>
      <w:r>
        <w:rPr>
          <w:u w:val="none"/>
        </w:rPr>
        <w:t>用地紧张区域结合大型公建周边城市道路进行地下停车场建设，但进出口应避开交通流量大的方位。</w:t>
      </w:r>
    </w:p>
    <w:p w14:paraId="6AFCDEDE">
      <w:pPr>
        <w:rPr>
          <w:u w:val="none"/>
        </w:rPr>
      </w:pPr>
      <w:r>
        <w:rPr>
          <w:u w:val="none"/>
        </w:rPr>
        <w:t>新建居住区需配建停车位，按50个/100户居民配建，且要满足公共充电设施的需求。</w:t>
      </w:r>
    </w:p>
    <w:p w14:paraId="2C515944">
      <w:pPr>
        <w:rPr>
          <w:u w:val="none"/>
        </w:rPr>
      </w:pPr>
      <w:r>
        <w:rPr>
          <w:u w:val="none"/>
        </w:rPr>
        <w:t>2.地下商业设施</w:t>
      </w:r>
    </w:p>
    <w:p w14:paraId="4DAF9107">
      <w:pPr>
        <w:rPr>
          <w:u w:val="none"/>
        </w:rPr>
      </w:pPr>
      <w:r>
        <w:rPr>
          <w:u w:val="none"/>
        </w:rPr>
        <w:t>通过老城区步行街改造与西岗片区新建商业可同步开发建设地下商业街，并综合考虑多功能开发。</w:t>
      </w:r>
    </w:p>
    <w:p w14:paraId="46B0D930">
      <w:pPr>
        <w:rPr>
          <w:u w:val="none"/>
        </w:rPr>
      </w:pPr>
      <w:r>
        <w:rPr>
          <w:u w:val="none"/>
        </w:rPr>
        <w:t>3.其他</w:t>
      </w:r>
    </w:p>
    <w:p w14:paraId="20D665CE">
      <w:pPr>
        <w:rPr>
          <w:u w:val="none"/>
        </w:rPr>
      </w:pPr>
      <w:r>
        <w:rPr>
          <w:u w:val="none"/>
        </w:rPr>
        <w:t>鼓励铁南省级开发区进行地下空间科学、复合利用。在满足最低地下空间开发面积前提下，制定对地下空间开发给予奖励的制度。</w:t>
      </w:r>
    </w:p>
    <w:p w14:paraId="09FA55B8">
      <w:pPr>
        <w:rPr>
          <w:u w:val="none"/>
        </w:rPr>
      </w:pPr>
      <w:r>
        <w:rPr>
          <w:u w:val="none"/>
        </w:rPr>
        <w:t>新建民用建筑按照其一次性规划新建或者新增地面总建筑面积配建人防工程。</w:t>
      </w:r>
    </w:p>
    <w:bookmarkEnd w:id="351"/>
    <w:p w14:paraId="1BA3022C">
      <w:pPr>
        <w:pStyle w:val="4"/>
        <w:widowControl w:val="0"/>
        <w:snapToGrid/>
        <w:spacing w:before="120" w:beforeLines="50" w:after="120" w:afterLines="50" w:line="600" w:lineRule="exact"/>
        <w:ind w:firstLine="0" w:firstLineChars="0"/>
        <w:rPr>
          <w:b w:val="0"/>
          <w:bCs w:val="0"/>
          <w:color w:val="auto"/>
          <w:u w:val="none"/>
        </w:rPr>
      </w:pPr>
      <w:bookmarkStart w:id="352" w:name="_Toc22090"/>
      <w:bookmarkStart w:id="353" w:name="_Toc181784470"/>
      <w:bookmarkStart w:id="354" w:name="_Toc28859"/>
      <w:bookmarkStart w:id="355" w:name="_Toc181784680"/>
      <w:bookmarkStart w:id="356" w:name="_Toc181784610"/>
      <w:r>
        <w:rPr>
          <w:b w:val="0"/>
          <w:bCs w:val="0"/>
          <w:color w:val="auto"/>
          <w:u w:val="none"/>
        </w:rPr>
        <w:t>第十</w:t>
      </w:r>
      <w:r>
        <w:rPr>
          <w:rFonts w:hint="eastAsia"/>
          <w:b w:val="0"/>
          <w:bCs w:val="0"/>
          <w:color w:val="auto"/>
          <w:u w:val="none"/>
        </w:rPr>
        <w:t>三</w:t>
      </w:r>
      <w:r>
        <w:rPr>
          <w:b w:val="0"/>
          <w:bCs w:val="0"/>
          <w:color w:val="auto"/>
          <w:u w:val="none"/>
        </w:rPr>
        <w:t xml:space="preserve">节 </w:t>
      </w:r>
      <w:bookmarkEnd w:id="352"/>
      <w:r>
        <w:rPr>
          <w:rFonts w:hint="eastAsia"/>
          <w:b w:val="0"/>
          <w:bCs w:val="0"/>
          <w:color w:val="auto"/>
          <w:u w:val="none"/>
        </w:rPr>
        <w:t>严格“四线”管控</w:t>
      </w:r>
      <w:bookmarkEnd w:id="353"/>
      <w:bookmarkEnd w:id="354"/>
      <w:bookmarkEnd w:id="355"/>
      <w:bookmarkEnd w:id="356"/>
    </w:p>
    <w:p w14:paraId="5EABF6E5">
      <w:pPr>
        <w:pStyle w:val="5"/>
        <w:spacing w:before="120" w:after="120"/>
        <w:rPr>
          <w:snapToGrid w:val="0"/>
        </w:rPr>
      </w:pPr>
      <w:r>
        <w:rPr>
          <w:snapToGrid w:val="0"/>
        </w:rPr>
        <w:t>第</w:t>
      </w:r>
      <w:r>
        <w:rPr>
          <w:rFonts w:hint="eastAsia"/>
          <w:snapToGrid w:val="0"/>
        </w:rPr>
        <w:t>12</w:t>
      </w:r>
      <w:r>
        <w:rPr>
          <w:rFonts w:hint="eastAsia"/>
          <w:snapToGrid w:val="0"/>
          <w:lang w:val="en-US" w:eastAsia="zh-CN"/>
        </w:rPr>
        <w:t>7</w:t>
      </w:r>
      <w:r>
        <w:rPr>
          <w:snapToGrid w:val="0"/>
        </w:rPr>
        <w:t>条 城市绿线划定及管控要求</w:t>
      </w:r>
    </w:p>
    <w:p w14:paraId="16A3EBA3">
      <w:pPr>
        <w:rPr>
          <w:u w:val="none"/>
        </w:rPr>
      </w:pPr>
      <w:bookmarkStart w:id="357" w:name="_Toc14227"/>
      <w:r>
        <w:rPr>
          <w:u w:val="none"/>
        </w:rPr>
        <w:t>1.绿线控制范围</w:t>
      </w:r>
    </w:p>
    <w:p w14:paraId="0A2856DA">
      <w:pPr>
        <w:rPr>
          <w:u w:val="none"/>
        </w:rPr>
      </w:pPr>
      <w:r>
        <w:rPr>
          <w:u w:val="none"/>
        </w:rPr>
        <w:t>包括规划确定的城市结构性绿地与大型公园。</w:t>
      </w:r>
    </w:p>
    <w:p w14:paraId="7D19BAA7">
      <w:pPr>
        <w:rPr>
          <w:u w:val="none"/>
        </w:rPr>
      </w:pPr>
      <w:r>
        <w:rPr>
          <w:u w:val="none"/>
        </w:rPr>
        <w:t>2.绿线控制要求</w:t>
      </w:r>
    </w:p>
    <w:p w14:paraId="78247F4C">
      <w:pPr>
        <w:rPr>
          <w:u w:val="none"/>
        </w:rPr>
      </w:pPr>
      <w:r>
        <w:rPr>
          <w:u w:val="none"/>
        </w:rPr>
        <w:t>城市绿线严格按照《城市绿线管理办法》管控，绿线内的用地不得改作他用，原有建筑改造应不扩大现状占地规模，因市政基础设施、公共服务设施建设需要等情形需要修改绿线的应遵循区域绿地总量不减少、服务半径不增加、绿地系统完整的原则。</w:t>
      </w:r>
      <w:r>
        <w:rPr>
          <w:rFonts w:hint="eastAsia"/>
          <w:u w:val="none"/>
        </w:rPr>
        <w:t>另外总规模不减少前提下，</w:t>
      </w:r>
      <w:r>
        <w:rPr>
          <w:u w:val="none"/>
        </w:rPr>
        <w:t>城市绿线</w:t>
      </w:r>
      <w:r>
        <w:rPr>
          <w:rFonts w:hint="eastAsia"/>
          <w:u w:val="none"/>
        </w:rPr>
        <w:t>的具体边界、定位可在详细规划编制和实施中落实。</w:t>
      </w:r>
    </w:p>
    <w:p w14:paraId="11DFFCAD">
      <w:pPr>
        <w:pStyle w:val="5"/>
        <w:spacing w:before="120" w:after="120"/>
        <w:rPr>
          <w:snapToGrid w:val="0"/>
        </w:rPr>
      </w:pPr>
      <w:r>
        <w:rPr>
          <w:snapToGrid w:val="0"/>
        </w:rPr>
        <w:t>第</w:t>
      </w:r>
      <w:r>
        <w:rPr>
          <w:rFonts w:hint="eastAsia"/>
          <w:snapToGrid w:val="0"/>
        </w:rPr>
        <w:t>12</w:t>
      </w:r>
      <w:r>
        <w:rPr>
          <w:rFonts w:hint="eastAsia"/>
          <w:snapToGrid w:val="0"/>
          <w:lang w:val="en-US" w:eastAsia="zh-CN"/>
        </w:rPr>
        <w:t>8</w:t>
      </w:r>
      <w:r>
        <w:rPr>
          <w:snapToGrid w:val="0"/>
        </w:rPr>
        <w:t>条 城市蓝线划定及管控要求</w:t>
      </w:r>
    </w:p>
    <w:p w14:paraId="0FE0703B">
      <w:pPr>
        <w:rPr>
          <w:u w:val="none"/>
        </w:rPr>
      </w:pPr>
      <w:r>
        <w:rPr>
          <w:rFonts w:hint="eastAsia"/>
          <w:u w:val="none"/>
        </w:rPr>
        <w:t>虎林市中心城区不涉及蓝线管控</w:t>
      </w:r>
      <w:r>
        <w:rPr>
          <w:u w:val="none"/>
        </w:rPr>
        <w:t>。</w:t>
      </w:r>
    </w:p>
    <w:p w14:paraId="304208DB">
      <w:pPr>
        <w:pStyle w:val="5"/>
        <w:spacing w:before="120" w:after="120"/>
        <w:rPr>
          <w:snapToGrid w:val="0"/>
        </w:rPr>
      </w:pPr>
      <w:r>
        <w:rPr>
          <w:snapToGrid w:val="0"/>
        </w:rPr>
        <w:t>第</w:t>
      </w:r>
      <w:r>
        <w:rPr>
          <w:rFonts w:hint="eastAsia"/>
          <w:snapToGrid w:val="0"/>
        </w:rPr>
        <w:t>12</w:t>
      </w:r>
      <w:r>
        <w:rPr>
          <w:rFonts w:hint="eastAsia"/>
          <w:snapToGrid w:val="0"/>
          <w:lang w:val="en-US" w:eastAsia="zh-CN"/>
        </w:rPr>
        <w:t>9</w:t>
      </w:r>
      <w:r>
        <w:rPr>
          <w:snapToGrid w:val="0"/>
        </w:rPr>
        <w:t>条 城市黄线划定及管控要求</w:t>
      </w:r>
    </w:p>
    <w:p w14:paraId="6E17738D">
      <w:pPr>
        <w:rPr>
          <w:u w:val="none"/>
        </w:rPr>
      </w:pPr>
      <w:r>
        <w:rPr>
          <w:u w:val="none"/>
        </w:rPr>
        <w:t>1.黄线控制范围</w:t>
      </w:r>
    </w:p>
    <w:p w14:paraId="7114D29B">
      <w:pPr>
        <w:rPr>
          <w:u w:val="none"/>
        </w:rPr>
      </w:pPr>
      <w:r>
        <w:rPr>
          <w:u w:val="none"/>
        </w:rPr>
        <w:t>具体包括：供水厂、污水处理厂、变电站及相应的电力廊道、天然气调压站、供热锅炉房、邮政通信广播电视设施、垃圾转运站、消防站、火车站、长途客运站以及城市公共交通设施等重要基础设施。</w:t>
      </w:r>
    </w:p>
    <w:p w14:paraId="00307F2D">
      <w:pPr>
        <w:rPr>
          <w:u w:val="none"/>
        </w:rPr>
      </w:pPr>
    </w:p>
    <w:p w14:paraId="0F6549C2">
      <w:pPr>
        <w:rPr>
          <w:u w:val="none"/>
        </w:rPr>
      </w:pPr>
      <w:r>
        <w:rPr>
          <w:u w:val="none"/>
        </w:rPr>
        <w:t>2.黄线控制要求</w:t>
      </w:r>
    </w:p>
    <w:p w14:paraId="6BE4F56B">
      <w:pPr>
        <w:rPr>
          <w:u w:val="none"/>
        </w:rPr>
      </w:pPr>
      <w:r>
        <w:rPr>
          <w:u w:val="none"/>
        </w:rPr>
        <w:t>城市黄线严格按照《城市黄线管理办法》管控。城市黄线控制范围不仅保障设施自身运行安全，同时应考虑与周围其他建（构）筑物的间距要求。对现有损坏或影响城市基础设施安全、正常运作的用地，应当限期整改或拆除。</w:t>
      </w:r>
      <w:r>
        <w:rPr>
          <w:rFonts w:hint="eastAsia"/>
          <w:u w:val="none"/>
        </w:rPr>
        <w:t>总规模不减少前提下，</w:t>
      </w:r>
      <w:r>
        <w:rPr>
          <w:u w:val="none"/>
        </w:rPr>
        <w:t>城市黄线</w:t>
      </w:r>
      <w:r>
        <w:rPr>
          <w:rFonts w:hint="eastAsia"/>
          <w:u w:val="none"/>
        </w:rPr>
        <w:t>的具体边界、定位可在详细规划编制和实施中落实。</w:t>
      </w:r>
    </w:p>
    <w:p w14:paraId="113F6D9F">
      <w:pPr>
        <w:pStyle w:val="5"/>
        <w:spacing w:before="120" w:after="120"/>
        <w:rPr>
          <w:snapToGrid w:val="0"/>
        </w:rPr>
      </w:pPr>
      <w:r>
        <w:rPr>
          <w:snapToGrid w:val="0"/>
        </w:rPr>
        <w:t>第</w:t>
      </w:r>
      <w:r>
        <w:rPr>
          <w:rFonts w:hint="eastAsia"/>
          <w:snapToGrid w:val="0"/>
        </w:rPr>
        <w:t>1</w:t>
      </w:r>
      <w:r>
        <w:rPr>
          <w:rFonts w:hint="eastAsia"/>
          <w:snapToGrid w:val="0"/>
          <w:lang w:val="en-US" w:eastAsia="zh-CN"/>
        </w:rPr>
        <w:t>30</w:t>
      </w:r>
      <w:r>
        <w:rPr>
          <w:snapToGrid w:val="0"/>
        </w:rPr>
        <w:t>条 城市紫线划定及管控要求</w:t>
      </w:r>
    </w:p>
    <w:p w14:paraId="25EF0C0A">
      <w:pPr>
        <w:rPr>
          <w:u w:val="none"/>
        </w:rPr>
      </w:pPr>
      <w:r>
        <w:rPr>
          <w:u w:val="none"/>
        </w:rPr>
        <w:t>1.紫线控制范围</w:t>
      </w:r>
    </w:p>
    <w:p w14:paraId="5D728453">
      <w:pPr>
        <w:rPr>
          <w:u w:val="none"/>
        </w:rPr>
      </w:pPr>
      <w:r>
        <w:rPr>
          <w:u w:val="none"/>
        </w:rPr>
        <w:t>经市级以上人民政府公布保护的优秀历史建筑以及文物保护单位的保护范围的边界控制线。</w:t>
      </w:r>
    </w:p>
    <w:p w14:paraId="39C7451B">
      <w:pPr>
        <w:rPr>
          <w:u w:val="none"/>
        </w:rPr>
      </w:pPr>
      <w:r>
        <w:rPr>
          <w:u w:val="none"/>
        </w:rPr>
        <w:t>2.紫线控制要求</w:t>
      </w:r>
    </w:p>
    <w:p w14:paraId="58CB8A33">
      <w:pPr>
        <w:rPr>
          <w:u w:val="none"/>
        </w:rPr>
      </w:pPr>
      <w:r>
        <w:rPr>
          <w:u w:val="none"/>
        </w:rPr>
        <w:t>城市紫线严格按照《城市紫线管理办法》实施管控。重点保护区内不允许随意改变原有外观、风貌及环境；传统风貌协调区内的历史建筑物、街巷及环境基本不受破坏，如需改动必须严格按照保护规划执行并经过有关部门审定批准；历史城区历史地段内其他地区所有新建建筑或更新改造建筑，必须服从“体量小、色彩淡”的原则与周围环境的整体风貌相协调；古城外风貌协调控制区内建筑形式在不破坏古城风貌的前提下，可适当放宽，但不宜过高，避免产生新的景观障碍点，体量与色彩不宜太突出。</w:t>
      </w:r>
    </w:p>
    <w:bookmarkEnd w:id="357"/>
    <w:p w14:paraId="7E1DA52F">
      <w:pPr>
        <w:pStyle w:val="4"/>
        <w:widowControl w:val="0"/>
        <w:snapToGrid/>
        <w:spacing w:before="120" w:beforeLines="50" w:after="120" w:afterLines="50" w:line="600" w:lineRule="exact"/>
        <w:ind w:firstLine="0" w:firstLineChars="0"/>
        <w:rPr>
          <w:b w:val="0"/>
          <w:bCs w:val="0"/>
          <w:color w:val="auto"/>
          <w:u w:val="none"/>
        </w:rPr>
      </w:pPr>
      <w:bookmarkStart w:id="358" w:name="_Toc10193"/>
      <w:bookmarkStart w:id="359" w:name="_Toc181784681"/>
      <w:bookmarkStart w:id="360" w:name="_Toc181784611"/>
      <w:bookmarkStart w:id="361" w:name="_Toc4311"/>
      <w:bookmarkStart w:id="362" w:name="_Toc181784471"/>
      <w:r>
        <w:rPr>
          <w:b w:val="0"/>
          <w:bCs w:val="0"/>
          <w:color w:val="auto"/>
          <w:u w:val="none"/>
        </w:rPr>
        <w:t xml:space="preserve">第十四节 </w:t>
      </w:r>
      <w:bookmarkEnd w:id="358"/>
      <w:r>
        <w:rPr>
          <w:rFonts w:hint="eastAsia"/>
          <w:b w:val="0"/>
          <w:bCs w:val="0"/>
          <w:color w:val="auto"/>
          <w:u w:val="none"/>
        </w:rPr>
        <w:t>划分详细规划单元</w:t>
      </w:r>
      <w:bookmarkEnd w:id="359"/>
      <w:bookmarkEnd w:id="360"/>
      <w:bookmarkEnd w:id="361"/>
      <w:bookmarkEnd w:id="362"/>
    </w:p>
    <w:p w14:paraId="431FA46F">
      <w:pPr>
        <w:pStyle w:val="5"/>
        <w:spacing w:before="120" w:after="120"/>
        <w:rPr>
          <w:snapToGrid w:val="0"/>
        </w:rPr>
      </w:pPr>
      <w:r>
        <w:rPr>
          <w:snapToGrid w:val="0"/>
        </w:rPr>
        <w:t>第</w:t>
      </w:r>
      <w:r>
        <w:rPr>
          <w:rFonts w:hint="eastAsia"/>
          <w:snapToGrid w:val="0"/>
        </w:rPr>
        <w:t>1</w:t>
      </w:r>
      <w:r>
        <w:rPr>
          <w:rFonts w:hint="eastAsia"/>
          <w:snapToGrid w:val="0"/>
          <w:lang w:val="en-US" w:eastAsia="zh-CN"/>
        </w:rPr>
        <w:t>31</w:t>
      </w:r>
      <w:r>
        <w:rPr>
          <w:snapToGrid w:val="0"/>
        </w:rPr>
        <w:t>条 详细单元划分规模</w:t>
      </w:r>
    </w:p>
    <w:p w14:paraId="76A2BEB2">
      <w:pPr>
        <w:rPr>
          <w:u w:val="none"/>
        </w:rPr>
      </w:pPr>
      <w:r>
        <w:rPr>
          <w:u w:val="none"/>
        </w:rPr>
        <w:t>依据空间结构、规划分区、城市骨架路网和社区行政边界，结合规划用地布局划分，考虑城市功能完整性、边界稳定性和规模适宜性，编制单元面积控制在1</w:t>
      </w:r>
      <w:r>
        <w:rPr>
          <w:rFonts w:hint="eastAsia"/>
          <w:u w:val="none"/>
        </w:rPr>
        <w:t>—</w:t>
      </w:r>
      <w:r>
        <w:rPr>
          <w:u w:val="none"/>
        </w:rPr>
        <w:t>2平方公里左右，老城片区控制在1平方公里左右，西岗新区可适当</w:t>
      </w:r>
      <w:r>
        <w:rPr>
          <w:rFonts w:hint="eastAsia"/>
          <w:u w:val="none"/>
        </w:rPr>
        <w:t>扩大</w:t>
      </w:r>
      <w:r>
        <w:rPr>
          <w:u w:val="none"/>
        </w:rPr>
        <w:t>；以居住混合用地为主要用地功能的控规编制单元规模为1</w:t>
      </w:r>
      <w:r>
        <w:rPr>
          <w:rFonts w:hint="eastAsia"/>
          <w:u w:val="none"/>
        </w:rPr>
        <w:t>—</w:t>
      </w:r>
      <w:r>
        <w:rPr>
          <w:u w:val="none"/>
        </w:rPr>
        <w:t>2平方公里左右；产业园区单元规模一般为2平方公里以上。</w:t>
      </w:r>
    </w:p>
    <w:p w14:paraId="7C379FF8">
      <w:pPr>
        <w:pStyle w:val="5"/>
        <w:spacing w:before="120" w:after="120"/>
        <w:rPr>
          <w:snapToGrid w:val="0"/>
        </w:rPr>
      </w:pPr>
      <w:r>
        <w:rPr>
          <w:snapToGrid w:val="0"/>
        </w:rPr>
        <w:t>第</w:t>
      </w:r>
      <w:r>
        <w:rPr>
          <w:rFonts w:hint="eastAsia"/>
          <w:snapToGrid w:val="0"/>
        </w:rPr>
        <w:t>13</w:t>
      </w:r>
      <w:r>
        <w:rPr>
          <w:rFonts w:hint="eastAsia"/>
          <w:snapToGrid w:val="0"/>
          <w:lang w:val="en-US" w:eastAsia="zh-CN"/>
        </w:rPr>
        <w:t>2</w:t>
      </w:r>
      <w:r>
        <w:rPr>
          <w:snapToGrid w:val="0"/>
        </w:rPr>
        <w:t>条 详细单元划分方案</w:t>
      </w:r>
    </w:p>
    <w:p w14:paraId="459BBFBA">
      <w:pPr>
        <w:rPr>
          <w:u w:val="none"/>
        </w:rPr>
      </w:pPr>
      <w:r>
        <w:rPr>
          <w:u w:val="none"/>
        </w:rPr>
        <w:t>规划合理划定虎林市中心城区详细规划编制单元共七个，其中：西岗片区两个详细规划编制单元，老城片区三个详细规划编制单元，铁南片区两个详细规划编制单元。</w:t>
      </w:r>
    </w:p>
    <w:p w14:paraId="7979124C">
      <w:pPr>
        <w:pStyle w:val="5"/>
        <w:spacing w:before="120" w:after="120"/>
        <w:rPr>
          <w:snapToGrid w:val="0"/>
        </w:rPr>
      </w:pPr>
      <w:r>
        <w:rPr>
          <w:snapToGrid w:val="0"/>
        </w:rPr>
        <w:t>第</w:t>
      </w:r>
      <w:r>
        <w:rPr>
          <w:rFonts w:hint="eastAsia"/>
          <w:snapToGrid w:val="0"/>
        </w:rPr>
        <w:t>13</w:t>
      </w:r>
      <w:r>
        <w:rPr>
          <w:rFonts w:hint="eastAsia"/>
          <w:snapToGrid w:val="0"/>
          <w:lang w:val="en-US" w:eastAsia="zh-CN"/>
        </w:rPr>
        <w:t>3</w:t>
      </w:r>
      <w:r>
        <w:rPr>
          <w:snapToGrid w:val="0"/>
        </w:rPr>
        <w:t>条 详细单元应控制内容</w:t>
      </w:r>
    </w:p>
    <w:p w14:paraId="07C02803">
      <w:pPr>
        <w:rPr>
          <w:u w:val="none"/>
        </w:rPr>
      </w:pPr>
      <w:r>
        <w:rPr>
          <w:u w:val="none"/>
        </w:rPr>
        <w:t>（1）主导属性</w:t>
      </w:r>
      <w:r>
        <w:rPr>
          <w:rFonts w:hint="eastAsia"/>
          <w:u w:val="none"/>
        </w:rPr>
        <w:t>—</w:t>
      </w:r>
      <w:r>
        <w:rPr>
          <w:u w:val="none"/>
        </w:rPr>
        <w:t>即主导功能，是确定用地兼容性的重要依据。</w:t>
      </w:r>
    </w:p>
    <w:p w14:paraId="5B396F06">
      <w:pPr>
        <w:rPr>
          <w:u w:val="none"/>
        </w:rPr>
      </w:pPr>
      <w:r>
        <w:rPr>
          <w:u w:val="none"/>
        </w:rPr>
        <w:t>（2）配套设施</w:t>
      </w:r>
      <w:r>
        <w:rPr>
          <w:rFonts w:hint="eastAsia"/>
          <w:u w:val="none"/>
        </w:rPr>
        <w:t>—</w:t>
      </w:r>
      <w:r>
        <w:rPr>
          <w:u w:val="none"/>
        </w:rPr>
        <w:t>设置的公共管理与公共服务设施、公用设施等服务功能，确定建设重点内容。</w:t>
      </w:r>
    </w:p>
    <w:p w14:paraId="0BC403E1">
      <w:pPr>
        <w:rPr>
          <w:u w:val="none"/>
        </w:rPr>
      </w:pPr>
      <w:r>
        <w:rPr>
          <w:u w:val="none"/>
        </w:rPr>
        <w:t>（3）广场和街旁绿地</w:t>
      </w:r>
      <w:r>
        <w:rPr>
          <w:rFonts w:hint="eastAsia"/>
          <w:u w:val="none"/>
        </w:rPr>
        <w:t>—</w:t>
      </w:r>
      <w:r>
        <w:rPr>
          <w:u w:val="none"/>
        </w:rPr>
        <w:t>布置的广场和街旁绿地，其数量、用地面积为强制性内容。</w:t>
      </w:r>
    </w:p>
    <w:p w14:paraId="15F21E1D">
      <w:pPr>
        <w:pStyle w:val="3"/>
        <w:widowControl w:val="0"/>
        <w:snapToGrid/>
        <w:spacing w:before="10" w:after="10" w:line="600" w:lineRule="exact"/>
        <w:ind w:firstLine="0" w:firstLineChars="0"/>
        <w:jc w:val="center"/>
        <w:rPr>
          <w:rFonts w:ascii="Times New Roman" w:hAnsi="Times New Roman" w:eastAsia="方正小标宋简体"/>
          <w:b w:val="0"/>
          <w:bCs w:val="0"/>
          <w:color w:val="auto"/>
          <w:sz w:val="36"/>
          <w:u w:val="none"/>
        </w:rPr>
      </w:pPr>
      <w:bookmarkStart w:id="363" w:name="_Toc181784612"/>
      <w:bookmarkStart w:id="364" w:name="_Toc181784472"/>
      <w:bookmarkStart w:id="365" w:name="_Toc3302"/>
      <w:bookmarkStart w:id="366" w:name="_Toc181784682"/>
      <w:bookmarkStart w:id="367" w:name="_Toc28994"/>
      <w:r>
        <w:rPr>
          <w:rFonts w:ascii="Times New Roman" w:hAnsi="Times New Roman" w:eastAsia="方正小标宋简体"/>
          <w:b w:val="0"/>
          <w:bCs w:val="0"/>
          <w:color w:val="auto"/>
          <w:sz w:val="36"/>
          <w:u w:val="none"/>
        </w:rPr>
        <w:t>第</w:t>
      </w:r>
      <w:r>
        <w:rPr>
          <w:rFonts w:hint="eastAsia" w:ascii="Times New Roman" w:hAnsi="Times New Roman" w:eastAsia="方正小标宋简体"/>
          <w:b w:val="0"/>
          <w:bCs w:val="0"/>
          <w:color w:val="auto"/>
          <w:sz w:val="36"/>
          <w:u w:val="none"/>
        </w:rPr>
        <w:t>八</w:t>
      </w:r>
      <w:r>
        <w:rPr>
          <w:rFonts w:ascii="Times New Roman" w:hAnsi="Times New Roman" w:eastAsia="方正小标宋简体"/>
          <w:b w:val="0"/>
          <w:bCs w:val="0"/>
          <w:color w:val="auto"/>
          <w:sz w:val="36"/>
          <w:u w:val="none"/>
        </w:rPr>
        <w:t xml:space="preserve">章  </w:t>
      </w:r>
      <w:bookmarkStart w:id="368" w:name="_Toc29423"/>
      <w:r>
        <w:rPr>
          <w:rFonts w:hint="eastAsia" w:ascii="Times New Roman" w:hAnsi="Times New Roman" w:eastAsia="方正小标宋简体"/>
          <w:b w:val="0"/>
          <w:bCs w:val="0"/>
          <w:color w:val="auto"/>
          <w:sz w:val="36"/>
          <w:u w:val="none"/>
        </w:rPr>
        <w:t>彰显红色边境特色魅力空间</w:t>
      </w:r>
      <w:bookmarkEnd w:id="363"/>
      <w:bookmarkEnd w:id="364"/>
      <w:bookmarkEnd w:id="365"/>
      <w:bookmarkEnd w:id="366"/>
      <w:bookmarkEnd w:id="368"/>
    </w:p>
    <w:p w14:paraId="06BAECE4">
      <w:pPr>
        <w:pStyle w:val="4"/>
        <w:widowControl w:val="0"/>
        <w:snapToGrid/>
        <w:spacing w:before="120" w:beforeLines="50" w:after="120" w:afterLines="50" w:line="600" w:lineRule="exact"/>
        <w:ind w:firstLine="0" w:firstLineChars="0"/>
        <w:rPr>
          <w:b w:val="0"/>
          <w:bCs w:val="0"/>
          <w:color w:val="auto"/>
          <w:u w:val="none"/>
        </w:rPr>
      </w:pPr>
      <w:bookmarkStart w:id="369" w:name="_Toc28802"/>
      <w:bookmarkStart w:id="370" w:name="_Toc181784683"/>
      <w:bookmarkStart w:id="371" w:name="_Toc181784613"/>
      <w:bookmarkStart w:id="372" w:name="_Toc18369"/>
      <w:bookmarkStart w:id="373" w:name="_Toc181784473"/>
      <w:r>
        <w:rPr>
          <w:b w:val="0"/>
          <w:bCs w:val="0"/>
          <w:color w:val="auto"/>
          <w:u w:val="none"/>
        </w:rPr>
        <w:t xml:space="preserve">第一节 </w:t>
      </w:r>
      <w:bookmarkEnd w:id="369"/>
      <w:r>
        <w:rPr>
          <w:rFonts w:hint="eastAsia"/>
          <w:b w:val="0"/>
          <w:bCs w:val="0"/>
          <w:color w:val="auto"/>
          <w:u w:val="none"/>
        </w:rPr>
        <w:t>系统保护</w:t>
      </w:r>
      <w:bookmarkStart w:id="374" w:name="_Hlk139966281"/>
      <w:r>
        <w:rPr>
          <w:rFonts w:hint="eastAsia"/>
          <w:b w:val="0"/>
          <w:bCs w:val="0"/>
          <w:color w:val="auto"/>
          <w:u w:val="none"/>
        </w:rPr>
        <w:t>自然遗产和历史文化遗产</w:t>
      </w:r>
      <w:bookmarkEnd w:id="370"/>
      <w:bookmarkEnd w:id="371"/>
      <w:bookmarkEnd w:id="372"/>
      <w:bookmarkEnd w:id="373"/>
      <w:bookmarkEnd w:id="374"/>
    </w:p>
    <w:p w14:paraId="170AF2C6">
      <w:pPr>
        <w:pStyle w:val="5"/>
        <w:spacing w:before="120" w:after="120"/>
        <w:rPr>
          <w:snapToGrid w:val="0"/>
        </w:rPr>
      </w:pPr>
      <w:bookmarkStart w:id="375" w:name="_Toc13055"/>
      <w:bookmarkStart w:id="376" w:name="_Toc3463"/>
      <w:bookmarkStart w:id="377" w:name="_Toc27143"/>
      <w:r>
        <w:rPr>
          <w:snapToGrid w:val="0"/>
        </w:rPr>
        <w:t>第</w:t>
      </w:r>
      <w:r>
        <w:rPr>
          <w:rFonts w:hint="eastAsia"/>
          <w:snapToGrid w:val="0"/>
        </w:rPr>
        <w:t>13</w:t>
      </w:r>
      <w:r>
        <w:rPr>
          <w:rFonts w:hint="eastAsia"/>
          <w:snapToGrid w:val="0"/>
          <w:lang w:val="en-US" w:eastAsia="zh-CN"/>
        </w:rPr>
        <w:t>4</w:t>
      </w:r>
      <w:r>
        <w:rPr>
          <w:snapToGrid w:val="0"/>
        </w:rPr>
        <w:t xml:space="preserve">条 </w:t>
      </w:r>
      <w:bookmarkEnd w:id="375"/>
      <w:bookmarkEnd w:id="376"/>
      <w:bookmarkEnd w:id="377"/>
      <w:r>
        <w:rPr>
          <w:snapToGrid w:val="0"/>
        </w:rPr>
        <w:t>“</w:t>
      </w:r>
      <w:r>
        <w:rPr>
          <w:rFonts w:hint="eastAsia"/>
          <w:snapToGrid w:val="0"/>
        </w:rPr>
        <w:t>七</w:t>
      </w:r>
      <w:r>
        <w:rPr>
          <w:snapToGrid w:val="0"/>
        </w:rPr>
        <w:t>区两带”的历史文化保护格局</w:t>
      </w:r>
    </w:p>
    <w:p w14:paraId="37C9C32C">
      <w:pPr>
        <w:rPr>
          <w:u w:val="none"/>
        </w:rPr>
      </w:pPr>
      <w:r>
        <w:rPr>
          <w:rFonts w:hint="eastAsia" w:eastAsia="楷体_GB2312"/>
          <w:u w:val="none"/>
        </w:rPr>
        <w:t>一个聚集区</w:t>
      </w:r>
      <w:r>
        <w:rPr>
          <w:rFonts w:eastAsia="楷体_GB2312"/>
          <w:u w:val="none"/>
        </w:rPr>
        <w:t>：</w:t>
      </w:r>
      <w:r>
        <w:rPr>
          <w:u w:val="none"/>
        </w:rPr>
        <w:t>中心城区文化聚集区，重点保护虎林镇、宝东镇、东诚镇各类历史遗存，并处理好与周边五虎山、穆棱河、西大沟、铁路、公路等自然与人文因素的关系。同时对于城镇内部的历史遗存，秉持在利用中保护的原则，将其结合公服等设施的布局统筹纳入利用统筹。</w:t>
      </w:r>
    </w:p>
    <w:p w14:paraId="23F2C3BA">
      <w:pPr>
        <w:rPr>
          <w:u w:val="none"/>
        </w:rPr>
      </w:pPr>
      <w:r>
        <w:rPr>
          <w:rFonts w:hint="eastAsia" w:eastAsia="楷体_GB2312"/>
          <w:u w:val="none"/>
        </w:rPr>
        <w:t>七个保护区</w:t>
      </w:r>
      <w:r>
        <w:rPr>
          <w:rFonts w:eastAsia="楷体_GB2312"/>
          <w:u w:val="none"/>
        </w:rPr>
        <w:t>：</w:t>
      </w:r>
      <w:r>
        <w:rPr>
          <w:u w:val="none"/>
        </w:rPr>
        <w:t>分别为杨岗、虎头、珍宝岛的红色文化保护区，宝东、新乐的古文化保护区以及迎春、八五</w:t>
      </w:r>
      <w:r>
        <w:rPr>
          <w:rFonts w:hint="eastAsia" w:ascii="宋体" w:hAnsi="宋体" w:eastAsia="宋体" w:cs="宋体"/>
          <w:u w:val="none"/>
        </w:rPr>
        <w:t>〇</w:t>
      </w:r>
      <w:r>
        <w:rPr>
          <w:rFonts w:hint="eastAsia" w:ascii="仿宋_GB2312" w:hAnsi="仿宋_GB2312" w:cs="仿宋_GB2312"/>
          <w:u w:val="none"/>
        </w:rPr>
        <w:t>农场</w:t>
      </w:r>
      <w:r>
        <w:rPr>
          <w:u w:val="none"/>
        </w:rPr>
        <w:t>的工业文化展示区。红色文化保护区有体现边境军事要塞的侵华日军东北要塞</w:t>
      </w:r>
      <w:r>
        <w:rPr>
          <w:rFonts w:hint="eastAsia"/>
          <w:u w:val="none"/>
        </w:rPr>
        <w:t>—</w:t>
      </w:r>
      <w:r>
        <w:rPr>
          <w:u w:val="none"/>
        </w:rPr>
        <w:t>虎头要塞遗址，有展示日本企图长期霸占中国佐证的太山村侵华日军坦克部队遗址，重点要做到修旧如旧、恢复红色遗存的朴素面貌，能更好地保留历史记忆并发挥红色文化凝神聚魂、砥砺初心的作用。古文化保护区以古遗址为主，有展示古代典型建筑风格的虎头关帝庙，有证明虎林市早在汉朝时期就有人类聚居的东源村遗址等，重点要通过现代保护意识共铸与技术手段的应用，逐步改善古遗址保护的现实环境。工业文化展示区主要为工业建筑及附属物，重点在于挖掘再利用价值，同时处理好与周边建筑的协调关系。</w:t>
      </w:r>
    </w:p>
    <w:p w14:paraId="2803CAB7">
      <w:pPr>
        <w:rPr>
          <w:u w:val="none"/>
        </w:rPr>
      </w:pPr>
      <w:r>
        <w:rPr>
          <w:rFonts w:eastAsia="楷体_GB2312"/>
          <w:u w:val="none"/>
        </w:rPr>
        <w:t>两带：</w:t>
      </w:r>
      <w:r>
        <w:rPr>
          <w:u w:val="none"/>
        </w:rPr>
        <w:t>即通过虎林市东西向G331、南北向S201等主要公路，串联起不同时期、类型多样、规模不等的历史文化遗产的重要交通廊道。</w:t>
      </w:r>
    </w:p>
    <w:p w14:paraId="24691160">
      <w:pPr>
        <w:pStyle w:val="5"/>
        <w:spacing w:before="120" w:after="120"/>
        <w:rPr>
          <w:snapToGrid w:val="0"/>
        </w:rPr>
      </w:pPr>
      <w:bookmarkStart w:id="378" w:name="_Toc25564"/>
      <w:bookmarkStart w:id="379" w:name="_Toc24809"/>
      <w:bookmarkStart w:id="380" w:name="_Toc4818"/>
      <w:r>
        <w:rPr>
          <w:snapToGrid w:val="0"/>
        </w:rPr>
        <w:t>第</w:t>
      </w:r>
      <w:r>
        <w:rPr>
          <w:rFonts w:hint="eastAsia"/>
          <w:snapToGrid w:val="0"/>
        </w:rPr>
        <w:t>13</w:t>
      </w:r>
      <w:r>
        <w:rPr>
          <w:rFonts w:hint="eastAsia"/>
          <w:snapToGrid w:val="0"/>
          <w:lang w:val="en-US" w:eastAsia="zh-CN"/>
        </w:rPr>
        <w:t>5</w:t>
      </w:r>
      <w:r>
        <w:rPr>
          <w:snapToGrid w:val="0"/>
        </w:rPr>
        <w:t>条 历史文化保护内容</w:t>
      </w:r>
      <w:bookmarkEnd w:id="378"/>
      <w:bookmarkEnd w:id="379"/>
      <w:bookmarkEnd w:id="380"/>
    </w:p>
    <w:p w14:paraId="77D83BED">
      <w:pPr>
        <w:rPr>
          <w:u w:val="none"/>
        </w:rPr>
      </w:pPr>
      <w:r>
        <w:rPr>
          <w:u w:val="none"/>
        </w:rPr>
        <w:t>针对虎林市历史文化资源，将其历史文化保护内容划分为物质文化遗产的保护以及非物质文化遗产的保护。其中物质文化遗产即历史文化遗存中不可移动文物共有69处，其中国家级文物保护单位1处，省级文物保护单位3处，市级文物保护单位11处以及未定级54处。非物质文化遗产共有6项，其中省级2项，市级4项。</w:t>
      </w:r>
    </w:p>
    <w:p w14:paraId="6171B7CB">
      <w:pPr>
        <w:pStyle w:val="5"/>
        <w:spacing w:before="120" w:after="120"/>
        <w:rPr>
          <w:snapToGrid w:val="0"/>
        </w:rPr>
      </w:pPr>
      <w:bookmarkStart w:id="381" w:name="_Toc31775"/>
      <w:bookmarkStart w:id="382" w:name="_Toc1194"/>
      <w:bookmarkStart w:id="383" w:name="_Toc21398"/>
      <w:r>
        <w:rPr>
          <w:snapToGrid w:val="0"/>
        </w:rPr>
        <w:t>第</w:t>
      </w:r>
      <w:r>
        <w:rPr>
          <w:rFonts w:hint="eastAsia"/>
          <w:snapToGrid w:val="0"/>
        </w:rPr>
        <w:t>13</w:t>
      </w:r>
      <w:r>
        <w:rPr>
          <w:rFonts w:hint="eastAsia"/>
          <w:snapToGrid w:val="0"/>
          <w:lang w:val="en-US" w:eastAsia="zh-CN"/>
        </w:rPr>
        <w:t>6</w:t>
      </w:r>
      <w:r>
        <w:rPr>
          <w:snapToGrid w:val="0"/>
        </w:rPr>
        <w:t>条 自然景观资源保护与利用</w:t>
      </w:r>
      <w:bookmarkEnd w:id="381"/>
      <w:bookmarkEnd w:id="382"/>
    </w:p>
    <w:p w14:paraId="7D797C9F">
      <w:pPr>
        <w:rPr>
          <w:u w:val="none"/>
        </w:rPr>
      </w:pPr>
      <w:r>
        <w:rPr>
          <w:u w:val="none"/>
        </w:rPr>
        <w:t>虎林市北有东方红国家级自然保护区、珍宝岛湿地国家森林保护区，西有完达山脉，东有南北贯穿全域的乌苏里江流域，沿线分布虎头要塞、珍宝岛博物馆等红色文化节点，内部有横穿东西的穆棱河、阿布沁河、七虎林河，本次规划依据空间特点划定山林与水域沿线为整体保护区域，做到从总体设计到点线面，彰显资源内涵，整体提升区域文化品位。</w:t>
      </w:r>
    </w:p>
    <w:p w14:paraId="494619C7">
      <w:pPr>
        <w:rPr>
          <w:u w:val="none"/>
        </w:rPr>
      </w:pPr>
      <w:r>
        <w:rPr>
          <w:u w:val="none"/>
        </w:rPr>
        <w:t>针对山林与水域沿线整体保护区域，联合周边乡村、城镇，开展总体城市设计。</w:t>
      </w:r>
    </w:p>
    <w:p w14:paraId="5487538E">
      <w:pPr>
        <w:rPr>
          <w:u w:val="none"/>
        </w:rPr>
      </w:pPr>
    </w:p>
    <w:p w14:paraId="74739E77">
      <w:pPr>
        <w:rPr>
          <w:u w:val="none"/>
        </w:rPr>
      </w:pPr>
      <w:r>
        <w:rPr>
          <w:u w:val="none"/>
        </w:rPr>
        <w:t>1.山林沿线的保护与利用</w:t>
      </w:r>
    </w:p>
    <w:p w14:paraId="3B1BED0B">
      <w:pPr>
        <w:rPr>
          <w:u w:val="none"/>
        </w:rPr>
      </w:pPr>
      <w:r>
        <w:rPr>
          <w:u w:val="none"/>
        </w:rPr>
        <w:t>（1）保护虎林西北部完达山脉，限制开山采石、挖沙取土等破坏山体景观的行为；加强山体绿化，防止水土流失，对遭到破坏的山体进行生态修复；严格控制山体及周边的建设行为。</w:t>
      </w:r>
    </w:p>
    <w:p w14:paraId="138E91F3">
      <w:pPr>
        <w:rPr>
          <w:u w:val="none"/>
        </w:rPr>
      </w:pPr>
      <w:r>
        <w:rPr>
          <w:u w:val="none"/>
        </w:rPr>
        <w:t>（2）注意山林沿线的建设，要充分结合地形，以改变最少地形，获得最优的景观效果</w:t>
      </w:r>
      <w:r>
        <w:rPr>
          <w:rFonts w:hint="eastAsia"/>
          <w:u w:val="none"/>
        </w:rPr>
        <w:t>为目的</w:t>
      </w:r>
      <w:r>
        <w:rPr>
          <w:u w:val="none"/>
        </w:rPr>
        <w:t>。</w:t>
      </w:r>
    </w:p>
    <w:p w14:paraId="296C44C9">
      <w:pPr>
        <w:rPr>
          <w:u w:val="none"/>
        </w:rPr>
      </w:pPr>
      <w:r>
        <w:rPr>
          <w:u w:val="none"/>
        </w:rPr>
        <w:t>（3）严格保护山体轮廓线和制高点，针对东方红镇、云山农场等临近山体的城镇，构建与山体之间的视线通廊，在保证一定比例的山景不被建筑高度遮挡这一原则下，利用眺望控制法控制观山视廊内的建筑高度，对有严重影响的建筑物应适当搬迁或改造。</w:t>
      </w:r>
    </w:p>
    <w:p w14:paraId="6474EF96">
      <w:pPr>
        <w:rPr>
          <w:u w:val="none"/>
        </w:rPr>
      </w:pPr>
      <w:r>
        <w:rPr>
          <w:u w:val="none"/>
        </w:rPr>
        <w:t>2.水域沿线的保护与利用</w:t>
      </w:r>
    </w:p>
    <w:p w14:paraId="55D9732A">
      <w:pPr>
        <w:rPr>
          <w:u w:val="none"/>
        </w:rPr>
      </w:pPr>
      <w:r>
        <w:rPr>
          <w:u w:val="none"/>
        </w:rPr>
        <w:t>（1）重点保护乌苏里江、穆棱河、阿布沁河、七虎林河等主要河道网络、走向和沿线的生态环境，通过区域整体生态环境的改善，保证水系统的完整性；严格控制对自然河道的“裁弯取直”行为，加强对河道自然岸线、河床的保护，严禁破坏植被。</w:t>
      </w:r>
    </w:p>
    <w:p w14:paraId="1BCCA709">
      <w:pPr>
        <w:rPr>
          <w:u w:val="none"/>
        </w:rPr>
      </w:pPr>
      <w:r>
        <w:rPr>
          <w:u w:val="none"/>
        </w:rPr>
        <w:t>（2）抓好沿线中心城区、虎头镇、八五八农场、珍宝岛乡的总体风貌特色、自然基本格局、公园绿地和公共空间体系；同时深入挖掘沿线历史发展和文化积淀的成因，找到适合地域传承的科学途径，控制整体区域建设形成一致的风貌特质，构筑滨水整体景观体系。</w:t>
      </w:r>
    </w:p>
    <w:p w14:paraId="336585DD">
      <w:pPr>
        <w:rPr>
          <w:u w:val="none"/>
        </w:rPr>
      </w:pPr>
      <w:r>
        <w:rPr>
          <w:u w:val="none"/>
        </w:rPr>
        <w:t>（3）重点改善八五八农场、虎头镇的滨水天际线，滨水建筑屋顶造型应具有多样性而又有较好的协调性；通过对滨水建筑界面适当的通透比率要求，体现出滨水景观面的空间层次。</w:t>
      </w:r>
    </w:p>
    <w:p w14:paraId="6E20B2DC">
      <w:pPr>
        <w:pStyle w:val="5"/>
        <w:spacing w:before="120" w:after="120"/>
        <w:rPr>
          <w:snapToGrid w:val="0"/>
        </w:rPr>
      </w:pPr>
      <w:bookmarkStart w:id="384" w:name="_Toc19384"/>
      <w:bookmarkStart w:id="385" w:name="_Toc5995"/>
      <w:r>
        <w:rPr>
          <w:snapToGrid w:val="0"/>
        </w:rPr>
        <w:t>第</w:t>
      </w:r>
      <w:r>
        <w:rPr>
          <w:rFonts w:hint="eastAsia"/>
          <w:snapToGrid w:val="0"/>
        </w:rPr>
        <w:t>13</w:t>
      </w:r>
      <w:r>
        <w:rPr>
          <w:rFonts w:hint="eastAsia"/>
          <w:snapToGrid w:val="0"/>
          <w:lang w:val="en-US" w:eastAsia="zh-CN"/>
        </w:rPr>
        <w:t>7</w:t>
      </w:r>
      <w:r>
        <w:rPr>
          <w:snapToGrid w:val="0"/>
        </w:rPr>
        <w:t>条 物质文化遗产保护与利用</w:t>
      </w:r>
      <w:bookmarkEnd w:id="383"/>
      <w:bookmarkEnd w:id="384"/>
      <w:bookmarkEnd w:id="385"/>
    </w:p>
    <w:p w14:paraId="46214937">
      <w:pPr>
        <w:rPr>
          <w:u w:val="none"/>
        </w:rPr>
      </w:pPr>
      <w:r>
        <w:rPr>
          <w:u w:val="none"/>
        </w:rPr>
        <w:t>全面保护虎林市现已发现的69处不可移动文物，根据其类型可分为古遗址、古建筑和近现代重要史迹及代表性建筑三类。</w:t>
      </w:r>
    </w:p>
    <w:p w14:paraId="036D9AE8">
      <w:pPr>
        <w:rPr>
          <w:u w:val="none"/>
        </w:rPr>
      </w:pPr>
      <w:r>
        <w:rPr>
          <w:u w:val="none"/>
        </w:rPr>
        <w:t>1.古建筑的保护与利用</w:t>
      </w:r>
    </w:p>
    <w:p w14:paraId="6A8F1046">
      <w:pPr>
        <w:rPr>
          <w:u w:val="none"/>
        </w:rPr>
      </w:pPr>
      <w:r>
        <w:rPr>
          <w:u w:val="none"/>
        </w:rPr>
        <w:t>虎林市保护古建筑仅有一处虎头关帝庙，是省级文物保护单位。</w:t>
      </w:r>
    </w:p>
    <w:p w14:paraId="4497CC0C">
      <w:pPr>
        <w:rPr>
          <w:u w:val="none"/>
        </w:rPr>
      </w:pPr>
      <w:r>
        <w:rPr>
          <w:u w:val="none"/>
        </w:rPr>
        <w:t>（1）针对虎头关帝庙清代风格，做好维修方案，认清自身特点，</w:t>
      </w:r>
      <w:r>
        <w:rPr>
          <w:rFonts w:hint="eastAsia"/>
          <w:u w:val="none"/>
        </w:rPr>
        <w:t>在不改变文物原状基础上，</w:t>
      </w:r>
      <w:r>
        <w:rPr>
          <w:u w:val="none"/>
        </w:rPr>
        <w:t>尽可能还原其历史、科学、文化、社会等多种层面的特点。</w:t>
      </w:r>
    </w:p>
    <w:p w14:paraId="2346C876">
      <w:pPr>
        <w:rPr>
          <w:u w:val="none"/>
        </w:rPr>
      </w:pPr>
      <w:r>
        <w:rPr>
          <w:u w:val="none"/>
        </w:rPr>
        <w:t>（2）在历史文化资源所在区域实施场地绿化和环境塑造等工作，改善和提升区域生态环境、人居环境。</w:t>
      </w:r>
    </w:p>
    <w:p w14:paraId="4DC067B0">
      <w:pPr>
        <w:rPr>
          <w:u w:val="none"/>
        </w:rPr>
      </w:pPr>
      <w:r>
        <w:rPr>
          <w:u w:val="none"/>
        </w:rPr>
        <w:t>（3）应加强与旅游部门合作，</w:t>
      </w:r>
      <w:r>
        <w:rPr>
          <w:rFonts w:hint="eastAsia"/>
          <w:u w:val="none"/>
        </w:rPr>
        <w:t>开辟</w:t>
      </w:r>
      <w:r>
        <w:rPr>
          <w:u w:val="none"/>
        </w:rPr>
        <w:t>旅游景点，对古祠堂文物要面向游客开放，让更多的</w:t>
      </w:r>
      <w:r>
        <w:rPr>
          <w:rFonts w:hint="eastAsia"/>
          <w:u w:val="none"/>
        </w:rPr>
        <w:t>人</w:t>
      </w:r>
      <w:r>
        <w:rPr>
          <w:u w:val="none"/>
        </w:rPr>
        <w:t>了解祠堂丰富的文化底蕴。</w:t>
      </w:r>
    </w:p>
    <w:p w14:paraId="632B9B19">
      <w:pPr>
        <w:rPr>
          <w:u w:val="none"/>
        </w:rPr>
      </w:pPr>
      <w:r>
        <w:rPr>
          <w:u w:val="none"/>
        </w:rPr>
        <w:t>2.古遗址的保护与利用</w:t>
      </w:r>
    </w:p>
    <w:p w14:paraId="117EF1C1">
      <w:pPr>
        <w:rPr>
          <w:u w:val="none"/>
        </w:rPr>
      </w:pPr>
      <w:r>
        <w:rPr>
          <w:u w:val="none"/>
        </w:rPr>
        <w:t>虎林市古遗址共有21处。其中安兴城址为省级文物保护单位，迎南桥遗址为市级文物保护单位，其余均未定级。</w:t>
      </w:r>
    </w:p>
    <w:p w14:paraId="478898CA">
      <w:pPr>
        <w:rPr>
          <w:u w:val="none"/>
        </w:rPr>
      </w:pPr>
      <w:r>
        <w:rPr>
          <w:u w:val="none"/>
        </w:rPr>
        <w:t>（1）对于有重要价值和比较完整的安兴城址、迎南桥遗址等，建立遗址博物馆、遗址公园等文化场所，开展科研活动、文化旅游、艺术创作、节庆展演等，运用创意、科技手段多维度展现大遗址价值与内涵。</w:t>
      </w:r>
    </w:p>
    <w:p w14:paraId="7C094243">
      <w:pPr>
        <w:rPr>
          <w:u w:val="none"/>
        </w:rPr>
      </w:pPr>
      <w:r>
        <w:rPr>
          <w:u w:val="none"/>
        </w:rPr>
        <w:t>（2）在交通可达性好、周边资源丰富的虎头、珍宝岛、杨岗区域，提倡古遗址与月亮岛景区、</w:t>
      </w:r>
      <w:bookmarkStart w:id="386" w:name="OLE_LINK4"/>
      <w:r>
        <w:rPr>
          <w:u w:val="none"/>
        </w:rPr>
        <w:t>乌苏里江国家级森林公园</w:t>
      </w:r>
      <w:bookmarkEnd w:id="386"/>
      <w:r>
        <w:rPr>
          <w:u w:val="none"/>
        </w:rPr>
        <w:t>、珍宝岛湿地国家级自然保护区、</w:t>
      </w:r>
      <w:bookmarkStart w:id="387" w:name="OLE_LINK11"/>
      <w:bookmarkStart w:id="388" w:name="OLE_LINK13"/>
      <w:r>
        <w:rPr>
          <w:u w:val="none"/>
        </w:rPr>
        <w:t>虎头风景名胜</w:t>
      </w:r>
      <w:bookmarkEnd w:id="387"/>
      <w:r>
        <w:rPr>
          <w:u w:val="none"/>
        </w:rPr>
        <w:t>区</w:t>
      </w:r>
      <w:bookmarkEnd w:id="388"/>
      <w:r>
        <w:rPr>
          <w:u w:val="none"/>
        </w:rPr>
        <w:t>等景区相结合，“以文促旅，以旅兴文”，在旅游中发扬历史文化。</w:t>
      </w:r>
    </w:p>
    <w:p w14:paraId="1C4EF158">
      <w:pPr>
        <w:rPr>
          <w:u w:val="none"/>
        </w:rPr>
      </w:pPr>
      <w:r>
        <w:rPr>
          <w:u w:val="none"/>
        </w:rPr>
        <w:t>（3）对于保存不完整、遗存较少的古遗址，要做好保护工作，做到文物保存现状良好，无重大安全隐患，保障人员安全和文物安全。同时要有明确的遗址专门管理机构，权责清晰，能够切实履行对保护利用的监管职责。</w:t>
      </w:r>
    </w:p>
    <w:p w14:paraId="5B051C78">
      <w:pPr>
        <w:rPr>
          <w:u w:val="none"/>
        </w:rPr>
      </w:pPr>
      <w:r>
        <w:rPr>
          <w:u w:val="none"/>
        </w:rPr>
        <w:t>3.近现代重要史迹及代表性建筑的保护与利用</w:t>
      </w:r>
    </w:p>
    <w:p w14:paraId="44FE65D9">
      <w:pPr>
        <w:rPr>
          <w:u w:val="none"/>
        </w:rPr>
      </w:pPr>
      <w:r>
        <w:rPr>
          <w:u w:val="none"/>
        </w:rPr>
        <w:t>虎林市近现代重要史迹及代表性建筑共有47处。其中侵华日军东北要塞</w:t>
      </w:r>
      <w:r>
        <w:rPr>
          <w:rFonts w:hint="eastAsia"/>
          <w:u w:val="none"/>
        </w:rPr>
        <w:t>—</w:t>
      </w:r>
      <w:r>
        <w:rPr>
          <w:u w:val="none"/>
        </w:rPr>
        <w:t>虎头要塞遗址为国家级文物保护单位，珍宝岛战役遗址为省级文物保护单位，其余包含了10处市级文物保护单位</w:t>
      </w:r>
      <w:r>
        <w:rPr>
          <w:rFonts w:hint="eastAsia"/>
          <w:u w:val="none"/>
        </w:rPr>
        <w:t>，以及</w:t>
      </w:r>
      <w:r>
        <w:rPr>
          <w:u w:val="none"/>
        </w:rPr>
        <w:t>35处未定级</w:t>
      </w:r>
      <w:r>
        <w:rPr>
          <w:rFonts w:hint="eastAsia"/>
          <w:u w:val="none"/>
        </w:rPr>
        <w:t>文物保护单位</w:t>
      </w:r>
      <w:r>
        <w:rPr>
          <w:u w:val="none"/>
        </w:rPr>
        <w:t>。</w:t>
      </w:r>
    </w:p>
    <w:p w14:paraId="51B2056A">
      <w:pPr>
        <w:rPr>
          <w:u w:val="none"/>
        </w:rPr>
      </w:pPr>
      <w:r>
        <w:rPr>
          <w:u w:val="none"/>
        </w:rPr>
        <w:t>（1）侵华日军东北要塞</w:t>
      </w:r>
      <w:r>
        <w:rPr>
          <w:rFonts w:hint="eastAsia"/>
          <w:u w:val="none"/>
        </w:rPr>
        <w:t>—</w:t>
      </w:r>
      <w:r>
        <w:rPr>
          <w:u w:val="none"/>
        </w:rPr>
        <w:t>虎头要塞遗址为全国重点文物保护单位、全国爱国主义教育示范基地，是日本军国主义遗留的侵略罪证，是进行爱国主义教育和国防教育的生动实物教材。应以博物馆为核心，联动虎头老镇区，结合区位优势，以</w:t>
      </w:r>
      <w:r>
        <w:rPr>
          <w:rFonts w:hint="eastAsia"/>
          <w:u w:val="none"/>
        </w:rPr>
        <w:t>抗日</w:t>
      </w:r>
      <w:r>
        <w:rPr>
          <w:u w:val="none"/>
        </w:rPr>
        <w:t>战争为主题，提升博物馆景区品质，丰富博物馆景区业态，打造虎头二战历史文化核心展示区与体验区。</w:t>
      </w:r>
    </w:p>
    <w:p w14:paraId="6CDA4E07">
      <w:pPr>
        <w:rPr>
          <w:u w:val="none"/>
        </w:rPr>
      </w:pPr>
      <w:r>
        <w:rPr>
          <w:u w:val="none"/>
        </w:rPr>
        <w:t>（2）利用城镇建成区内被居住区包围的工业建筑及附属物，将其改造为景观公园、公共休憩场所等，既满足人们休闲娱乐的需求，同时又改善城镇居住环境，带动周边地块环境提升。</w:t>
      </w:r>
    </w:p>
    <w:p w14:paraId="1AF66D8A">
      <w:pPr>
        <w:rPr>
          <w:u w:val="none"/>
        </w:rPr>
      </w:pPr>
      <w:r>
        <w:rPr>
          <w:u w:val="none"/>
        </w:rPr>
        <w:t>（3）对于其余量大面广的工业遗存等，结合城镇公共服务设施的建设，将其开发为商店、咖啡厅、餐馆、办公楼、文化设施等，为其发展注入新的活力。</w:t>
      </w:r>
    </w:p>
    <w:p w14:paraId="0402AE5F">
      <w:pPr>
        <w:rPr>
          <w:u w:val="none"/>
        </w:rPr>
      </w:pPr>
      <w:r>
        <w:rPr>
          <w:u w:val="none"/>
        </w:rPr>
        <w:t>4.历史文化保护空间的管控</w:t>
      </w:r>
    </w:p>
    <w:p w14:paraId="434EF798">
      <w:pPr>
        <w:rPr>
          <w:u w:val="none"/>
        </w:rPr>
      </w:pPr>
      <w:r>
        <w:rPr>
          <w:u w:val="none"/>
        </w:rPr>
        <w:t>目前未定级的54处不可移动文物仍没有划定相应保护范围，要加快推进划定文物保护单位的保护范围和建设控制地带</w:t>
      </w:r>
      <w:r>
        <w:rPr>
          <w:rFonts w:hint="eastAsia"/>
          <w:u w:val="none"/>
        </w:rPr>
        <w:t>，及时落实动态补划</w:t>
      </w:r>
      <w:r>
        <w:rPr>
          <w:u w:val="none"/>
        </w:rPr>
        <w:t>。严格执行《中华人民共和国文物保护法》的要求做好保护工作。</w:t>
      </w:r>
    </w:p>
    <w:p w14:paraId="549A37B0">
      <w:pPr>
        <w:rPr>
          <w:u w:val="none"/>
        </w:rPr>
      </w:pPr>
      <w:r>
        <w:rPr>
          <w:u w:val="none"/>
        </w:rPr>
        <w:t>另外文物保护部门要会同自然资源管理部门，做好文物资源专题调查和专项调查，划定历史文化资源控制线，统筹划定包括城市紫线在内的</w:t>
      </w:r>
      <w:r>
        <w:rPr>
          <w:rFonts w:hint="eastAsia"/>
          <w:u w:val="none"/>
        </w:rPr>
        <w:t>各类</w:t>
      </w:r>
      <w:r>
        <w:rPr>
          <w:u w:val="none"/>
        </w:rPr>
        <w:t>历史文化保护线，及时将文物资源的空间信息纳入国土空间规划“一张图”，明确管控要求，实施严格保护。</w:t>
      </w:r>
    </w:p>
    <w:p w14:paraId="7B89FD2D">
      <w:pPr>
        <w:pStyle w:val="5"/>
        <w:spacing w:before="120" w:after="120"/>
        <w:rPr>
          <w:snapToGrid w:val="0"/>
        </w:rPr>
      </w:pPr>
      <w:bookmarkStart w:id="389" w:name="_Toc11483"/>
      <w:bookmarkStart w:id="390" w:name="_Toc6802"/>
      <w:bookmarkStart w:id="391" w:name="_Toc29367"/>
      <w:r>
        <w:rPr>
          <w:snapToGrid w:val="0"/>
        </w:rPr>
        <w:t>第</w:t>
      </w:r>
      <w:r>
        <w:rPr>
          <w:rFonts w:hint="eastAsia"/>
          <w:snapToGrid w:val="0"/>
        </w:rPr>
        <w:t>13</w:t>
      </w:r>
      <w:r>
        <w:rPr>
          <w:rFonts w:hint="eastAsia"/>
          <w:snapToGrid w:val="0"/>
          <w:lang w:val="en-US" w:eastAsia="zh-CN"/>
        </w:rPr>
        <w:t>8</w:t>
      </w:r>
      <w:r>
        <w:rPr>
          <w:snapToGrid w:val="0"/>
        </w:rPr>
        <w:t>条 非物质文化遗产保护与传承</w:t>
      </w:r>
      <w:bookmarkEnd w:id="389"/>
      <w:bookmarkEnd w:id="390"/>
      <w:bookmarkEnd w:id="391"/>
    </w:p>
    <w:p w14:paraId="2031C9DD">
      <w:pPr>
        <w:rPr>
          <w:u w:val="none"/>
        </w:rPr>
      </w:pPr>
      <w:r>
        <w:rPr>
          <w:u w:val="none"/>
        </w:rPr>
        <w:t>虎林市列入保护名录的非物质文化遗产共有6项，其中省级2项，市级4项。规划要做好列入保护名录非物质文化遗产的保护和传承工作，并进一步挖掘历史文化传统，积极进行其他非物质文化遗产的申报工作，建立保护措施体系。</w:t>
      </w:r>
    </w:p>
    <w:p w14:paraId="121CD720">
      <w:pPr>
        <w:rPr>
          <w:u w:val="none"/>
        </w:rPr>
      </w:pPr>
      <w:r>
        <w:rPr>
          <w:u w:val="none"/>
        </w:rPr>
        <w:t>1.推进非遗调查</w:t>
      </w:r>
    </w:p>
    <w:p w14:paraId="658EF43B">
      <w:pPr>
        <w:rPr>
          <w:u w:val="none"/>
        </w:rPr>
      </w:pPr>
      <w:r>
        <w:rPr>
          <w:u w:val="none"/>
        </w:rPr>
        <w:t>进一步搜集虎林市民间传统文化遗产和传承人，运用文字、录音、录像、数字化多媒体等多种科学方式进行整理记录。</w:t>
      </w:r>
    </w:p>
    <w:p w14:paraId="4AB46CD7">
      <w:pPr>
        <w:rPr>
          <w:u w:val="none"/>
        </w:rPr>
      </w:pPr>
      <w:r>
        <w:rPr>
          <w:u w:val="none"/>
        </w:rPr>
        <w:t>2.完善非遗保存</w:t>
      </w:r>
    </w:p>
    <w:p w14:paraId="7E1A0BE6">
      <w:pPr>
        <w:rPr>
          <w:u w:val="none"/>
        </w:rPr>
      </w:pPr>
      <w:r>
        <w:rPr>
          <w:u w:val="none"/>
        </w:rPr>
        <w:t>对非遗保护对象进行真实、全面、系统</w:t>
      </w:r>
      <w:r>
        <w:rPr>
          <w:rFonts w:hint="eastAsia"/>
          <w:u w:val="none"/>
        </w:rPr>
        <w:t>地</w:t>
      </w:r>
      <w:r>
        <w:rPr>
          <w:u w:val="none"/>
        </w:rPr>
        <w:t>记录。对普查中所获得的真实科学的采录文本、录音影像、民俗实物等进行整理、研究，并有计划</w:t>
      </w:r>
      <w:r>
        <w:rPr>
          <w:rFonts w:hint="eastAsia"/>
          <w:u w:val="none"/>
        </w:rPr>
        <w:t>地</w:t>
      </w:r>
      <w:r>
        <w:rPr>
          <w:u w:val="none"/>
        </w:rPr>
        <w:t>编辑出版。利用图、文、音、视数字技术和互联网，在虚拟世界中再现真实的非遗项目全貌及文化空间，并与数字博物馆、图书馆、档案馆的文字资料、文物图像实现互联互通。另外要弄清传承脉络、传承范围，注重传承人群的培训，并将传承人纳入政府支持的保护范畴保证其专项补助。</w:t>
      </w:r>
    </w:p>
    <w:p w14:paraId="772F4183">
      <w:pPr>
        <w:rPr>
          <w:u w:val="none"/>
        </w:rPr>
      </w:pPr>
      <w:r>
        <w:rPr>
          <w:u w:val="none"/>
        </w:rPr>
        <w:t>3.提升非遗活力</w:t>
      </w:r>
    </w:p>
    <w:p w14:paraId="515EC28A">
      <w:pPr>
        <w:rPr>
          <w:u w:val="none"/>
        </w:rPr>
      </w:pPr>
      <w:r>
        <w:rPr>
          <w:u w:val="none"/>
        </w:rPr>
        <w:t>借鉴“文化+旅游产业”模式，进行系统性、综合性旅游开发，将完达山酒酿造工艺、杨氏膏药等传统技艺转化为文化旅游产品，结合孟氏正骨与张氏小儿推拿等传统技艺打造服务品牌，促进春归雁、虎林板舞等传统舞蹈在各类节日的展示等。与美丽乡村、乡村振兴结合起来，在遗产保护和旅游开发中形成良性互动。</w:t>
      </w:r>
    </w:p>
    <w:p w14:paraId="1FE862FA">
      <w:pPr>
        <w:rPr>
          <w:u w:val="none"/>
        </w:rPr>
      </w:pPr>
      <w:r>
        <w:rPr>
          <w:u w:val="none"/>
        </w:rPr>
        <w:t>4.传播非遗品牌</w:t>
      </w:r>
    </w:p>
    <w:p w14:paraId="2726FD91">
      <w:pPr>
        <w:rPr>
          <w:u w:val="none"/>
        </w:rPr>
      </w:pPr>
      <w:r>
        <w:rPr>
          <w:u w:val="none"/>
        </w:rPr>
        <w:t>借助于互联网、大数据、人工智能、VR/AR等前沿技术，将虎林市非遗文化更好</w:t>
      </w:r>
      <w:r>
        <w:rPr>
          <w:rFonts w:hint="eastAsia"/>
          <w:u w:val="none"/>
        </w:rPr>
        <w:t>地</w:t>
      </w:r>
      <w:r>
        <w:rPr>
          <w:u w:val="none"/>
        </w:rPr>
        <w:t>进行创新演绎与流行再造，使传统文化与潮流体验进行有机融合，让非遗更加具有生命力和发展前景。</w:t>
      </w:r>
    </w:p>
    <w:p w14:paraId="54CD0CCD">
      <w:pPr>
        <w:pStyle w:val="4"/>
        <w:widowControl w:val="0"/>
        <w:snapToGrid/>
        <w:spacing w:before="120" w:beforeLines="50" w:after="120" w:afterLines="50" w:line="600" w:lineRule="exact"/>
        <w:ind w:firstLine="0" w:firstLineChars="0"/>
        <w:rPr>
          <w:b w:val="0"/>
          <w:bCs w:val="0"/>
          <w:color w:val="auto"/>
          <w:u w:val="none"/>
        </w:rPr>
      </w:pPr>
      <w:bookmarkStart w:id="392" w:name="_Toc181784614"/>
      <w:bookmarkStart w:id="393" w:name="_Toc181784474"/>
      <w:bookmarkStart w:id="394" w:name="_Toc32142"/>
      <w:bookmarkStart w:id="395" w:name="_Toc181784684"/>
      <w:r>
        <w:rPr>
          <w:b w:val="0"/>
          <w:bCs w:val="0"/>
          <w:color w:val="auto"/>
          <w:u w:val="none"/>
        </w:rPr>
        <w:t>第</w:t>
      </w:r>
      <w:r>
        <w:rPr>
          <w:rFonts w:hint="eastAsia"/>
          <w:b w:val="0"/>
          <w:bCs w:val="0"/>
          <w:color w:val="auto"/>
          <w:u w:val="none"/>
        </w:rPr>
        <w:t>二</w:t>
      </w:r>
      <w:r>
        <w:rPr>
          <w:b w:val="0"/>
          <w:bCs w:val="0"/>
          <w:color w:val="auto"/>
          <w:u w:val="none"/>
        </w:rPr>
        <w:t xml:space="preserve">节 </w:t>
      </w:r>
      <w:r>
        <w:rPr>
          <w:rFonts w:hint="eastAsia"/>
          <w:b w:val="0"/>
          <w:bCs w:val="0"/>
          <w:color w:val="auto"/>
          <w:u w:val="none"/>
        </w:rPr>
        <w:t>塑造</w:t>
      </w:r>
      <w:r>
        <w:rPr>
          <w:b w:val="0"/>
          <w:bCs w:val="0"/>
          <w:color w:val="auto"/>
          <w:u w:val="none"/>
        </w:rPr>
        <w:t>城乡</w:t>
      </w:r>
      <w:r>
        <w:rPr>
          <w:rFonts w:hint="eastAsia"/>
          <w:b w:val="0"/>
          <w:bCs w:val="0"/>
          <w:color w:val="auto"/>
          <w:u w:val="none"/>
        </w:rPr>
        <w:t>特色</w:t>
      </w:r>
      <w:r>
        <w:rPr>
          <w:b w:val="0"/>
          <w:bCs w:val="0"/>
          <w:color w:val="auto"/>
          <w:u w:val="none"/>
        </w:rPr>
        <w:t>风貌</w:t>
      </w:r>
      <w:bookmarkEnd w:id="392"/>
      <w:bookmarkEnd w:id="393"/>
      <w:bookmarkEnd w:id="394"/>
      <w:bookmarkEnd w:id="395"/>
    </w:p>
    <w:p w14:paraId="168E0D66">
      <w:pPr>
        <w:pStyle w:val="5"/>
        <w:spacing w:before="120" w:after="120"/>
        <w:rPr>
          <w:snapToGrid w:val="0"/>
        </w:rPr>
      </w:pPr>
      <w:bookmarkStart w:id="396" w:name="_Toc5427"/>
      <w:bookmarkStart w:id="397" w:name="_Toc5647"/>
      <w:bookmarkStart w:id="398" w:name="_Toc7226"/>
      <w:bookmarkStart w:id="399" w:name="_Toc13155"/>
      <w:bookmarkStart w:id="400" w:name="_Toc27854"/>
      <w:r>
        <w:rPr>
          <w:snapToGrid w:val="0"/>
        </w:rPr>
        <w:t>第</w:t>
      </w:r>
      <w:r>
        <w:rPr>
          <w:rFonts w:hint="eastAsia"/>
          <w:snapToGrid w:val="0"/>
        </w:rPr>
        <w:t>13</w:t>
      </w:r>
      <w:r>
        <w:rPr>
          <w:rFonts w:hint="eastAsia"/>
          <w:snapToGrid w:val="0"/>
          <w:lang w:val="en-US" w:eastAsia="zh-CN"/>
        </w:rPr>
        <w:t>9</w:t>
      </w:r>
      <w:r>
        <w:rPr>
          <w:snapToGrid w:val="0"/>
        </w:rPr>
        <w:t xml:space="preserve">条 </w:t>
      </w:r>
      <w:bookmarkEnd w:id="396"/>
      <w:bookmarkEnd w:id="397"/>
      <w:bookmarkEnd w:id="398"/>
      <w:bookmarkEnd w:id="399"/>
      <w:bookmarkEnd w:id="400"/>
      <w:r>
        <w:rPr>
          <w:snapToGrid w:val="0"/>
        </w:rPr>
        <w:t>“三廊串联四区”的全域城乡风貌格局</w:t>
      </w:r>
    </w:p>
    <w:p w14:paraId="4987D89A">
      <w:pPr>
        <w:rPr>
          <w:rFonts w:eastAsia="仿宋"/>
          <w:u w:val="none"/>
        </w:rPr>
      </w:pPr>
      <w:r>
        <w:rPr>
          <w:rFonts w:eastAsia="楷体_GB2312"/>
          <w:u w:val="none"/>
        </w:rPr>
        <w:t>“三廊”：</w:t>
      </w:r>
      <w:r>
        <w:rPr>
          <w:u w:val="none"/>
        </w:rPr>
        <w:t>以完达山为骨架，以乌苏里江、穆棱河为脉，分别打造完达山、乌苏里江、穆棱河特色景观廊道，整体秉持生态优先战略，重点打造自然风光，串联起虎林市全域风貌系统。</w:t>
      </w:r>
    </w:p>
    <w:p w14:paraId="111D289F">
      <w:pPr>
        <w:rPr>
          <w:u w:val="none"/>
        </w:rPr>
      </w:pPr>
      <w:r>
        <w:rPr>
          <w:rFonts w:eastAsia="楷体_GB2312"/>
          <w:u w:val="none"/>
        </w:rPr>
        <w:t>“四区”：</w:t>
      </w:r>
      <w:r>
        <w:rPr>
          <w:u w:val="none"/>
        </w:rPr>
        <w:t>分别为展示不同主题文章的湿地公园景观风貌区、山林秘境景观风貌区、田园风光景观风貌区以及城镇聚集景观风貌区。</w:t>
      </w:r>
    </w:p>
    <w:p w14:paraId="6BB31139">
      <w:pPr>
        <w:pStyle w:val="5"/>
        <w:spacing w:before="120" w:after="120"/>
        <w:rPr>
          <w:snapToGrid w:val="0"/>
        </w:rPr>
      </w:pPr>
      <w:bookmarkStart w:id="401" w:name="_Toc22303"/>
      <w:bookmarkStart w:id="402" w:name="_Toc3687"/>
      <w:bookmarkStart w:id="403" w:name="_Toc7683"/>
      <w:r>
        <w:rPr>
          <w:snapToGrid w:val="0"/>
        </w:rPr>
        <w:t>第</w:t>
      </w:r>
      <w:r>
        <w:rPr>
          <w:rFonts w:hint="eastAsia"/>
          <w:snapToGrid w:val="0"/>
        </w:rPr>
        <w:t>1</w:t>
      </w:r>
      <w:r>
        <w:rPr>
          <w:rFonts w:hint="eastAsia"/>
          <w:snapToGrid w:val="0"/>
          <w:lang w:val="en-US" w:eastAsia="zh-CN"/>
        </w:rPr>
        <w:t>40</w:t>
      </w:r>
      <w:r>
        <w:rPr>
          <w:snapToGrid w:val="0"/>
        </w:rPr>
        <w:t>条 景观廊道风貌指引</w:t>
      </w:r>
      <w:bookmarkEnd w:id="401"/>
      <w:bookmarkEnd w:id="402"/>
      <w:bookmarkEnd w:id="403"/>
    </w:p>
    <w:p w14:paraId="3BC6EEBF">
      <w:pPr>
        <w:rPr>
          <w:u w:val="none"/>
        </w:rPr>
      </w:pPr>
      <w:r>
        <w:rPr>
          <w:u w:val="none"/>
        </w:rPr>
        <w:t>1.完达山特色景观廊道</w:t>
      </w:r>
    </w:p>
    <w:p w14:paraId="6E127284">
      <w:pPr>
        <w:rPr>
          <w:u w:val="none"/>
        </w:rPr>
      </w:pPr>
      <w:r>
        <w:rPr>
          <w:u w:val="none"/>
        </w:rPr>
        <w:t>重点打造自然风光，塑造“山山互见”“城内观山”“登山观城”的特色廊道。</w:t>
      </w:r>
    </w:p>
    <w:p w14:paraId="01814463">
      <w:pPr>
        <w:rPr>
          <w:u w:val="none"/>
        </w:rPr>
      </w:pPr>
      <w:r>
        <w:rPr>
          <w:u w:val="none"/>
        </w:rPr>
        <w:t>（1）设立禁限建区，连贯沿山道路，提供更多近山机会，依托完达山麓为境，营造一种有氧健康的生活方式，凭借连绵起伏的绿色空间让身心得以放松，让压抑的情绪得以释放。</w:t>
      </w:r>
    </w:p>
    <w:p w14:paraId="17E4D68B">
      <w:pPr>
        <w:rPr>
          <w:u w:val="none"/>
        </w:rPr>
      </w:pPr>
      <w:r>
        <w:rPr>
          <w:u w:val="none"/>
        </w:rPr>
        <w:t>（2）采用视觉分析技术，在山前地带补全联系或间断的景观视点，整合、优化并控制静态视廊与动态视廊，提高视点品质。</w:t>
      </w:r>
    </w:p>
    <w:p w14:paraId="25278B6B">
      <w:pPr>
        <w:rPr>
          <w:u w:val="none"/>
        </w:rPr>
      </w:pPr>
      <w:r>
        <w:rPr>
          <w:u w:val="none"/>
        </w:rPr>
        <w:t>（3）以神顶峰公园为核心，深入挖掘自然资源，结合旅游谋划多元项目，持续打造并弘扬日出文化和东方文化。</w:t>
      </w:r>
    </w:p>
    <w:p w14:paraId="3DF7E688">
      <w:pPr>
        <w:rPr>
          <w:u w:val="none"/>
        </w:rPr>
      </w:pPr>
      <w:r>
        <w:rPr>
          <w:u w:val="none"/>
        </w:rPr>
        <w:t>2.乌苏里江特色景观廊道</w:t>
      </w:r>
    </w:p>
    <w:p w14:paraId="5928477F">
      <w:pPr>
        <w:rPr>
          <w:u w:val="none"/>
        </w:rPr>
      </w:pPr>
      <w:r>
        <w:rPr>
          <w:u w:val="none"/>
        </w:rPr>
        <w:t>重点打造自然风光，从生态、民俗两方面打造“乌苏里”生态画卷，展现固边新形象。</w:t>
      </w:r>
    </w:p>
    <w:p w14:paraId="259314BE">
      <w:pPr>
        <w:rPr>
          <w:u w:val="none"/>
        </w:rPr>
      </w:pPr>
      <w:r>
        <w:rPr>
          <w:u w:val="none"/>
        </w:rPr>
        <w:t>（1）保障抗浪防洪与生态保护，强化绿化，适当建设。</w:t>
      </w:r>
    </w:p>
    <w:p w14:paraId="07A1343A">
      <w:pPr>
        <w:rPr>
          <w:u w:val="none"/>
        </w:rPr>
      </w:pPr>
      <w:r>
        <w:rPr>
          <w:u w:val="none"/>
        </w:rPr>
        <w:t>（2）加强乌苏里生态廊道管控，构建大堤绿道，提供体验和享受自然的休闲场所。</w:t>
      </w:r>
    </w:p>
    <w:p w14:paraId="40F25EA7">
      <w:pPr>
        <w:rPr>
          <w:u w:val="none"/>
        </w:rPr>
      </w:pPr>
      <w:r>
        <w:rPr>
          <w:u w:val="none"/>
        </w:rPr>
        <w:t>（3）持续深化乌苏里江第一塔、千岛林、江畔居民点等重点风貌节点的营造，通过不同设计手法融入各自空间，重点突出亲水休闲、文化运动、观光娱乐等功能，发挥便民亲水与生态活力的景观效果。</w:t>
      </w:r>
    </w:p>
    <w:p w14:paraId="632FD6F4">
      <w:pPr>
        <w:rPr>
          <w:u w:val="none"/>
        </w:rPr>
      </w:pPr>
      <w:r>
        <w:rPr>
          <w:u w:val="none"/>
        </w:rPr>
        <w:t>3.穆棱河景观轴带</w:t>
      </w:r>
    </w:p>
    <w:p w14:paraId="66DBACF1">
      <w:pPr>
        <w:rPr>
          <w:u w:val="none"/>
        </w:rPr>
      </w:pPr>
      <w:r>
        <w:rPr>
          <w:u w:val="none"/>
        </w:rPr>
        <w:t>以虎林市实施的穆棱河水生态环境治理工程为基础，构建生态、亲水、充满活力的滨水景观空间。</w:t>
      </w:r>
    </w:p>
    <w:p w14:paraId="4CA336B5">
      <w:pPr>
        <w:rPr>
          <w:u w:val="none"/>
        </w:rPr>
      </w:pPr>
      <w:r>
        <w:rPr>
          <w:u w:val="none"/>
        </w:rPr>
        <w:t>（1）充分利用滨河绿地打造区域慢行系统，同时兼顾氛围营造，充分感受虎林市大生态、大农业及多样文化；</w:t>
      </w:r>
    </w:p>
    <w:p w14:paraId="14288AA9">
      <w:pPr>
        <w:rPr>
          <w:u w:val="none"/>
        </w:rPr>
      </w:pPr>
      <w:r>
        <w:rPr>
          <w:u w:val="none"/>
        </w:rPr>
        <w:t>（2）强化滨水地带的景观设计，处理好周边交通与岸线、生态环境与建筑等之间的协调关系，形成优美的天际线，丰富城镇景观；</w:t>
      </w:r>
    </w:p>
    <w:p w14:paraId="102E6E14">
      <w:pPr>
        <w:rPr>
          <w:u w:val="none"/>
        </w:rPr>
      </w:pPr>
      <w:r>
        <w:rPr>
          <w:u w:val="none"/>
        </w:rPr>
        <w:t>（3）通过沿河景观绿带的塑造，协同完达山与乌苏里江特色景观廊道，整合资源，串联虎林市全域景观系统与服务模块，打造完整的特色风貌系统；呈现一个既现代又适宜骑行的全域旅游城市。</w:t>
      </w:r>
    </w:p>
    <w:p w14:paraId="61F3E78B">
      <w:pPr>
        <w:pStyle w:val="5"/>
        <w:spacing w:before="120" w:after="120"/>
        <w:rPr>
          <w:snapToGrid w:val="0"/>
        </w:rPr>
      </w:pPr>
      <w:bookmarkStart w:id="404" w:name="_Toc16271"/>
      <w:bookmarkStart w:id="405" w:name="_Toc28171"/>
      <w:bookmarkStart w:id="406" w:name="_Toc22608"/>
      <w:r>
        <w:rPr>
          <w:snapToGrid w:val="0"/>
        </w:rPr>
        <w:t>第</w:t>
      </w:r>
      <w:r>
        <w:rPr>
          <w:rFonts w:hint="eastAsia"/>
          <w:snapToGrid w:val="0"/>
        </w:rPr>
        <w:t>1</w:t>
      </w:r>
      <w:r>
        <w:rPr>
          <w:rFonts w:hint="eastAsia"/>
          <w:snapToGrid w:val="0"/>
          <w:lang w:val="en-US" w:eastAsia="zh-CN"/>
        </w:rPr>
        <w:t>41</w:t>
      </w:r>
      <w:r>
        <w:rPr>
          <w:snapToGrid w:val="0"/>
        </w:rPr>
        <w:t>条 景观分区风貌指引</w:t>
      </w:r>
      <w:bookmarkEnd w:id="404"/>
      <w:bookmarkEnd w:id="405"/>
      <w:bookmarkEnd w:id="406"/>
    </w:p>
    <w:p w14:paraId="643C42C0">
      <w:pPr>
        <w:rPr>
          <w:u w:val="none"/>
        </w:rPr>
      </w:pPr>
      <w:r>
        <w:rPr>
          <w:u w:val="none"/>
        </w:rPr>
        <w:t>1.湿地公园景观风貌区</w:t>
      </w:r>
    </w:p>
    <w:p w14:paraId="15B9AB8E">
      <w:pPr>
        <w:rPr>
          <w:u w:val="none"/>
        </w:rPr>
      </w:pPr>
      <w:r>
        <w:rPr>
          <w:rFonts w:eastAsia="楷体_GB2312"/>
          <w:u w:val="none"/>
        </w:rPr>
        <w:t>聚焦如何做好湿地文章，打造湿地公园新样板。</w:t>
      </w:r>
      <w:r>
        <w:rPr>
          <w:u w:val="none"/>
        </w:rPr>
        <w:t>按照国家湿地公园标准建设湿地公园带，整合提升已有珍宝岛、东方红、月牙湖等湿地公园，链接成带，构建有助于保持生物多样性的生态系统。为市民打造一个生态绿色“大课堂”，潜移默化中改变周边居民的生态意识。</w:t>
      </w:r>
    </w:p>
    <w:p w14:paraId="3B261338">
      <w:pPr>
        <w:rPr>
          <w:u w:val="none"/>
        </w:rPr>
      </w:pPr>
      <w:r>
        <w:rPr>
          <w:u w:val="none"/>
        </w:rPr>
        <w:t>2.田园风光景观风貌区</w:t>
      </w:r>
    </w:p>
    <w:p w14:paraId="6DE75265">
      <w:pPr>
        <w:rPr>
          <w:u w:val="none"/>
        </w:rPr>
      </w:pPr>
      <w:r>
        <w:rPr>
          <w:rFonts w:eastAsia="楷体_GB2312"/>
          <w:u w:val="none"/>
        </w:rPr>
        <w:t>聚焦如何做好农业文章，打造美丽乡村新面貌。</w:t>
      </w:r>
      <w:r>
        <w:rPr>
          <w:u w:val="none"/>
        </w:rPr>
        <w:t>田园风光景观风貌区表现为人类为生存和发展，对自然环境进行改造所呈现的人工自然风貌，应将农业生产与乡村旅游紧密联系，强调农业功能的多元化，围绕建设“优质、高效、外向、安全、生态”现代高效农业的要求，改变传统农业经营模式，大力发展休闲农业，努力展示集农业科普观光、新品种展示、新技术推广的美丽绿色、休闲农业风貌。</w:t>
      </w:r>
    </w:p>
    <w:p w14:paraId="467683D5">
      <w:pPr>
        <w:rPr>
          <w:u w:val="none"/>
        </w:rPr>
      </w:pPr>
      <w:r>
        <w:rPr>
          <w:u w:val="none"/>
        </w:rPr>
        <w:t>3.山林秘境景观风貌区</w:t>
      </w:r>
    </w:p>
    <w:p w14:paraId="01F7F329">
      <w:pPr>
        <w:rPr>
          <w:u w:val="none"/>
        </w:rPr>
      </w:pPr>
      <w:r>
        <w:rPr>
          <w:rFonts w:eastAsia="楷体_GB2312"/>
          <w:u w:val="none"/>
        </w:rPr>
        <w:t>聚</w:t>
      </w:r>
      <w:r>
        <w:rPr>
          <w:rFonts w:hint="eastAsia" w:eastAsia="楷体_GB2312"/>
          <w:u w:val="none"/>
        </w:rPr>
        <w:t>焦</w:t>
      </w:r>
      <w:r>
        <w:rPr>
          <w:rFonts w:eastAsia="楷体_GB2312"/>
          <w:u w:val="none"/>
        </w:rPr>
        <w:t>如何做好林区文章，打造林区避暑新活力。</w:t>
      </w:r>
      <w:r>
        <w:rPr>
          <w:u w:val="none"/>
        </w:rPr>
        <w:t>山林秘境景观风貌区主要依托丰富的完达山、神顶峰等山体、森林资源，通过保护和培育强化整体自然形态，构筑多层次、多色彩、多结构的林区生态景观；随着旅游线路与旅游资源的发掘，注入避暑、养生等新功能新活力，这里也将成为虎林市高品质生活的后花园。</w:t>
      </w:r>
    </w:p>
    <w:p w14:paraId="2A55DE10">
      <w:pPr>
        <w:rPr>
          <w:u w:val="none"/>
        </w:rPr>
      </w:pPr>
      <w:r>
        <w:rPr>
          <w:u w:val="none"/>
        </w:rPr>
        <w:t>4.城镇聚集景观风貌区</w:t>
      </w:r>
    </w:p>
    <w:p w14:paraId="0B5A2777">
      <w:pPr>
        <w:rPr>
          <w:u w:val="none"/>
        </w:rPr>
      </w:pPr>
      <w:r>
        <w:rPr>
          <w:rFonts w:eastAsia="楷体_GB2312"/>
          <w:u w:val="none"/>
        </w:rPr>
        <w:t>聚焦如何做好小城镇文章，打造城镇景观新形象。</w:t>
      </w:r>
      <w:r>
        <w:rPr>
          <w:u w:val="none"/>
        </w:rPr>
        <w:t>以虎林市中心城区为核心，注重周边小城镇的建设，保持传统风貌，延续地域特色，控制街道宽度与周围建筑高度比例，优化空间围合度，形成富有特色的小城镇空间尺度；打造一个具有时代气息与地方特色的多城镇组团风貌系统。</w:t>
      </w:r>
    </w:p>
    <w:p w14:paraId="0B8A7652">
      <w:pPr>
        <w:pStyle w:val="5"/>
        <w:spacing w:before="120" w:after="120"/>
        <w:rPr>
          <w:snapToGrid w:val="0"/>
        </w:rPr>
      </w:pPr>
      <w:bookmarkStart w:id="407" w:name="_Toc27568"/>
      <w:bookmarkStart w:id="408" w:name="_Toc24847"/>
      <w:bookmarkStart w:id="409" w:name="_Toc12842"/>
      <w:r>
        <w:rPr>
          <w:snapToGrid w:val="0"/>
        </w:rPr>
        <w:t>第</w:t>
      </w:r>
      <w:r>
        <w:rPr>
          <w:rFonts w:hint="eastAsia"/>
          <w:snapToGrid w:val="0"/>
        </w:rPr>
        <w:t>14</w:t>
      </w:r>
      <w:r>
        <w:rPr>
          <w:rFonts w:hint="eastAsia"/>
          <w:snapToGrid w:val="0"/>
          <w:lang w:val="en-US" w:eastAsia="zh-CN"/>
        </w:rPr>
        <w:t>2</w:t>
      </w:r>
      <w:r>
        <w:rPr>
          <w:snapToGrid w:val="0"/>
        </w:rPr>
        <w:t>条 乡村风貌塑造</w:t>
      </w:r>
      <w:bookmarkEnd w:id="407"/>
      <w:bookmarkEnd w:id="408"/>
      <w:bookmarkEnd w:id="409"/>
    </w:p>
    <w:p w14:paraId="53E72F86">
      <w:pPr>
        <w:rPr>
          <w:u w:val="none"/>
        </w:rPr>
      </w:pPr>
      <w:bookmarkStart w:id="410" w:name="_Toc23896"/>
      <w:bookmarkStart w:id="411" w:name="_Toc31758"/>
      <w:bookmarkStart w:id="412" w:name="_Toc25645"/>
      <w:r>
        <w:rPr>
          <w:u w:val="none"/>
        </w:rPr>
        <w:t>1.宏观层次：统一的原则和分类的指导</w:t>
      </w:r>
      <w:bookmarkEnd w:id="410"/>
      <w:bookmarkEnd w:id="411"/>
      <w:bookmarkEnd w:id="412"/>
    </w:p>
    <w:p w14:paraId="2D18455D">
      <w:pPr>
        <w:rPr>
          <w:u w:val="none"/>
        </w:rPr>
      </w:pPr>
      <w:r>
        <w:rPr>
          <w:u w:val="none"/>
        </w:rPr>
        <w:t>按照村庄特质将其分为以下四种类型：</w:t>
      </w:r>
    </w:p>
    <w:p w14:paraId="61E89403">
      <w:pPr>
        <w:rPr>
          <w:u w:val="none"/>
        </w:rPr>
      </w:pPr>
      <w:r>
        <w:rPr>
          <w:u w:val="none"/>
        </w:rPr>
        <w:t>农业型村庄：针对东诚镇、新乐乡、伟光乡、阿北乡以及云山农场大部分村庄，合理利用农业资源，适宜发展“农田园林”新景观模式，利用果园、采摘园、蔬菜基地等打造特色农业景观；</w:t>
      </w:r>
    </w:p>
    <w:p w14:paraId="67E09A87">
      <w:pPr>
        <w:rPr>
          <w:u w:val="none"/>
        </w:rPr>
      </w:pPr>
      <w:r>
        <w:rPr>
          <w:u w:val="none"/>
        </w:rPr>
        <w:t>工业型村庄：主要分布于迎春镇、东方红镇、宝东镇、杨岗镇等工业主导型城镇周边，尊重村庄肌理格局特征，各类企业选址应避开自然界面完整、原生植被丰富的生态战略空间，避免对村庄景观造成不可逆影响；在规模、形态上也应与原有村落区分处理，尽可能延续生态体系的连续有机形态，保持乡土特色，避免“非城非乡”；</w:t>
      </w:r>
    </w:p>
    <w:p w14:paraId="1BFE4615">
      <w:pPr>
        <w:rPr>
          <w:u w:val="none"/>
        </w:rPr>
      </w:pPr>
      <w:r>
        <w:rPr>
          <w:u w:val="none"/>
        </w:rPr>
        <w:t>人文历史型村庄：主要位于虎头镇周边区域，结合红色文化，尊重与保护村庄的整体格局和地方文化。体现地方文化的街巷、生活聚落空间应成规模保留，通过适度修缮、合理的功能置换，达到传播文化、延续文脉作用。新建建筑应融入原有村落肌理，尽可能沿用本土材质和特色元素，保证整体风貌的协调统一；</w:t>
      </w:r>
    </w:p>
    <w:p w14:paraId="06079F2C">
      <w:pPr>
        <w:rPr>
          <w:u w:val="none"/>
        </w:rPr>
      </w:pPr>
      <w:r>
        <w:rPr>
          <w:u w:val="none"/>
        </w:rPr>
        <w:t>休闲旅游型村庄：主要分布于东方红镇、珍宝岛乡区域，保证村落景观的本土性和原生态风貌，控制人工景观的尺度和比重。挖掘地方特色，在总体环境和节点景观营造上充分利用当地乡土元素。旅游产业的空间布局、建筑风格、功能设计应与旧村有机衔接，发挥优化地域资源与延续乡土文化的作用。</w:t>
      </w:r>
    </w:p>
    <w:p w14:paraId="70B1F625">
      <w:pPr>
        <w:rPr>
          <w:u w:val="none"/>
        </w:rPr>
      </w:pPr>
      <w:bookmarkStart w:id="413" w:name="_Toc15561"/>
      <w:bookmarkStart w:id="414" w:name="_Toc4361"/>
      <w:bookmarkStart w:id="415" w:name="_Toc30880"/>
      <w:r>
        <w:rPr>
          <w:u w:val="none"/>
        </w:rPr>
        <w:t>2.中观层次：乡村聚落空间的特色塑造</w:t>
      </w:r>
      <w:bookmarkEnd w:id="413"/>
      <w:bookmarkEnd w:id="414"/>
      <w:bookmarkEnd w:id="415"/>
    </w:p>
    <w:p w14:paraId="0FA00758">
      <w:pPr>
        <w:rPr>
          <w:u w:val="none"/>
        </w:rPr>
      </w:pPr>
      <w:r>
        <w:rPr>
          <w:u w:val="none"/>
        </w:rPr>
        <w:t>规划根据不同村庄的资源类型塑造各具特色的空间形象：</w:t>
      </w:r>
    </w:p>
    <w:p w14:paraId="29B60AA5">
      <w:pPr>
        <w:rPr>
          <w:u w:val="none"/>
        </w:rPr>
      </w:pPr>
      <w:bookmarkStart w:id="416" w:name="_Toc24744"/>
      <w:bookmarkStart w:id="417" w:name="_Toc28963"/>
      <w:bookmarkStart w:id="418" w:name="_Toc1538"/>
      <w:r>
        <w:rPr>
          <w:u w:val="none"/>
        </w:rPr>
        <w:t>3.微观层次：乡村细节的打造</w:t>
      </w:r>
      <w:bookmarkEnd w:id="416"/>
      <w:bookmarkEnd w:id="417"/>
      <w:bookmarkEnd w:id="418"/>
    </w:p>
    <w:p w14:paraId="3571DB9E">
      <w:pPr>
        <w:rPr>
          <w:u w:val="none"/>
        </w:rPr>
      </w:pPr>
      <w:r>
        <w:rPr>
          <w:u w:val="none"/>
        </w:rPr>
        <w:t>标识设计：乡村建设中，发挥创造力和想象力，将标识牌与村民生活传统和审美趣味相结合，凸显地域文化、历史等因素；标识牌应不突兀，不造作，就地取材，与乡村环境有机融合。同时为避免美丽乡村标识牌“千村一面”</w:t>
      </w:r>
      <w:r>
        <w:rPr>
          <w:rFonts w:hint="eastAsia"/>
          <w:u w:val="none"/>
        </w:rPr>
        <w:t>情</w:t>
      </w:r>
      <w:r>
        <w:rPr>
          <w:u w:val="none"/>
        </w:rPr>
        <w:t>况，入口标识必须从地域文化中汲取精华，根据地形地貌、村庄名字，彰显地域特色。</w:t>
      </w:r>
    </w:p>
    <w:p w14:paraId="579B9C0E">
      <w:pPr>
        <w:rPr>
          <w:u w:val="none"/>
        </w:rPr>
      </w:pPr>
      <w:r>
        <w:rPr>
          <w:u w:val="none"/>
        </w:rPr>
        <w:t>院落布局：院落的组合应灵活、有序、多式多样，结合宅基地面积和村民意愿决定。院落内注重功能结构、交通组织、动静分区，合理安排菜地等绿化位置，栽种经济果木；大门通过局部细节进行细化美化，体现特色，宽度满足农机具进出；铺地就地取材，倡导使用渗水型环保材料；围墙形式与民居风格协调，提倡透空型、栅栏型围墙。</w:t>
      </w:r>
    </w:p>
    <w:p w14:paraId="463D75A3">
      <w:pPr>
        <w:rPr>
          <w:u w:val="none"/>
        </w:rPr>
      </w:pPr>
      <w:r>
        <w:rPr>
          <w:u w:val="none"/>
        </w:rPr>
        <w:t>建筑平面：根据日照情况、主导风向和地形等因素确定建筑朝向与布局，保证恰当的进深与开间尺度比例。平面布置应功能分区明显，相互间干扰少，长者卧室宜设置于能便捷进出区域，厨房和饭厅宜相邻设于便于排烟通风的北侧，卫生间应有直接对外的通风窗，实现洗、厕分开；大厅应保证较好通风采光，宜布置于南面主要区域。</w:t>
      </w:r>
    </w:p>
    <w:p w14:paraId="01333CB6">
      <w:pPr>
        <w:rPr>
          <w:u w:val="none"/>
        </w:rPr>
      </w:pPr>
      <w:r>
        <w:rPr>
          <w:u w:val="none"/>
        </w:rPr>
        <w:t>建筑外观：屋顶</w:t>
      </w:r>
      <w:r>
        <w:rPr>
          <w:rFonts w:hint="eastAsia"/>
          <w:u w:val="none"/>
        </w:rPr>
        <w:t>—</w:t>
      </w:r>
      <w:r>
        <w:rPr>
          <w:u w:val="none"/>
        </w:rPr>
        <w:t>结合当地风格合理确定屋顶形式，造型协调，鼓励选用坡屋顶，增加构件丰富的檐口形式。墙身</w:t>
      </w:r>
      <w:r>
        <w:rPr>
          <w:rFonts w:hint="eastAsia"/>
          <w:u w:val="none"/>
        </w:rPr>
        <w:t>—</w:t>
      </w:r>
      <w:r>
        <w:rPr>
          <w:u w:val="none"/>
        </w:rPr>
        <w:t>外墙材料优先选用地方材料，立面细化充分利用门窗、阳台、檐口、雨棚、基座、勒脚、线脚等构图要素。门窗</w:t>
      </w:r>
      <w:r>
        <w:rPr>
          <w:rFonts w:hint="eastAsia"/>
          <w:u w:val="none"/>
        </w:rPr>
        <w:t>—</w:t>
      </w:r>
      <w:r>
        <w:rPr>
          <w:u w:val="none"/>
        </w:rPr>
        <w:t>提炼地方元素，丰富外观效果。色彩</w:t>
      </w:r>
      <w:r>
        <w:rPr>
          <w:rFonts w:hint="eastAsia"/>
          <w:u w:val="none"/>
        </w:rPr>
        <w:t>—</w:t>
      </w:r>
      <w:r>
        <w:rPr>
          <w:u w:val="none"/>
        </w:rPr>
        <w:t>服从自然，整体规划，把建筑的主体颜色跟当地的建筑材料融在一起，并在不同功能空间体现层次与变化。</w:t>
      </w:r>
    </w:p>
    <w:p w14:paraId="317ACA7F">
      <w:pPr>
        <w:pStyle w:val="4"/>
        <w:widowControl w:val="0"/>
        <w:snapToGrid/>
        <w:spacing w:before="120" w:beforeLines="50" w:after="120" w:afterLines="50" w:line="600" w:lineRule="exact"/>
        <w:ind w:firstLine="0" w:firstLineChars="0"/>
        <w:rPr>
          <w:b w:val="0"/>
          <w:bCs w:val="0"/>
          <w:color w:val="auto"/>
          <w:u w:val="none"/>
        </w:rPr>
      </w:pPr>
      <w:bookmarkStart w:id="419" w:name="_Toc25105"/>
      <w:bookmarkStart w:id="420" w:name="_Toc181784475"/>
      <w:bookmarkStart w:id="421" w:name="_Toc181784615"/>
      <w:bookmarkStart w:id="422" w:name="_Toc181784685"/>
      <w:bookmarkStart w:id="423" w:name="_Toc3773"/>
      <w:r>
        <w:rPr>
          <w:b w:val="0"/>
          <w:bCs w:val="0"/>
          <w:color w:val="auto"/>
          <w:u w:val="none"/>
        </w:rPr>
        <w:t>第</w:t>
      </w:r>
      <w:r>
        <w:rPr>
          <w:rFonts w:hint="eastAsia"/>
          <w:b w:val="0"/>
          <w:bCs w:val="0"/>
          <w:color w:val="auto"/>
          <w:u w:val="none"/>
        </w:rPr>
        <w:t>三</w:t>
      </w:r>
      <w:r>
        <w:rPr>
          <w:b w:val="0"/>
          <w:bCs w:val="0"/>
          <w:color w:val="auto"/>
          <w:u w:val="none"/>
        </w:rPr>
        <w:t xml:space="preserve">节  </w:t>
      </w:r>
      <w:bookmarkEnd w:id="419"/>
      <w:r>
        <w:rPr>
          <w:rFonts w:hint="eastAsia"/>
          <w:b w:val="0"/>
          <w:bCs w:val="0"/>
          <w:color w:val="auto"/>
          <w:u w:val="none"/>
        </w:rPr>
        <w:t>活化利用自然和历史文化遗产</w:t>
      </w:r>
      <w:bookmarkEnd w:id="420"/>
      <w:bookmarkEnd w:id="421"/>
      <w:bookmarkEnd w:id="422"/>
      <w:bookmarkEnd w:id="423"/>
    </w:p>
    <w:p w14:paraId="3267842B">
      <w:pPr>
        <w:pStyle w:val="5"/>
        <w:spacing w:before="120" w:after="120"/>
        <w:rPr>
          <w:snapToGrid w:val="0"/>
        </w:rPr>
      </w:pPr>
      <w:bookmarkStart w:id="424" w:name="_Toc26581"/>
      <w:bookmarkStart w:id="425" w:name="_Toc30173"/>
      <w:bookmarkStart w:id="426" w:name="_Toc13125"/>
      <w:r>
        <w:rPr>
          <w:snapToGrid w:val="0"/>
        </w:rPr>
        <w:t>第</w:t>
      </w:r>
      <w:r>
        <w:rPr>
          <w:rFonts w:hint="eastAsia"/>
          <w:snapToGrid w:val="0"/>
        </w:rPr>
        <w:t>14</w:t>
      </w:r>
      <w:r>
        <w:rPr>
          <w:rFonts w:hint="eastAsia"/>
          <w:snapToGrid w:val="0"/>
          <w:lang w:val="en-US" w:eastAsia="zh-CN"/>
        </w:rPr>
        <w:t>3</w:t>
      </w:r>
      <w:r>
        <w:rPr>
          <w:snapToGrid w:val="0"/>
        </w:rPr>
        <w:t>条 打造全域旅游品牌形象</w:t>
      </w:r>
      <w:bookmarkEnd w:id="424"/>
      <w:bookmarkEnd w:id="425"/>
      <w:bookmarkEnd w:id="426"/>
    </w:p>
    <w:p w14:paraId="3B205504">
      <w:pPr>
        <w:rPr>
          <w:u w:val="none"/>
        </w:rPr>
      </w:pPr>
      <w:r>
        <w:rPr>
          <w:u w:val="none"/>
        </w:rPr>
        <w:t>全面实施全域旅游发展战略，优化城市旅游布局，丰富旅游文化内涵，创新旅游产品业态，完善旅游要素设施，推进“+旅游”融合发展，培育“红色游”“绿色游”“银色游”“边境游”四大主打品牌。</w:t>
      </w:r>
    </w:p>
    <w:p w14:paraId="060EACCE">
      <w:pPr>
        <w:pStyle w:val="5"/>
        <w:spacing w:before="120" w:after="120"/>
        <w:rPr>
          <w:snapToGrid w:val="0"/>
        </w:rPr>
      </w:pPr>
      <w:bookmarkStart w:id="427" w:name="_Toc18730"/>
      <w:bookmarkStart w:id="428" w:name="_Toc19395"/>
      <w:bookmarkStart w:id="429" w:name="_Toc11997"/>
      <w:r>
        <w:rPr>
          <w:snapToGrid w:val="0"/>
        </w:rPr>
        <w:t>第</w:t>
      </w:r>
      <w:r>
        <w:rPr>
          <w:rFonts w:hint="eastAsia"/>
          <w:snapToGrid w:val="0"/>
        </w:rPr>
        <w:t>14</w:t>
      </w:r>
      <w:r>
        <w:rPr>
          <w:rFonts w:hint="eastAsia"/>
          <w:snapToGrid w:val="0"/>
          <w:lang w:val="en-US" w:eastAsia="zh-CN"/>
        </w:rPr>
        <w:t>4</w:t>
      </w:r>
      <w:r>
        <w:rPr>
          <w:snapToGrid w:val="0"/>
        </w:rPr>
        <w:t>条 谋划特色旅游景点</w:t>
      </w:r>
      <w:bookmarkEnd w:id="427"/>
      <w:bookmarkEnd w:id="428"/>
      <w:bookmarkEnd w:id="429"/>
    </w:p>
    <w:p w14:paraId="0A4952B6">
      <w:pPr>
        <w:rPr>
          <w:u w:val="none"/>
        </w:rPr>
      </w:pPr>
      <w:r>
        <w:rPr>
          <w:u w:val="none"/>
        </w:rPr>
        <w:t>1.突出“红色游”品牌</w:t>
      </w:r>
    </w:p>
    <w:p w14:paraId="3404250F">
      <w:pPr>
        <w:rPr>
          <w:u w:val="none"/>
        </w:rPr>
      </w:pPr>
      <w:r>
        <w:rPr>
          <w:u w:val="none"/>
        </w:rPr>
        <w:t>重点开发珍宝岛纪念馆、侵华日军虎头要塞、虎头滨江广场、虎头植物园、月牙湖Ａ级景区等，拓展爱国主义教育基地功能，开辟研学基地，做好抗联五军、七军抗日遗迹挖掘、整理和保护工作，开放珍宝岛景区、纪念馆，谋划建设珍宝岛战役纪念景观，打造红色旅游精品，策划推出体现建党辉煌历程的红色旅游精品线路、党史教育精品线路以及红色旅游各类大赛活动，让红色旅游真正成为党史学习的实践课堂，筑牢红色之“魂”、精神之“钙”、发展之“基”。</w:t>
      </w:r>
    </w:p>
    <w:p w14:paraId="4DABE25E">
      <w:pPr>
        <w:rPr>
          <w:u w:val="none"/>
        </w:rPr>
      </w:pPr>
      <w:r>
        <w:rPr>
          <w:u w:val="none"/>
        </w:rPr>
        <w:t>2.突出“绿色游”品牌</w:t>
      </w:r>
    </w:p>
    <w:p w14:paraId="44D146D3">
      <w:pPr>
        <w:rPr>
          <w:u w:val="none"/>
        </w:rPr>
      </w:pPr>
      <w:r>
        <w:rPr>
          <w:u w:val="none"/>
        </w:rPr>
        <w:t>合理利用各种湿地公园、河流沿线以及虎林市现代标准化农田风光等，以自然观光为主题，为满足人们对精神和物质的需求，建设观光游览基地等，可吸引游客前来观、赏、习、品、考、书、画、摄、购，是旅游业与自然风光交叉性的旅游产业。</w:t>
      </w:r>
    </w:p>
    <w:p w14:paraId="10C359BF">
      <w:pPr>
        <w:rPr>
          <w:u w:val="none"/>
        </w:rPr>
      </w:pPr>
      <w:r>
        <w:rPr>
          <w:u w:val="none"/>
        </w:rPr>
        <w:t>3.突出“银色游”品牌</w:t>
      </w:r>
    </w:p>
    <w:p w14:paraId="213E0005">
      <w:pPr>
        <w:rPr>
          <w:u w:val="none"/>
        </w:rPr>
      </w:pPr>
      <w:r>
        <w:rPr>
          <w:u w:val="none"/>
        </w:rPr>
        <w:t>着力推进虎林市完达山脉沿线、神顶峰景区建设项目，丰富月牙湖、鑫人合等景区冰雪娱乐设施，重点开发冬季冰雪旅游精品，以亲近大自然为主题，在森林游中进行健康的娱乐消遣，如登山滑雪、野营狩猎、探险猎奇、科学研究等活动，推动“冰雪冷资源”变为“全域热经济”。</w:t>
      </w:r>
    </w:p>
    <w:p w14:paraId="30E74719">
      <w:pPr>
        <w:rPr>
          <w:u w:val="none"/>
        </w:rPr>
      </w:pPr>
      <w:r>
        <w:rPr>
          <w:u w:val="none"/>
        </w:rPr>
        <w:t>4.突出“边境游”品牌</w:t>
      </w:r>
    </w:p>
    <w:p w14:paraId="7F26F47C">
      <w:pPr>
        <w:rPr>
          <w:rFonts w:eastAsia="仿宋"/>
          <w:u w:val="none"/>
        </w:rPr>
      </w:pPr>
      <w:r>
        <w:rPr>
          <w:u w:val="none"/>
        </w:rPr>
        <w:t>重点开发乌苏里江界江旅游精品，开通口岸免税店，培育高品质食宿购物、保健养生等对俄旅游服务体系，推广开展“虎林江水上游”和“中俄跨江游”旅游项目，加强对俄国际交流合作，深化跨境游产品；另外加大宣传推广力度，以边境游带动入境游。打造展示虎林之美的重要平台和窗口。</w:t>
      </w:r>
    </w:p>
    <w:p w14:paraId="1CE85035">
      <w:pPr>
        <w:pStyle w:val="5"/>
        <w:spacing w:before="120" w:after="120"/>
        <w:rPr>
          <w:snapToGrid w:val="0"/>
        </w:rPr>
      </w:pPr>
      <w:bookmarkStart w:id="430" w:name="_Toc20606"/>
      <w:bookmarkStart w:id="431" w:name="_Toc18087"/>
      <w:bookmarkStart w:id="432" w:name="_Toc7124"/>
      <w:r>
        <w:rPr>
          <w:snapToGrid w:val="0"/>
        </w:rPr>
        <w:t>第</w:t>
      </w:r>
      <w:r>
        <w:rPr>
          <w:rFonts w:hint="eastAsia"/>
          <w:snapToGrid w:val="0"/>
        </w:rPr>
        <w:t>14</w:t>
      </w:r>
      <w:r>
        <w:rPr>
          <w:rFonts w:hint="eastAsia"/>
          <w:snapToGrid w:val="0"/>
          <w:lang w:val="en-US" w:eastAsia="zh-CN"/>
        </w:rPr>
        <w:t>5</w:t>
      </w:r>
      <w:r>
        <w:rPr>
          <w:snapToGrid w:val="0"/>
        </w:rPr>
        <w:t>条 塑造</w:t>
      </w:r>
      <w:bookmarkEnd w:id="430"/>
      <w:bookmarkEnd w:id="431"/>
      <w:bookmarkEnd w:id="432"/>
      <w:r>
        <w:rPr>
          <w:rFonts w:hint="eastAsia"/>
          <w:snapToGrid w:val="0"/>
        </w:rPr>
        <w:t>“</w:t>
      </w:r>
      <w:r>
        <w:t>一核两环一带七区”</w:t>
      </w:r>
      <w:r>
        <w:rPr>
          <w:rFonts w:hint="eastAsia"/>
        </w:rPr>
        <w:t>全域</w:t>
      </w:r>
      <w:r>
        <w:t>旅游空间格局</w:t>
      </w:r>
    </w:p>
    <w:p w14:paraId="1BB0C0F1">
      <w:pPr>
        <w:rPr>
          <w:u w:val="none"/>
        </w:rPr>
      </w:pPr>
      <w:r>
        <w:rPr>
          <w:rFonts w:eastAsia="楷体_GB2312"/>
          <w:u w:val="none"/>
        </w:rPr>
        <w:t>“一核”：</w:t>
      </w:r>
      <w:r>
        <w:rPr>
          <w:u w:val="none"/>
        </w:rPr>
        <w:t>即游客感受城市服务水平的虎林城市休闲核；</w:t>
      </w:r>
    </w:p>
    <w:p w14:paraId="17CEA966">
      <w:pPr>
        <w:rPr>
          <w:u w:val="none"/>
        </w:rPr>
      </w:pPr>
      <w:r>
        <w:rPr>
          <w:rFonts w:eastAsia="楷体_GB2312"/>
          <w:u w:val="none"/>
        </w:rPr>
        <w:t>“两环”：</w:t>
      </w:r>
      <w:r>
        <w:rPr>
          <w:u w:val="none"/>
        </w:rPr>
        <w:t>为依托G331、S201串联构成的旅游交通环线；</w:t>
      </w:r>
    </w:p>
    <w:p w14:paraId="3EF1A5D7">
      <w:pPr>
        <w:rPr>
          <w:u w:val="none"/>
        </w:rPr>
      </w:pPr>
      <w:r>
        <w:rPr>
          <w:rFonts w:eastAsia="楷体_GB2312"/>
          <w:u w:val="none"/>
        </w:rPr>
        <w:t>“一带”：</w:t>
      </w:r>
      <w:r>
        <w:rPr>
          <w:u w:val="none"/>
        </w:rPr>
        <w:t>即乌苏里江风情旅游示范带；</w:t>
      </w:r>
    </w:p>
    <w:p w14:paraId="7C4A93CC">
      <w:pPr>
        <w:rPr>
          <w:u w:val="none"/>
        </w:rPr>
      </w:pPr>
      <w:r>
        <w:rPr>
          <w:rFonts w:eastAsia="楷体_GB2312"/>
          <w:u w:val="none"/>
        </w:rPr>
        <w:t>“七区”：</w:t>
      </w:r>
      <w:r>
        <w:rPr>
          <w:u w:val="none"/>
        </w:rPr>
        <w:t>则包含虎头旅游区，珍宝岛旅游区，神顶峰旅游区，迎春寒地龙药康养旅游区，杨岗现代农业旅游区，宝东、云山生态农业旅游区，吉祥边关旅游区。</w:t>
      </w:r>
    </w:p>
    <w:p w14:paraId="4494B061">
      <w:pPr>
        <w:pStyle w:val="5"/>
        <w:spacing w:before="120" w:after="120"/>
        <w:rPr>
          <w:snapToGrid w:val="0"/>
        </w:rPr>
      </w:pPr>
      <w:bookmarkStart w:id="433" w:name="_Toc1555"/>
      <w:bookmarkStart w:id="434" w:name="_Toc30798"/>
      <w:bookmarkStart w:id="435" w:name="_Toc14685"/>
      <w:r>
        <w:rPr>
          <w:snapToGrid w:val="0"/>
        </w:rPr>
        <w:t>第</w:t>
      </w:r>
      <w:r>
        <w:rPr>
          <w:rFonts w:hint="eastAsia"/>
          <w:snapToGrid w:val="0"/>
        </w:rPr>
        <w:t>14</w:t>
      </w:r>
      <w:r>
        <w:rPr>
          <w:rFonts w:hint="eastAsia"/>
          <w:snapToGrid w:val="0"/>
          <w:lang w:val="en-US" w:eastAsia="zh-CN"/>
        </w:rPr>
        <w:t>6</w:t>
      </w:r>
      <w:r>
        <w:rPr>
          <w:snapToGrid w:val="0"/>
        </w:rPr>
        <w:t>条 引导旅游分区建设</w:t>
      </w:r>
      <w:bookmarkEnd w:id="433"/>
      <w:bookmarkEnd w:id="434"/>
      <w:bookmarkEnd w:id="435"/>
    </w:p>
    <w:p w14:paraId="7D12B0B8">
      <w:pPr>
        <w:rPr>
          <w:u w:val="none"/>
        </w:rPr>
      </w:pPr>
      <w:r>
        <w:rPr>
          <w:u w:val="none"/>
        </w:rPr>
        <w:t>1.一个城市休闲核心</w:t>
      </w:r>
    </w:p>
    <w:p w14:paraId="6DC27188">
      <w:pPr>
        <w:rPr>
          <w:u w:val="none"/>
        </w:rPr>
      </w:pPr>
      <w:r>
        <w:rPr>
          <w:u w:val="none"/>
        </w:rPr>
        <w:t>依托中心城区与周边城镇，加快完善包括交通运输、旅游集散、旅游咨询、旅游综合服务、综合商务、救援等在内的全域旅游服务功能，完善虎林餐饮、住宿、娱乐、购物等产业要素，提升旅游服务质量和水平，提供一站式个性化服务，将虎林市中心城区建设成为全域旅游集散中心。</w:t>
      </w:r>
    </w:p>
    <w:p w14:paraId="66E363C3">
      <w:pPr>
        <w:rPr>
          <w:u w:val="none"/>
        </w:rPr>
      </w:pPr>
    </w:p>
    <w:p w14:paraId="4FAFE292">
      <w:pPr>
        <w:rPr>
          <w:u w:val="none"/>
        </w:rPr>
      </w:pPr>
    </w:p>
    <w:p w14:paraId="32E21F4E">
      <w:pPr>
        <w:rPr>
          <w:u w:val="none"/>
        </w:rPr>
      </w:pPr>
      <w:r>
        <w:rPr>
          <w:u w:val="none"/>
        </w:rPr>
        <w:t>2.两条旅游景观环线</w:t>
      </w:r>
    </w:p>
    <w:p w14:paraId="16912E44">
      <w:pPr>
        <w:rPr>
          <w:u w:val="none"/>
        </w:rPr>
      </w:pPr>
      <w:r>
        <w:rPr>
          <w:u w:val="none"/>
        </w:rPr>
        <w:t>东西水陆黄金旅游风光带：依托G331串联虎头旅游区、珍宝岛旅游区、杨岗云山现代农业旅游区、宝东生态农业旅游区、乌苏里江、国家湿地公园、月牙湖、鑫人合滑雪场等沿线优质旅游资源和景区，提升道路等级和乌苏里江航道等级，配套自驾车营地和服务设施建设，打造东西向水陆黄金旅游风光带。</w:t>
      </w:r>
    </w:p>
    <w:p w14:paraId="79542744">
      <w:pPr>
        <w:rPr>
          <w:u w:val="none"/>
        </w:rPr>
      </w:pPr>
      <w:r>
        <w:rPr>
          <w:u w:val="none"/>
        </w:rPr>
        <w:t>南北农林生态旅游风光带：打通虎林市南北交通S201，联结虎林市中心城区、神顶峰旅游区、迎春寒地龙药康养旅游区、吉祥边关旅游区、千</w:t>
      </w:r>
      <w:r>
        <w:rPr>
          <w:rFonts w:hint="eastAsia"/>
          <w:u w:val="none"/>
        </w:rPr>
        <w:t>岛</w:t>
      </w:r>
      <w:r>
        <w:rPr>
          <w:u w:val="none"/>
        </w:rPr>
        <w:t>林等旅游热点地区，打造贯穿虎林市南北的旅游交通走廊和景观廊道。</w:t>
      </w:r>
    </w:p>
    <w:p w14:paraId="16D78CD7">
      <w:pPr>
        <w:rPr>
          <w:u w:val="none"/>
        </w:rPr>
      </w:pPr>
      <w:r>
        <w:rPr>
          <w:u w:val="none"/>
        </w:rPr>
        <w:t>3.一个风情旅游示范带</w:t>
      </w:r>
    </w:p>
    <w:p w14:paraId="70CB09CC">
      <w:pPr>
        <w:rPr>
          <w:u w:val="none"/>
        </w:rPr>
      </w:pPr>
      <w:r>
        <w:rPr>
          <w:u w:val="none"/>
        </w:rPr>
        <w:t>借助虎林市边境口岸功能，推动中俄联手打造乌苏里江音乐节，同时依托乌苏里江以及沿线风光，开展帆船、香蕉船、水上冲浪等江上活动，以乌苏里江鱼为特点，打造乌苏里江美食街，利用冰封期，开展以滑冰、冰钓、爬犁比赛等项目为主的冰上运动会等，打响中俄界江水上旅游品牌。</w:t>
      </w:r>
    </w:p>
    <w:p w14:paraId="1EFA8EFA">
      <w:pPr>
        <w:rPr>
          <w:u w:val="none"/>
        </w:rPr>
      </w:pPr>
      <w:r>
        <w:rPr>
          <w:u w:val="none"/>
        </w:rPr>
        <w:t>4.七个特色旅游区</w:t>
      </w:r>
    </w:p>
    <w:p w14:paraId="5F5B7F96">
      <w:pPr>
        <w:rPr>
          <w:u w:val="none"/>
        </w:rPr>
      </w:pPr>
      <w:r>
        <w:rPr>
          <w:u w:val="none"/>
        </w:rPr>
        <w:t>虎头旅游区：依托虎头镇，融合红色与中俄文化，发展边贸风情、冰雪旅游、红色体验等多元旅游产品。发挥虎林市旅游集散副中心功能，建设集休闲、娱乐、商贸、会展、旅居、生活等服务于一体的风情街区，满足综合旅游服务功能同时增强游客体验感。</w:t>
      </w:r>
    </w:p>
    <w:p w14:paraId="2BE8522B">
      <w:pPr>
        <w:rPr>
          <w:u w:val="none"/>
        </w:rPr>
      </w:pPr>
      <w:r>
        <w:rPr>
          <w:u w:val="none"/>
        </w:rPr>
        <w:t>珍宝岛旅游区：凸显湿地功能，完善必要游憩设施，通过历史、文化、地理、生态要素的加入，增加生态体验知识性、趣味性、格调与品位，使游客在旅行中不仅能摄影购物，还能丰富学识、充实精神。</w:t>
      </w:r>
    </w:p>
    <w:p w14:paraId="7D602B87">
      <w:pPr>
        <w:rPr>
          <w:u w:val="none"/>
        </w:rPr>
      </w:pPr>
      <w:r>
        <w:rPr>
          <w:u w:val="none"/>
        </w:rPr>
        <w:t>神顶峰旅游区：依托神顶峰优良的生态环境，夏季鸟语花香，山野青青，打造避暑休闲之地；冬季白雪皑皑，山舞银蛇，建设冰雪运动基地。整体彰显峰峦奇妙、景色绚丽的神顶峰景色。</w:t>
      </w:r>
    </w:p>
    <w:p w14:paraId="12C46970">
      <w:pPr>
        <w:rPr>
          <w:u w:val="none"/>
        </w:rPr>
      </w:pPr>
      <w:r>
        <w:rPr>
          <w:u w:val="none"/>
        </w:rPr>
        <w:t>迎春寒地龙药康养旅游区：结合迎春镇东北虎峰主题乐园、野宝药业，注入寒地龙药优势，建设中医药观光、中医药养生、中医药疗养、中医药购物等项目，提升虎林市康养品牌的知名度和美誉度。</w:t>
      </w:r>
    </w:p>
    <w:p w14:paraId="7CE02A0C">
      <w:pPr>
        <w:rPr>
          <w:u w:val="none"/>
        </w:rPr>
      </w:pPr>
      <w:r>
        <w:rPr>
          <w:u w:val="none"/>
        </w:rPr>
        <w:t>杨岗现代农业旅游区：借助月亮岛水上乐园、青山水库等资源，吸引游客，进而利用农业示范区建设农业生产和科学教育基地，通过参观让</w:t>
      </w:r>
      <w:r>
        <w:rPr>
          <w:rFonts w:hint="eastAsia"/>
          <w:u w:val="none"/>
        </w:rPr>
        <w:t>游客</w:t>
      </w:r>
      <w:r>
        <w:rPr>
          <w:u w:val="none"/>
        </w:rPr>
        <w:t>了解、掌握农业科普知识，提高见识，对于探奇型旅游者吸引较大。</w:t>
      </w:r>
    </w:p>
    <w:p w14:paraId="17860432">
      <w:pPr>
        <w:rPr>
          <w:u w:val="none"/>
        </w:rPr>
      </w:pPr>
      <w:r>
        <w:rPr>
          <w:u w:val="none"/>
        </w:rPr>
        <w:t>宝东、云山生态农业旅游区：整合农业旅游资源，以休闲、体验为主，开发各类农家乐项目，以低廉的收费和美好的风景使游客前来进行吃、住、玩、游、娱、购等娱乐活动，满足市民微度假、周边游的需求。</w:t>
      </w:r>
    </w:p>
    <w:p w14:paraId="51F52586">
      <w:pPr>
        <w:rPr>
          <w:u w:val="none"/>
        </w:rPr>
      </w:pPr>
      <w:r>
        <w:rPr>
          <w:u w:val="none"/>
        </w:rPr>
        <w:t>吉祥边关旅游区：完善八五八农场与吉祥口岸的配套设施和旅游服务功能，提升边境双语教育应用水平，提高旅游接待能力；全力打造好“国门口岸”形象，注重口岸城市特色风貌的提升与强化，凸显庄重大气，提升文化内涵；整体做好边境旅游向内陆纵深的接待工作。</w:t>
      </w:r>
    </w:p>
    <w:p w14:paraId="1FD7B820">
      <w:pPr>
        <w:rPr>
          <w:u w:val="none"/>
        </w:rPr>
      </w:pPr>
    </w:p>
    <w:p w14:paraId="7BDAE053">
      <w:pPr>
        <w:rPr>
          <w:u w:val="none"/>
        </w:rPr>
      </w:pPr>
    </w:p>
    <w:p w14:paraId="6BA67ABF">
      <w:pPr>
        <w:rPr>
          <w:u w:val="none"/>
        </w:rPr>
      </w:pPr>
    </w:p>
    <w:p w14:paraId="0CEC32A7">
      <w:pPr>
        <w:rPr>
          <w:u w:val="none"/>
        </w:rPr>
      </w:pPr>
    </w:p>
    <w:p w14:paraId="6BEC46DA">
      <w:pPr>
        <w:rPr>
          <w:u w:val="none"/>
        </w:rPr>
      </w:pPr>
    </w:p>
    <w:p w14:paraId="204652CF">
      <w:pPr>
        <w:rPr>
          <w:u w:val="none"/>
        </w:rPr>
      </w:pPr>
    </w:p>
    <w:p w14:paraId="75106476">
      <w:pPr>
        <w:rPr>
          <w:u w:val="none"/>
        </w:rPr>
      </w:pPr>
    </w:p>
    <w:p w14:paraId="13C58422">
      <w:pPr>
        <w:rPr>
          <w:u w:val="none"/>
        </w:rPr>
      </w:pPr>
    </w:p>
    <w:p w14:paraId="1499ADDB">
      <w:pPr>
        <w:rPr>
          <w:u w:val="none"/>
        </w:rPr>
      </w:pPr>
    </w:p>
    <w:p w14:paraId="75C8B914">
      <w:pPr>
        <w:rPr>
          <w:u w:val="none"/>
        </w:rPr>
      </w:pPr>
    </w:p>
    <w:p w14:paraId="5987292B">
      <w:pPr>
        <w:pStyle w:val="3"/>
        <w:widowControl w:val="0"/>
        <w:snapToGrid/>
        <w:spacing w:before="10" w:after="10" w:line="600" w:lineRule="exact"/>
        <w:ind w:firstLine="0" w:firstLineChars="0"/>
        <w:jc w:val="center"/>
        <w:rPr>
          <w:rFonts w:ascii="Times New Roman" w:hAnsi="Times New Roman" w:eastAsia="方正小标宋简体"/>
          <w:b w:val="0"/>
          <w:bCs w:val="0"/>
          <w:color w:val="auto"/>
          <w:sz w:val="36"/>
          <w:u w:val="none"/>
        </w:rPr>
      </w:pPr>
      <w:bookmarkStart w:id="436" w:name="_Toc21083"/>
      <w:bookmarkStart w:id="437" w:name="_Toc181784616"/>
      <w:bookmarkStart w:id="438" w:name="_Toc181784476"/>
      <w:bookmarkStart w:id="439" w:name="_Toc181784686"/>
      <w:r>
        <w:rPr>
          <w:rFonts w:hint="eastAsia" w:ascii="Times New Roman" w:hAnsi="Times New Roman" w:eastAsia="方正小标宋简体"/>
          <w:b w:val="0"/>
          <w:bCs w:val="0"/>
          <w:color w:val="auto"/>
          <w:sz w:val="36"/>
          <w:u w:val="none"/>
        </w:rPr>
        <w:t xml:space="preserve">第九章 </w:t>
      </w:r>
      <w:bookmarkEnd w:id="367"/>
      <w:r>
        <w:rPr>
          <w:rFonts w:hint="eastAsia" w:ascii="Times New Roman" w:hAnsi="Times New Roman" w:eastAsia="方正小标宋简体"/>
          <w:b w:val="0"/>
          <w:bCs w:val="0"/>
          <w:color w:val="auto"/>
          <w:sz w:val="36"/>
          <w:u w:val="none"/>
        </w:rPr>
        <w:t>保障城乡设施支撑体系建设空间</w:t>
      </w:r>
      <w:bookmarkEnd w:id="436"/>
      <w:bookmarkEnd w:id="437"/>
      <w:bookmarkEnd w:id="438"/>
      <w:bookmarkEnd w:id="439"/>
    </w:p>
    <w:p w14:paraId="5F35FD71">
      <w:pPr>
        <w:pStyle w:val="4"/>
        <w:widowControl w:val="0"/>
        <w:snapToGrid/>
        <w:spacing w:before="120" w:beforeLines="50" w:after="120" w:afterLines="50" w:line="600" w:lineRule="exact"/>
        <w:ind w:firstLine="0" w:firstLineChars="0"/>
        <w:rPr>
          <w:b w:val="0"/>
          <w:bCs w:val="0"/>
          <w:color w:val="auto"/>
          <w:u w:val="none"/>
        </w:rPr>
      </w:pPr>
      <w:bookmarkStart w:id="440" w:name="_Toc15331"/>
      <w:bookmarkStart w:id="441" w:name="_Toc181784477"/>
      <w:bookmarkStart w:id="442" w:name="_Toc181784617"/>
      <w:bookmarkStart w:id="443" w:name="_Toc181784687"/>
      <w:bookmarkStart w:id="444" w:name="_Toc2584"/>
      <w:r>
        <w:rPr>
          <w:b w:val="0"/>
          <w:bCs w:val="0"/>
          <w:color w:val="auto"/>
          <w:u w:val="none"/>
        </w:rPr>
        <w:t xml:space="preserve">第一节  </w:t>
      </w:r>
      <w:bookmarkEnd w:id="440"/>
      <w:r>
        <w:rPr>
          <w:rFonts w:hint="eastAsia"/>
          <w:b w:val="0"/>
          <w:bCs w:val="0"/>
          <w:color w:val="auto"/>
          <w:u w:val="none"/>
        </w:rPr>
        <w:t>统筹配置交通设施建设空间</w:t>
      </w:r>
      <w:bookmarkEnd w:id="441"/>
      <w:bookmarkEnd w:id="442"/>
      <w:bookmarkEnd w:id="443"/>
      <w:bookmarkEnd w:id="444"/>
    </w:p>
    <w:p w14:paraId="4495F197">
      <w:pPr>
        <w:pStyle w:val="5"/>
        <w:spacing w:before="120" w:after="120"/>
        <w:rPr>
          <w:snapToGrid w:val="0"/>
        </w:rPr>
      </w:pPr>
      <w:bookmarkStart w:id="445" w:name="_Toc21199"/>
      <w:bookmarkStart w:id="446" w:name="_Toc29702"/>
      <w:bookmarkStart w:id="447" w:name="_Toc20129"/>
      <w:r>
        <w:rPr>
          <w:snapToGrid w:val="0"/>
        </w:rPr>
        <w:t>第</w:t>
      </w:r>
      <w:r>
        <w:rPr>
          <w:rFonts w:hint="eastAsia"/>
          <w:snapToGrid w:val="0"/>
        </w:rPr>
        <w:t>14</w:t>
      </w:r>
      <w:r>
        <w:rPr>
          <w:rFonts w:hint="eastAsia"/>
          <w:snapToGrid w:val="0"/>
          <w:lang w:val="en-US" w:eastAsia="zh-CN"/>
        </w:rPr>
        <w:t>7</w:t>
      </w:r>
      <w:r>
        <w:rPr>
          <w:snapToGrid w:val="0"/>
        </w:rPr>
        <w:t>条 综合交通发展目标</w:t>
      </w:r>
      <w:bookmarkEnd w:id="445"/>
      <w:bookmarkEnd w:id="446"/>
      <w:bookmarkEnd w:id="447"/>
    </w:p>
    <w:p w14:paraId="3D1ACCE6">
      <w:pPr>
        <w:rPr>
          <w:u w:val="none"/>
        </w:rPr>
      </w:pPr>
      <w:r>
        <w:rPr>
          <w:u w:val="none"/>
        </w:rPr>
        <w:t>坚持城乡区域交通协调发展，构建发达的快速网、完善的干线网、广泛的基础网，形成组织合理、设施完善、衔接顺畅、安全高效、一体化的综合交通系统，实现“半小时城镇生活圈全覆盖</w:t>
      </w:r>
      <w:r>
        <w:rPr>
          <w:rFonts w:hint="eastAsia"/>
          <w:u w:val="none"/>
        </w:rPr>
        <w:t>”“</w:t>
      </w:r>
      <w:r>
        <w:rPr>
          <w:u w:val="none"/>
        </w:rPr>
        <w:t>区镇连网、村村通畅”的目标。</w:t>
      </w:r>
    </w:p>
    <w:p w14:paraId="3851AB72">
      <w:pPr>
        <w:pStyle w:val="5"/>
        <w:spacing w:before="120" w:after="120"/>
        <w:rPr>
          <w:snapToGrid w:val="0"/>
        </w:rPr>
      </w:pPr>
      <w:bookmarkStart w:id="448" w:name="_Toc896"/>
      <w:bookmarkStart w:id="449" w:name="_Toc28451"/>
      <w:bookmarkStart w:id="450" w:name="_Toc2930"/>
      <w:r>
        <w:rPr>
          <w:snapToGrid w:val="0"/>
        </w:rPr>
        <w:t>第</w:t>
      </w:r>
      <w:r>
        <w:rPr>
          <w:rFonts w:hint="eastAsia"/>
          <w:snapToGrid w:val="0"/>
        </w:rPr>
        <w:t>14</w:t>
      </w:r>
      <w:r>
        <w:rPr>
          <w:rFonts w:hint="eastAsia"/>
          <w:snapToGrid w:val="0"/>
          <w:lang w:val="en-US" w:eastAsia="zh-CN"/>
        </w:rPr>
        <w:t>8</w:t>
      </w:r>
      <w:r>
        <w:rPr>
          <w:snapToGrid w:val="0"/>
        </w:rPr>
        <w:t>条 构建城乡综合交通体系</w:t>
      </w:r>
      <w:bookmarkEnd w:id="448"/>
      <w:bookmarkEnd w:id="449"/>
      <w:bookmarkEnd w:id="450"/>
    </w:p>
    <w:p w14:paraId="0586F919">
      <w:pPr>
        <w:rPr>
          <w:u w:val="none"/>
        </w:rPr>
      </w:pPr>
      <w:r>
        <w:rPr>
          <w:u w:val="none"/>
        </w:rPr>
        <w:t>通过建立发达的高速公路网、区域公路网，向外延伸的铁路交通网，补充运输方式的机场规划，形成铁路、公路、航空等多种运输方式协调的现代化、立体化、高速化的四通八达的虎林市综合交通系统。加强全域交通、能源、水利及虎林市通用机场项目全要素保障力度。</w:t>
      </w:r>
    </w:p>
    <w:p w14:paraId="5B78EDE2">
      <w:pPr>
        <w:pStyle w:val="5"/>
        <w:spacing w:before="120" w:after="120"/>
        <w:rPr>
          <w:snapToGrid w:val="0"/>
        </w:rPr>
      </w:pPr>
      <w:bookmarkStart w:id="451" w:name="_Toc27076"/>
      <w:bookmarkStart w:id="452" w:name="_Toc16838"/>
      <w:bookmarkStart w:id="453" w:name="_Toc25182"/>
      <w:r>
        <w:rPr>
          <w:snapToGrid w:val="0"/>
        </w:rPr>
        <w:t>第</w:t>
      </w:r>
      <w:r>
        <w:rPr>
          <w:rFonts w:hint="eastAsia"/>
          <w:snapToGrid w:val="0"/>
        </w:rPr>
        <w:t>14</w:t>
      </w:r>
      <w:r>
        <w:rPr>
          <w:rFonts w:hint="eastAsia"/>
          <w:snapToGrid w:val="0"/>
          <w:lang w:val="en-US" w:eastAsia="zh-CN"/>
        </w:rPr>
        <w:t>9</w:t>
      </w:r>
      <w:r>
        <w:rPr>
          <w:snapToGrid w:val="0"/>
        </w:rPr>
        <w:t>条 优化综合交通体系布局</w:t>
      </w:r>
      <w:bookmarkEnd w:id="451"/>
      <w:bookmarkEnd w:id="452"/>
      <w:bookmarkEnd w:id="453"/>
    </w:p>
    <w:p w14:paraId="4326792F">
      <w:pPr>
        <w:rPr>
          <w:u w:val="none"/>
        </w:rPr>
      </w:pPr>
      <w:r>
        <w:rPr>
          <w:u w:val="none"/>
        </w:rPr>
        <w:t>1.铁路延伸</w:t>
      </w:r>
      <w:r>
        <w:rPr>
          <w:rFonts w:hint="eastAsia"/>
          <w:u w:val="none"/>
        </w:rPr>
        <w:t>—</w:t>
      </w:r>
      <w:r>
        <w:rPr>
          <w:u w:val="none"/>
        </w:rPr>
        <w:t>摆脱末端困境</w:t>
      </w:r>
    </w:p>
    <w:p w14:paraId="28CDCE55">
      <w:pPr>
        <w:rPr>
          <w:u w:val="none"/>
        </w:rPr>
      </w:pPr>
      <w:r>
        <w:rPr>
          <w:u w:val="none"/>
        </w:rPr>
        <w:t>近期将境内铁路线路提速，对虎林火车站、东方红火车站、迎春火车站进行客运设施扩建改造，充分发挥铁路大交通的优势。</w:t>
      </w:r>
    </w:p>
    <w:p w14:paraId="3B7376C4">
      <w:pPr>
        <w:rPr>
          <w:u w:val="none"/>
        </w:rPr>
      </w:pPr>
      <w:r>
        <w:rPr>
          <w:u w:val="none"/>
        </w:rPr>
        <w:t>谋划改造鸡西至东方红铁路，东方红镇向北延伸至饶河，迎春向西延伸至宝清的铁路，增加区域间联系，补足铁路设施短板，提升主通道的运输方式完整性。</w:t>
      </w:r>
    </w:p>
    <w:p w14:paraId="48F5FAD2">
      <w:pPr>
        <w:rPr>
          <w:u w:val="none"/>
        </w:rPr>
      </w:pPr>
      <w:r>
        <w:rPr>
          <w:u w:val="none"/>
        </w:rPr>
        <w:t>建设虎林</w:t>
      </w:r>
      <w:r>
        <w:rPr>
          <w:rFonts w:hint="eastAsia"/>
          <w:u w:val="none"/>
        </w:rPr>
        <w:t>—</w:t>
      </w:r>
      <w:r>
        <w:rPr>
          <w:u w:val="none"/>
        </w:rPr>
        <w:t>列索跨境国际铁路，并计划开通铁路口岸，借此契机，虎林将打造中国东北地区一个全新的大型跨境综合贸易区。</w:t>
      </w:r>
    </w:p>
    <w:p w14:paraId="4B2D0F46">
      <w:pPr>
        <w:rPr>
          <w:u w:val="none"/>
        </w:rPr>
      </w:pPr>
      <w:r>
        <w:rPr>
          <w:u w:val="none"/>
        </w:rPr>
        <w:t>2.公路升级</w:t>
      </w:r>
      <w:r>
        <w:rPr>
          <w:rFonts w:hint="eastAsia"/>
          <w:u w:val="none"/>
        </w:rPr>
        <w:t>—</w:t>
      </w:r>
      <w:r>
        <w:rPr>
          <w:u w:val="none"/>
        </w:rPr>
        <w:t>完善运输网络</w:t>
      </w:r>
    </w:p>
    <w:p w14:paraId="7254A921">
      <w:pPr>
        <w:rPr>
          <w:u w:val="none"/>
        </w:rPr>
      </w:pPr>
      <w:r>
        <w:rPr>
          <w:u w:val="none"/>
        </w:rPr>
        <w:t>重点实施G331全线与S201部分段技术等级提升至一级公路。</w:t>
      </w:r>
    </w:p>
    <w:p w14:paraId="31B38A49">
      <w:pPr>
        <w:rPr>
          <w:u w:val="none"/>
        </w:rPr>
      </w:pPr>
      <w:r>
        <w:rPr>
          <w:u w:val="none"/>
        </w:rPr>
        <w:t>其余S201段与所有县道技术等级提升至二级公路，继续完善各乡镇之间的道路网络，将部分乡道提档升级三级公路标准。</w:t>
      </w:r>
    </w:p>
    <w:p w14:paraId="2E64B97A">
      <w:pPr>
        <w:rPr>
          <w:u w:val="none"/>
        </w:rPr>
      </w:pPr>
      <w:r>
        <w:rPr>
          <w:u w:val="none"/>
        </w:rPr>
        <w:t>加快实施乡村通达工程，补充完善市域城镇、乡村间的公路网络，保证一般干线公路与支线公路均能达到四级的公路标准。</w:t>
      </w:r>
    </w:p>
    <w:p w14:paraId="713D3A54">
      <w:pPr>
        <w:rPr>
          <w:u w:val="none"/>
        </w:rPr>
      </w:pPr>
      <w:r>
        <w:rPr>
          <w:u w:val="none"/>
        </w:rPr>
        <w:t>3.设施建设</w:t>
      </w:r>
      <w:r>
        <w:rPr>
          <w:rFonts w:hint="eastAsia"/>
          <w:u w:val="none"/>
        </w:rPr>
        <w:t>—</w:t>
      </w:r>
      <w:r>
        <w:rPr>
          <w:u w:val="none"/>
        </w:rPr>
        <w:t>提升服务品质</w:t>
      </w:r>
    </w:p>
    <w:p w14:paraId="290B029E">
      <w:pPr>
        <w:rPr>
          <w:u w:val="none"/>
        </w:rPr>
      </w:pPr>
      <w:r>
        <w:rPr>
          <w:u w:val="none"/>
        </w:rPr>
        <w:t>维持中心城区一级汽车客运站等级，逐步优化现有市域、对接周边城市的客运线路。</w:t>
      </w:r>
    </w:p>
    <w:p w14:paraId="3D6E65AC">
      <w:pPr>
        <w:rPr>
          <w:u w:val="none"/>
        </w:rPr>
      </w:pPr>
      <w:r>
        <w:rPr>
          <w:u w:val="none"/>
        </w:rPr>
        <w:t>远期建设迎春镇、东方红镇、虎头镇、珍宝岛乡改造扩建达到二级客运站标准，其他乡镇全部建成标准化三级客运站。</w:t>
      </w:r>
    </w:p>
    <w:p w14:paraId="4D2051D1">
      <w:pPr>
        <w:rPr>
          <w:u w:val="none"/>
        </w:rPr>
      </w:pPr>
      <w:r>
        <w:rPr>
          <w:u w:val="none"/>
        </w:rPr>
        <w:t>统筹全域行政村、管理区，设置停靠站，实现通公路的行政村班车通达100％。</w:t>
      </w:r>
    </w:p>
    <w:p w14:paraId="2A164450">
      <w:pPr>
        <w:rPr>
          <w:u w:val="none"/>
        </w:rPr>
      </w:pPr>
      <w:r>
        <w:rPr>
          <w:u w:val="none"/>
        </w:rPr>
        <w:t>依托客运资源，推动市、乡、村三级物流配送体系构建，实现城乡物流“最后一公里”。</w:t>
      </w:r>
    </w:p>
    <w:p w14:paraId="35CDD917">
      <w:pPr>
        <w:rPr>
          <w:u w:val="none"/>
        </w:rPr>
      </w:pPr>
      <w:r>
        <w:rPr>
          <w:u w:val="none"/>
        </w:rPr>
        <w:t>4.航空补充</w:t>
      </w:r>
      <w:r>
        <w:rPr>
          <w:rFonts w:hint="eastAsia"/>
          <w:u w:val="none"/>
        </w:rPr>
        <w:t>—</w:t>
      </w:r>
      <w:r>
        <w:rPr>
          <w:u w:val="none"/>
        </w:rPr>
        <w:t>完善运输方式</w:t>
      </w:r>
    </w:p>
    <w:p w14:paraId="75ACDED6">
      <w:pPr>
        <w:rPr>
          <w:u w:val="none"/>
        </w:rPr>
      </w:pPr>
      <w:r>
        <w:rPr>
          <w:u w:val="none"/>
        </w:rPr>
        <w:t>加快黑龙江省虎林B类通用机场的建设，场址位于虎林市域中部庆丰农场十队，有助于促进货物运输效率，融入省内航空运输网络。</w:t>
      </w:r>
    </w:p>
    <w:p w14:paraId="0DD9537E">
      <w:pPr>
        <w:rPr>
          <w:u w:val="none"/>
        </w:rPr>
      </w:pPr>
      <w:r>
        <w:rPr>
          <w:u w:val="none"/>
        </w:rPr>
        <w:t>结合虎林市国家全域旅游示范区建设，在B类通用机场基础上本次规划提出远期建设虎林A类通用机场，结合大湿地、大农业景观与空中游览相结合。</w:t>
      </w:r>
    </w:p>
    <w:p w14:paraId="1EBAB8BA">
      <w:pPr>
        <w:rPr>
          <w:u w:val="none"/>
        </w:rPr>
      </w:pPr>
      <w:r>
        <w:rPr>
          <w:u w:val="none"/>
        </w:rPr>
        <w:t>5.口岸建设</w:t>
      </w:r>
      <w:r>
        <w:rPr>
          <w:rFonts w:hint="eastAsia"/>
          <w:u w:val="none"/>
        </w:rPr>
        <w:t>—</w:t>
      </w:r>
      <w:r>
        <w:rPr>
          <w:u w:val="none"/>
        </w:rPr>
        <w:t>深化改革开放</w:t>
      </w:r>
    </w:p>
    <w:p w14:paraId="11EDF6DE">
      <w:pPr>
        <w:rPr>
          <w:u w:val="none"/>
        </w:rPr>
      </w:pPr>
      <w:r>
        <w:rPr>
          <w:u w:val="none"/>
        </w:rPr>
        <w:t>把虎林口岸建设成全省对俄经贸乃至全国经济大循环的骨干大通道，积极争取成为黑龙江自贸实验区哈尔滨、绥芬河片区协作区。</w:t>
      </w:r>
    </w:p>
    <w:p w14:paraId="46A6F5F6">
      <w:pPr>
        <w:rPr>
          <w:u w:val="none"/>
        </w:rPr>
      </w:pPr>
      <w:r>
        <w:rPr>
          <w:u w:val="none"/>
        </w:rPr>
        <w:t>探索实行“一次申报、分步处置”的通关模式，推行7天×8小时工作制，方便客商和货物及时通关。持续深化“放管服”改革，落实“承诺即开工”“容缺审批”，完善领导干部联络服务企业机制，健全企业全周期服务体系。推进社会信用体系建设，依法依规运用信用激励和约束手段，加强和规范事中事后监管。健全整顿作风优化营商环境长效机制，强化公正司法，规范行政行为，依法平等保护企业产权和企业家权益，着力打造亲清政商关系新生态。</w:t>
      </w:r>
    </w:p>
    <w:p w14:paraId="1558026B">
      <w:pPr>
        <w:pStyle w:val="4"/>
        <w:widowControl w:val="0"/>
        <w:snapToGrid/>
        <w:spacing w:before="120" w:beforeLines="50" w:after="120" w:afterLines="50" w:line="600" w:lineRule="exact"/>
        <w:ind w:firstLine="0" w:firstLineChars="0"/>
        <w:rPr>
          <w:b w:val="0"/>
          <w:bCs w:val="0"/>
          <w:color w:val="auto"/>
          <w:u w:val="none"/>
        </w:rPr>
      </w:pPr>
      <w:bookmarkStart w:id="454" w:name="_Toc181784478"/>
      <w:bookmarkStart w:id="455" w:name="_Toc181784618"/>
      <w:bookmarkStart w:id="456" w:name="_Toc181784688"/>
      <w:bookmarkStart w:id="457" w:name="_Toc16353"/>
      <w:bookmarkStart w:id="458" w:name="_Toc4304"/>
      <w:r>
        <w:rPr>
          <w:b w:val="0"/>
          <w:bCs w:val="0"/>
          <w:color w:val="auto"/>
          <w:u w:val="none"/>
        </w:rPr>
        <w:t>第</w:t>
      </w:r>
      <w:r>
        <w:rPr>
          <w:rFonts w:hint="eastAsia"/>
          <w:b w:val="0"/>
          <w:bCs w:val="0"/>
          <w:color w:val="auto"/>
          <w:u w:val="none"/>
        </w:rPr>
        <w:t>二</w:t>
      </w:r>
      <w:r>
        <w:rPr>
          <w:b w:val="0"/>
          <w:bCs w:val="0"/>
          <w:color w:val="auto"/>
          <w:u w:val="none"/>
        </w:rPr>
        <w:t xml:space="preserve">节 </w:t>
      </w:r>
      <w:r>
        <w:rPr>
          <w:rFonts w:hint="eastAsia"/>
          <w:b w:val="0"/>
          <w:bCs w:val="0"/>
          <w:color w:val="auto"/>
          <w:u w:val="none"/>
        </w:rPr>
        <w:t>重点保障水利设施建设空间</w:t>
      </w:r>
      <w:bookmarkEnd w:id="454"/>
      <w:bookmarkEnd w:id="455"/>
      <w:bookmarkEnd w:id="456"/>
      <w:bookmarkEnd w:id="457"/>
    </w:p>
    <w:p w14:paraId="0191DA05">
      <w:pPr>
        <w:rPr>
          <w:u w:val="none"/>
        </w:rPr>
      </w:pPr>
      <w:r>
        <w:rPr>
          <w:u w:val="none"/>
          <w:lang w:val="zh-CN"/>
        </w:rPr>
        <w:t>乌苏里江</w:t>
      </w:r>
      <w:r>
        <w:rPr>
          <w:u w:val="none"/>
        </w:rPr>
        <w:t>护岸工程基本完成，大型灌区工程：虎林灌区渠首泵站工程已经建成，中型灌区工程：中型灌区4处，即石头河灌区、阿北灌区、大西南岔灌区、虎头灌区。</w:t>
      </w:r>
    </w:p>
    <w:p w14:paraId="1BFDCDD6">
      <w:pPr>
        <w:rPr>
          <w:u w:val="none"/>
        </w:rPr>
      </w:pPr>
      <w:r>
        <w:rPr>
          <w:u w:val="none"/>
          <w:lang w:val="zh-CN"/>
        </w:rPr>
        <w:t>阿布沁河南堤防洪标准为</w:t>
      </w:r>
      <w:r>
        <w:rPr>
          <w:rFonts w:hint="eastAsia"/>
          <w:u w:val="none"/>
        </w:rPr>
        <w:t>20</w:t>
      </w:r>
      <w:r>
        <w:rPr>
          <w:u w:val="none"/>
          <w:lang w:val="zh-CN"/>
        </w:rPr>
        <w:t>年一遇。阿布沁河北堤堤防</w:t>
      </w:r>
      <w:r>
        <w:rPr>
          <w:u w:val="none"/>
        </w:rPr>
        <w:t>防洪</w:t>
      </w:r>
      <w:r>
        <w:rPr>
          <w:u w:val="none"/>
          <w:lang w:val="zh-CN"/>
        </w:rPr>
        <w:t>标准</w:t>
      </w:r>
      <w:r>
        <w:rPr>
          <w:u w:val="none"/>
        </w:rPr>
        <w:t>为</w:t>
      </w:r>
      <w:r>
        <w:rPr>
          <w:u w:val="none"/>
          <w:lang w:val="zh-CN"/>
        </w:rPr>
        <w:t>20年一遇。七虎林河</w:t>
      </w:r>
      <w:r>
        <w:rPr>
          <w:rFonts w:hint="eastAsia"/>
          <w:u w:val="none"/>
          <w:lang w:val="zh-CN"/>
        </w:rPr>
        <w:t>、</w:t>
      </w:r>
      <w:r>
        <w:rPr>
          <w:u w:val="none"/>
          <w:lang w:val="zh-CN"/>
        </w:rPr>
        <w:t>穆棱</w:t>
      </w:r>
      <w:r>
        <w:rPr>
          <w:u w:val="none"/>
        </w:rPr>
        <w:t>防洪标准为20年一遇。</w:t>
      </w:r>
    </w:p>
    <w:p w14:paraId="7F4300BC">
      <w:pPr>
        <w:pStyle w:val="4"/>
        <w:widowControl w:val="0"/>
        <w:snapToGrid/>
        <w:spacing w:before="120" w:beforeLines="50" w:after="120" w:afterLines="50" w:line="600" w:lineRule="exact"/>
        <w:ind w:firstLine="0" w:firstLineChars="0"/>
        <w:rPr>
          <w:b w:val="0"/>
          <w:bCs w:val="0"/>
          <w:color w:val="auto"/>
          <w:u w:val="none"/>
        </w:rPr>
      </w:pPr>
      <w:bookmarkStart w:id="459" w:name="_Toc181784689"/>
      <w:bookmarkStart w:id="460" w:name="_Toc15077"/>
      <w:bookmarkStart w:id="461" w:name="_Toc181784619"/>
      <w:bookmarkStart w:id="462" w:name="_Toc181784479"/>
      <w:r>
        <w:rPr>
          <w:b w:val="0"/>
          <w:bCs w:val="0"/>
          <w:color w:val="auto"/>
          <w:u w:val="none"/>
        </w:rPr>
        <w:t>第</w:t>
      </w:r>
      <w:r>
        <w:rPr>
          <w:rFonts w:hint="eastAsia"/>
          <w:b w:val="0"/>
          <w:bCs w:val="0"/>
          <w:color w:val="auto"/>
          <w:u w:val="none"/>
        </w:rPr>
        <w:t>三</w:t>
      </w:r>
      <w:r>
        <w:rPr>
          <w:b w:val="0"/>
          <w:bCs w:val="0"/>
          <w:color w:val="auto"/>
          <w:u w:val="none"/>
        </w:rPr>
        <w:t xml:space="preserve">节 </w:t>
      </w:r>
      <w:r>
        <w:rPr>
          <w:rFonts w:hint="eastAsia"/>
          <w:b w:val="0"/>
          <w:bCs w:val="0"/>
          <w:color w:val="auto"/>
          <w:u w:val="none"/>
        </w:rPr>
        <w:t>科学布局矿产能源勘查开发空间</w:t>
      </w:r>
      <w:bookmarkEnd w:id="459"/>
      <w:bookmarkEnd w:id="460"/>
      <w:bookmarkEnd w:id="461"/>
      <w:bookmarkEnd w:id="462"/>
    </w:p>
    <w:p w14:paraId="744BE3A8">
      <w:pPr>
        <w:pStyle w:val="5"/>
        <w:spacing w:before="120" w:after="120"/>
        <w:rPr>
          <w:snapToGrid w:val="0"/>
        </w:rPr>
      </w:pPr>
      <w:r>
        <w:rPr>
          <w:snapToGrid w:val="0"/>
        </w:rPr>
        <w:t>第</w:t>
      </w:r>
      <w:r>
        <w:rPr>
          <w:rFonts w:hint="eastAsia"/>
          <w:snapToGrid w:val="0"/>
        </w:rPr>
        <w:t>1</w:t>
      </w:r>
      <w:r>
        <w:rPr>
          <w:rFonts w:hint="eastAsia"/>
          <w:snapToGrid w:val="0"/>
          <w:lang w:val="en-US" w:eastAsia="zh-CN"/>
        </w:rPr>
        <w:t>50</w:t>
      </w:r>
      <w:r>
        <w:rPr>
          <w:snapToGrid w:val="0"/>
        </w:rPr>
        <w:t>条 构建清洁低碳的能源体系</w:t>
      </w:r>
    </w:p>
    <w:p w14:paraId="3AD825D0">
      <w:pPr>
        <w:rPr>
          <w:u w:val="none"/>
          <w:lang w:val="zh-CN"/>
        </w:rPr>
      </w:pPr>
      <w:r>
        <w:rPr>
          <w:u w:val="none"/>
          <w:lang w:val="zh-CN"/>
        </w:rPr>
        <w:t>大力发展清洁能源。因地制宜发展风能、水能、太阳能、生物质能等清洁能源，建设以风力发电为主，配套分布式光伏、大型储能装置以及屋顶光伏，形成风、光、储一体化的综合能源示范基地</w:t>
      </w:r>
      <w:r>
        <w:rPr>
          <w:rFonts w:hint="eastAsia"/>
          <w:u w:val="none"/>
          <w:lang w:val="zh-CN"/>
        </w:rPr>
        <w:t>，</w:t>
      </w:r>
      <w:r>
        <w:rPr>
          <w:u w:val="none"/>
          <w:lang w:val="zh-CN"/>
        </w:rPr>
        <w:t>提高可再生能源比例</w:t>
      </w:r>
      <w:r>
        <w:rPr>
          <w:rFonts w:hint="eastAsia"/>
          <w:u w:val="none"/>
          <w:lang w:val="zh-CN"/>
        </w:rPr>
        <w:t>。</w:t>
      </w:r>
    </w:p>
    <w:p w14:paraId="684AC2D0">
      <w:pPr>
        <w:rPr>
          <w:u w:val="none"/>
          <w:lang w:val="zh-CN"/>
        </w:rPr>
      </w:pPr>
      <w:r>
        <w:rPr>
          <w:rFonts w:eastAsia="楷体"/>
          <w:u w:val="none"/>
          <w:lang w:val="zh-CN"/>
        </w:rPr>
        <w:t>加强城镇节能建设。</w:t>
      </w:r>
      <w:r>
        <w:rPr>
          <w:u w:val="none"/>
          <w:lang w:val="zh-CN"/>
        </w:rPr>
        <w:t>逐步取缔全市范围内的散煤及25吨以下燃煤锅炉，淘汰落后煤炭产能，提高煤炭利用水平。深入挖掘工业的节能潜力，鼓励工业余热余压、生活垃圾等能源资源进行发电建设，鼓励“新能源+”智慧能源建设。推进产城融合，减少长距离交通出行，发展公共交通等低碳交通系统建设。大力发展绿色建筑，力争新建建筑达到绿色建筑标准，加快推动既有建筑节能改造和装配式建筑发展。</w:t>
      </w:r>
    </w:p>
    <w:p w14:paraId="6E7A16D5">
      <w:pPr>
        <w:rPr>
          <w:u w:val="none"/>
          <w:lang w:val="zh-CN"/>
        </w:rPr>
      </w:pPr>
      <w:r>
        <w:rPr>
          <w:rFonts w:eastAsia="楷体"/>
          <w:u w:val="none"/>
          <w:lang w:val="zh-CN"/>
        </w:rPr>
        <w:t>实现能源消费总量与强度双控。</w:t>
      </w:r>
      <w:r>
        <w:rPr>
          <w:u w:val="none"/>
          <w:lang w:val="zh-CN"/>
        </w:rPr>
        <w:t>能源消费总量与强度达到全省指标要求，煤炭消耗比例下降至20%左右，单位地区生产总值能耗完成上级规定的目标任务。逐步降低碳排放强度，至2035年CO</w:t>
      </w:r>
      <w:r>
        <w:rPr>
          <w:u w:val="none"/>
          <w:vertAlign w:val="subscript"/>
          <w:lang w:val="zh-CN"/>
        </w:rPr>
        <w:t>2</w:t>
      </w:r>
      <w:r>
        <w:rPr>
          <w:u w:val="none"/>
          <w:lang w:val="zh-CN"/>
        </w:rPr>
        <w:t>排放量比2020年下降15%，碳排放总量得到有效控制。</w:t>
      </w:r>
    </w:p>
    <w:p w14:paraId="2383E51D">
      <w:pPr>
        <w:pStyle w:val="5"/>
        <w:spacing w:before="120" w:after="120"/>
        <w:rPr>
          <w:snapToGrid w:val="0"/>
        </w:rPr>
      </w:pPr>
      <w:r>
        <w:rPr>
          <w:snapToGrid w:val="0"/>
        </w:rPr>
        <w:t>第1</w:t>
      </w:r>
      <w:r>
        <w:rPr>
          <w:rFonts w:hint="eastAsia"/>
          <w:snapToGrid w:val="0"/>
          <w:lang w:val="en-US" w:eastAsia="zh-CN"/>
        </w:rPr>
        <w:t>51</w:t>
      </w:r>
      <w:r>
        <w:rPr>
          <w:snapToGrid w:val="0"/>
        </w:rPr>
        <w:t>条 优化矿产资源开发利用</w:t>
      </w:r>
    </w:p>
    <w:p w14:paraId="79705582">
      <w:pPr>
        <w:rPr>
          <w:u w:val="none"/>
          <w:lang w:val="zh-CN"/>
        </w:rPr>
      </w:pPr>
      <w:r>
        <w:rPr>
          <w:rFonts w:eastAsia="楷体"/>
          <w:u w:val="none"/>
          <w:lang w:val="zh-CN"/>
        </w:rPr>
        <w:t>明确矿产资源利用目标。</w:t>
      </w:r>
      <w:r>
        <w:rPr>
          <w:u w:val="none"/>
          <w:lang w:val="zh-CN"/>
        </w:rPr>
        <w:t>加大矿产资源开采总量调控力度，全面优化矿产资源开发利用结构和空间布局，发展绿色矿山。至2035年，形成资源开发与环境保护协调发展的绿色矿业发展格局，生产矿山全部达到绿色矿山标准。</w:t>
      </w:r>
    </w:p>
    <w:p w14:paraId="2FCDE571">
      <w:pPr>
        <w:rPr>
          <w:u w:val="none"/>
          <w:lang w:val="zh-CN"/>
        </w:rPr>
      </w:pPr>
      <w:r>
        <w:rPr>
          <w:rFonts w:eastAsia="楷体"/>
          <w:u w:val="none"/>
          <w:lang w:val="zh-CN"/>
        </w:rPr>
        <w:t>优化调整矿产勘查布局。</w:t>
      </w:r>
      <w:r>
        <w:rPr>
          <w:u w:val="none"/>
          <w:lang w:val="zh-CN"/>
        </w:rPr>
        <w:t>统筹考虑环境承载能力、矿产资源禀赋、开发适宜性等因素，科学确定勘查开发区域。自然保护地核心区内除国家允许开展的勘查活动外禁止勘查；自然保护地核心区外的生态红线区域，可开展基础地质调查和战略性矿产远景调查等公益工作，以及国家、省允许的其他勘查活动；永久基本农田内勘查严格按照国家相关规定进行管控；城镇开发边界内原则上不新设矿业权。重点推进《黑龙江省矿产资源总体规划（2021</w:t>
      </w:r>
      <w:r>
        <w:rPr>
          <w:rFonts w:hint="eastAsia"/>
          <w:u w:val="none"/>
          <w:lang w:val="zh-CN"/>
        </w:rPr>
        <w:t>—</w:t>
      </w:r>
      <w:r>
        <w:rPr>
          <w:u w:val="none"/>
          <w:lang w:val="zh-CN"/>
        </w:rPr>
        <w:t>2025年）》《</w:t>
      </w:r>
      <w:r>
        <w:rPr>
          <w:rFonts w:hint="eastAsia"/>
          <w:u w:val="none"/>
        </w:rPr>
        <w:t>鸡西</w:t>
      </w:r>
      <w:r>
        <w:rPr>
          <w:u w:val="none"/>
        </w:rPr>
        <w:t>市</w:t>
      </w:r>
      <w:r>
        <w:rPr>
          <w:u w:val="none"/>
          <w:lang w:val="zh-CN"/>
        </w:rPr>
        <w:t>矿产资源总体规划（2021</w:t>
      </w:r>
      <w:r>
        <w:rPr>
          <w:rFonts w:hint="eastAsia"/>
          <w:u w:val="none"/>
          <w:lang w:val="zh-CN"/>
        </w:rPr>
        <w:t>—</w:t>
      </w:r>
      <w:r>
        <w:rPr>
          <w:u w:val="none"/>
          <w:lang w:val="zh-CN"/>
        </w:rPr>
        <w:t>2025年）》《</w:t>
      </w:r>
      <w:r>
        <w:rPr>
          <w:rFonts w:hint="eastAsia"/>
          <w:u w:val="none"/>
        </w:rPr>
        <w:t>虎林</w:t>
      </w:r>
      <w:r>
        <w:rPr>
          <w:u w:val="none"/>
          <w:lang w:val="zh-CN"/>
        </w:rPr>
        <w:t>市矿产资源规划（2021</w:t>
      </w:r>
      <w:r>
        <w:rPr>
          <w:rFonts w:hint="eastAsia"/>
          <w:u w:val="none"/>
          <w:lang w:val="zh-CN"/>
        </w:rPr>
        <w:t>—</w:t>
      </w:r>
      <w:r>
        <w:rPr>
          <w:u w:val="none"/>
          <w:lang w:val="zh-CN"/>
        </w:rPr>
        <w:t>2025年）》明确的勘查规划区块勘查工作。</w:t>
      </w:r>
    </w:p>
    <w:p w14:paraId="728F3C40">
      <w:pPr>
        <w:rPr>
          <w:u w:val="none"/>
        </w:rPr>
      </w:pPr>
      <w:r>
        <w:rPr>
          <w:rFonts w:eastAsia="楷体"/>
          <w:u w:val="none"/>
          <w:lang w:val="zh-CN"/>
        </w:rPr>
        <w:t>合理安排矿产资源开采布局。</w:t>
      </w:r>
      <w:r>
        <w:rPr>
          <w:u w:val="none"/>
        </w:rPr>
        <w:t>科学划分重点开发区、限制开发区、禁止开发区，矿产资源开发严格按照环境影响评价和地质灾害评估，制定相应的保护方案。禁止在生态保护红线、永久基本农田保护区、城镇开发边界内和高速公路、高铁、国道省道、旅游公路、河流湖泊、机场、国防工程实施范围内新批固体矿产资源开发项目，其他应严格按照国家相关规定依法实施开采和管理。合理保障建筑用砂石土类矿产开采空间，开采布局和采矿权设置执行《砂石土资源开发利用专项规划（2019</w:t>
      </w:r>
      <w:r>
        <w:rPr>
          <w:rFonts w:hint="eastAsia"/>
          <w:u w:val="none"/>
        </w:rPr>
        <w:t>—</w:t>
      </w:r>
      <w:r>
        <w:rPr>
          <w:u w:val="none"/>
        </w:rPr>
        <w:t>2025年）》，但禁止在生态保护红线、永久基本农田保护区、水源保护地等禁止开采区内开采。</w:t>
      </w:r>
    </w:p>
    <w:p w14:paraId="7BB749F9">
      <w:pPr>
        <w:pStyle w:val="4"/>
        <w:widowControl w:val="0"/>
        <w:snapToGrid/>
        <w:spacing w:before="120" w:beforeLines="50" w:after="120" w:afterLines="50" w:line="600" w:lineRule="exact"/>
        <w:ind w:firstLine="0" w:firstLineChars="0"/>
        <w:rPr>
          <w:b w:val="0"/>
          <w:bCs w:val="0"/>
          <w:color w:val="auto"/>
          <w:u w:val="none"/>
        </w:rPr>
      </w:pPr>
      <w:bookmarkStart w:id="463" w:name="_Toc181784480"/>
      <w:bookmarkStart w:id="464" w:name="_Toc181784620"/>
      <w:bookmarkStart w:id="465" w:name="_Toc1774"/>
      <w:bookmarkStart w:id="466" w:name="_Toc181784690"/>
      <w:r>
        <w:rPr>
          <w:b w:val="0"/>
          <w:bCs w:val="0"/>
          <w:color w:val="auto"/>
          <w:u w:val="none"/>
        </w:rPr>
        <w:t xml:space="preserve">第四节 </w:t>
      </w:r>
      <w:bookmarkEnd w:id="458"/>
      <w:r>
        <w:rPr>
          <w:rFonts w:hint="eastAsia"/>
          <w:b w:val="0"/>
          <w:bCs w:val="0"/>
          <w:color w:val="auto"/>
          <w:u w:val="none"/>
        </w:rPr>
        <w:t>优先支持市政设施建设空间</w:t>
      </w:r>
      <w:bookmarkEnd w:id="463"/>
      <w:bookmarkEnd w:id="464"/>
      <w:bookmarkEnd w:id="465"/>
      <w:bookmarkEnd w:id="466"/>
    </w:p>
    <w:p w14:paraId="37D02008">
      <w:pPr>
        <w:pStyle w:val="5"/>
        <w:spacing w:before="120" w:after="120"/>
        <w:rPr>
          <w:snapToGrid w:val="0"/>
        </w:rPr>
      </w:pPr>
      <w:bookmarkStart w:id="467" w:name="_Toc3493"/>
      <w:bookmarkStart w:id="468" w:name="_Toc26671"/>
      <w:bookmarkStart w:id="469" w:name="_Toc12020"/>
      <w:r>
        <w:rPr>
          <w:snapToGrid w:val="0"/>
        </w:rPr>
        <w:t>第</w:t>
      </w:r>
      <w:r>
        <w:rPr>
          <w:rFonts w:hint="eastAsia"/>
          <w:snapToGrid w:val="0"/>
        </w:rPr>
        <w:t>15</w:t>
      </w:r>
      <w:r>
        <w:rPr>
          <w:rFonts w:hint="eastAsia"/>
          <w:snapToGrid w:val="0"/>
          <w:lang w:val="en-US" w:eastAsia="zh-CN"/>
        </w:rPr>
        <w:t>2</w:t>
      </w:r>
      <w:r>
        <w:rPr>
          <w:snapToGrid w:val="0"/>
        </w:rPr>
        <w:t>条 城乡给水工程</w:t>
      </w:r>
      <w:bookmarkEnd w:id="467"/>
      <w:bookmarkEnd w:id="468"/>
      <w:bookmarkEnd w:id="469"/>
    </w:p>
    <w:p w14:paraId="7668B8C2">
      <w:pPr>
        <w:rPr>
          <w:u w:val="none"/>
          <w:lang w:val="zh-CN"/>
        </w:rPr>
      </w:pPr>
      <w:r>
        <w:rPr>
          <w:u w:val="none"/>
        </w:rPr>
        <w:t>中心城区及市域乡镇、农村以地下水源为主，规划中心城区对现有水源进行扩建，</w:t>
      </w:r>
      <w:r>
        <w:rPr>
          <w:u w:val="none"/>
          <w:lang w:val="zh-CN"/>
        </w:rPr>
        <w:t>其余乡镇保留现有地下水水源。</w:t>
      </w:r>
    </w:p>
    <w:p w14:paraId="1D8E20B9">
      <w:pPr>
        <w:rPr>
          <w:u w:val="none"/>
        </w:rPr>
      </w:pPr>
      <w:r>
        <w:rPr>
          <w:u w:val="none"/>
          <w:lang w:val="zh-CN"/>
        </w:rPr>
        <w:t>推进城镇供水管网向乡村延伸，构建以城镇供水</w:t>
      </w:r>
      <w:r>
        <w:rPr>
          <w:rFonts w:hint="eastAsia"/>
          <w:u w:val="none"/>
        </w:rPr>
        <w:t>系统</w:t>
      </w:r>
      <w:r>
        <w:rPr>
          <w:u w:val="none"/>
          <w:lang w:val="zh-CN"/>
        </w:rPr>
        <w:t>为核心的市域供水网络，逐步建成城乡一体化、市域全覆盖的供水体系，逐渐扩大公共供水服务范围，控制管网漏损，稳步提高城乡供水水质。规划扩建</w:t>
      </w:r>
      <w:r>
        <w:rPr>
          <w:u w:val="none"/>
        </w:rPr>
        <w:t>虎林市</w:t>
      </w:r>
      <w:r>
        <w:rPr>
          <w:u w:val="none"/>
          <w:lang w:val="zh-CN"/>
        </w:rPr>
        <w:t>净水厂，维护其他乡镇净水厂。建设完备的供水管网系统，规划推进</w:t>
      </w:r>
      <w:r>
        <w:rPr>
          <w:u w:val="none"/>
        </w:rPr>
        <w:t>虎林</w:t>
      </w:r>
      <w:r>
        <w:rPr>
          <w:u w:val="none"/>
          <w:lang w:val="zh-CN"/>
        </w:rPr>
        <w:t>市供水管网扩建工程；推进</w:t>
      </w:r>
      <w:r>
        <w:rPr>
          <w:u w:val="none"/>
        </w:rPr>
        <w:t>虎林市中心城区</w:t>
      </w:r>
      <w:r>
        <w:rPr>
          <w:u w:val="none"/>
          <w:lang w:val="zh-CN"/>
        </w:rPr>
        <w:t>二次供水改造，集中供水普及率100%。</w:t>
      </w:r>
    </w:p>
    <w:p w14:paraId="4F112401">
      <w:pPr>
        <w:pStyle w:val="5"/>
        <w:spacing w:before="120" w:after="120"/>
        <w:rPr>
          <w:snapToGrid w:val="0"/>
        </w:rPr>
      </w:pPr>
      <w:bookmarkStart w:id="470" w:name="_Toc17557"/>
      <w:bookmarkStart w:id="471" w:name="_Toc1776"/>
      <w:bookmarkStart w:id="472" w:name="_Toc4925"/>
      <w:r>
        <w:rPr>
          <w:snapToGrid w:val="0"/>
        </w:rPr>
        <w:t>第</w:t>
      </w:r>
      <w:r>
        <w:rPr>
          <w:rFonts w:hint="eastAsia"/>
          <w:snapToGrid w:val="0"/>
        </w:rPr>
        <w:t>15</w:t>
      </w:r>
      <w:r>
        <w:rPr>
          <w:rFonts w:hint="eastAsia"/>
          <w:snapToGrid w:val="0"/>
          <w:lang w:val="en-US" w:eastAsia="zh-CN"/>
        </w:rPr>
        <w:t>3</w:t>
      </w:r>
      <w:r>
        <w:rPr>
          <w:snapToGrid w:val="0"/>
        </w:rPr>
        <w:t>条 城乡排水工程</w:t>
      </w:r>
      <w:bookmarkEnd w:id="470"/>
      <w:bookmarkEnd w:id="471"/>
      <w:bookmarkEnd w:id="472"/>
    </w:p>
    <w:p w14:paraId="6856B98D">
      <w:pPr>
        <w:rPr>
          <w:u w:val="none"/>
          <w:lang w:val="zh-CN"/>
        </w:rPr>
      </w:pPr>
      <w:r>
        <w:rPr>
          <w:u w:val="none"/>
          <w:lang w:val="zh-CN"/>
        </w:rPr>
        <w:t>规划排水体制为雨污分流制，雨水经雨水管渠收集后就近排入水体，污水则通过污水管道系统收集后，送至污水处理厂进行处理。</w:t>
      </w:r>
    </w:p>
    <w:p w14:paraId="00FE70C9">
      <w:pPr>
        <w:rPr>
          <w:u w:val="none"/>
          <w:lang w:val="zh-CN"/>
        </w:rPr>
      </w:pPr>
      <w:r>
        <w:rPr>
          <w:u w:val="none"/>
          <w:lang w:val="zh-CN"/>
        </w:rPr>
        <w:t>规划改扩建中心城区污水处理厂，提高污水处理厂运行负荷率；规划推进各乡镇污水收集管网新建及升级改造。预留污水处理设施发展用地，满足远期城市发展的需求。污水处理设施尽可能实现共建共享，以便于运行管理和提高出水水质。污水处理厂应考虑附近农村生活污水接入的可能，尽可能减少农村面源污染。排水管线布置时具备条件的可延伸至周边村镇，实现近郊村与中心城区基础设施共享。</w:t>
      </w:r>
    </w:p>
    <w:p w14:paraId="4DC60727">
      <w:pPr>
        <w:rPr>
          <w:u w:val="none"/>
          <w:lang w:val="zh-CN"/>
        </w:rPr>
      </w:pPr>
      <w:r>
        <w:rPr>
          <w:u w:val="none"/>
          <w:lang w:val="zh-CN"/>
        </w:rPr>
        <w:t>规划中心城区加快城镇再生水厂和再生水管网建设，完善再生水回用系统，提高再生水利用水平。</w:t>
      </w:r>
    </w:p>
    <w:p w14:paraId="42AC94B7">
      <w:pPr>
        <w:rPr>
          <w:u w:val="none"/>
          <w:lang w:val="zh-CN"/>
        </w:rPr>
      </w:pPr>
      <w:r>
        <w:rPr>
          <w:u w:val="none"/>
          <w:lang w:val="zh-CN"/>
        </w:rPr>
        <w:t>加强对污泥的资源化利用和无害化处理，尽可能回收和利用污泥中的能源和资源，提高污泥处理和利用水平。规划推进</w:t>
      </w:r>
      <w:r>
        <w:rPr>
          <w:u w:val="none"/>
        </w:rPr>
        <w:t>虎林市</w:t>
      </w:r>
      <w:r>
        <w:rPr>
          <w:u w:val="none"/>
          <w:lang w:val="zh-CN"/>
        </w:rPr>
        <w:t>污泥处置</w:t>
      </w:r>
      <w:r>
        <w:rPr>
          <w:u w:val="none"/>
        </w:rPr>
        <w:t>扩建工程</w:t>
      </w:r>
      <w:r>
        <w:rPr>
          <w:u w:val="none"/>
          <w:lang w:val="zh-CN"/>
        </w:rPr>
        <w:t>。</w:t>
      </w:r>
    </w:p>
    <w:p w14:paraId="2BD2ED25">
      <w:pPr>
        <w:rPr>
          <w:u w:val="none"/>
          <w:lang w:val="zh-CN"/>
        </w:rPr>
      </w:pPr>
      <w:r>
        <w:rPr>
          <w:u w:val="none"/>
          <w:lang w:val="zh-CN"/>
        </w:rPr>
        <w:t>规划推进村庄污水处理设施建设，提高村庄污水处理率。</w:t>
      </w:r>
    </w:p>
    <w:p w14:paraId="5B82AA34">
      <w:pPr>
        <w:rPr>
          <w:u w:val="none"/>
        </w:rPr>
      </w:pPr>
      <w:r>
        <w:rPr>
          <w:u w:val="none"/>
          <w:lang w:val="zh-CN"/>
        </w:rPr>
        <w:t>保护城镇山体，修复江河、湖泊、湿地等，保留天然雨洪行泄通道，恢复和增强河湖水系自净、滞蓄能力，构建联系完整的生态基础设施体系。在城镇建设和更新中，利用雨水花园、透水铺装、绿色屋顶、调蓄设施等综合措施，加强雨水的积存、渗透和净化。中心城区易涝点整治率达到100%，建立较为完善的城市排水防涝工程体系，建成区达到海绵城市建设标准。到2035年基本建成与城镇发展相适应的雨水排除与利用系统。</w:t>
      </w:r>
    </w:p>
    <w:p w14:paraId="57C322AE">
      <w:pPr>
        <w:pStyle w:val="5"/>
        <w:spacing w:before="120" w:after="120"/>
        <w:rPr>
          <w:snapToGrid w:val="0"/>
        </w:rPr>
      </w:pPr>
      <w:bookmarkStart w:id="473" w:name="_Toc17312"/>
      <w:bookmarkStart w:id="474" w:name="_Toc14335"/>
      <w:bookmarkStart w:id="475" w:name="_Toc185"/>
      <w:r>
        <w:rPr>
          <w:snapToGrid w:val="0"/>
        </w:rPr>
        <w:t>第</w:t>
      </w:r>
      <w:r>
        <w:rPr>
          <w:rFonts w:hint="eastAsia"/>
          <w:snapToGrid w:val="0"/>
        </w:rPr>
        <w:t>15</w:t>
      </w:r>
      <w:r>
        <w:rPr>
          <w:rFonts w:hint="eastAsia"/>
          <w:snapToGrid w:val="0"/>
          <w:lang w:val="en-US" w:eastAsia="zh-CN"/>
        </w:rPr>
        <w:t>4</w:t>
      </w:r>
      <w:r>
        <w:rPr>
          <w:snapToGrid w:val="0"/>
        </w:rPr>
        <w:t>条 城乡供电工程</w:t>
      </w:r>
      <w:bookmarkEnd w:id="473"/>
      <w:bookmarkEnd w:id="474"/>
      <w:bookmarkEnd w:id="475"/>
    </w:p>
    <w:p w14:paraId="3F30C7C3">
      <w:pPr>
        <w:rPr>
          <w:u w:val="none"/>
          <w:lang w:val="zh-CN"/>
        </w:rPr>
      </w:pPr>
      <w:r>
        <w:rPr>
          <w:u w:val="none"/>
          <w:lang w:val="zh-CN"/>
        </w:rPr>
        <w:t>加快电网建设和改造，强化网</w:t>
      </w:r>
      <w:r>
        <w:rPr>
          <w:u w:val="none"/>
        </w:rPr>
        <w:t>架</w:t>
      </w:r>
      <w:r>
        <w:rPr>
          <w:u w:val="none"/>
          <w:lang w:val="zh-CN"/>
        </w:rPr>
        <w:t>结构和完善</w:t>
      </w:r>
      <w:r>
        <w:rPr>
          <w:u w:val="none"/>
        </w:rPr>
        <w:t>主网</w:t>
      </w:r>
      <w:r>
        <w:rPr>
          <w:u w:val="none"/>
          <w:lang w:val="zh-CN"/>
        </w:rPr>
        <w:t>联络通道，</w:t>
      </w:r>
      <w:r>
        <w:rPr>
          <w:u w:val="none"/>
        </w:rPr>
        <w:t>保障</w:t>
      </w:r>
      <w:r>
        <w:rPr>
          <w:u w:val="none"/>
          <w:lang w:val="zh-CN"/>
        </w:rPr>
        <w:t>电网</w:t>
      </w:r>
      <w:r>
        <w:rPr>
          <w:u w:val="none"/>
        </w:rPr>
        <w:t>建设</w:t>
      </w:r>
      <w:r>
        <w:rPr>
          <w:u w:val="none"/>
          <w:lang w:val="zh-CN"/>
        </w:rPr>
        <w:t>与</w:t>
      </w:r>
      <w:r>
        <w:rPr>
          <w:u w:val="none"/>
        </w:rPr>
        <w:t>用电需求有效衔接</w:t>
      </w:r>
      <w:r>
        <w:rPr>
          <w:u w:val="none"/>
          <w:lang w:val="zh-CN"/>
        </w:rPr>
        <w:t>，使城市电网步入良性循环轨道。供电可靠率达到99.9%，</w:t>
      </w:r>
      <w:r>
        <w:rPr>
          <w:u w:val="none"/>
        </w:rPr>
        <w:t>电压合格率</w:t>
      </w:r>
      <w:r>
        <w:rPr>
          <w:u w:val="none"/>
          <w:lang w:val="zh-CN"/>
        </w:rPr>
        <w:t>达到99.8%，</w:t>
      </w:r>
      <w:r>
        <w:rPr>
          <w:u w:val="none"/>
        </w:rPr>
        <w:t>C类供电区</w:t>
      </w:r>
      <w:r>
        <w:rPr>
          <w:u w:val="none"/>
          <w:lang w:val="zh-CN"/>
        </w:rPr>
        <w:t>变压器、</w:t>
      </w:r>
      <w:r>
        <w:rPr>
          <w:u w:val="none"/>
        </w:rPr>
        <w:t>线路</w:t>
      </w:r>
      <w:r>
        <w:rPr>
          <w:u w:val="none"/>
          <w:lang w:val="zh-CN"/>
        </w:rPr>
        <w:t>配置符合N</w:t>
      </w:r>
      <w:r>
        <w:rPr>
          <w:rFonts w:hint="eastAsia"/>
          <w:u w:val="none"/>
          <w:lang w:val="zh-CN"/>
        </w:rPr>
        <w:t>—</w:t>
      </w:r>
      <w:r>
        <w:rPr>
          <w:u w:val="none"/>
          <w:lang w:val="zh-CN"/>
        </w:rPr>
        <w:t>1安全准则，安全、经济、优质、可靠地向各类用户供电，以满足经济发展和人民生活用电日益增长的需要，适应改革开放和发展外向型经济的形势。</w:t>
      </w:r>
    </w:p>
    <w:p w14:paraId="7E03D0F9">
      <w:pPr>
        <w:pStyle w:val="2"/>
        <w:rPr>
          <w:u w:val="none"/>
          <w:lang w:val="zh-CN"/>
        </w:rPr>
      </w:pPr>
    </w:p>
    <w:p w14:paraId="5854CBD4"/>
    <w:p w14:paraId="2DAC3BF3">
      <w:pPr>
        <w:pStyle w:val="5"/>
        <w:spacing w:before="120" w:after="120"/>
        <w:rPr>
          <w:snapToGrid w:val="0"/>
        </w:rPr>
      </w:pPr>
      <w:bookmarkStart w:id="476" w:name="_Toc32570"/>
      <w:bookmarkStart w:id="477" w:name="_Toc26422"/>
      <w:bookmarkStart w:id="478" w:name="_Toc19942"/>
      <w:r>
        <w:rPr>
          <w:snapToGrid w:val="0"/>
        </w:rPr>
        <w:t>第</w:t>
      </w:r>
      <w:r>
        <w:rPr>
          <w:rFonts w:hint="eastAsia"/>
          <w:snapToGrid w:val="0"/>
        </w:rPr>
        <w:t>15</w:t>
      </w:r>
      <w:r>
        <w:rPr>
          <w:rFonts w:hint="eastAsia"/>
          <w:snapToGrid w:val="0"/>
          <w:lang w:val="en-US" w:eastAsia="zh-CN"/>
        </w:rPr>
        <w:t>5</w:t>
      </w:r>
      <w:r>
        <w:rPr>
          <w:snapToGrid w:val="0"/>
        </w:rPr>
        <w:t>条 城乡通信工程</w:t>
      </w:r>
      <w:bookmarkEnd w:id="476"/>
      <w:bookmarkEnd w:id="477"/>
      <w:bookmarkEnd w:id="478"/>
    </w:p>
    <w:p w14:paraId="1F19D7F9">
      <w:pPr>
        <w:rPr>
          <w:u w:val="none"/>
        </w:rPr>
      </w:pPr>
      <w:r>
        <w:rPr>
          <w:u w:val="none"/>
        </w:rPr>
        <w:t>1.无线网总体规划原则</w:t>
      </w:r>
    </w:p>
    <w:p w14:paraId="0A3F66FD">
      <w:pPr>
        <w:rPr>
          <w:u w:val="none"/>
        </w:rPr>
      </w:pPr>
      <w:r>
        <w:rPr>
          <w:u w:val="none"/>
        </w:rPr>
        <w:t>无线网总体思路是5G做优、4G共享、2/3G退网。5G实现连续覆盖，4G实现本地网全部覆盖。通过室内外协同覆盖、2.1G合路现有DAS等手段低成本快速提升室内覆盖水平。</w:t>
      </w:r>
    </w:p>
    <w:p w14:paraId="4D3661C7">
      <w:pPr>
        <w:rPr>
          <w:u w:val="none"/>
        </w:rPr>
      </w:pPr>
      <w:r>
        <w:rPr>
          <w:u w:val="none"/>
        </w:rPr>
        <w:t>2.宽带接入网总体规划原则</w:t>
      </w:r>
    </w:p>
    <w:p w14:paraId="428B550F">
      <w:pPr>
        <w:rPr>
          <w:u w:val="none"/>
        </w:rPr>
      </w:pPr>
      <w:r>
        <w:rPr>
          <w:u w:val="none"/>
        </w:rPr>
        <w:t>建立以市场牵引网络建设的协同保障机制，聚焦新国标小区进行精准建设；推进千兆网络部署，提升接入速率，完善网络覆盖；完善宽带平台、网管，支撑宽带业务发展。</w:t>
      </w:r>
    </w:p>
    <w:p w14:paraId="718D1822">
      <w:pPr>
        <w:rPr>
          <w:u w:val="none"/>
        </w:rPr>
      </w:pPr>
      <w:r>
        <w:rPr>
          <w:u w:val="none"/>
        </w:rPr>
        <w:t>3.规划目标</w:t>
      </w:r>
    </w:p>
    <w:p w14:paraId="37F5C22E">
      <w:pPr>
        <w:rPr>
          <w:u w:val="none"/>
        </w:rPr>
      </w:pPr>
      <w:r>
        <w:rPr>
          <w:u w:val="none"/>
        </w:rPr>
        <w:t>推进5G基础设施建设新模式，以DC为中心，搭建云基础设施体系，支撑网络云化转型。</w:t>
      </w:r>
    </w:p>
    <w:p w14:paraId="09156079">
      <w:pPr>
        <w:rPr>
          <w:u w:val="none"/>
        </w:rPr>
      </w:pPr>
      <w:r>
        <w:rPr>
          <w:u w:val="none"/>
        </w:rPr>
        <w:t>持续推进网络“云化、虚拟化（NFV）、SDN化、智能化”，基础业务网络聚焦精准投资，精准满足客户需求，提升投资有效性、提升利用率。网络发展聚焦5G、SDN、云、IT等领域，关注网络简化，降低网络的复杂性，提升网络效率。</w:t>
      </w:r>
    </w:p>
    <w:p w14:paraId="3EB6ED95">
      <w:pPr>
        <w:rPr>
          <w:u w:val="none"/>
        </w:rPr>
      </w:pPr>
      <w:r>
        <w:rPr>
          <w:rFonts w:hint="eastAsia" w:ascii="Calibri" w:hAnsi="Calibri" w:cs="Calibri"/>
          <w:u w:val="none"/>
        </w:rPr>
        <w:t>4</w:t>
      </w:r>
      <w:r>
        <w:rPr>
          <w:u w:val="none"/>
        </w:rPr>
        <w:t>.广播电视及数字化信息</w:t>
      </w:r>
    </w:p>
    <w:p w14:paraId="3F1A0843">
      <w:pPr>
        <w:rPr>
          <w:u w:val="none"/>
        </w:rPr>
      </w:pPr>
      <w:r>
        <w:rPr>
          <w:u w:val="none"/>
        </w:rPr>
        <w:t>近期内完成全市有线电视的数字化改造，远期加快建设广电NGB综合接入网络，NGB用户普及率达到90%，NGB智能终端普及率达到90%。有线电视线路应随同通讯线路架空或地下敷设。规划期内无线通讯以现状维护和增容为主，扩大无线通讯用户数量。</w:t>
      </w:r>
    </w:p>
    <w:p w14:paraId="4481909F">
      <w:pPr>
        <w:rPr>
          <w:u w:val="none"/>
        </w:rPr>
      </w:pPr>
      <w:r>
        <w:rPr>
          <w:u w:val="none"/>
        </w:rPr>
        <w:t>规划远期，通信部门线路以及数字化信息网络线路均采用共同线由，同管道敷设。全面推进三网融合，加快电信和广电业务双向进入，建立和完善适应三网融合需要的网络信息安全和文化安全监管机制。</w:t>
      </w:r>
    </w:p>
    <w:p w14:paraId="0DC4CE46">
      <w:pPr>
        <w:rPr>
          <w:u w:val="none"/>
        </w:rPr>
      </w:pPr>
      <w:r>
        <w:rPr>
          <w:u w:val="none"/>
        </w:rPr>
        <w:t>6.邮政工程</w:t>
      </w:r>
    </w:p>
    <w:p w14:paraId="723750BA">
      <w:pPr>
        <w:rPr>
          <w:u w:val="none"/>
        </w:rPr>
      </w:pPr>
      <w:r>
        <w:rPr>
          <w:u w:val="none"/>
        </w:rPr>
        <w:t>在发展规模方面，全行业累计新增就业岗位100万个以上。</w:t>
      </w:r>
    </w:p>
    <w:p w14:paraId="655E965B">
      <w:pPr>
        <w:pStyle w:val="5"/>
        <w:spacing w:before="120" w:after="120"/>
        <w:rPr>
          <w:snapToGrid w:val="0"/>
        </w:rPr>
      </w:pPr>
      <w:bookmarkStart w:id="479" w:name="_Toc18946"/>
      <w:bookmarkStart w:id="480" w:name="_Toc29654"/>
      <w:bookmarkStart w:id="481" w:name="_Toc30255"/>
      <w:bookmarkStart w:id="482" w:name="_Toc9438"/>
      <w:bookmarkStart w:id="483" w:name="_Toc32759"/>
      <w:r>
        <w:rPr>
          <w:snapToGrid w:val="0"/>
        </w:rPr>
        <w:t>第</w:t>
      </w:r>
      <w:r>
        <w:rPr>
          <w:rFonts w:hint="eastAsia"/>
          <w:snapToGrid w:val="0"/>
        </w:rPr>
        <w:t>15</w:t>
      </w:r>
      <w:r>
        <w:rPr>
          <w:rFonts w:hint="eastAsia"/>
          <w:snapToGrid w:val="0"/>
          <w:lang w:val="en-US" w:eastAsia="zh-CN"/>
        </w:rPr>
        <w:t>6</w:t>
      </w:r>
      <w:r>
        <w:rPr>
          <w:snapToGrid w:val="0"/>
        </w:rPr>
        <w:t>条 城乡燃气工程</w:t>
      </w:r>
      <w:bookmarkEnd w:id="479"/>
      <w:bookmarkEnd w:id="480"/>
      <w:bookmarkEnd w:id="481"/>
      <w:bookmarkEnd w:id="482"/>
      <w:bookmarkEnd w:id="483"/>
    </w:p>
    <w:p w14:paraId="2D9CD87C">
      <w:pPr>
        <w:rPr>
          <w:u w:val="none"/>
        </w:rPr>
      </w:pPr>
      <w:r>
        <w:rPr>
          <w:u w:val="none"/>
        </w:rPr>
        <w:t>1.燃气设施体系建设</w:t>
      </w:r>
    </w:p>
    <w:p w14:paraId="55309ED4">
      <w:pPr>
        <w:rPr>
          <w:u w:val="none"/>
        </w:rPr>
      </w:pPr>
      <w:r>
        <w:rPr>
          <w:u w:val="none"/>
        </w:rPr>
        <w:t>规划以天然气为主，液化石油气为辅，形成多气源结构。鼓励工业“煤改天然气”和“油改天然气”，改善全域能源结构，健全城镇居民、工业企业、餐饮商服燃气管道接口体系，实现城镇天然气综合利用便利化，提升天然气供给水平。</w:t>
      </w:r>
    </w:p>
    <w:p w14:paraId="5063489F">
      <w:pPr>
        <w:rPr>
          <w:u w:val="none"/>
        </w:rPr>
      </w:pPr>
      <w:r>
        <w:rPr>
          <w:u w:val="none"/>
        </w:rPr>
        <w:t>2.气源布局</w:t>
      </w:r>
    </w:p>
    <w:p w14:paraId="0E3FD904">
      <w:pPr>
        <w:rPr>
          <w:u w:val="none"/>
        </w:rPr>
      </w:pPr>
      <w:r>
        <w:rPr>
          <w:u w:val="none"/>
        </w:rPr>
        <w:t>虎林市LNG来自大庆中瑞，其他LNG气源可以作为后备气源。远期管道天然气来自中俄远东线天然气管道。</w:t>
      </w:r>
    </w:p>
    <w:p w14:paraId="1D39BC52">
      <w:pPr>
        <w:rPr>
          <w:u w:val="none"/>
        </w:rPr>
      </w:pPr>
    </w:p>
    <w:p w14:paraId="2DF3B9A9">
      <w:pPr>
        <w:rPr>
          <w:u w:val="none"/>
        </w:rPr>
      </w:pPr>
      <w:r>
        <w:rPr>
          <w:u w:val="none"/>
        </w:rPr>
        <w:t>3.燃气设施布局</w:t>
      </w:r>
    </w:p>
    <w:p w14:paraId="3F568EBE">
      <w:pPr>
        <w:rPr>
          <w:u w:val="none"/>
        </w:rPr>
      </w:pPr>
      <w:r>
        <w:rPr>
          <w:u w:val="none"/>
        </w:rPr>
        <w:t>规划加强中心城区管道天然气工程，加快推进燃气管网外网建设，新建LNG储配站及汽车加气站一座，新建储气设施，预留俄气门站；科学规划加油站布局，合理配建充电设施，优化提升全市燃油供应网络；其余乡镇以瓶装液化石油气为主要供气方式。</w:t>
      </w:r>
    </w:p>
    <w:p w14:paraId="0E2EE7EC">
      <w:pPr>
        <w:pStyle w:val="5"/>
        <w:spacing w:before="120" w:after="120"/>
        <w:rPr>
          <w:snapToGrid w:val="0"/>
        </w:rPr>
      </w:pPr>
      <w:bookmarkStart w:id="484" w:name="_Toc19850"/>
      <w:bookmarkStart w:id="485" w:name="_Toc5694"/>
      <w:bookmarkStart w:id="486" w:name="_Toc27890"/>
      <w:bookmarkStart w:id="487" w:name="_Toc2152"/>
      <w:bookmarkStart w:id="488" w:name="_Toc14643"/>
      <w:r>
        <w:rPr>
          <w:snapToGrid w:val="0"/>
        </w:rPr>
        <w:t>第</w:t>
      </w:r>
      <w:r>
        <w:rPr>
          <w:rFonts w:hint="eastAsia"/>
          <w:snapToGrid w:val="0"/>
        </w:rPr>
        <w:t>15</w:t>
      </w:r>
      <w:r>
        <w:rPr>
          <w:rFonts w:hint="eastAsia"/>
          <w:snapToGrid w:val="0"/>
          <w:lang w:val="en-US" w:eastAsia="zh-CN"/>
        </w:rPr>
        <w:t>7</w:t>
      </w:r>
      <w:r>
        <w:rPr>
          <w:snapToGrid w:val="0"/>
        </w:rPr>
        <w:t>条 城乡供热工程</w:t>
      </w:r>
      <w:bookmarkEnd w:id="484"/>
      <w:bookmarkEnd w:id="485"/>
      <w:bookmarkEnd w:id="486"/>
      <w:bookmarkEnd w:id="487"/>
      <w:bookmarkEnd w:id="488"/>
    </w:p>
    <w:p w14:paraId="22AB1F2F">
      <w:pPr>
        <w:rPr>
          <w:u w:val="none"/>
        </w:rPr>
      </w:pPr>
      <w:r>
        <w:rPr>
          <w:u w:val="none"/>
        </w:rPr>
        <w:t>1.完善供热体系</w:t>
      </w:r>
    </w:p>
    <w:p w14:paraId="0901A3D7">
      <w:pPr>
        <w:rPr>
          <w:u w:val="none"/>
        </w:rPr>
      </w:pPr>
      <w:r>
        <w:rPr>
          <w:u w:val="none"/>
        </w:rPr>
        <w:t>优化能源结构，鼓励绿色能源，优先发展热电联产，谋划地热发电供暖、积极探索发展核小堆供暖，推进清洁能源供暖，提升清洁能源供热比例，提高供热可靠性，逐步实现智慧供热，推进各乡镇及农村地区清洁能源采暖。</w:t>
      </w:r>
    </w:p>
    <w:p w14:paraId="1214D89E">
      <w:pPr>
        <w:rPr>
          <w:u w:val="none"/>
        </w:rPr>
      </w:pPr>
      <w:r>
        <w:rPr>
          <w:u w:val="none"/>
        </w:rPr>
        <w:t>2.优化供热方式</w:t>
      </w:r>
    </w:p>
    <w:p w14:paraId="6EFF4958">
      <w:pPr>
        <w:rPr>
          <w:u w:val="none"/>
        </w:rPr>
      </w:pPr>
      <w:r>
        <w:rPr>
          <w:u w:val="none"/>
        </w:rPr>
        <w:t>虎林市中心城区主要采取集中供热的方式，以热电厂为主，集中锅炉房为辅的供热方式。一般城镇采取集中供热与分散供热相结合的方式，积极发展清洁能源、水源热泵等新型供热方式，发展分布式供热方式，保证供热安全。</w:t>
      </w:r>
    </w:p>
    <w:p w14:paraId="12C93CE0">
      <w:pPr>
        <w:rPr>
          <w:u w:val="none"/>
        </w:rPr>
      </w:pPr>
      <w:r>
        <w:rPr>
          <w:u w:val="none"/>
        </w:rPr>
        <w:t>3.供热热源及供热管网布局</w:t>
      </w:r>
    </w:p>
    <w:p w14:paraId="4CA1AD8A">
      <w:pPr>
        <w:rPr>
          <w:u w:val="none"/>
        </w:rPr>
      </w:pPr>
      <w:r>
        <w:rPr>
          <w:u w:val="none"/>
        </w:rPr>
        <w:t>规划保留中心城区现状两处供热热源，规划各乡镇集中供热热源及新热网建设。规划虎林市中心城区新建第三热源，按近、远期分期建设。规划推进中心城区供热老旧管网改造、热源环保升级改造及增加热源备用锅炉建设项目。</w:t>
      </w:r>
    </w:p>
    <w:p w14:paraId="719B2925">
      <w:pPr>
        <w:pStyle w:val="5"/>
        <w:spacing w:before="120" w:after="120"/>
        <w:rPr>
          <w:snapToGrid w:val="0"/>
        </w:rPr>
      </w:pPr>
      <w:bookmarkStart w:id="489" w:name="_Toc2396"/>
      <w:bookmarkStart w:id="490" w:name="_Toc30252"/>
      <w:bookmarkStart w:id="491" w:name="_Toc3220"/>
      <w:bookmarkStart w:id="492" w:name="_Toc10805"/>
      <w:bookmarkStart w:id="493" w:name="_Toc16642"/>
      <w:r>
        <w:rPr>
          <w:snapToGrid w:val="0"/>
        </w:rPr>
        <w:t>第</w:t>
      </w:r>
      <w:r>
        <w:rPr>
          <w:rFonts w:hint="eastAsia"/>
          <w:snapToGrid w:val="0"/>
        </w:rPr>
        <w:t>15</w:t>
      </w:r>
      <w:r>
        <w:rPr>
          <w:rFonts w:hint="eastAsia"/>
          <w:snapToGrid w:val="0"/>
          <w:lang w:val="en-US" w:eastAsia="zh-CN"/>
        </w:rPr>
        <w:t>8</w:t>
      </w:r>
      <w:r>
        <w:rPr>
          <w:snapToGrid w:val="0"/>
        </w:rPr>
        <w:t>条 城乡环卫工程</w:t>
      </w:r>
      <w:bookmarkEnd w:id="489"/>
      <w:bookmarkEnd w:id="490"/>
      <w:bookmarkEnd w:id="491"/>
      <w:bookmarkEnd w:id="492"/>
      <w:bookmarkEnd w:id="493"/>
    </w:p>
    <w:p w14:paraId="485AA977">
      <w:pPr>
        <w:rPr>
          <w:u w:val="none"/>
        </w:rPr>
      </w:pPr>
      <w:r>
        <w:rPr>
          <w:u w:val="none"/>
        </w:rPr>
        <w:t>1.全市垃圾收运及处理体系建设</w:t>
      </w:r>
    </w:p>
    <w:p w14:paraId="0227F961">
      <w:pPr>
        <w:rPr>
          <w:u w:val="none"/>
        </w:rPr>
      </w:pPr>
      <w:r>
        <w:rPr>
          <w:u w:val="none"/>
        </w:rPr>
        <w:t>逐步推行生活垃圾分类制度，完善以“村收集</w:t>
      </w:r>
      <w:r>
        <w:rPr>
          <w:rFonts w:hint="eastAsia"/>
          <w:u w:val="none"/>
        </w:rPr>
        <w:t>—</w:t>
      </w:r>
      <w:r>
        <w:rPr>
          <w:u w:val="none"/>
        </w:rPr>
        <w:t>乡（镇）转运</w:t>
      </w:r>
      <w:r>
        <w:rPr>
          <w:rFonts w:hint="eastAsia"/>
          <w:u w:val="none"/>
        </w:rPr>
        <w:t>—</w:t>
      </w:r>
      <w:r>
        <w:rPr>
          <w:u w:val="none"/>
        </w:rPr>
        <w:t>县（市）集中处理”的生活垃圾收运及处理体系。加快补齐市域环卫基础设施短板，实现市域范围内环卫基础设施城乡统筹与共建共享。注重既有设施与新建设施服务年限的衔接，对中远期达到使用年限的卫生填埋场，提前规划并采取焚烧和资源化利用等工艺新建处理设施。</w:t>
      </w:r>
    </w:p>
    <w:p w14:paraId="0CB1E83B">
      <w:pPr>
        <w:rPr>
          <w:u w:val="none"/>
        </w:rPr>
      </w:pPr>
      <w:r>
        <w:rPr>
          <w:u w:val="none"/>
        </w:rPr>
        <w:t>2.生活垃圾处理厂布局</w:t>
      </w:r>
    </w:p>
    <w:p w14:paraId="2B3799AF">
      <w:pPr>
        <w:rPr>
          <w:u w:val="none"/>
        </w:rPr>
      </w:pPr>
      <w:r>
        <w:rPr>
          <w:u w:val="none"/>
        </w:rPr>
        <w:t>规划虎林市近期新建一座垃圾焚烧厂，位于现状卫生填埋场原址附近，规划处理能力150吨/日，同时结合焚烧厂，建设处理飞灰及应急垃圾所需的收纳场。现状卫生填埋场作为应急使用。</w:t>
      </w:r>
    </w:p>
    <w:p w14:paraId="0CA0FFB8">
      <w:pPr>
        <w:rPr>
          <w:u w:val="none"/>
        </w:rPr>
      </w:pPr>
      <w:r>
        <w:rPr>
          <w:u w:val="none"/>
        </w:rPr>
        <w:t>3.餐厨垃圾处理设施布局</w:t>
      </w:r>
    </w:p>
    <w:p w14:paraId="530382D9">
      <w:pPr>
        <w:rPr>
          <w:u w:val="none"/>
        </w:rPr>
      </w:pPr>
      <w:r>
        <w:rPr>
          <w:u w:val="none"/>
        </w:rPr>
        <w:t>规划结合垃圾焚烧厂新建餐厨垃圾处理厂。</w:t>
      </w:r>
    </w:p>
    <w:p w14:paraId="72AEF657">
      <w:pPr>
        <w:rPr>
          <w:u w:val="none"/>
        </w:rPr>
      </w:pPr>
      <w:r>
        <w:rPr>
          <w:u w:val="none"/>
        </w:rPr>
        <w:t>4.建筑垃圾消纳场布局</w:t>
      </w:r>
    </w:p>
    <w:p w14:paraId="46ECDC70">
      <w:pPr>
        <w:rPr>
          <w:u w:val="none"/>
        </w:rPr>
      </w:pPr>
      <w:r>
        <w:rPr>
          <w:u w:val="none"/>
        </w:rPr>
        <w:t>加强建筑垃圾资源回收利用设施及消纳场所建设，推进建筑垃圾资源化利用水平。规划建筑垃圾由建筑垃圾资源化利用处置中心统一处理。</w:t>
      </w:r>
    </w:p>
    <w:p w14:paraId="7B0C1A78">
      <w:pPr>
        <w:rPr>
          <w:u w:val="none"/>
        </w:rPr>
      </w:pPr>
      <w:r>
        <w:rPr>
          <w:u w:val="none"/>
        </w:rPr>
        <w:t>5.医疗等危险废物处理设施布局</w:t>
      </w:r>
    </w:p>
    <w:p w14:paraId="1737536C">
      <w:pPr>
        <w:rPr>
          <w:u w:val="none"/>
        </w:rPr>
      </w:pPr>
      <w:r>
        <w:rPr>
          <w:u w:val="none"/>
        </w:rPr>
        <w:t>提高医疗、化工等危险废物的安全贮存和无害化处置能力，强化环境风险管控。医疗等危险废物要单独收集、单独运输和单独处理。规划虎林市医疗等危险废物运送至鸡西市医疗废物处置中心；其他危险废物由省规划辐射全省的安达市危险废物处置中心、七台河市危险废物处置中心、泰来县危险废物综合处置中心、肇东市云水危险废物焚烧处置中心扩建，统一解决。</w:t>
      </w:r>
    </w:p>
    <w:p w14:paraId="69D03721">
      <w:pPr>
        <w:rPr>
          <w:u w:val="none"/>
        </w:rPr>
      </w:pPr>
      <w:r>
        <w:rPr>
          <w:u w:val="none"/>
        </w:rPr>
        <w:t>6.一般工业固体废物处理设施布局</w:t>
      </w:r>
    </w:p>
    <w:p w14:paraId="5BB71AA1">
      <w:pPr>
        <w:rPr>
          <w:u w:val="none"/>
        </w:rPr>
      </w:pPr>
      <w:r>
        <w:rPr>
          <w:u w:val="none"/>
        </w:rPr>
        <w:t>虎林市一般工业固体废物由一般工业固体废物资源化利用厂统一处理。</w:t>
      </w:r>
    </w:p>
    <w:p w14:paraId="67462AD2">
      <w:pPr>
        <w:rPr>
          <w:u w:val="none"/>
        </w:rPr>
      </w:pPr>
      <w:r>
        <w:rPr>
          <w:u w:val="none"/>
        </w:rPr>
        <w:t>7.垃圾转运站布局</w:t>
      </w:r>
    </w:p>
    <w:p w14:paraId="74530B9B">
      <w:pPr>
        <w:rPr>
          <w:u w:val="none"/>
        </w:rPr>
      </w:pPr>
      <w:r>
        <w:rPr>
          <w:u w:val="none"/>
        </w:rPr>
        <w:t>规划保留虎林市现有5座垃圾转运站，并升级改造，其他乡镇各新建1座垃圾转运站，各转运站垃圾经过压缩后运送到垃圾焚烧厂进行处理。</w:t>
      </w:r>
    </w:p>
    <w:p w14:paraId="6D09F2E8">
      <w:pPr>
        <w:pStyle w:val="4"/>
        <w:widowControl w:val="0"/>
        <w:snapToGrid/>
        <w:spacing w:before="120" w:beforeLines="50" w:after="120" w:afterLines="50" w:line="600" w:lineRule="exact"/>
        <w:ind w:firstLine="0" w:firstLineChars="0"/>
        <w:rPr>
          <w:b w:val="0"/>
          <w:bCs w:val="0"/>
          <w:color w:val="auto"/>
          <w:u w:val="none"/>
        </w:rPr>
      </w:pPr>
      <w:bookmarkStart w:id="494" w:name="_Toc1645"/>
      <w:bookmarkStart w:id="495" w:name="_Toc29960"/>
      <w:bookmarkStart w:id="496" w:name="_Toc181784691"/>
      <w:bookmarkStart w:id="497" w:name="_Toc181784481"/>
      <w:bookmarkStart w:id="498" w:name="_Toc181784621"/>
      <w:r>
        <w:rPr>
          <w:b w:val="0"/>
          <w:bCs w:val="0"/>
          <w:color w:val="auto"/>
          <w:u w:val="none"/>
        </w:rPr>
        <w:t xml:space="preserve">第五节 </w:t>
      </w:r>
      <w:bookmarkEnd w:id="494"/>
      <w:r>
        <w:rPr>
          <w:rFonts w:hint="eastAsia"/>
          <w:b w:val="0"/>
          <w:bCs w:val="0"/>
          <w:color w:val="auto"/>
          <w:u w:val="none"/>
        </w:rPr>
        <w:t>加强综合防灾设施建设空间保障</w:t>
      </w:r>
      <w:bookmarkEnd w:id="495"/>
      <w:bookmarkEnd w:id="496"/>
      <w:bookmarkEnd w:id="497"/>
      <w:bookmarkEnd w:id="498"/>
    </w:p>
    <w:p w14:paraId="596478E9">
      <w:pPr>
        <w:pStyle w:val="5"/>
        <w:spacing w:before="120" w:after="120"/>
        <w:rPr>
          <w:snapToGrid w:val="0"/>
        </w:rPr>
      </w:pPr>
      <w:bookmarkStart w:id="499" w:name="_Toc31368"/>
      <w:bookmarkStart w:id="500" w:name="_Toc6682"/>
      <w:r>
        <w:rPr>
          <w:snapToGrid w:val="0"/>
        </w:rPr>
        <w:t>第</w:t>
      </w:r>
      <w:r>
        <w:rPr>
          <w:rFonts w:hint="eastAsia"/>
          <w:snapToGrid w:val="0"/>
        </w:rPr>
        <w:t>15</w:t>
      </w:r>
      <w:r>
        <w:rPr>
          <w:rFonts w:hint="eastAsia"/>
          <w:snapToGrid w:val="0"/>
          <w:lang w:val="en-US" w:eastAsia="zh-CN"/>
        </w:rPr>
        <w:t>9</w:t>
      </w:r>
      <w:r>
        <w:rPr>
          <w:snapToGrid w:val="0"/>
        </w:rPr>
        <w:t>条 完善防灾减灾救灾空间布局</w:t>
      </w:r>
    </w:p>
    <w:p w14:paraId="01C66772">
      <w:pPr>
        <w:rPr>
          <w:u w:val="none"/>
        </w:rPr>
      </w:pPr>
      <w:r>
        <w:rPr>
          <w:u w:val="none"/>
        </w:rPr>
        <w:t>优化防灾减灾救灾资源的区域布局，增强突发事件应对能力。建立以各级应急避难场所为节点，救灾、疏散通道为网络的“全面覆盖、重点突出”的综合防灾空间结构。保障以救援主通道、疏散主通道、疏散次通道和一般疏散通道为主体的分级疏散救援通道体系建设空间；利用现有和规划建设的公园、绿地、体育场、大专院校等旷地以及地下空间，建立布局合理的避难场所节点；依托社区生活圈构建分布式、全覆盖的防灾、疏散、安全救援管理单元。市、乡镇、街道及居委（村）室内外应急避护场所的服务覆盖率达到100％。</w:t>
      </w:r>
    </w:p>
    <w:bookmarkEnd w:id="499"/>
    <w:bookmarkEnd w:id="500"/>
    <w:p w14:paraId="34C9B130">
      <w:pPr>
        <w:pStyle w:val="5"/>
        <w:spacing w:before="120" w:after="120"/>
        <w:rPr>
          <w:snapToGrid w:val="0"/>
        </w:rPr>
      </w:pPr>
      <w:r>
        <w:rPr>
          <w:snapToGrid w:val="0"/>
        </w:rPr>
        <w:t>第</w:t>
      </w:r>
      <w:r>
        <w:rPr>
          <w:rFonts w:hint="eastAsia"/>
          <w:snapToGrid w:val="0"/>
        </w:rPr>
        <w:t>1</w:t>
      </w:r>
      <w:r>
        <w:rPr>
          <w:rFonts w:hint="eastAsia"/>
          <w:snapToGrid w:val="0"/>
          <w:lang w:val="en-US" w:eastAsia="zh-CN"/>
        </w:rPr>
        <w:t>60</w:t>
      </w:r>
      <w:r>
        <w:rPr>
          <w:snapToGrid w:val="0"/>
        </w:rPr>
        <w:t>条 防洪设施布局</w:t>
      </w:r>
    </w:p>
    <w:p w14:paraId="21364CCE">
      <w:pPr>
        <w:rPr>
          <w:u w:val="none"/>
        </w:rPr>
      </w:pPr>
      <w:r>
        <w:rPr>
          <w:u w:val="none"/>
        </w:rPr>
        <w:t>巩固完善由“堤库结合、蓄洪兼施”组成的防洪总体布局。</w:t>
      </w:r>
    </w:p>
    <w:p w14:paraId="1DC29ACC">
      <w:pPr>
        <w:rPr>
          <w:u w:val="none"/>
        </w:rPr>
      </w:pPr>
      <w:r>
        <w:rPr>
          <w:u w:val="none"/>
        </w:rPr>
        <w:t>1.防洪工程建设</w:t>
      </w:r>
    </w:p>
    <w:p w14:paraId="68D6983C">
      <w:pPr>
        <w:rPr>
          <w:u w:val="none"/>
        </w:rPr>
      </w:pPr>
      <w:r>
        <w:rPr>
          <w:u w:val="none"/>
        </w:rPr>
        <w:t>加快完成乌苏里江、穆棱河、阿布沁河及七虎林河等主要河流治理。突出抓好各镇区中小河流治理、病险水库除险加固、农村基层防汛预警体系等重点薄弱环节建设。</w:t>
      </w:r>
    </w:p>
    <w:p w14:paraId="3E7F2D67">
      <w:pPr>
        <w:rPr>
          <w:u w:val="none"/>
        </w:rPr>
      </w:pPr>
      <w:r>
        <w:rPr>
          <w:u w:val="none"/>
        </w:rPr>
        <w:t>2.排涝工程建设</w:t>
      </w:r>
    </w:p>
    <w:p w14:paraId="32A4A9CB">
      <w:pPr>
        <w:rPr>
          <w:u w:val="none"/>
        </w:rPr>
      </w:pPr>
      <w:r>
        <w:rPr>
          <w:u w:val="none"/>
        </w:rPr>
        <w:t>按照防洪标准要求，加快流域防洪体系中的骨干工程和重点地区防洪工程建设，推进各乡镇中小河流治理、病险水库除险加固、农村基层防汛预警体系等重点薄弱环节建设。加强城乡内涝治理，加强防洪排涝排水基础设施网络建设，提高防洪排涝能力。完成城市低标准排水系统改造，城区雨水系统实现全覆盖。</w:t>
      </w:r>
    </w:p>
    <w:p w14:paraId="796D8558">
      <w:pPr>
        <w:pStyle w:val="2"/>
      </w:pPr>
    </w:p>
    <w:p w14:paraId="19858C4D">
      <w:pPr>
        <w:pStyle w:val="5"/>
        <w:spacing w:before="120" w:after="120"/>
        <w:rPr>
          <w:snapToGrid w:val="0"/>
        </w:rPr>
      </w:pPr>
      <w:r>
        <w:rPr>
          <w:snapToGrid w:val="0"/>
        </w:rPr>
        <w:t>第</w:t>
      </w:r>
      <w:r>
        <w:rPr>
          <w:rFonts w:hint="eastAsia"/>
          <w:snapToGrid w:val="0"/>
        </w:rPr>
        <w:t>1</w:t>
      </w:r>
      <w:r>
        <w:rPr>
          <w:rFonts w:hint="eastAsia"/>
          <w:snapToGrid w:val="0"/>
          <w:lang w:val="en-US" w:eastAsia="zh-CN"/>
        </w:rPr>
        <w:t>61</w:t>
      </w:r>
      <w:r>
        <w:rPr>
          <w:snapToGrid w:val="0"/>
        </w:rPr>
        <w:t>条 城乡消防设施布局</w:t>
      </w:r>
    </w:p>
    <w:p w14:paraId="4352E2ED">
      <w:pPr>
        <w:rPr>
          <w:u w:val="none"/>
        </w:rPr>
      </w:pPr>
      <w:r>
        <w:rPr>
          <w:u w:val="none"/>
        </w:rPr>
        <w:t>1.健全消防保障体系</w:t>
      </w:r>
    </w:p>
    <w:p w14:paraId="59C61AF2">
      <w:pPr>
        <w:rPr>
          <w:u w:val="none"/>
        </w:rPr>
      </w:pPr>
      <w:r>
        <w:rPr>
          <w:u w:val="none"/>
        </w:rPr>
        <w:t>按照“预防为主、防消结合”指导方针，根据城市发展需要，消防站、消防给水设施、消防通道、消防通信设施等公共消防设施应与其他城市基础设施统一规划、同步实施，建成陆地、水域、空中“三位一体”覆盖城乡的综合性消防救援保障体系。</w:t>
      </w:r>
    </w:p>
    <w:p w14:paraId="3A5D9C4F">
      <w:pPr>
        <w:rPr>
          <w:u w:val="none"/>
        </w:rPr>
      </w:pPr>
      <w:r>
        <w:rPr>
          <w:u w:val="none"/>
        </w:rPr>
        <w:t>2.消防安全布局</w:t>
      </w:r>
    </w:p>
    <w:p w14:paraId="45BD5A05">
      <w:pPr>
        <w:rPr>
          <w:u w:val="none"/>
        </w:rPr>
      </w:pPr>
      <w:r>
        <w:rPr>
          <w:u w:val="none"/>
        </w:rPr>
        <w:t>生产、储存和装卸易燃易爆危险品的工厂、仓库和专用车站、码头，必须设置在城市的边缘或相对独立的安全地带。易燃易爆气体和液体的充装站、供应站、调压站，应当设置在合理的位置，符合防火防爆要求。将易燃棚户区纳入旧区改造规划，积极改善防火条件，拆除阻塞道路的院墙，保证消防道路畅通。</w:t>
      </w:r>
    </w:p>
    <w:p w14:paraId="3E36CC32">
      <w:pPr>
        <w:rPr>
          <w:u w:val="none"/>
        </w:rPr>
      </w:pPr>
      <w:r>
        <w:rPr>
          <w:u w:val="none"/>
        </w:rPr>
        <w:t>3.消防站布局</w:t>
      </w:r>
    </w:p>
    <w:p w14:paraId="35861FEE">
      <w:pPr>
        <w:rPr>
          <w:u w:val="none"/>
        </w:rPr>
      </w:pPr>
      <w:r>
        <w:rPr>
          <w:u w:val="none"/>
        </w:rPr>
        <w:t>中心城区消防站</w:t>
      </w:r>
      <w:r>
        <w:rPr>
          <w:rFonts w:hint="eastAsia"/>
          <w:u w:val="none"/>
        </w:rPr>
        <w:t>按照</w:t>
      </w:r>
      <w:r>
        <w:rPr>
          <w:u w:val="none"/>
        </w:rPr>
        <w:t>接到报警5分钟内可以达到责任区边缘布置，每个消防站责任区面积4～7平方公里。规划至2035年，中心城区保留现有消防站并升级改造，新建2座一级消防站。保留八五六农场、八五八农场、八五</w:t>
      </w:r>
      <w:r>
        <w:rPr>
          <w:rFonts w:hint="eastAsia" w:ascii="宋体" w:hAnsi="宋体" w:eastAsia="宋体" w:cs="宋体"/>
          <w:u w:val="none"/>
        </w:rPr>
        <w:t>〇</w:t>
      </w:r>
      <w:r>
        <w:rPr>
          <w:u w:val="none"/>
        </w:rPr>
        <w:t>农场、八五四农场、云山农场、庆丰农场司，东方红林业局、迎春林业局现有消防站并升级改造，各乡镇按照小型消防站标准新建或升级改造。城市、乡镇按照标准“应建尽建”专职消防队，鼓励重点镇参照《城市消防站建设标准》建队；乡镇、农村按标准建立志愿消防队，街道、社区全面普及微型消防站，提高初起火灾扑救能力。</w:t>
      </w:r>
    </w:p>
    <w:p w14:paraId="1BBF49A1">
      <w:pPr>
        <w:rPr>
          <w:u w:val="none"/>
        </w:rPr>
      </w:pPr>
      <w:r>
        <w:rPr>
          <w:u w:val="none"/>
        </w:rPr>
        <w:t>4.消防车通道</w:t>
      </w:r>
    </w:p>
    <w:p w14:paraId="26884644">
      <w:pPr>
        <w:rPr>
          <w:u w:val="none"/>
        </w:rPr>
      </w:pPr>
      <w:r>
        <w:rPr>
          <w:u w:val="none"/>
        </w:rPr>
        <w:t>结合城市基础设施改造、老旧小区改造和城中村改造等，打通消防车通道，提高消防车辆通行能力。对现有森防应急道路进行升级改造，提高其通行能力，并新建防火公路系统，提高防火应急道路路网密度。</w:t>
      </w:r>
    </w:p>
    <w:p w14:paraId="21A0EC63">
      <w:pPr>
        <w:rPr>
          <w:u w:val="none"/>
        </w:rPr>
      </w:pPr>
      <w:r>
        <w:rPr>
          <w:u w:val="none"/>
        </w:rPr>
        <w:t>5.消防给水</w:t>
      </w:r>
    </w:p>
    <w:p w14:paraId="148F622F">
      <w:pPr>
        <w:rPr>
          <w:u w:val="none"/>
        </w:rPr>
      </w:pPr>
      <w:r>
        <w:rPr>
          <w:u w:val="none"/>
        </w:rPr>
        <w:t>规划中心城区消防供水主要以城市自来水为水源，采用生活</w:t>
      </w:r>
      <w:r>
        <w:rPr>
          <w:rFonts w:hint="eastAsia"/>
          <w:u w:val="none"/>
        </w:rPr>
        <w:t>—</w:t>
      </w:r>
      <w:r>
        <w:rPr>
          <w:u w:val="none"/>
        </w:rPr>
        <w:t>消防统一供水系统，消防采用低压制，要求市政供水管网实现环网供水，城市主次干道消防给水管道的管径应不小于DN200。</w:t>
      </w:r>
    </w:p>
    <w:p w14:paraId="76531144">
      <w:pPr>
        <w:rPr>
          <w:u w:val="none"/>
        </w:rPr>
      </w:pPr>
      <w:r>
        <w:rPr>
          <w:u w:val="none"/>
        </w:rPr>
        <w:t>6.消防指挥中心</w:t>
      </w:r>
    </w:p>
    <w:p w14:paraId="2EC1F171">
      <w:pPr>
        <w:rPr>
          <w:u w:val="none"/>
        </w:rPr>
      </w:pPr>
      <w:r>
        <w:rPr>
          <w:u w:val="none"/>
        </w:rPr>
        <w:t>设置消防指挥中心，负责接收火警报告、人员和车辆调度、火场指挥和通讯联系等。完善公安机关“三台合一”接出警系统，实现由计算机、有线、无线通信、图像传输等先进的技术装备组成的消防通信网络。提高消防通信装备系统的科学化自动化程度。</w:t>
      </w:r>
    </w:p>
    <w:p w14:paraId="03C4038E">
      <w:pPr>
        <w:pStyle w:val="5"/>
        <w:spacing w:before="120" w:after="120"/>
        <w:rPr>
          <w:snapToGrid w:val="0"/>
        </w:rPr>
      </w:pPr>
      <w:r>
        <w:rPr>
          <w:snapToGrid w:val="0"/>
        </w:rPr>
        <w:t>第</w:t>
      </w:r>
      <w:r>
        <w:rPr>
          <w:rFonts w:hint="eastAsia"/>
          <w:snapToGrid w:val="0"/>
        </w:rPr>
        <w:t>16</w:t>
      </w:r>
      <w:r>
        <w:rPr>
          <w:rFonts w:hint="eastAsia"/>
          <w:snapToGrid w:val="0"/>
          <w:lang w:val="en-US" w:eastAsia="zh-CN"/>
        </w:rPr>
        <w:t>2</w:t>
      </w:r>
      <w:r>
        <w:rPr>
          <w:snapToGrid w:val="0"/>
        </w:rPr>
        <w:t>条 森林消防设施布局</w:t>
      </w:r>
    </w:p>
    <w:p w14:paraId="1793677E">
      <w:pPr>
        <w:rPr>
          <w:u w:val="none"/>
        </w:rPr>
      </w:pPr>
      <w:r>
        <w:rPr>
          <w:u w:val="none"/>
        </w:rPr>
        <w:t>建立完善的森林消防体系。健全完善森林火险预警预测、火场通信和信息指挥系统，重点区域火情</w:t>
      </w:r>
      <w:r>
        <w:rPr>
          <w:rFonts w:hint="eastAsia" w:ascii="宋体" w:hAnsi="宋体" w:eastAsia="宋体" w:cs="宋体"/>
          <w:u w:val="none"/>
        </w:rPr>
        <w:t>瞭</w:t>
      </w:r>
      <w:r>
        <w:rPr>
          <w:rFonts w:hint="eastAsia" w:ascii="仿宋_GB2312" w:hAnsi="仿宋_GB2312" w:cs="仿宋_GB2312"/>
          <w:u w:val="none"/>
        </w:rPr>
        <w:t>望覆盖率达到</w:t>
      </w:r>
      <w:r>
        <w:rPr>
          <w:u w:val="none"/>
        </w:rPr>
        <w:t>95%以上，实现重点区域火场通信覆盖率95%以上；加强森林消防队伍专业化和森林航空消防能力建设，实现专业队伍标准化建设，森林防火专业队伍配备率达到100%，全市森林航空消防覆盖率90%；积极推进重点区域森林防火应急道路和林火阻隔系统建设；完善防火物资储备库建设。</w:t>
      </w:r>
    </w:p>
    <w:p w14:paraId="51807EF5">
      <w:pPr>
        <w:pStyle w:val="5"/>
        <w:spacing w:before="120" w:after="120"/>
        <w:rPr>
          <w:snapToGrid w:val="0"/>
        </w:rPr>
      </w:pPr>
      <w:r>
        <w:rPr>
          <w:snapToGrid w:val="0"/>
        </w:rPr>
        <w:t>第</w:t>
      </w:r>
      <w:r>
        <w:rPr>
          <w:rFonts w:hint="eastAsia"/>
          <w:snapToGrid w:val="0"/>
        </w:rPr>
        <w:t>16</w:t>
      </w:r>
      <w:r>
        <w:rPr>
          <w:rFonts w:hint="eastAsia"/>
          <w:snapToGrid w:val="0"/>
          <w:lang w:val="en-US" w:eastAsia="zh-CN"/>
        </w:rPr>
        <w:t>3</w:t>
      </w:r>
      <w:r>
        <w:rPr>
          <w:snapToGrid w:val="0"/>
        </w:rPr>
        <w:t>条 人防设施布局</w:t>
      </w:r>
    </w:p>
    <w:p w14:paraId="12BFC710">
      <w:pPr>
        <w:rPr>
          <w:u w:val="none"/>
        </w:rPr>
      </w:pPr>
      <w:r>
        <w:rPr>
          <w:u w:val="none"/>
        </w:rPr>
        <w:t>1.人防工程体系建设</w:t>
      </w:r>
    </w:p>
    <w:p w14:paraId="5C221C8D">
      <w:pPr>
        <w:rPr>
          <w:u w:val="none"/>
        </w:rPr>
      </w:pPr>
      <w:r>
        <w:rPr>
          <w:u w:val="none"/>
        </w:rPr>
        <w:t>遵循“平战结合、统筹兼顾、因地制宜、注重实效”的原则，制定人防规划，纳入国土空间规划。结合城市发展，同步建设人民防空设施，进一步加强人防指挥工程、医疗救护和物资储备专用工程、人员掩蔽工程和疏散干道工程、专业队工程建设，建成布局合理、种类齐全、功能配套、连片成网、数量充裕的人防工程体系和点、线、面相结合的整体格局。</w:t>
      </w:r>
    </w:p>
    <w:p w14:paraId="63E8646D">
      <w:pPr>
        <w:rPr>
          <w:u w:val="none"/>
        </w:rPr>
      </w:pPr>
      <w:r>
        <w:rPr>
          <w:u w:val="none"/>
        </w:rPr>
        <w:t>2.人防建设与城市建设同步</w:t>
      </w:r>
    </w:p>
    <w:p w14:paraId="49E6CFC0">
      <w:pPr>
        <w:rPr>
          <w:u w:val="none"/>
        </w:rPr>
      </w:pPr>
      <w:r>
        <w:rPr>
          <w:u w:val="none"/>
        </w:rPr>
        <w:t>结合行政办公设施、商业金融设施等公共服务设施用地和居住用地配建人防工程，地下综合体、地下空间的开发建设应兼顾人防要求。以繁华商业街、规划停车场、规划广场等区域的地下综合体为骨架，以防空地下室、地下生命线工程等人民防空工程为主体，形成局部支道连通，再以社区为单位相连成片，形成点片相连、干支相通、防护可靠、功能完善、平战结合的地下防空交通干（支）道网络体系。</w:t>
      </w:r>
    </w:p>
    <w:p w14:paraId="0BE12994">
      <w:pPr>
        <w:rPr>
          <w:u w:val="none"/>
        </w:rPr>
      </w:pPr>
      <w:r>
        <w:rPr>
          <w:u w:val="none"/>
        </w:rPr>
        <w:t>3.人防工程布局要求</w:t>
      </w:r>
    </w:p>
    <w:p w14:paraId="509C0CCF">
      <w:pPr>
        <w:rPr>
          <w:u w:val="none"/>
        </w:rPr>
      </w:pPr>
      <w:r>
        <w:rPr>
          <w:u w:val="none"/>
        </w:rPr>
        <w:t>人民防空工程中的指挥工程应注重伪装、隐蔽。对于医疗救护工程和防空专业队工程，主要在规划布局上满足所保障区域的需要；对于人员掩蔽工程，主要是以结合民用建筑建设为主，以单建式大型人民防空工程为补充，工程布局与人口密度相适应。</w:t>
      </w:r>
    </w:p>
    <w:p w14:paraId="2B9895A9">
      <w:pPr>
        <w:rPr>
          <w:u w:val="none"/>
        </w:rPr>
      </w:pPr>
      <w:r>
        <w:rPr>
          <w:u w:val="none"/>
        </w:rPr>
        <w:t>4.人防工程注重平战结合</w:t>
      </w:r>
    </w:p>
    <w:p w14:paraId="3206D88E">
      <w:pPr>
        <w:rPr>
          <w:u w:val="none"/>
        </w:rPr>
      </w:pPr>
      <w:r>
        <w:rPr>
          <w:u w:val="none"/>
        </w:rPr>
        <w:t>在考虑战时功能的同时注重平战结合，人民防空工程的平时功能应以完善城市功能为目的。行政办公设施下的人民防空工程平时宜作为停车场使用；商业金融设施下的人民防空工程，平时宜作为商场、餐饮、娱乐或停车等使用；工业设施下的人民防空工程平时宜作为物资库使用；居住设施下的人民防空工程，平时宜作为车库或物资库使用；交通主干道或交通枢纽部位的人防通道，平时可作为商业街或地下过街道使用，做到平战结合。</w:t>
      </w:r>
    </w:p>
    <w:p w14:paraId="60B11E2A">
      <w:pPr>
        <w:rPr>
          <w:u w:val="none"/>
        </w:rPr>
      </w:pPr>
    </w:p>
    <w:p w14:paraId="134439AB">
      <w:pPr>
        <w:rPr>
          <w:u w:val="none"/>
        </w:rPr>
      </w:pPr>
      <w:r>
        <w:rPr>
          <w:u w:val="none"/>
        </w:rPr>
        <w:t>5.合理规划人防疏散场地</w:t>
      </w:r>
    </w:p>
    <w:p w14:paraId="1737FCD7">
      <w:pPr>
        <w:rPr>
          <w:u w:val="none"/>
        </w:rPr>
      </w:pPr>
      <w:r>
        <w:rPr>
          <w:u w:val="none"/>
        </w:rPr>
        <w:t>利用城市主干路与对外交通干线作为战时人防物资运输和居民疏散的交通线，规划城市公园、绿地、运动场、停车场、学校等为人防疏散场地。</w:t>
      </w:r>
    </w:p>
    <w:p w14:paraId="6E4E2BE5">
      <w:pPr>
        <w:pStyle w:val="5"/>
        <w:spacing w:before="120" w:after="120"/>
        <w:rPr>
          <w:snapToGrid w:val="0"/>
        </w:rPr>
      </w:pPr>
      <w:r>
        <w:rPr>
          <w:snapToGrid w:val="0"/>
        </w:rPr>
        <w:t>第</w:t>
      </w:r>
      <w:r>
        <w:rPr>
          <w:rFonts w:hint="eastAsia"/>
          <w:snapToGrid w:val="0"/>
        </w:rPr>
        <w:t>16</w:t>
      </w:r>
      <w:r>
        <w:rPr>
          <w:rFonts w:hint="eastAsia"/>
          <w:snapToGrid w:val="0"/>
          <w:lang w:val="en-US" w:eastAsia="zh-CN"/>
        </w:rPr>
        <w:t>4</w:t>
      </w:r>
      <w:r>
        <w:rPr>
          <w:snapToGrid w:val="0"/>
        </w:rPr>
        <w:t>条 抗震设施布局</w:t>
      </w:r>
    </w:p>
    <w:p w14:paraId="0CE027BD">
      <w:pPr>
        <w:rPr>
          <w:u w:val="none"/>
        </w:rPr>
      </w:pPr>
      <w:r>
        <w:rPr>
          <w:u w:val="none"/>
        </w:rPr>
        <w:t>虎林市域所有乡镇地震峰值加速度0.05g，为抗震设防烈度为Ⅵ度区，所有新建工程必须严格执行规定的抗震设计规范，生命线工程提高设防标准。</w:t>
      </w:r>
    </w:p>
    <w:p w14:paraId="57B22153">
      <w:pPr>
        <w:rPr>
          <w:u w:val="none"/>
        </w:rPr>
      </w:pPr>
      <w:r>
        <w:rPr>
          <w:u w:val="none"/>
        </w:rPr>
        <w:t>规划布局时应考虑抗震因素，城镇建设应避开塌陷、断裂带等地区及软土和液化土层地带。城镇建设用地应选择利用抗震性能比较好的场地，尽量避免在坑塘、湿地等不利地段建设，如必须建设时应采取抗震处理措施。重大工程通过地震安全性评价确定其设防标准；新建工程应按抗震设防要求设计施工；重点开发建设的工程及重要工程必须进行抗震审查、方案论证及工程验收，必须达到地震安全性评价要求。</w:t>
      </w:r>
    </w:p>
    <w:p w14:paraId="640629D3">
      <w:pPr>
        <w:rPr>
          <w:u w:val="none"/>
        </w:rPr>
      </w:pPr>
      <w:r>
        <w:rPr>
          <w:u w:val="none"/>
        </w:rPr>
        <w:t>规划城镇中的公园、绿地、广场、中小学的操场等空旷场地为避震疏散场地，在城镇公共绿地、公园等用地规划布局时，应考虑避震疏散功能。依托社区生活圈构建分布式、全覆盖的防灾、疏散、安全救援管理单元。各城镇、街道及居委（村）室内外应急避护场所的服务覆盖率达到100％。</w:t>
      </w:r>
    </w:p>
    <w:p w14:paraId="62E801D5">
      <w:pPr>
        <w:rPr>
          <w:u w:val="none"/>
        </w:rPr>
      </w:pPr>
      <w:r>
        <w:rPr>
          <w:u w:val="none"/>
        </w:rPr>
        <w:t>5.疏散通道</w:t>
      </w:r>
    </w:p>
    <w:p w14:paraId="7A82BA3F">
      <w:pPr>
        <w:rPr>
          <w:u w:val="none"/>
        </w:rPr>
      </w:pPr>
      <w:r>
        <w:rPr>
          <w:u w:val="none"/>
        </w:rPr>
        <w:t>规划高速公路、铁路、城市主要道路作为人员疏散和物资运输的主要救援通道，将疏散救援道路分为疏散救援主干道、疏散救援次干道和疏散通道三级，通向城区内疏散场地和郊外旷地，并通向长途交通设施。</w:t>
      </w:r>
    </w:p>
    <w:p w14:paraId="50938433">
      <w:pPr>
        <w:rPr>
          <w:u w:val="none"/>
        </w:rPr>
      </w:pPr>
      <w:r>
        <w:rPr>
          <w:u w:val="none"/>
        </w:rPr>
        <w:t>6.生命线工程</w:t>
      </w:r>
    </w:p>
    <w:p w14:paraId="79761C2E">
      <w:pPr>
        <w:rPr>
          <w:u w:val="none"/>
        </w:rPr>
      </w:pPr>
      <w:r>
        <w:rPr>
          <w:u w:val="none"/>
        </w:rPr>
        <w:t>对道路交通、通讯、供水供电、供煤气、热力、医疗卫生、粮食、消防、公安、广播电视、县政府、对外交通等生命线工程要制定抗震应急措施，在灾害发生时保障各生命线系统正常。</w:t>
      </w:r>
    </w:p>
    <w:p w14:paraId="5BB5BAEE">
      <w:pPr>
        <w:rPr>
          <w:u w:val="none"/>
        </w:rPr>
      </w:pPr>
      <w:r>
        <w:rPr>
          <w:u w:val="none"/>
        </w:rPr>
        <w:t>7.地震监测</w:t>
      </w:r>
    </w:p>
    <w:p w14:paraId="556E0D07">
      <w:pPr>
        <w:rPr>
          <w:u w:val="none"/>
        </w:rPr>
      </w:pPr>
      <w:r>
        <w:rPr>
          <w:u w:val="none"/>
        </w:rPr>
        <w:t>加强地震监测设施与其所需监测环境的保护，继续开展活动性地震断裂带及地下隐伏断层的探测和抗震小区的区划工作，不断加强抗震设防管理工作。</w:t>
      </w:r>
    </w:p>
    <w:p w14:paraId="0C194EF2">
      <w:pPr>
        <w:pStyle w:val="5"/>
        <w:spacing w:before="120" w:after="120"/>
        <w:rPr>
          <w:snapToGrid w:val="0"/>
        </w:rPr>
      </w:pPr>
      <w:r>
        <w:rPr>
          <w:snapToGrid w:val="0"/>
        </w:rPr>
        <w:t>第</w:t>
      </w:r>
      <w:r>
        <w:rPr>
          <w:rFonts w:hint="eastAsia"/>
          <w:snapToGrid w:val="0"/>
        </w:rPr>
        <w:t>16</w:t>
      </w:r>
      <w:r>
        <w:rPr>
          <w:rFonts w:hint="eastAsia"/>
          <w:snapToGrid w:val="0"/>
          <w:lang w:val="en-US" w:eastAsia="zh-CN"/>
        </w:rPr>
        <w:t>5</w:t>
      </w:r>
      <w:r>
        <w:rPr>
          <w:snapToGrid w:val="0"/>
        </w:rPr>
        <w:t>条 地质灾害防治工程布局</w:t>
      </w:r>
    </w:p>
    <w:p w14:paraId="16E21E39">
      <w:pPr>
        <w:rPr>
          <w:u w:val="none"/>
        </w:rPr>
      </w:pPr>
      <w:r>
        <w:rPr>
          <w:u w:val="none"/>
        </w:rPr>
        <w:t>根据市域已发生地质灾害及地质灾害隐患点的规模和危害性，全面建成系统完善的地质灾害调查评价、监测预警、综合治理、应急四大体系工作。完善提升以市</w:t>
      </w:r>
      <w:r>
        <w:rPr>
          <w:rFonts w:hint="eastAsia"/>
          <w:u w:val="none"/>
        </w:rPr>
        <w:t>—</w:t>
      </w:r>
      <w:r>
        <w:rPr>
          <w:u w:val="none"/>
        </w:rPr>
        <w:t>镇（乡）</w:t>
      </w:r>
      <w:r>
        <w:rPr>
          <w:rFonts w:hint="eastAsia"/>
          <w:u w:val="none"/>
        </w:rPr>
        <w:t>—</w:t>
      </w:r>
      <w:r>
        <w:rPr>
          <w:u w:val="none"/>
        </w:rPr>
        <w:t>村（屯）三级为基础的群专结合监测网络，基本完成已发现的威胁人员密集区重大地质灾害隐患的工程治理。全面提升基层地质灾害防治能力，显著减缓地质灾害风险，最大限度避免和减少人员伤亡及财产损失，尽心尽力维护群众权益。</w:t>
      </w:r>
    </w:p>
    <w:p w14:paraId="3F919346">
      <w:pPr>
        <w:pStyle w:val="5"/>
        <w:spacing w:before="120" w:after="120"/>
        <w:rPr>
          <w:snapToGrid w:val="0"/>
        </w:rPr>
      </w:pPr>
      <w:r>
        <w:rPr>
          <w:snapToGrid w:val="0"/>
        </w:rPr>
        <w:t>第</w:t>
      </w:r>
      <w:r>
        <w:rPr>
          <w:rFonts w:hint="eastAsia"/>
          <w:snapToGrid w:val="0"/>
        </w:rPr>
        <w:t>16</w:t>
      </w:r>
      <w:r>
        <w:rPr>
          <w:rFonts w:hint="eastAsia"/>
          <w:snapToGrid w:val="0"/>
          <w:lang w:val="en-US" w:eastAsia="zh-CN"/>
        </w:rPr>
        <w:t>6</w:t>
      </w:r>
      <w:r>
        <w:rPr>
          <w:snapToGrid w:val="0"/>
        </w:rPr>
        <w:t>条 气象灾害防御设施布局</w:t>
      </w:r>
    </w:p>
    <w:p w14:paraId="37875534">
      <w:pPr>
        <w:rPr>
          <w:u w:val="none"/>
        </w:rPr>
      </w:pPr>
      <w:r>
        <w:rPr>
          <w:u w:val="none"/>
        </w:rPr>
        <w:t>加强对气象灾害的防御措施，建立和完善气候变化的评估和预警系统，完善暴雨洪涝大风和冰雹等监测系统。加强防汛抗旱、城市防洪、人工影响天气、防雷减灾、应急避险、通信保障和应急保障等工程性措施的建设，切实增强各部门防御气象灾害的能力。重视对公众的防灾减灾宣传教育，提高大众防灾、避灾、躲灾意识，最大限度减轻气象灾害造成的经济损失和社会不利影响。</w:t>
      </w:r>
    </w:p>
    <w:p w14:paraId="04BCB339">
      <w:pPr>
        <w:pStyle w:val="5"/>
        <w:spacing w:before="120" w:after="120"/>
        <w:rPr>
          <w:snapToGrid w:val="0"/>
        </w:rPr>
      </w:pPr>
      <w:r>
        <w:rPr>
          <w:snapToGrid w:val="0"/>
        </w:rPr>
        <w:t>第</w:t>
      </w:r>
      <w:r>
        <w:rPr>
          <w:rFonts w:hint="eastAsia"/>
          <w:snapToGrid w:val="0"/>
        </w:rPr>
        <w:t>16</w:t>
      </w:r>
      <w:r>
        <w:rPr>
          <w:rFonts w:hint="eastAsia"/>
          <w:snapToGrid w:val="0"/>
          <w:lang w:val="en-US" w:eastAsia="zh-CN"/>
        </w:rPr>
        <w:t>7</w:t>
      </w:r>
      <w:r>
        <w:rPr>
          <w:snapToGrid w:val="0"/>
        </w:rPr>
        <w:t>条 防疫设施布局</w:t>
      </w:r>
    </w:p>
    <w:p w14:paraId="4983C41B">
      <w:pPr>
        <w:rPr>
          <w:u w:val="none"/>
        </w:rPr>
      </w:pPr>
      <w:r>
        <w:rPr>
          <w:u w:val="none"/>
        </w:rPr>
        <w:t>建立市、乡镇、村3个层级的防控体系，搭建应急联合防控网络，设置传染病相关公共卫生用地和应急疫情防控用地，提出用地布局上的“战略留白”。乡镇（社区）形成独立的疫情隔离单元，有效配备健康信息工作站、医疗救助站、物资发放站及小规模隔离区等。</w:t>
      </w:r>
    </w:p>
    <w:p w14:paraId="1DD64C8B">
      <w:pPr>
        <w:pStyle w:val="4"/>
        <w:widowControl w:val="0"/>
        <w:snapToGrid/>
        <w:spacing w:before="120" w:beforeLines="50" w:after="120" w:afterLines="50" w:line="600" w:lineRule="exact"/>
        <w:ind w:firstLine="0" w:firstLineChars="0"/>
        <w:rPr>
          <w:b w:val="0"/>
          <w:bCs w:val="0"/>
          <w:color w:val="auto"/>
          <w:u w:val="none"/>
        </w:rPr>
      </w:pPr>
      <w:bookmarkStart w:id="501" w:name="_Toc181784482"/>
      <w:bookmarkStart w:id="502" w:name="_Toc952"/>
      <w:bookmarkStart w:id="503" w:name="_Toc181784692"/>
      <w:bookmarkStart w:id="504" w:name="_Toc22473"/>
      <w:bookmarkStart w:id="505" w:name="_Toc181784622"/>
      <w:r>
        <w:rPr>
          <w:rFonts w:hint="eastAsia"/>
          <w:b w:val="0"/>
          <w:bCs w:val="0"/>
          <w:color w:val="auto"/>
          <w:u w:val="none"/>
        </w:rPr>
        <w:t>第六节 全面提升基础设施建设空间支撑水平</w:t>
      </w:r>
      <w:bookmarkEnd w:id="501"/>
      <w:bookmarkEnd w:id="502"/>
      <w:bookmarkEnd w:id="503"/>
      <w:bookmarkEnd w:id="504"/>
      <w:bookmarkEnd w:id="505"/>
    </w:p>
    <w:p w14:paraId="07FE07BC">
      <w:pPr>
        <w:pStyle w:val="5"/>
        <w:spacing w:before="120" w:after="120"/>
        <w:rPr>
          <w:snapToGrid w:val="0"/>
        </w:rPr>
      </w:pPr>
      <w:r>
        <w:rPr>
          <w:snapToGrid w:val="0"/>
        </w:rPr>
        <w:t>第</w:t>
      </w:r>
      <w:r>
        <w:rPr>
          <w:rFonts w:hint="eastAsia"/>
          <w:snapToGrid w:val="0"/>
        </w:rPr>
        <w:t>16</w:t>
      </w:r>
      <w:r>
        <w:rPr>
          <w:rFonts w:hint="eastAsia"/>
          <w:snapToGrid w:val="0"/>
          <w:lang w:val="en-US" w:eastAsia="zh-CN"/>
        </w:rPr>
        <w:t>8</w:t>
      </w:r>
      <w:r>
        <w:rPr>
          <w:snapToGrid w:val="0"/>
        </w:rPr>
        <w:t>条 智慧城市建设</w:t>
      </w:r>
    </w:p>
    <w:p w14:paraId="3CBEEDFE">
      <w:pPr>
        <w:rPr>
          <w:u w:val="none"/>
          <w:lang w:val="zh-CN"/>
        </w:rPr>
      </w:pPr>
      <w:r>
        <w:rPr>
          <w:u w:val="none"/>
        </w:rPr>
        <w:t>智慧城市总体规划目标：一是体现智慧城市管理与民生服务的目标和功能；二是信息化技术与城市管理及服务任务结合与应用创新；三是通过知识体系和建设体系构建智慧城市总体框架；四是通过总体规划确定智慧城市建设指标和成果评估要求。</w:t>
      </w:r>
    </w:p>
    <w:p w14:paraId="5C7EE1EB">
      <w:pPr>
        <w:rPr>
          <w:u w:val="none"/>
        </w:rPr>
      </w:pPr>
      <w:r>
        <w:rPr>
          <w:u w:val="none"/>
        </w:rPr>
        <w:t>规划承接省市智慧平台建设和技术转移，推动云计算、大数据、物联网、5G、地理空间信息集成等新一代技术在城市发展各领域深度融合，实现城市安全状态实时化、可视化以及城市管理决策与服务协同化、智能化。大力发展智慧农业、智慧交通、智慧养老等新产业新模式。推进人工智能、大数据等新技术在各领域广泛应用，逐步实现由人控向技控转变。推动虎林经济社会发展向数字化全面转型。</w:t>
      </w:r>
    </w:p>
    <w:p w14:paraId="6CDA2F32">
      <w:pPr>
        <w:pStyle w:val="5"/>
        <w:spacing w:before="120" w:after="120"/>
        <w:rPr>
          <w:snapToGrid w:val="0"/>
        </w:rPr>
      </w:pPr>
      <w:r>
        <w:rPr>
          <w:snapToGrid w:val="0"/>
        </w:rPr>
        <w:t>第</w:t>
      </w:r>
      <w:r>
        <w:rPr>
          <w:rFonts w:hint="eastAsia"/>
          <w:snapToGrid w:val="0"/>
        </w:rPr>
        <w:t>16</w:t>
      </w:r>
      <w:r>
        <w:rPr>
          <w:rFonts w:hint="eastAsia"/>
          <w:snapToGrid w:val="0"/>
          <w:lang w:val="en-US" w:eastAsia="zh-CN"/>
        </w:rPr>
        <w:t>9</w:t>
      </w:r>
      <w:r>
        <w:rPr>
          <w:snapToGrid w:val="0"/>
        </w:rPr>
        <w:t>条 邻避设施布局</w:t>
      </w:r>
    </w:p>
    <w:p w14:paraId="34874372">
      <w:pPr>
        <w:rPr>
          <w:rFonts w:ascii="宋体" w:hAnsi="宋体" w:eastAsia="宋体" w:cs="宋体"/>
          <w:u w:val="none"/>
        </w:rPr>
      </w:pPr>
      <w:r>
        <w:rPr>
          <w:u w:val="none"/>
        </w:rPr>
        <w:t>协调安排污水处理、垃圾焚烧厂、化工、殡葬等邻避设施布局，消减邻避设施的负外部特性，健全邻避问题防范与化解机制。加强邻避设施集中化、地下化建设，以及外立面美化，减少对周边的影响。加强邻避设施周边小区增加公园、广场、商业设施等有针对性的功能补偿。污水处理设施应坚持一市一镇一策和集中式与分散式相结合的方式，将距离城镇较近的镇（乡）尽量纳入城市污水处理厂，并以厂（站）建设为主要方式建设重点镇污水处理设施。垃圾焚烧厂的选址应避免选择在生态资源、地面水系、文化遗址、风景区等敏感区域。对化工、油气仓储企业及油气长输管线等周边区域实施严格安全防护管理，禁止在安全防护距离内布局商业、居住、公共服务等设施，严禁在干流及一级支流沿岸1公里范围内布局化工园区。殡葬基础设施建设应合理利用历史形成的墓葬点和荒山荒地及不宜耕种的瘠地，充分考虑殡葬设施服务半径和人数，避免重复建设。</w:t>
      </w:r>
    </w:p>
    <w:p w14:paraId="13E30E2B">
      <w:pPr>
        <w:rPr>
          <w:u w:val="none"/>
        </w:rPr>
      </w:pPr>
    </w:p>
    <w:p w14:paraId="09405246">
      <w:pPr>
        <w:pStyle w:val="24"/>
        <w:ind w:firstLine="240"/>
        <w:rPr>
          <w:u w:val="none"/>
        </w:rPr>
      </w:pPr>
    </w:p>
    <w:p w14:paraId="402C1461">
      <w:pPr>
        <w:pStyle w:val="24"/>
        <w:ind w:firstLine="240"/>
        <w:rPr>
          <w:u w:val="none"/>
        </w:rPr>
      </w:pPr>
    </w:p>
    <w:p w14:paraId="6A561BDB">
      <w:pPr>
        <w:pStyle w:val="24"/>
        <w:ind w:firstLine="240"/>
        <w:rPr>
          <w:u w:val="none"/>
        </w:rPr>
      </w:pPr>
    </w:p>
    <w:p w14:paraId="5C774B7C">
      <w:pPr>
        <w:pStyle w:val="24"/>
        <w:ind w:firstLine="240"/>
        <w:rPr>
          <w:u w:val="none"/>
        </w:rPr>
      </w:pPr>
    </w:p>
    <w:p w14:paraId="5701FE1E">
      <w:pPr>
        <w:pStyle w:val="24"/>
        <w:ind w:firstLine="240"/>
        <w:rPr>
          <w:u w:val="none"/>
        </w:rPr>
      </w:pPr>
    </w:p>
    <w:p w14:paraId="2279B2A7">
      <w:pPr>
        <w:pStyle w:val="24"/>
        <w:ind w:firstLine="240"/>
        <w:rPr>
          <w:u w:val="none"/>
        </w:rPr>
      </w:pPr>
    </w:p>
    <w:p w14:paraId="28902A08">
      <w:pPr>
        <w:pStyle w:val="24"/>
        <w:ind w:firstLine="240"/>
        <w:rPr>
          <w:u w:val="none"/>
        </w:rPr>
      </w:pPr>
    </w:p>
    <w:p w14:paraId="1307CB02">
      <w:pPr>
        <w:pStyle w:val="3"/>
        <w:widowControl w:val="0"/>
        <w:snapToGrid/>
        <w:spacing w:before="10" w:after="10" w:line="600" w:lineRule="exact"/>
        <w:ind w:firstLine="0" w:firstLineChars="0"/>
        <w:jc w:val="center"/>
        <w:rPr>
          <w:rFonts w:ascii="Times New Roman" w:hAnsi="Times New Roman" w:eastAsia="方正小标宋简体"/>
          <w:b w:val="0"/>
          <w:bCs w:val="0"/>
          <w:color w:val="auto"/>
          <w:sz w:val="36"/>
          <w:u w:val="none"/>
        </w:rPr>
      </w:pPr>
      <w:bookmarkStart w:id="506" w:name="_Toc32070"/>
      <w:bookmarkStart w:id="507" w:name="_Toc181784623"/>
      <w:bookmarkStart w:id="508" w:name="_Toc181784693"/>
      <w:bookmarkStart w:id="509" w:name="_Toc181784483"/>
      <w:r>
        <w:rPr>
          <w:rFonts w:hint="eastAsia" w:ascii="Times New Roman" w:hAnsi="Times New Roman" w:eastAsia="方正小标宋简体"/>
          <w:b w:val="0"/>
          <w:bCs w:val="0"/>
          <w:color w:val="auto"/>
          <w:sz w:val="36"/>
          <w:u w:val="none"/>
        </w:rPr>
        <w:t>第十章 构建多向联动的区域发展格局</w:t>
      </w:r>
      <w:bookmarkEnd w:id="506"/>
      <w:bookmarkEnd w:id="507"/>
      <w:bookmarkEnd w:id="508"/>
      <w:bookmarkEnd w:id="509"/>
    </w:p>
    <w:p w14:paraId="5068C71D">
      <w:pPr>
        <w:pStyle w:val="4"/>
        <w:widowControl w:val="0"/>
        <w:snapToGrid/>
        <w:spacing w:before="120" w:beforeLines="50" w:after="120" w:afterLines="50" w:line="600" w:lineRule="exact"/>
        <w:ind w:firstLine="0" w:firstLineChars="0"/>
        <w:rPr>
          <w:b w:val="0"/>
          <w:bCs w:val="0"/>
          <w:color w:val="auto"/>
          <w:u w:val="none"/>
        </w:rPr>
      </w:pPr>
      <w:bookmarkStart w:id="510" w:name="_Toc181784694"/>
      <w:bookmarkStart w:id="511" w:name="_Toc181784484"/>
      <w:bookmarkStart w:id="512" w:name="_Toc181784624"/>
      <w:bookmarkStart w:id="513" w:name="_Toc25795"/>
      <w:bookmarkStart w:id="514" w:name="_Toc11898"/>
      <w:bookmarkStart w:id="515" w:name="_Toc8023"/>
      <w:bookmarkStart w:id="516" w:name="_Toc5798"/>
      <w:r>
        <w:rPr>
          <w:rFonts w:hint="eastAsia"/>
          <w:b w:val="0"/>
          <w:bCs w:val="0"/>
          <w:color w:val="auto"/>
          <w:u w:val="none"/>
        </w:rPr>
        <w:t>第一节 深化以对俄为重点的对外开放</w:t>
      </w:r>
      <w:bookmarkEnd w:id="510"/>
      <w:bookmarkEnd w:id="511"/>
      <w:bookmarkEnd w:id="512"/>
      <w:bookmarkEnd w:id="513"/>
    </w:p>
    <w:p w14:paraId="0F5AB502">
      <w:pPr>
        <w:pStyle w:val="5"/>
        <w:spacing w:before="120" w:after="120"/>
        <w:rPr>
          <w:snapToGrid w:val="0"/>
        </w:rPr>
      </w:pPr>
      <w:r>
        <w:rPr>
          <w:snapToGrid w:val="0"/>
        </w:rPr>
        <w:t>第</w:t>
      </w:r>
      <w:r>
        <w:rPr>
          <w:rFonts w:hint="eastAsia"/>
          <w:snapToGrid w:val="0"/>
        </w:rPr>
        <w:t>1</w:t>
      </w:r>
      <w:r>
        <w:rPr>
          <w:rFonts w:hint="eastAsia"/>
          <w:snapToGrid w:val="0"/>
          <w:lang w:val="en-US" w:eastAsia="zh-CN"/>
        </w:rPr>
        <w:t>70</w:t>
      </w:r>
      <w:r>
        <w:rPr>
          <w:snapToGrid w:val="0"/>
        </w:rPr>
        <w:t>条 推动对外开放合作发展</w:t>
      </w:r>
      <w:bookmarkEnd w:id="514"/>
      <w:bookmarkEnd w:id="515"/>
      <w:bookmarkEnd w:id="516"/>
    </w:p>
    <w:p w14:paraId="138110F8">
      <w:pPr>
        <w:rPr>
          <w:u w:val="none"/>
        </w:rPr>
      </w:pPr>
      <w:r>
        <w:rPr>
          <w:u w:val="none"/>
        </w:rPr>
        <w:t>1.推动对俄开发开放建设</w:t>
      </w:r>
    </w:p>
    <w:p w14:paraId="74FB231B">
      <w:pPr>
        <w:rPr>
          <w:u w:val="none"/>
        </w:rPr>
      </w:pPr>
      <w:r>
        <w:rPr>
          <w:u w:val="none"/>
        </w:rPr>
        <w:t>总体推进黑龙江省委提出的构建“黑龙江陆海丝绸之路经济带”的总体设想，主动承接沿边环形产业聚集带重要节点的作用，重点推进绿色食品加工、对俄口岸贸易、国际旅游文化交流发展，通过虎列铁路、俄气管道建设，“醉美331”、吉祥口岸提档升级，拓展合作领域，提升开放功能，实现大通道带动大通关、带动大物流、带动大贸易、带动大合作。</w:t>
      </w:r>
    </w:p>
    <w:p w14:paraId="7DDDB87E">
      <w:pPr>
        <w:rPr>
          <w:u w:val="none"/>
        </w:rPr>
      </w:pPr>
      <w:r>
        <w:rPr>
          <w:u w:val="none"/>
        </w:rPr>
        <w:t>2.推动对俄国际通道建设</w:t>
      </w:r>
    </w:p>
    <w:p w14:paraId="202E1538">
      <w:pPr>
        <w:rPr>
          <w:u w:val="none"/>
        </w:rPr>
      </w:pPr>
      <w:r>
        <w:rPr>
          <w:u w:val="none"/>
        </w:rPr>
        <w:t>推进虎林</w:t>
      </w:r>
      <w:r>
        <w:rPr>
          <w:rFonts w:hint="eastAsia"/>
          <w:u w:val="none"/>
        </w:rPr>
        <w:t>—</w:t>
      </w:r>
      <w:r>
        <w:rPr>
          <w:u w:val="none"/>
        </w:rPr>
        <w:t>吉祥口岸的铁路建设，改善运输条件，强化与俄罗斯列索扎沃茨克的连通，促进与俄罗斯西伯利亚大铁路的连接。同时持续强化虎林铁路口岸功能，推进数字口岸、智慧边检建设，增强虎林对俄桥头堡的职能，推动边境合作的持续深化。</w:t>
      </w:r>
    </w:p>
    <w:p w14:paraId="277EC39A">
      <w:pPr>
        <w:rPr>
          <w:u w:val="none"/>
        </w:rPr>
      </w:pPr>
      <w:r>
        <w:rPr>
          <w:u w:val="none"/>
        </w:rPr>
        <w:t>落实黑龙江省“气化龙江”战略，重点推进以虎林为入境点的国家级干线（即中俄远东线，管道长约595公里）建设，虎林境内拟建设虎林首站、分输站和阀室，规划建设虎林至绥滨支线，将较好</w:t>
      </w:r>
      <w:r>
        <w:rPr>
          <w:rFonts w:hint="eastAsia"/>
          <w:u w:val="none"/>
        </w:rPr>
        <w:t>地</w:t>
      </w:r>
      <w:r>
        <w:rPr>
          <w:u w:val="none"/>
        </w:rPr>
        <w:t>改善虎林市气源单一，供给能力不足的现状。</w:t>
      </w:r>
    </w:p>
    <w:p w14:paraId="1CEA2099">
      <w:pPr>
        <w:pStyle w:val="2"/>
        <w:ind w:firstLine="480"/>
        <w:rPr>
          <w:u w:val="none"/>
        </w:rPr>
      </w:pPr>
    </w:p>
    <w:p w14:paraId="7396AAC0">
      <w:pPr>
        <w:pStyle w:val="4"/>
        <w:widowControl w:val="0"/>
        <w:snapToGrid/>
        <w:spacing w:before="120" w:beforeLines="50" w:after="120" w:afterLines="50" w:line="600" w:lineRule="exact"/>
        <w:ind w:firstLine="0" w:firstLineChars="0"/>
        <w:rPr>
          <w:b w:val="0"/>
          <w:bCs w:val="0"/>
          <w:color w:val="auto"/>
          <w:u w:val="none"/>
        </w:rPr>
      </w:pPr>
      <w:bookmarkStart w:id="517" w:name="_Toc8928"/>
      <w:bookmarkStart w:id="518" w:name="_Toc181784485"/>
      <w:bookmarkStart w:id="519" w:name="_Toc181784695"/>
      <w:bookmarkStart w:id="520" w:name="_Toc181784625"/>
      <w:r>
        <w:rPr>
          <w:rFonts w:hint="eastAsia"/>
          <w:b w:val="0"/>
          <w:bCs w:val="0"/>
          <w:color w:val="auto"/>
          <w:u w:val="none"/>
        </w:rPr>
        <w:t>第二节 积极融入东部城市组团</w:t>
      </w:r>
      <w:bookmarkEnd w:id="517"/>
      <w:bookmarkEnd w:id="518"/>
      <w:bookmarkEnd w:id="519"/>
      <w:bookmarkEnd w:id="520"/>
    </w:p>
    <w:p w14:paraId="6EE6804F">
      <w:pPr>
        <w:pStyle w:val="5"/>
        <w:spacing w:before="120" w:after="120"/>
        <w:rPr>
          <w:snapToGrid w:val="0"/>
        </w:rPr>
      </w:pPr>
      <w:r>
        <w:rPr>
          <w:snapToGrid w:val="0"/>
        </w:rPr>
        <w:t>第1</w:t>
      </w:r>
      <w:r>
        <w:rPr>
          <w:rFonts w:hint="eastAsia"/>
          <w:snapToGrid w:val="0"/>
          <w:lang w:val="en-US" w:eastAsia="zh-CN"/>
        </w:rPr>
        <w:t>71</w:t>
      </w:r>
      <w:r>
        <w:rPr>
          <w:snapToGrid w:val="0"/>
        </w:rPr>
        <w:t>条 区域城镇协同发展</w:t>
      </w:r>
    </w:p>
    <w:p w14:paraId="0E7E2A44">
      <w:pPr>
        <w:rPr>
          <w:u w:val="none"/>
        </w:rPr>
      </w:pPr>
      <w:r>
        <w:rPr>
          <w:u w:val="none"/>
        </w:rPr>
        <w:t>加强</w:t>
      </w:r>
      <w:r>
        <w:rPr>
          <w:rFonts w:hint="eastAsia"/>
          <w:u w:val="none"/>
        </w:rPr>
        <w:t>虎林市</w:t>
      </w:r>
      <w:r>
        <w:rPr>
          <w:u w:val="none"/>
        </w:rPr>
        <w:t>与哈大齐牡发展轴的经济联动，融入哈尔滨</w:t>
      </w:r>
      <w:r>
        <w:rPr>
          <w:rFonts w:hint="eastAsia"/>
          <w:u w:val="none"/>
        </w:rPr>
        <w:t>经济</w:t>
      </w:r>
      <w:r>
        <w:rPr>
          <w:u w:val="none"/>
        </w:rPr>
        <w:t>圈。加入</w:t>
      </w:r>
      <w:r>
        <w:rPr>
          <w:rFonts w:hint="eastAsia"/>
          <w:u w:val="none"/>
        </w:rPr>
        <w:t>醉美331龙江边防公路</w:t>
      </w:r>
      <w:r>
        <w:rPr>
          <w:u w:val="none"/>
        </w:rPr>
        <w:t>为骨架的沿边城镇带，完善区域城镇体系结构，促进人才流动，加快城镇化发展进程。</w:t>
      </w:r>
    </w:p>
    <w:p w14:paraId="1C7111F0">
      <w:pPr>
        <w:pStyle w:val="5"/>
        <w:spacing w:before="120" w:after="120"/>
        <w:rPr>
          <w:snapToGrid w:val="0"/>
        </w:rPr>
      </w:pPr>
      <w:r>
        <w:rPr>
          <w:snapToGrid w:val="0"/>
        </w:rPr>
        <w:t>第1</w:t>
      </w:r>
      <w:r>
        <w:rPr>
          <w:rFonts w:hint="eastAsia"/>
          <w:snapToGrid w:val="0"/>
        </w:rPr>
        <w:t>7</w:t>
      </w:r>
      <w:r>
        <w:rPr>
          <w:rFonts w:hint="eastAsia"/>
          <w:snapToGrid w:val="0"/>
          <w:lang w:val="en-US" w:eastAsia="zh-CN"/>
        </w:rPr>
        <w:t>2</w:t>
      </w:r>
      <w:r>
        <w:rPr>
          <w:snapToGrid w:val="0"/>
        </w:rPr>
        <w:t>条 区域产业协作共建</w:t>
      </w:r>
    </w:p>
    <w:p w14:paraId="76CF6C87">
      <w:pPr>
        <w:rPr>
          <w:u w:val="none"/>
        </w:rPr>
      </w:pPr>
      <w:r>
        <w:rPr>
          <w:u w:val="none"/>
        </w:rPr>
        <w:t>积极融入东部</w:t>
      </w:r>
      <w:r>
        <w:rPr>
          <w:rFonts w:hint="eastAsia"/>
          <w:u w:val="none"/>
        </w:rPr>
        <w:t>城市</w:t>
      </w:r>
      <w:r>
        <w:rPr>
          <w:u w:val="none"/>
        </w:rPr>
        <w:t>组团发展，优化区域经济布局，以佳木斯为枢纽，联动周边的鹤岗、鸡西、七台河和双鸭山，共同构建和推动东部</w:t>
      </w:r>
      <w:r>
        <w:rPr>
          <w:rFonts w:hint="eastAsia"/>
          <w:u w:val="none"/>
        </w:rPr>
        <w:t>城市</w:t>
      </w:r>
      <w:r>
        <w:rPr>
          <w:u w:val="none"/>
        </w:rPr>
        <w:t>组团发展。</w:t>
      </w:r>
      <w:r>
        <w:rPr>
          <w:rFonts w:hint="eastAsia"/>
          <w:u w:val="none"/>
        </w:rPr>
        <w:t>虎林市</w:t>
      </w:r>
      <w:r>
        <w:rPr>
          <w:u w:val="none"/>
        </w:rPr>
        <w:t>做好东部城市组团的</w:t>
      </w:r>
      <w:r>
        <w:rPr>
          <w:rFonts w:hint="eastAsia"/>
          <w:u w:val="none"/>
        </w:rPr>
        <w:t>产业</w:t>
      </w:r>
      <w:r>
        <w:rPr>
          <w:u w:val="none"/>
        </w:rPr>
        <w:t>延伸，推动新兴产业走向高端化、规模化、基地化的可持续发展之路。加快创新驱动，建立科技创新体系，产业园区协同建设。</w:t>
      </w:r>
      <w:bookmarkStart w:id="521" w:name="_Toc181784486"/>
      <w:bookmarkStart w:id="522" w:name="_Toc181784696"/>
      <w:bookmarkStart w:id="523" w:name="_Toc181784626"/>
      <w:bookmarkStart w:id="524" w:name="_Toc21886"/>
    </w:p>
    <w:p w14:paraId="3118DC4E">
      <w:pPr>
        <w:pStyle w:val="2"/>
        <w:rPr>
          <w:rFonts w:hint="eastAsia"/>
        </w:rPr>
      </w:pPr>
    </w:p>
    <w:p w14:paraId="7E28B168">
      <w:pPr>
        <w:rPr>
          <w:rFonts w:hint="eastAsia"/>
        </w:rPr>
      </w:pPr>
    </w:p>
    <w:p w14:paraId="2AED9E8C">
      <w:pPr>
        <w:pStyle w:val="4"/>
        <w:widowControl w:val="0"/>
        <w:snapToGrid/>
        <w:spacing w:before="120" w:beforeLines="50" w:after="120" w:afterLines="50" w:line="600" w:lineRule="exact"/>
        <w:ind w:firstLine="0" w:firstLineChars="0"/>
        <w:rPr>
          <w:b w:val="0"/>
          <w:bCs w:val="0"/>
          <w:color w:val="auto"/>
          <w:u w:val="none"/>
        </w:rPr>
      </w:pPr>
      <w:r>
        <w:rPr>
          <w:rFonts w:hint="eastAsia"/>
          <w:b w:val="0"/>
          <w:bCs w:val="0"/>
          <w:color w:val="auto"/>
          <w:u w:val="none"/>
        </w:rPr>
        <w:t>第三节 加强与周边市县联动发展</w:t>
      </w:r>
      <w:bookmarkEnd w:id="521"/>
      <w:bookmarkEnd w:id="522"/>
      <w:bookmarkEnd w:id="523"/>
      <w:bookmarkEnd w:id="524"/>
    </w:p>
    <w:p w14:paraId="4A456317">
      <w:pPr>
        <w:pStyle w:val="5"/>
        <w:spacing w:before="120" w:after="120"/>
        <w:rPr>
          <w:snapToGrid w:val="0"/>
        </w:rPr>
      </w:pPr>
      <w:bookmarkStart w:id="525" w:name="_Toc17121"/>
      <w:bookmarkStart w:id="526" w:name="_Toc10184"/>
      <w:bookmarkStart w:id="527" w:name="_Toc26200"/>
      <w:r>
        <w:rPr>
          <w:snapToGrid w:val="0"/>
        </w:rPr>
        <w:t>第</w:t>
      </w:r>
      <w:r>
        <w:rPr>
          <w:rFonts w:hint="eastAsia"/>
          <w:snapToGrid w:val="0"/>
        </w:rPr>
        <w:t>17</w:t>
      </w:r>
      <w:r>
        <w:rPr>
          <w:rFonts w:hint="eastAsia"/>
          <w:snapToGrid w:val="0"/>
          <w:lang w:val="en-US" w:eastAsia="zh-CN"/>
        </w:rPr>
        <w:t>3</w:t>
      </w:r>
      <w:r>
        <w:rPr>
          <w:snapToGrid w:val="0"/>
        </w:rPr>
        <w:t>条 加强区域间协同发展</w:t>
      </w:r>
      <w:bookmarkEnd w:id="525"/>
      <w:bookmarkEnd w:id="526"/>
      <w:bookmarkEnd w:id="527"/>
    </w:p>
    <w:p w14:paraId="61EEB90B">
      <w:pPr>
        <w:rPr>
          <w:u w:val="none"/>
        </w:rPr>
      </w:pPr>
      <w:r>
        <w:rPr>
          <w:rFonts w:hint="eastAsia"/>
          <w:u w:val="none"/>
        </w:rPr>
        <w:t>1.</w:t>
      </w:r>
      <w:r>
        <w:rPr>
          <w:u w:val="none"/>
        </w:rPr>
        <w:t>深化与鸡西发展联系</w:t>
      </w:r>
    </w:p>
    <w:p w14:paraId="2CF12ECA">
      <w:pPr>
        <w:rPr>
          <w:u w:val="none"/>
        </w:rPr>
      </w:pPr>
      <w:r>
        <w:rPr>
          <w:u w:val="none"/>
        </w:rPr>
        <w:t>鸡西市在抚双牡发展轴协同发展的基础上，确定区域发展格局。虎林市应进一步深化与鸡西的发展联系，建设生产加工基地，联动创新企业，共同推进区域协同，一体化发展。通过轴线联系，从产业发展与交通连接上加强与鸡西市的互动，进而推动东部地区对外开放的不断深化与升级。</w:t>
      </w:r>
    </w:p>
    <w:p w14:paraId="48933E06">
      <w:pPr>
        <w:rPr>
          <w:u w:val="none"/>
        </w:rPr>
      </w:pPr>
      <w:r>
        <w:rPr>
          <w:u w:val="none"/>
        </w:rPr>
        <w:t>2.加强区域通道建设</w:t>
      </w:r>
    </w:p>
    <w:p w14:paraId="5865E9A5">
      <w:pPr>
        <w:rPr>
          <w:u w:val="none"/>
        </w:rPr>
      </w:pPr>
      <w:r>
        <w:rPr>
          <w:u w:val="none"/>
        </w:rPr>
        <w:t>加快推进客货运站场建设，打通虎林</w:t>
      </w:r>
      <w:r>
        <w:rPr>
          <w:rFonts w:hint="eastAsia"/>
          <w:u w:val="none"/>
        </w:rPr>
        <w:t>—</w:t>
      </w:r>
      <w:r>
        <w:rPr>
          <w:u w:val="none"/>
        </w:rPr>
        <w:t>宝清、虎林</w:t>
      </w:r>
      <w:r>
        <w:rPr>
          <w:rFonts w:hint="eastAsia"/>
          <w:u w:val="none"/>
        </w:rPr>
        <w:t>—</w:t>
      </w:r>
      <w:r>
        <w:rPr>
          <w:u w:val="none"/>
        </w:rPr>
        <w:t>饶河的铁路联系，加快虎林</w:t>
      </w:r>
      <w:r>
        <w:rPr>
          <w:rFonts w:hint="eastAsia"/>
          <w:u w:val="none"/>
        </w:rPr>
        <w:t>—</w:t>
      </w:r>
      <w:r>
        <w:rPr>
          <w:u w:val="none"/>
        </w:rPr>
        <w:t>饶河、虎林</w:t>
      </w:r>
      <w:r>
        <w:rPr>
          <w:rFonts w:hint="eastAsia"/>
          <w:u w:val="none"/>
        </w:rPr>
        <w:t>—</w:t>
      </w:r>
      <w:r>
        <w:rPr>
          <w:u w:val="none"/>
        </w:rPr>
        <w:t>宝清的公路提档升级，完善主通道运输方式，提升主通道运输能力，有效融入马尔科夫</w:t>
      </w:r>
      <w:r>
        <w:rPr>
          <w:rFonts w:hint="eastAsia"/>
          <w:u w:val="none"/>
        </w:rPr>
        <w:t>—</w:t>
      </w:r>
      <w:r>
        <w:rPr>
          <w:u w:val="none"/>
        </w:rPr>
        <w:t>加格达奇的黑龙江省高质量横向综合运输通道。</w:t>
      </w:r>
    </w:p>
    <w:p w14:paraId="573906A1">
      <w:pPr>
        <w:rPr>
          <w:u w:val="none"/>
        </w:rPr>
      </w:pPr>
      <w:r>
        <w:rPr>
          <w:u w:val="none"/>
        </w:rPr>
        <w:t>结合虎林市国家全域旅游示范区建设，在《黑龙江省综合立体交通网规划研究（2021</w:t>
      </w:r>
      <w:r>
        <w:rPr>
          <w:rFonts w:hint="eastAsia"/>
          <w:u w:val="none"/>
        </w:rPr>
        <w:t>—</w:t>
      </w:r>
      <w:r>
        <w:rPr>
          <w:u w:val="none"/>
        </w:rPr>
        <w:t>2050年）》确定的B类通用机场基础上，本次规划提出推进虎林A类通用机场建设，场址位于虎林市域中部庆丰农场十队，可结合大湿地、大农业景观增加空中游览功能，既有助于促进虎林市全域旅游的发展，也将提升货物运输效率，融入省内航空运输网络。</w:t>
      </w:r>
    </w:p>
    <w:p w14:paraId="0EE77931">
      <w:pPr>
        <w:rPr>
          <w:u w:val="none"/>
        </w:rPr>
      </w:pPr>
      <w:bookmarkStart w:id="528" w:name="_Toc12424"/>
      <w:bookmarkStart w:id="529" w:name="_Toc12929"/>
      <w:r>
        <w:rPr>
          <w:u w:val="none"/>
        </w:rPr>
        <w:t>3.加强产业协作与承接</w:t>
      </w:r>
    </w:p>
    <w:p w14:paraId="2C34B8D6">
      <w:pPr>
        <w:rPr>
          <w:u w:val="none"/>
        </w:rPr>
      </w:pPr>
      <w:r>
        <w:rPr>
          <w:u w:val="none"/>
        </w:rPr>
        <w:t>《黑龙江省国土空间规划（2021</w:t>
      </w:r>
      <w:r>
        <w:rPr>
          <w:rFonts w:hint="eastAsia"/>
          <w:u w:val="none"/>
        </w:rPr>
        <w:t>—</w:t>
      </w:r>
      <w:r>
        <w:rPr>
          <w:u w:val="none"/>
        </w:rPr>
        <w:t>2035年）》对鸡西市产业指导包括生物医药、新材料、化工、传统能源、绿色食品、新能源、节能环保、高端装备等，引导虎林市与鸡西市、密山市、鸡东县的产业互补和转移承接，重点发展生物医药与绿色食品产业，同时寻求经济共同发展的新增长点，合作建设、联合招商，在更大的范围内实现产业链的延伸。</w:t>
      </w:r>
    </w:p>
    <w:p w14:paraId="3B822246">
      <w:pPr>
        <w:rPr>
          <w:u w:val="none"/>
        </w:rPr>
      </w:pPr>
      <w:r>
        <w:rPr>
          <w:u w:val="none"/>
        </w:rPr>
        <w:t>4.加强区域文化、旅游合作</w:t>
      </w:r>
    </w:p>
    <w:p w14:paraId="1238B124">
      <w:pPr>
        <w:rPr>
          <w:u w:val="none"/>
        </w:rPr>
      </w:pPr>
      <w:r>
        <w:rPr>
          <w:u w:val="none"/>
        </w:rPr>
        <w:t>结合黑龙江省“醉美龙江331国道”建设，发挥虎林市国家全域旅游示范区的优势，打破地域限制，大力推进与省内、鸡西市之间的协调供应。统一旅游标识，完善服务设施，打造沿乌苏里江走向的国道G331高等级公路走廊，融入区域旅游线路，形成区域旅游单元的一体化运作，并承担着重要的旅游集散功能。</w:t>
      </w:r>
    </w:p>
    <w:p w14:paraId="677572F1">
      <w:pPr>
        <w:rPr>
          <w:u w:val="none"/>
        </w:rPr>
      </w:pPr>
      <w:r>
        <w:rPr>
          <w:u w:val="none"/>
        </w:rPr>
        <w:t>加快完善区域旅游服务功能，在功能上能够承载区域间旅游业的高质量、快速发展。</w:t>
      </w:r>
    </w:p>
    <w:p w14:paraId="409FC885">
      <w:pPr>
        <w:pStyle w:val="2"/>
        <w:rPr>
          <w:u w:val="none"/>
        </w:rPr>
      </w:pPr>
    </w:p>
    <w:p w14:paraId="35852361"/>
    <w:bookmarkEnd w:id="528"/>
    <w:bookmarkEnd w:id="529"/>
    <w:p w14:paraId="500C0E3B">
      <w:pPr>
        <w:pStyle w:val="5"/>
        <w:spacing w:before="120" w:after="120"/>
        <w:rPr>
          <w:snapToGrid w:val="0"/>
        </w:rPr>
      </w:pPr>
      <w:bookmarkStart w:id="530" w:name="_Toc22588"/>
      <w:bookmarkStart w:id="531" w:name="_Toc27243"/>
      <w:bookmarkStart w:id="532" w:name="_Toc16507"/>
      <w:r>
        <w:rPr>
          <w:snapToGrid w:val="0"/>
        </w:rPr>
        <w:t>第</w:t>
      </w:r>
      <w:r>
        <w:rPr>
          <w:rFonts w:hint="eastAsia"/>
          <w:snapToGrid w:val="0"/>
        </w:rPr>
        <w:t>17</w:t>
      </w:r>
      <w:r>
        <w:rPr>
          <w:rFonts w:hint="eastAsia"/>
          <w:snapToGrid w:val="0"/>
          <w:lang w:val="en-US" w:eastAsia="zh-CN"/>
        </w:rPr>
        <w:t>4</w:t>
      </w:r>
      <w:r>
        <w:rPr>
          <w:snapToGrid w:val="0"/>
        </w:rPr>
        <w:t>条 推进跨界地区保护协同</w:t>
      </w:r>
      <w:bookmarkEnd w:id="530"/>
      <w:bookmarkEnd w:id="531"/>
      <w:bookmarkEnd w:id="532"/>
    </w:p>
    <w:p w14:paraId="0CC4E16B">
      <w:pPr>
        <w:rPr>
          <w:u w:val="none"/>
        </w:rPr>
      </w:pPr>
      <w:r>
        <w:rPr>
          <w:u w:val="none"/>
        </w:rPr>
        <w:t>1.加强界江的协同治理</w:t>
      </w:r>
    </w:p>
    <w:p w14:paraId="1FFE152C">
      <w:pPr>
        <w:rPr>
          <w:u w:val="none"/>
        </w:rPr>
      </w:pPr>
      <w:r>
        <w:rPr>
          <w:u w:val="none"/>
        </w:rPr>
        <w:t>进行综合流域治理，统筹沿边区域间乌苏里江流域水污染治理与河湖生态修复，做到完善建设沿线城镇、农村的污水处理设施，加大水污染治理力度，加强界江岸岛防护工程，为沿岸居民的安全生活生产提供有力保障。</w:t>
      </w:r>
    </w:p>
    <w:p w14:paraId="5B729A73">
      <w:pPr>
        <w:rPr>
          <w:u w:val="none"/>
        </w:rPr>
      </w:pPr>
      <w:r>
        <w:rPr>
          <w:u w:val="none"/>
        </w:rPr>
        <w:t>2.加强保护地的协同保护</w:t>
      </w:r>
    </w:p>
    <w:p w14:paraId="6FE13747">
      <w:pPr>
        <w:rPr>
          <w:u w:val="none"/>
        </w:rPr>
      </w:pPr>
      <w:r>
        <w:rPr>
          <w:u w:val="none"/>
        </w:rPr>
        <w:t>重点加强虎林与饶河之间湿地和东北黑蜂等保护工作的衔接，推动构建共同的保护行动机制，搭建跨区域保护协作平台和网络，对保持稳定的生态环境、保护生物多样性具有重大意义。</w:t>
      </w:r>
    </w:p>
    <w:p w14:paraId="14F2369F">
      <w:pPr>
        <w:rPr>
          <w:u w:val="none"/>
        </w:rPr>
      </w:pPr>
    </w:p>
    <w:p w14:paraId="7270D63F">
      <w:pPr>
        <w:pStyle w:val="2"/>
        <w:ind w:firstLine="480"/>
      </w:pPr>
    </w:p>
    <w:p w14:paraId="32860668">
      <w:pPr>
        <w:pStyle w:val="3"/>
        <w:widowControl w:val="0"/>
        <w:snapToGrid/>
        <w:spacing w:before="10" w:after="10" w:line="600" w:lineRule="exact"/>
        <w:ind w:firstLine="0" w:firstLineChars="0"/>
        <w:jc w:val="center"/>
        <w:rPr>
          <w:rFonts w:ascii="Times New Roman" w:hAnsi="Times New Roman" w:eastAsia="方正小标宋简体"/>
          <w:b w:val="0"/>
          <w:bCs w:val="0"/>
          <w:color w:val="auto"/>
          <w:sz w:val="36"/>
          <w:u w:val="none"/>
        </w:rPr>
      </w:pPr>
      <w:bookmarkStart w:id="533" w:name="_bookmark72"/>
      <w:bookmarkEnd w:id="533"/>
      <w:bookmarkStart w:id="534" w:name="_bookmark73"/>
      <w:bookmarkEnd w:id="534"/>
      <w:bookmarkStart w:id="535" w:name="_Toc22192"/>
      <w:bookmarkStart w:id="536" w:name="_Toc181784697"/>
      <w:bookmarkStart w:id="537" w:name="_Toc181784487"/>
      <w:bookmarkStart w:id="538" w:name="_Toc181784627"/>
      <w:r>
        <w:rPr>
          <w:rFonts w:ascii="Times New Roman" w:hAnsi="Times New Roman" w:eastAsia="方正小标宋简体"/>
          <w:b w:val="0"/>
          <w:bCs w:val="0"/>
          <w:color w:val="auto"/>
          <w:sz w:val="36"/>
          <w:u w:val="none"/>
        </w:rPr>
        <w:t>第十</w:t>
      </w:r>
      <w:r>
        <w:rPr>
          <w:rFonts w:hint="eastAsia" w:ascii="Times New Roman" w:hAnsi="Times New Roman" w:eastAsia="方正小标宋简体"/>
          <w:b w:val="0"/>
          <w:bCs w:val="0"/>
          <w:color w:val="auto"/>
          <w:sz w:val="36"/>
          <w:u w:val="none"/>
        </w:rPr>
        <w:t>一</w:t>
      </w:r>
      <w:r>
        <w:rPr>
          <w:rFonts w:ascii="Times New Roman" w:hAnsi="Times New Roman" w:eastAsia="方正小标宋简体"/>
          <w:b w:val="0"/>
          <w:bCs w:val="0"/>
          <w:color w:val="auto"/>
          <w:sz w:val="36"/>
          <w:u w:val="none"/>
        </w:rPr>
        <w:t>章 规划实施保障</w:t>
      </w:r>
      <w:bookmarkEnd w:id="535"/>
      <w:bookmarkEnd w:id="536"/>
      <w:bookmarkEnd w:id="537"/>
      <w:bookmarkEnd w:id="538"/>
    </w:p>
    <w:p w14:paraId="229D93E0">
      <w:pPr>
        <w:rPr>
          <w:u w:val="none"/>
        </w:rPr>
      </w:pPr>
      <w:r>
        <w:rPr>
          <w:u w:val="none"/>
        </w:rPr>
        <w:t>按照“统一底图、统一标准、统一规划、统一平台”的要求，健全法律法规和标准体系，强化规划传导和用途管制，推动规划管理数字化转型，实施规划全生命周期管理，提升国土空间治理现代化水平。</w:t>
      </w:r>
    </w:p>
    <w:p w14:paraId="541F73FB">
      <w:pPr>
        <w:pStyle w:val="4"/>
        <w:widowControl w:val="0"/>
        <w:snapToGrid/>
        <w:spacing w:before="120" w:beforeLines="50" w:after="120" w:afterLines="50" w:line="600" w:lineRule="exact"/>
        <w:ind w:firstLine="0" w:firstLineChars="0"/>
        <w:rPr>
          <w:b w:val="0"/>
          <w:bCs w:val="0"/>
          <w:color w:val="auto"/>
          <w:u w:val="none"/>
        </w:rPr>
      </w:pPr>
      <w:bookmarkStart w:id="539" w:name="_Toc17562"/>
      <w:bookmarkStart w:id="540" w:name="_Toc181784628"/>
      <w:bookmarkStart w:id="541" w:name="_Toc181784698"/>
      <w:bookmarkStart w:id="542" w:name="_Toc10282"/>
      <w:bookmarkStart w:id="543" w:name="_Toc181784488"/>
      <w:r>
        <w:rPr>
          <w:rFonts w:hint="eastAsia"/>
          <w:b w:val="0"/>
          <w:bCs w:val="0"/>
          <w:color w:val="auto"/>
          <w:u w:val="none"/>
        </w:rPr>
        <w:t>第一节 加强党的领导</w:t>
      </w:r>
      <w:bookmarkEnd w:id="539"/>
      <w:bookmarkEnd w:id="540"/>
      <w:bookmarkEnd w:id="541"/>
      <w:bookmarkEnd w:id="542"/>
      <w:bookmarkEnd w:id="543"/>
    </w:p>
    <w:p w14:paraId="7F1835CA">
      <w:pPr>
        <w:rPr>
          <w:u w:val="none"/>
        </w:rPr>
      </w:pPr>
      <w:r>
        <w:rPr>
          <w:u w:val="none"/>
        </w:rPr>
        <w:t>在党委和政府领导下，各有关部门要依法实施规划。党委、政府履行国土空间总体规划实施主体责任，自然资源部门负责规划的具体实施。建立健全国土空间规划委员会制度，发挥规委会组织协调和咨询审查作用，完善规划实施统筹决策机制。</w:t>
      </w:r>
    </w:p>
    <w:p w14:paraId="61F44743">
      <w:pPr>
        <w:pStyle w:val="4"/>
        <w:widowControl w:val="0"/>
        <w:snapToGrid/>
        <w:spacing w:before="120" w:beforeLines="50" w:after="120" w:afterLines="50" w:line="600" w:lineRule="exact"/>
        <w:ind w:firstLine="0" w:firstLineChars="0"/>
        <w:rPr>
          <w:b w:val="0"/>
          <w:bCs w:val="0"/>
          <w:color w:val="auto"/>
          <w:u w:val="none"/>
        </w:rPr>
      </w:pPr>
      <w:bookmarkStart w:id="544" w:name="_Toc181784699"/>
      <w:bookmarkStart w:id="545" w:name="_Toc181784629"/>
      <w:bookmarkStart w:id="546" w:name="_Toc16972"/>
      <w:bookmarkStart w:id="547" w:name="_Toc181784489"/>
      <w:bookmarkStart w:id="548" w:name="_Toc5114"/>
      <w:r>
        <w:rPr>
          <w:rFonts w:hint="eastAsia"/>
          <w:b w:val="0"/>
          <w:bCs w:val="0"/>
          <w:color w:val="auto"/>
          <w:u w:val="none"/>
        </w:rPr>
        <w:t>第二节 健全配套政策机制</w:t>
      </w:r>
      <w:bookmarkEnd w:id="544"/>
      <w:bookmarkEnd w:id="545"/>
      <w:bookmarkEnd w:id="546"/>
      <w:bookmarkEnd w:id="547"/>
      <w:bookmarkEnd w:id="548"/>
    </w:p>
    <w:p w14:paraId="6CCCBB9E">
      <w:pPr>
        <w:rPr>
          <w:u w:val="none"/>
        </w:rPr>
      </w:pPr>
      <w:r>
        <w:rPr>
          <w:u w:val="none"/>
        </w:rPr>
        <w:t>政府牵头制定相关激励、资金筹措、帮扶政策，保障民生工程及重点项目推进。对所有国土空间分区分类实施用途管制，因地制宜明确分区准入、用途转换等管制规则。严格耕地、自然保护地、生态保护红线等特殊区域的用途管制。自然资源主管部门应制定预留机动指标制度、建设用地交易制度、高质量发展奖励制度、责任规划师制度和规划编制单位终身负责制等相关制度。</w:t>
      </w:r>
    </w:p>
    <w:p w14:paraId="10A400D0">
      <w:pPr>
        <w:rPr>
          <w:u w:val="none"/>
        </w:rPr>
      </w:pPr>
      <w:r>
        <w:rPr>
          <w:u w:val="none"/>
        </w:rPr>
        <w:t>建立和完善配套制度和政策，在国家制定的《土地管理法》《森林法》《水法》《环境保护法》等相关法规、制度的基础上，建立符合虎林市地区经济和空间规划实施的保障措施制度。</w:t>
      </w:r>
    </w:p>
    <w:p w14:paraId="68E9199A">
      <w:pPr>
        <w:rPr>
          <w:u w:val="none"/>
        </w:rPr>
      </w:pPr>
      <w:r>
        <w:rPr>
          <w:rFonts w:eastAsia="楷体_GB2312"/>
          <w:u w:val="none"/>
        </w:rPr>
        <w:t>第一，明确国土空间规划编制责任。</w:t>
      </w:r>
      <w:r>
        <w:rPr>
          <w:u w:val="none"/>
        </w:rPr>
        <w:t>政府应当作为主体，构建条块密切配合、通力合作的国土空间规划编制组织体系和协调机制。根据规划编制计划和规划编制任务书要求，按照法定程序编制各类规划，执行规划审批程序，确保编制规划的法律效力。</w:t>
      </w:r>
    </w:p>
    <w:p w14:paraId="425AEE40">
      <w:pPr>
        <w:rPr>
          <w:u w:val="none"/>
        </w:rPr>
      </w:pPr>
      <w:r>
        <w:rPr>
          <w:rFonts w:eastAsia="楷体_GB2312"/>
          <w:u w:val="none"/>
        </w:rPr>
        <w:t>第二，强化规划权威。</w:t>
      </w:r>
      <w:r>
        <w:rPr>
          <w:u w:val="none"/>
        </w:rPr>
        <w:t>规划一经批复，任何部门和个人不得随意修改、违规变更。下级国土空间规划要服从上级国土空间规划，相关专项规划、详细规划要服从总体规划；坚持先规划、后实施，不得违反国土空间规划进行各类开发建设活动；坚持“多规合一”，不在国土空间规划体系之外另设其他空间规划。相关专项规划的有关技术标准应与国土空间规划衔接。因国家重大战略调整、重大项目建设或行政区划调整等确需修改规划的，须先经规划审批机关同意后，方可按法定程序进行修改。对国土空间规划编制和实施过程中的违规违纪违法行为，要严肃追究责任。</w:t>
      </w:r>
    </w:p>
    <w:p w14:paraId="55ABA694">
      <w:pPr>
        <w:rPr>
          <w:u w:val="none"/>
        </w:rPr>
      </w:pPr>
      <w:r>
        <w:rPr>
          <w:rFonts w:eastAsia="楷体_GB2312"/>
          <w:u w:val="none"/>
        </w:rPr>
        <w:t>第三，健全用途管制制度。</w:t>
      </w:r>
      <w:r>
        <w:rPr>
          <w:u w:val="none"/>
        </w:rPr>
        <w:t>以国土空间规划为依据，对所有国土空间分区分类实施用途管制。在城镇开发边界内的建设，实行“详细规划+规划许可”的管制方式；在城镇开发边界外的建设，按照主导用途分区，实行“详细规划+规划许可”和“约束指标+分区准入”的管制方式。对以国家公园为主体的自然保护地、重要海域和海岛、重要水源地、文物等实行特殊保护制度。因地制宜制定用途管制制度，为地方管理和创新活动留有空间。</w:t>
      </w:r>
    </w:p>
    <w:p w14:paraId="36CBAC66">
      <w:pPr>
        <w:rPr>
          <w:u w:val="none"/>
        </w:rPr>
      </w:pPr>
      <w:r>
        <w:rPr>
          <w:rFonts w:eastAsia="楷体_GB2312"/>
          <w:u w:val="none"/>
        </w:rPr>
        <w:t>第四，严格国土空间规划实施责任，严格执行经法定程序批准的国土空间规划，切实提高规划的落地转化力。</w:t>
      </w:r>
      <w:r>
        <w:rPr>
          <w:u w:val="none"/>
        </w:rPr>
        <w:t>执行“六线”管理规定，严格非建设用地的空间管制，在城市基础设施用地、大型公共绿地、风景名胜区和历史保护街区等用地范围内的建设活动，必须符合规划确定的功能和布局要求。加强对开发区和各类园区的规划统一管理，严格实行规划管理“一书三证”制度，保障城乡建设活动顺利进行。严格执行规划强制性内容，提高建设工程实施组织程度，增强各级各类开发建设实施主体职能，各乡镇要积极配合行政执法部门，坚决遏制辖区内违法建设行为的发生。</w:t>
      </w:r>
    </w:p>
    <w:p w14:paraId="299BF9C2">
      <w:pPr>
        <w:rPr>
          <w:u w:val="none"/>
        </w:rPr>
      </w:pPr>
      <w:r>
        <w:rPr>
          <w:rFonts w:eastAsia="楷体_GB2312"/>
          <w:u w:val="none"/>
        </w:rPr>
        <w:t>第五，建立公众深度参与城乡规划的制度。</w:t>
      </w:r>
      <w:r>
        <w:rPr>
          <w:u w:val="none"/>
        </w:rPr>
        <w:t>完善城乡规划信息公开与反馈制度，充分利用网上公示、媒体公告、模型展览、公共咨询、听证会等多种形式，切实保障公民对城乡规划的知情权、参与权和监督权。完善公众参与规划的方式，凡涉及热点、难点问题或人民群众切身利益等建设项目的选址和方案审批之前，都要举行听证会或意见征询会，征求公众意见。探索召开访谈会、问题研究会、邻里规划会议等举措，从而健全和完善规划决策机制，有效化解社会矛盾。</w:t>
      </w:r>
    </w:p>
    <w:p w14:paraId="529F5777">
      <w:pPr>
        <w:pStyle w:val="2"/>
        <w:ind w:firstLine="640"/>
        <w:rPr>
          <w:sz w:val="32"/>
          <w:u w:val="none"/>
        </w:rPr>
      </w:pPr>
      <w:r>
        <w:rPr>
          <w:rFonts w:hint="eastAsia" w:ascii="楷体_GB2312" w:eastAsia="楷体_GB2312"/>
          <w:sz w:val="32"/>
          <w:u w:val="none"/>
        </w:rPr>
        <w:t>第六，加强规划工作的宣传和规划知识普及教育</w:t>
      </w:r>
      <w:r>
        <w:rPr>
          <w:sz w:val="32"/>
          <w:u w:val="none"/>
        </w:rPr>
        <w:t>。充分利用各类新闻媒体，规划展示馆、规划网站等载体加强规划宣传，及时报道国土空间规划编制的最新成果、规划实施管理的最新动态、规划建设的最新成就。定期组织开展大型规划宣传咨询、规划下基层、规划进社区等“规划零距离”活动，让市民更好地了解规划，更好地参与规划，增强规划透明度，扩大社会影响力。</w:t>
      </w:r>
    </w:p>
    <w:p w14:paraId="5B697928">
      <w:pPr>
        <w:pStyle w:val="4"/>
        <w:widowControl w:val="0"/>
        <w:snapToGrid/>
        <w:spacing w:before="120" w:beforeLines="50" w:after="120" w:afterLines="50" w:line="600" w:lineRule="exact"/>
        <w:ind w:firstLine="0" w:firstLineChars="0"/>
        <w:rPr>
          <w:b w:val="0"/>
          <w:bCs w:val="0"/>
          <w:color w:val="auto"/>
          <w:u w:val="none"/>
        </w:rPr>
      </w:pPr>
      <w:bookmarkStart w:id="549" w:name="_Toc181784490"/>
      <w:bookmarkStart w:id="550" w:name="_Toc181784630"/>
      <w:bookmarkStart w:id="551" w:name="_Toc181784700"/>
      <w:bookmarkStart w:id="552" w:name="_Toc25351"/>
      <w:bookmarkStart w:id="553" w:name="_Toc20869"/>
      <w:r>
        <w:rPr>
          <w:rFonts w:hint="eastAsia"/>
          <w:b w:val="0"/>
          <w:bCs w:val="0"/>
          <w:color w:val="auto"/>
          <w:u w:val="none"/>
        </w:rPr>
        <w:t>第三节 建设国土空间规划“一张图”</w:t>
      </w:r>
      <w:bookmarkEnd w:id="549"/>
      <w:bookmarkEnd w:id="550"/>
      <w:bookmarkEnd w:id="551"/>
      <w:bookmarkEnd w:id="552"/>
      <w:bookmarkEnd w:id="553"/>
    </w:p>
    <w:p w14:paraId="0AC61BEA">
      <w:pPr>
        <w:rPr>
          <w:u w:val="none"/>
        </w:rPr>
      </w:pPr>
      <w:r>
        <w:rPr>
          <w:u w:val="none"/>
        </w:rPr>
        <w:t>以第三次全国国土调查成果为基础，按现状地类基数转换规则，根据实际进行地类细分，形成一张底图，并以此为基础，建设规划数据库；不断完善国土空间基础信息平台，实现各部门共享共用，同步建设国土空间总体规划“一张图”实施监督信息系统，作为总规的成果组成部分同步上报。</w:t>
      </w:r>
    </w:p>
    <w:p w14:paraId="2C6BD482">
      <w:pPr>
        <w:pStyle w:val="5"/>
        <w:spacing w:before="120" w:after="120"/>
        <w:rPr>
          <w:snapToGrid w:val="0"/>
        </w:rPr>
      </w:pPr>
      <w:bookmarkStart w:id="554" w:name="_Toc6836"/>
      <w:bookmarkStart w:id="555" w:name="_Toc18856"/>
      <w:bookmarkStart w:id="556" w:name="_Toc3975"/>
      <w:r>
        <w:rPr>
          <w:snapToGrid w:val="0"/>
        </w:rPr>
        <w:t>第</w:t>
      </w:r>
      <w:r>
        <w:rPr>
          <w:rFonts w:hint="eastAsia"/>
          <w:snapToGrid w:val="0"/>
        </w:rPr>
        <w:t>17</w:t>
      </w:r>
      <w:r>
        <w:rPr>
          <w:rFonts w:hint="eastAsia"/>
          <w:snapToGrid w:val="0"/>
          <w:lang w:val="en-US" w:eastAsia="zh-CN"/>
        </w:rPr>
        <w:t>5</w:t>
      </w:r>
      <w:r>
        <w:rPr>
          <w:snapToGrid w:val="0"/>
        </w:rPr>
        <w:t>条 规划数据库建设</w:t>
      </w:r>
      <w:bookmarkEnd w:id="554"/>
      <w:bookmarkEnd w:id="555"/>
      <w:bookmarkEnd w:id="556"/>
    </w:p>
    <w:p w14:paraId="470B7FAC">
      <w:pPr>
        <w:rPr>
          <w:rFonts w:eastAsia="仿宋"/>
          <w:u w:val="none"/>
        </w:rPr>
      </w:pPr>
      <w:r>
        <w:rPr>
          <w:u w:val="none"/>
        </w:rPr>
        <w:t>按照统一标准和要求，开展国土空间总体规划数据库建设，并及时逐级向上级自然资源主管部门汇交和更新，形成可层层叠加打开的、动态更新、权威统一的全市域国土空间总体规划“一张图”，为统一国土空间用途管制、实施建设项目规划许可、强化规划实施监督提供依据和支撑。</w:t>
      </w:r>
    </w:p>
    <w:p w14:paraId="13957A54">
      <w:pPr>
        <w:pStyle w:val="5"/>
        <w:spacing w:before="120" w:after="120"/>
        <w:rPr>
          <w:snapToGrid w:val="0"/>
        </w:rPr>
      </w:pPr>
      <w:bookmarkStart w:id="557" w:name="_Toc12528"/>
      <w:bookmarkStart w:id="558" w:name="_Toc12505"/>
      <w:bookmarkStart w:id="559" w:name="_Toc29145"/>
      <w:r>
        <w:rPr>
          <w:snapToGrid w:val="0"/>
        </w:rPr>
        <w:t>第</w:t>
      </w:r>
      <w:r>
        <w:rPr>
          <w:rFonts w:hint="eastAsia"/>
          <w:snapToGrid w:val="0"/>
        </w:rPr>
        <w:t>17</w:t>
      </w:r>
      <w:r>
        <w:rPr>
          <w:rFonts w:hint="eastAsia"/>
          <w:snapToGrid w:val="0"/>
          <w:lang w:val="en-US" w:eastAsia="zh-CN"/>
        </w:rPr>
        <w:t>6</w:t>
      </w:r>
      <w:r>
        <w:rPr>
          <w:snapToGrid w:val="0"/>
        </w:rPr>
        <w:t>条 规划“一张图”实施监督信息系统建设</w:t>
      </w:r>
      <w:bookmarkEnd w:id="557"/>
      <w:bookmarkEnd w:id="558"/>
      <w:bookmarkEnd w:id="559"/>
    </w:p>
    <w:p w14:paraId="1E6C6333">
      <w:pPr>
        <w:rPr>
          <w:u w:val="none"/>
        </w:rPr>
      </w:pPr>
      <w:r>
        <w:rPr>
          <w:u w:val="none"/>
        </w:rPr>
        <w:t>依托国土空间基础信息平台，以国土空间总体规划“一张图”数据为基础，结合实际管理需求，整合本级“多规合一”协同审批平台已有功能，建设国土空间总体规划“一张图”实施监督信息系统，主要功能模块包括数据应用、国土空间总体规划分析评价、国土空间总体规划成果审查与管理、资源环境承载能力监测预警、国土空间总体规划指标模型管理、国土空间总体规划大数据分析等。为建立健全国土空间总体规划动态监测评估预警和实施监管机制提供信息化支撑，为城市体检评估和规划全生命周期管理奠定基础。对落地上图特别是示意上图的线性交通基础设施项目，允许根据前期工作进度优化调整线位。将临时用地、砂石土资源等用地纳入“一张图”进行统一管理。</w:t>
      </w:r>
    </w:p>
    <w:p w14:paraId="183DA276">
      <w:pPr>
        <w:pStyle w:val="4"/>
        <w:widowControl w:val="0"/>
        <w:snapToGrid/>
        <w:spacing w:before="120" w:beforeLines="50" w:after="120" w:afterLines="50" w:line="600" w:lineRule="exact"/>
        <w:ind w:firstLine="0" w:firstLineChars="0"/>
        <w:rPr>
          <w:b w:val="0"/>
          <w:bCs w:val="0"/>
          <w:color w:val="auto"/>
          <w:u w:val="none"/>
        </w:rPr>
      </w:pPr>
      <w:bookmarkStart w:id="560" w:name="_Toc181784631"/>
      <w:bookmarkStart w:id="561" w:name="_Toc28882"/>
      <w:bookmarkStart w:id="562" w:name="_Toc28901"/>
      <w:bookmarkStart w:id="563" w:name="_Toc181784701"/>
      <w:bookmarkStart w:id="564" w:name="_Toc181784491"/>
      <w:r>
        <w:rPr>
          <w:rFonts w:hint="eastAsia"/>
          <w:b w:val="0"/>
          <w:bCs w:val="0"/>
          <w:color w:val="auto"/>
          <w:u w:val="none"/>
        </w:rPr>
        <w:t>第四节 实施规划全生命周期管理</w:t>
      </w:r>
      <w:bookmarkEnd w:id="560"/>
      <w:bookmarkEnd w:id="561"/>
      <w:bookmarkEnd w:id="562"/>
      <w:bookmarkEnd w:id="563"/>
      <w:bookmarkEnd w:id="564"/>
    </w:p>
    <w:p w14:paraId="71B06BFE">
      <w:pPr>
        <w:pStyle w:val="5"/>
        <w:spacing w:before="120" w:after="120"/>
        <w:rPr>
          <w:snapToGrid w:val="0"/>
        </w:rPr>
      </w:pPr>
      <w:bookmarkStart w:id="565" w:name="_Toc1557"/>
      <w:bookmarkStart w:id="566" w:name="_Toc12152"/>
      <w:bookmarkStart w:id="567" w:name="_Toc18234"/>
      <w:r>
        <w:rPr>
          <w:snapToGrid w:val="0"/>
        </w:rPr>
        <w:t>第</w:t>
      </w:r>
      <w:r>
        <w:rPr>
          <w:rFonts w:hint="eastAsia"/>
          <w:snapToGrid w:val="0"/>
        </w:rPr>
        <w:t>17</w:t>
      </w:r>
      <w:r>
        <w:rPr>
          <w:rFonts w:hint="eastAsia"/>
          <w:snapToGrid w:val="0"/>
          <w:lang w:val="en-US" w:eastAsia="zh-CN"/>
        </w:rPr>
        <w:t>7</w:t>
      </w:r>
      <w:r>
        <w:rPr>
          <w:snapToGrid w:val="0"/>
        </w:rPr>
        <w:t>条 建立动态监测评估预警和实施监管机制</w:t>
      </w:r>
      <w:bookmarkEnd w:id="565"/>
      <w:bookmarkEnd w:id="566"/>
      <w:bookmarkEnd w:id="567"/>
    </w:p>
    <w:p w14:paraId="01206FAD">
      <w:pPr>
        <w:rPr>
          <w:u w:val="none"/>
        </w:rPr>
      </w:pPr>
      <w:r>
        <w:rPr>
          <w:u w:val="none"/>
        </w:rPr>
        <w:t>建立国土空间总体规划实施监管制度。加强实施监督评估，依法开展规划实施的监督和评估，强化动态管理，确保规划实施取得实效。</w:t>
      </w:r>
    </w:p>
    <w:p w14:paraId="0656DF9B">
      <w:pPr>
        <w:rPr>
          <w:u w:val="none"/>
        </w:rPr>
      </w:pPr>
      <w:r>
        <w:rPr>
          <w:rFonts w:eastAsia="楷体_GB2312"/>
          <w:u w:val="none"/>
        </w:rPr>
        <w:t>第一，完善评估机制，建立规划实施联合监管机制。</w:t>
      </w:r>
      <w:r>
        <w:rPr>
          <w:u w:val="none"/>
        </w:rPr>
        <w:t>对规划实施情况进行动态监测评估。建立健全规划纲要指标体系的统计和评价制度，确保数据权威准确、科学合理。根据规划目标分解计划，对各责任部门的年度目标、指标和任务等实施情况，探索开展年度评估。创新评估方式，引入社会机构评估等第三方评估制度，扩大民意测评范围，增强规划的准确性和广泛性。</w:t>
      </w:r>
    </w:p>
    <w:p w14:paraId="49FD74E8">
      <w:pPr>
        <w:rPr>
          <w:u w:val="none"/>
        </w:rPr>
      </w:pPr>
      <w:r>
        <w:rPr>
          <w:rFonts w:eastAsia="楷体_GB2312"/>
          <w:u w:val="none"/>
        </w:rPr>
        <w:t>第二，建立规划评估报告制度。</w:t>
      </w:r>
      <w:r>
        <w:rPr>
          <w:u w:val="none"/>
        </w:rPr>
        <w:t>政府必须组织有关部门和专家定期对规划的前瞻性、可行性、经济性以及公共政策属性进行客观评估，对规划内容、规划成果、规划实施绩效等进行评估，对建设用地和建设工程规划进行动态评估，实现规划实施管理的引导调控功能。并要定期向市人大或其常委会报告规划的编制和实施情况，主动接受人大监督。</w:t>
      </w:r>
    </w:p>
    <w:p w14:paraId="48A7BF21">
      <w:pPr>
        <w:rPr>
          <w:u w:val="none"/>
        </w:rPr>
      </w:pPr>
      <w:r>
        <w:rPr>
          <w:rFonts w:eastAsia="楷体_GB2312"/>
          <w:u w:val="none"/>
        </w:rPr>
        <w:t>第三，健全规划督查考核制度。</w:t>
      </w:r>
      <w:r>
        <w:rPr>
          <w:u w:val="none"/>
        </w:rPr>
        <w:t>市政府将年度规划工作任务纳入全市重点工作目标考核体系，层层分解落实，认真组织实施。强化规划实施的专项督查，对不按照规划实施的工程项目或规划执行不到位的地区部门，及时进行通报并责令整改；对不能完成年度任务的地区部门，要根据相关文件、制度、规定进行惩处和责任追究。</w:t>
      </w:r>
    </w:p>
    <w:p w14:paraId="4712ABBA">
      <w:pPr>
        <w:rPr>
          <w:u w:val="none"/>
        </w:rPr>
      </w:pPr>
      <w:r>
        <w:rPr>
          <w:rFonts w:eastAsia="楷体_GB2312"/>
          <w:u w:val="none"/>
        </w:rPr>
        <w:t>第四，实行规划行政问责制度。</w:t>
      </w:r>
      <w:r>
        <w:rPr>
          <w:u w:val="none"/>
        </w:rPr>
        <w:t>按照权责一致的原则，按照上级出台违反国土空间规划行政处分的相关办法，建立规划行政问责制度。对违反规定调整规划、违反规划审批用地、未正确履行职责造成违法建设后果的，坚决予以纠正，并依法追究责任人的行政责任或法律责任。</w:t>
      </w:r>
    </w:p>
    <w:p w14:paraId="4355ED7D">
      <w:pPr>
        <w:rPr>
          <w:u w:val="none"/>
        </w:rPr>
      </w:pPr>
      <w:r>
        <w:rPr>
          <w:rFonts w:eastAsia="楷体_GB2312"/>
          <w:u w:val="none"/>
        </w:rPr>
        <w:t>第五，扩大公众参与。</w:t>
      </w:r>
      <w:r>
        <w:rPr>
          <w:u w:val="none"/>
        </w:rPr>
        <w:t>进一步整合政府部门信息资源，完善国土空间规划信息公开和反馈制度，着力推进规划实施的信息公开，广泛征求人大、政协和社会各界对规划实施的意见和建议，健全政府与企业、市民的信息沟通和交流机制，充分发挥新闻媒体和群众社团作用，提高规划实施的民主化和透明度。</w:t>
      </w:r>
    </w:p>
    <w:p w14:paraId="3ACFEF2D">
      <w:pPr>
        <w:pStyle w:val="5"/>
        <w:spacing w:before="120" w:after="120"/>
        <w:rPr>
          <w:snapToGrid w:val="0"/>
        </w:rPr>
      </w:pPr>
      <w:bookmarkStart w:id="568" w:name="_Toc26831"/>
      <w:bookmarkStart w:id="569" w:name="_Toc17455"/>
      <w:bookmarkStart w:id="570" w:name="_Toc4024"/>
      <w:r>
        <w:rPr>
          <w:snapToGrid w:val="0"/>
        </w:rPr>
        <w:t>第</w:t>
      </w:r>
      <w:r>
        <w:rPr>
          <w:rFonts w:hint="eastAsia"/>
          <w:snapToGrid w:val="0"/>
        </w:rPr>
        <w:t>17</w:t>
      </w:r>
      <w:r>
        <w:rPr>
          <w:rFonts w:hint="eastAsia"/>
          <w:snapToGrid w:val="0"/>
          <w:lang w:val="en-US" w:eastAsia="zh-CN"/>
        </w:rPr>
        <w:t>8</w:t>
      </w:r>
      <w:r>
        <w:rPr>
          <w:snapToGrid w:val="0"/>
        </w:rPr>
        <w:t>条 宣传与社会监督</w:t>
      </w:r>
      <w:bookmarkEnd w:id="568"/>
      <w:bookmarkEnd w:id="569"/>
      <w:bookmarkEnd w:id="570"/>
    </w:p>
    <w:p w14:paraId="58A23B96">
      <w:pPr>
        <w:rPr>
          <w:u w:val="none"/>
        </w:rPr>
      </w:pPr>
      <w:r>
        <w:rPr>
          <w:u w:val="none"/>
        </w:rPr>
        <w:t>开展规划进社区等宣传活动，</w:t>
      </w:r>
      <w:r>
        <w:rPr>
          <w:rFonts w:hint="eastAsia"/>
          <w:u w:val="none"/>
        </w:rPr>
        <w:t>增强</w:t>
      </w:r>
      <w:r>
        <w:rPr>
          <w:u w:val="none"/>
        </w:rPr>
        <w:t>全社会规划的意识。完善公众参与规划实施的社会监督机制。利用国土空间总体规划“一张图”实施监督系统，实现对规划的实时监测、及时预警、定期评估。</w:t>
      </w:r>
    </w:p>
    <w:p w14:paraId="5572F908">
      <w:pPr>
        <w:pStyle w:val="5"/>
        <w:spacing w:before="120" w:after="120"/>
        <w:rPr>
          <w:snapToGrid w:val="0"/>
        </w:rPr>
      </w:pPr>
      <w:bookmarkStart w:id="571" w:name="_Toc18944"/>
      <w:bookmarkStart w:id="572" w:name="_Toc31664"/>
      <w:bookmarkStart w:id="573" w:name="_Toc8383"/>
      <w:r>
        <w:rPr>
          <w:snapToGrid w:val="0"/>
        </w:rPr>
        <w:t>第</w:t>
      </w:r>
      <w:r>
        <w:rPr>
          <w:rFonts w:hint="eastAsia"/>
          <w:snapToGrid w:val="0"/>
        </w:rPr>
        <w:t>17</w:t>
      </w:r>
      <w:r>
        <w:rPr>
          <w:rFonts w:hint="eastAsia"/>
          <w:snapToGrid w:val="0"/>
          <w:lang w:val="en-US" w:eastAsia="zh-CN"/>
        </w:rPr>
        <w:t>9</w:t>
      </w:r>
      <w:r>
        <w:rPr>
          <w:snapToGrid w:val="0"/>
        </w:rPr>
        <w:t>条 建设专业人才队伍</w:t>
      </w:r>
      <w:bookmarkEnd w:id="571"/>
      <w:bookmarkEnd w:id="572"/>
      <w:bookmarkEnd w:id="573"/>
    </w:p>
    <w:p w14:paraId="51168D68">
      <w:pPr>
        <w:rPr>
          <w:u w:val="none"/>
        </w:rPr>
      </w:pPr>
      <w:r>
        <w:rPr>
          <w:u w:val="none"/>
        </w:rPr>
        <w:t>加强专业融合创新，加快大数据等新技术的研发应用，补齐短板，培养知识结构丰富、能力复合的国土空间总体规划人才。加强培训学习，积极组织地方规划人员参加省内外国土空间总体规划学习研讨和相关理论知识、政策文件学习。</w:t>
      </w:r>
    </w:p>
    <w:p w14:paraId="0B1DC4F1">
      <w:pPr>
        <w:pStyle w:val="4"/>
        <w:widowControl w:val="0"/>
        <w:snapToGrid/>
        <w:spacing w:before="120" w:beforeLines="50" w:after="120" w:afterLines="50" w:line="600" w:lineRule="exact"/>
        <w:ind w:firstLine="0" w:firstLineChars="0"/>
        <w:rPr>
          <w:b w:val="0"/>
          <w:bCs w:val="0"/>
          <w:color w:val="auto"/>
          <w:u w:val="none"/>
        </w:rPr>
      </w:pPr>
      <w:bookmarkStart w:id="574" w:name="_Toc181784492"/>
      <w:bookmarkStart w:id="575" w:name="_Toc181784702"/>
      <w:bookmarkStart w:id="576" w:name="_Toc181784632"/>
      <w:bookmarkStart w:id="577" w:name="_Toc32551"/>
      <w:bookmarkStart w:id="578" w:name="_Toc14829"/>
      <w:r>
        <w:rPr>
          <w:rFonts w:hint="eastAsia"/>
          <w:b w:val="0"/>
          <w:bCs w:val="0"/>
          <w:color w:val="auto"/>
          <w:u w:val="none"/>
        </w:rPr>
        <w:t>第五节 强化规划实施传导</w:t>
      </w:r>
      <w:bookmarkEnd w:id="574"/>
      <w:bookmarkEnd w:id="575"/>
      <w:bookmarkEnd w:id="576"/>
      <w:bookmarkEnd w:id="577"/>
      <w:bookmarkEnd w:id="578"/>
    </w:p>
    <w:p w14:paraId="3A59972B">
      <w:pPr>
        <w:pStyle w:val="5"/>
        <w:spacing w:before="120" w:after="120"/>
        <w:rPr>
          <w:snapToGrid w:val="0"/>
        </w:rPr>
      </w:pPr>
      <w:bookmarkStart w:id="579" w:name="_Toc16599"/>
      <w:bookmarkStart w:id="580" w:name="_Toc11586"/>
      <w:bookmarkStart w:id="581" w:name="_Toc289"/>
      <w:bookmarkStart w:id="582" w:name="_Toc32396"/>
      <w:bookmarkStart w:id="583" w:name="_Toc29732"/>
      <w:bookmarkStart w:id="584" w:name="_Toc7538"/>
      <w:r>
        <w:rPr>
          <w:snapToGrid w:val="0"/>
        </w:rPr>
        <w:t>第</w:t>
      </w:r>
      <w:r>
        <w:rPr>
          <w:rFonts w:hint="eastAsia"/>
          <w:snapToGrid w:val="0"/>
        </w:rPr>
        <w:t>1</w:t>
      </w:r>
      <w:r>
        <w:rPr>
          <w:rFonts w:hint="eastAsia"/>
          <w:snapToGrid w:val="0"/>
          <w:lang w:val="en-US" w:eastAsia="zh-CN"/>
        </w:rPr>
        <w:t>80</w:t>
      </w:r>
      <w:r>
        <w:rPr>
          <w:snapToGrid w:val="0"/>
        </w:rPr>
        <w:t>条 对乡镇规划的传导指引</w:t>
      </w:r>
      <w:bookmarkEnd w:id="579"/>
      <w:bookmarkEnd w:id="580"/>
      <w:bookmarkEnd w:id="581"/>
    </w:p>
    <w:p w14:paraId="053597F6">
      <w:pPr>
        <w:rPr>
          <w:u w:val="none"/>
        </w:rPr>
      </w:pPr>
      <w:r>
        <w:rPr>
          <w:u w:val="none"/>
        </w:rPr>
        <w:t>按照事权明晰、管控有效、上下协调、面向实施的原则，有效指导下</w:t>
      </w:r>
      <w:r>
        <w:rPr>
          <w:rFonts w:hint="eastAsia"/>
          <w:u w:val="none"/>
        </w:rPr>
        <w:t>级</w:t>
      </w:r>
      <w:r>
        <w:rPr>
          <w:u w:val="none"/>
        </w:rPr>
        <w:t>国土空间规划、详细规划、相关专项规划的编制。</w:t>
      </w:r>
    </w:p>
    <w:p w14:paraId="5AB3CA29">
      <w:pPr>
        <w:rPr>
          <w:u w:val="none"/>
        </w:rPr>
      </w:pPr>
      <w:r>
        <w:rPr>
          <w:u w:val="none"/>
        </w:rPr>
        <w:t>明确强制性要求：包括县域国土空间规划分区和用途管制规则、三条控制线、县级以上重大交通及公共服务设施、历史文化保护范围与控制要求。</w:t>
      </w:r>
    </w:p>
    <w:p w14:paraId="2CC35113">
      <w:pPr>
        <w:rPr>
          <w:u w:val="none"/>
        </w:rPr>
      </w:pPr>
      <w:r>
        <w:rPr>
          <w:u w:val="none"/>
        </w:rPr>
        <w:t>制定引导性内容，包含乡镇定位目标、乡镇空间优化、品质提升要求，以及重要公共服务设施和基础设施布局等内容。</w:t>
      </w:r>
    </w:p>
    <w:p w14:paraId="134E5E8C">
      <w:pPr>
        <w:rPr>
          <w:u w:val="none"/>
        </w:rPr>
      </w:pPr>
      <w:r>
        <w:rPr>
          <w:rFonts w:hint="eastAsia" w:ascii="楷体_GB2312" w:hAnsi="楷体_GB2312" w:eastAsia="楷体_GB2312" w:cs="楷体_GB2312"/>
          <w:u w:val="none"/>
        </w:rPr>
        <w:t>东方红镇（东方红林业局）：</w:t>
      </w:r>
      <w:r>
        <w:rPr>
          <w:u w:val="none"/>
        </w:rPr>
        <w:t>针对东方红镇林业经济等优势资源，将东方红镇建设成为小城镇经济开发示范镇，虎林市北部区域副中心城镇，以林产品加工业、山产品加工业、农副产品加工业、旅游业为主的城镇。深入挖掘内部存量建设用地，完善产业结构，统筹迎春镇（八五四农场、迎春林业局）、阿北乡建设北药山林蜂药区。</w:t>
      </w:r>
    </w:p>
    <w:p w14:paraId="0664A776">
      <w:pPr>
        <w:rPr>
          <w:u w:val="none"/>
        </w:rPr>
      </w:pPr>
      <w:r>
        <w:rPr>
          <w:rFonts w:ascii="楷体_GB2312" w:hAnsi="楷体_GB2312" w:eastAsia="楷体_GB2312" w:cs="楷体_GB2312"/>
          <w:u w:val="none"/>
        </w:rPr>
        <w:t>迎春镇（八五四农场、迎春林业局）：</w:t>
      </w:r>
      <w:r>
        <w:rPr>
          <w:u w:val="none"/>
        </w:rPr>
        <w:t>依托迎春镇北药发展意向及发展优势，建设迎春镇为黑龙江省级小城镇经济开发示范镇，以机械加工业、林产品加工业、农副产品加工业为主的城镇。完善优化集镇综合服务功能，提升教育、文化、医疗等公共服务设施品质，改善人居环境；增强规划实施调控的弹性，结合康体旅游项目开发、农业设施、乡村设施等建设逐步推进。深入挖掘内部存量建设用地，统筹东方红镇（东方红林业局）、阿北乡建设北药山林蜂药区。</w:t>
      </w:r>
    </w:p>
    <w:p w14:paraId="596D2D02">
      <w:pPr>
        <w:rPr>
          <w:u w:val="none"/>
        </w:rPr>
      </w:pPr>
      <w:r>
        <w:rPr>
          <w:rFonts w:ascii="楷体_GB2312" w:hAnsi="楷体_GB2312" w:eastAsia="楷体_GB2312" w:cs="楷体_GB2312"/>
          <w:u w:val="none"/>
        </w:rPr>
        <w:t>杨岗镇：</w:t>
      </w:r>
      <w:r>
        <w:rPr>
          <w:u w:val="none"/>
        </w:rPr>
        <w:t>依托现有优势农业以及交通资源，建设杨岗镇为虎林市西部区域副中心城镇，以绿色米业加工、农副产品加工以及休闲旅游为主的城镇。规划打响休闲农业与都市农业游品牌，打造虎林西部地区重要的生态休闲旅游基地。统筹云山</w:t>
      </w:r>
      <w:r>
        <w:rPr>
          <w:rFonts w:eastAsia="仿宋"/>
          <w:u w:val="none"/>
        </w:rPr>
        <w:t>农场</w:t>
      </w:r>
      <w:r>
        <w:rPr>
          <w:u w:val="none"/>
        </w:rPr>
        <w:t>、八五六</w:t>
      </w:r>
      <w:r>
        <w:rPr>
          <w:rFonts w:eastAsia="仿宋"/>
          <w:u w:val="none"/>
        </w:rPr>
        <w:t>农场</w:t>
      </w:r>
      <w:r>
        <w:rPr>
          <w:u w:val="none"/>
        </w:rPr>
        <w:t>、八五</w:t>
      </w:r>
      <w:r>
        <w:rPr>
          <w:rFonts w:hint="eastAsia" w:ascii="宋体" w:hAnsi="宋体" w:eastAsia="宋体" w:cs="宋体"/>
          <w:u w:val="none"/>
        </w:rPr>
        <w:t>〇</w:t>
      </w:r>
      <w:r>
        <w:rPr>
          <w:rFonts w:eastAsia="仿宋"/>
          <w:u w:val="none"/>
        </w:rPr>
        <w:t>农场</w:t>
      </w:r>
      <w:r>
        <w:rPr>
          <w:u w:val="none"/>
        </w:rPr>
        <w:t>建设农副产品区。</w:t>
      </w:r>
    </w:p>
    <w:p w14:paraId="5C3355FA">
      <w:pPr>
        <w:rPr>
          <w:u w:val="none"/>
        </w:rPr>
      </w:pPr>
      <w:r>
        <w:rPr>
          <w:rFonts w:ascii="楷体_GB2312" w:hAnsi="楷体_GB2312" w:eastAsia="楷体_GB2312" w:cs="楷体_GB2312"/>
          <w:u w:val="none"/>
        </w:rPr>
        <w:t>八五八农场：</w:t>
      </w:r>
      <w:r>
        <w:rPr>
          <w:u w:val="none"/>
        </w:rPr>
        <w:t>依据八五八</w:t>
      </w:r>
      <w:r>
        <w:rPr>
          <w:rFonts w:eastAsia="仿宋"/>
          <w:u w:val="none"/>
        </w:rPr>
        <w:t>农场</w:t>
      </w:r>
      <w:r>
        <w:rPr>
          <w:u w:val="none"/>
        </w:rPr>
        <w:t>场部现状职能和自身发展条件，以及区域整体发展趋势，判定其在不同区域范围内所具有的职能。本次规划确定八五八</w:t>
      </w:r>
      <w:r>
        <w:rPr>
          <w:rFonts w:eastAsia="仿宋"/>
          <w:u w:val="none"/>
        </w:rPr>
        <w:t>农场</w:t>
      </w:r>
      <w:r>
        <w:rPr>
          <w:u w:val="none"/>
        </w:rPr>
        <w:t>场部的城镇性质为：八五八</w:t>
      </w:r>
      <w:r>
        <w:rPr>
          <w:rFonts w:eastAsia="仿宋"/>
          <w:u w:val="none"/>
        </w:rPr>
        <w:t>农场</w:t>
      </w:r>
      <w:r>
        <w:rPr>
          <w:u w:val="none"/>
        </w:rPr>
        <w:t>是场域的经济、文化中心，是以农副产品精深加工、边境贸易及旅游为主的滨水宜居园林城。结合吉祥口岸升级建设对俄贸易区。</w:t>
      </w:r>
    </w:p>
    <w:p w14:paraId="0B14AEC3">
      <w:pPr>
        <w:rPr>
          <w:u w:val="none"/>
        </w:rPr>
      </w:pPr>
      <w:r>
        <w:rPr>
          <w:rFonts w:ascii="楷体_GB2312" w:hAnsi="楷体_GB2312" w:eastAsia="楷体_GB2312" w:cs="楷体_GB2312"/>
          <w:u w:val="none"/>
        </w:rPr>
        <w:t>虎头镇：</w:t>
      </w:r>
      <w:r>
        <w:rPr>
          <w:u w:val="none"/>
        </w:rPr>
        <w:t>虎头镇地处黑龙江东部旅游资源密集区，这里风景壮阔秀丽、历史文化悠久，具有许多独特的旅游资源。如自然资源：乌苏里江、大湿地、原始森林、千亩荷塘等等；人文资源：虎头要塞、二战终结地、北大荒文化、珍宝岛战役、虎头关帝庙等等。未来发展方向主要为建设小城镇经济开发示范镇，旅游名镇，虎林市东部区域副中心城镇，重点发展边境生态旅游业。预留部分用地指标位于城镇西侧，统筹珍宝岛乡建设生态旅游区。</w:t>
      </w:r>
    </w:p>
    <w:p w14:paraId="4C083D1F">
      <w:pPr>
        <w:rPr>
          <w:u w:val="none"/>
        </w:rPr>
      </w:pPr>
      <w:r>
        <w:rPr>
          <w:rFonts w:ascii="楷体_GB2312" w:hAnsi="楷体_GB2312" w:eastAsia="楷体_GB2312" w:cs="楷体_GB2312"/>
          <w:u w:val="none"/>
        </w:rPr>
        <w:t>珍宝岛乡：</w:t>
      </w:r>
      <w:r>
        <w:rPr>
          <w:u w:val="none"/>
        </w:rPr>
        <w:t>以城乡发展一体化为导向，以“百村示范千村达标”活动为载体，努力建设规划布局合理、基础设施完善、环境生态优良、公共服务均等、龙江特色鲜明的美丽乡村，用成千上万个美丽乡村共筑美丽龙江。建设珍宝岛乡黑龙江省旅游名镇，以山产品加工业、农副产品加工、集散为主的集镇。统筹虎头镇建设生态旅游区。</w:t>
      </w:r>
    </w:p>
    <w:p w14:paraId="20CE4349">
      <w:pPr>
        <w:rPr>
          <w:u w:val="none"/>
        </w:rPr>
      </w:pPr>
      <w:r>
        <w:rPr>
          <w:rFonts w:ascii="楷体_GB2312" w:hAnsi="楷体_GB2312" w:eastAsia="楷体_GB2312" w:cs="楷体_GB2312"/>
          <w:u w:val="none"/>
        </w:rPr>
        <w:t>宝东镇：</w:t>
      </w:r>
      <w:r>
        <w:rPr>
          <w:u w:val="none"/>
        </w:rPr>
        <w:t>宝东镇发展应当立足于农业资源优势，发展多元化的经济增长点，加强一、二、三产的合理建设，以建设和谐社会为目标，全面推进社会经济的可持续发展。以绿色米业加工业、农副产品加工、休闲旅游、集散为主的城镇。助力虎林镇中心城区建设核心经济圈。结合现有园区建设，于城镇西侧预留建设用地指标，为城镇建设预留空间。</w:t>
      </w:r>
    </w:p>
    <w:p w14:paraId="6AD6D1BD">
      <w:pPr>
        <w:rPr>
          <w:u w:val="none"/>
        </w:rPr>
      </w:pPr>
      <w:r>
        <w:rPr>
          <w:rFonts w:ascii="楷体_GB2312" w:hAnsi="楷体_GB2312" w:eastAsia="楷体_GB2312" w:cs="楷体_GB2312"/>
          <w:u w:val="none"/>
        </w:rPr>
        <w:t>云山农场：</w:t>
      </w:r>
      <w:r>
        <w:rPr>
          <w:u w:val="none"/>
        </w:rPr>
        <w:t>落实高质量发展要求，坚持稳中求进总基调，统筹推进稳增长、促改革、调结构、惠民生等举措。建设云山</w:t>
      </w:r>
      <w:r>
        <w:rPr>
          <w:rFonts w:eastAsia="仿宋"/>
          <w:u w:val="none"/>
        </w:rPr>
        <w:t>农场</w:t>
      </w:r>
      <w:r>
        <w:rPr>
          <w:u w:val="none"/>
        </w:rPr>
        <w:t>以农副产品加工、集散为主的城镇。统筹杨岗镇、八五</w:t>
      </w:r>
      <w:r>
        <w:rPr>
          <w:rFonts w:hint="eastAsia" w:ascii="宋体" w:hAnsi="宋体" w:eastAsia="宋体" w:cs="宋体"/>
          <w:u w:val="none"/>
        </w:rPr>
        <w:t>〇</w:t>
      </w:r>
      <w:r>
        <w:rPr>
          <w:rFonts w:eastAsia="仿宋"/>
          <w:u w:val="none"/>
        </w:rPr>
        <w:t>农场</w:t>
      </w:r>
      <w:r>
        <w:rPr>
          <w:u w:val="none"/>
        </w:rPr>
        <w:t>、八五六</w:t>
      </w:r>
      <w:r>
        <w:rPr>
          <w:rFonts w:eastAsia="仿宋"/>
          <w:u w:val="none"/>
        </w:rPr>
        <w:t>农场</w:t>
      </w:r>
      <w:r>
        <w:rPr>
          <w:u w:val="none"/>
        </w:rPr>
        <w:t>建设农副产品区。</w:t>
      </w:r>
    </w:p>
    <w:p w14:paraId="7749FD8A">
      <w:pPr>
        <w:rPr>
          <w:u w:val="none"/>
        </w:rPr>
      </w:pPr>
      <w:r>
        <w:rPr>
          <w:rFonts w:ascii="楷体_GB2312" w:hAnsi="楷体_GB2312" w:eastAsia="楷体_GB2312" w:cs="楷体_GB2312"/>
          <w:u w:val="none"/>
        </w:rPr>
        <w:t>八五</w:t>
      </w:r>
      <w:r>
        <w:rPr>
          <w:rFonts w:hint="eastAsia" w:ascii="宋体" w:hAnsi="宋体" w:eastAsia="宋体" w:cs="宋体"/>
          <w:u w:val="none"/>
        </w:rPr>
        <w:t>〇</w:t>
      </w:r>
      <w:r>
        <w:rPr>
          <w:rFonts w:ascii="楷体_GB2312" w:hAnsi="楷体_GB2312" w:eastAsia="楷体_GB2312" w:cs="楷体_GB2312"/>
          <w:u w:val="none"/>
        </w:rPr>
        <w:t>农场：</w:t>
      </w:r>
      <w:r>
        <w:rPr>
          <w:u w:val="none"/>
        </w:rPr>
        <w:t>八五</w:t>
      </w:r>
      <w:r>
        <w:rPr>
          <w:rFonts w:hint="eastAsia" w:ascii="宋体" w:hAnsi="宋体" w:eastAsia="宋体" w:cs="宋体"/>
          <w:u w:val="none"/>
        </w:rPr>
        <w:t>〇</w:t>
      </w:r>
      <w:r>
        <w:rPr>
          <w:u w:val="none"/>
        </w:rPr>
        <w:t>农场境内环境优美，资源丰富。土特产品主要有</w:t>
      </w:r>
      <w:r>
        <w:fldChar w:fldCharType="begin"/>
      </w:r>
      <w:r>
        <w:instrText xml:space="preserve"> HYPERLINK "https://www.baike.com/wikiid/1424435803993162716?from=wiki_content&amp;prd=innerlink" \t "https://www.baike.com/wikiid/_blank" </w:instrText>
      </w:r>
      <w:r>
        <w:fldChar w:fldCharType="separate"/>
      </w:r>
      <w:r>
        <w:rPr>
          <w:u w:val="none"/>
        </w:rPr>
        <w:t>木耳</w:t>
      </w:r>
      <w:r>
        <w:rPr>
          <w:u w:val="none"/>
        </w:rPr>
        <w:fldChar w:fldCharType="end"/>
      </w:r>
      <w:r>
        <w:rPr>
          <w:u w:val="none"/>
        </w:rPr>
        <w:t>、蘑菇、猴头、</w:t>
      </w:r>
      <w:r>
        <w:fldChar w:fldCharType="begin"/>
      </w:r>
      <w:r>
        <w:instrText xml:space="preserve"> HYPERLINK "https://www.baike.com/wikiid/5543702501159397532?from=wiki_content&amp;prd=innerlink" \t "https://www.baike.com/wikiid/_blank" </w:instrText>
      </w:r>
      <w:r>
        <w:fldChar w:fldCharType="separate"/>
      </w:r>
      <w:r>
        <w:rPr>
          <w:u w:val="none"/>
        </w:rPr>
        <w:t>榛子</w:t>
      </w:r>
      <w:r>
        <w:rPr>
          <w:u w:val="none"/>
        </w:rPr>
        <w:fldChar w:fldCharType="end"/>
      </w:r>
      <w:r>
        <w:rPr>
          <w:u w:val="none"/>
        </w:rPr>
        <w:t>、蕨菜、</w:t>
      </w:r>
      <w:r>
        <w:fldChar w:fldCharType="begin"/>
      </w:r>
      <w:r>
        <w:instrText xml:space="preserve"> HYPERLINK "https://www.baike.com/wikiid/7749382511038294461?from=wiki_content&amp;prd=innerlink" \t "https://www.baike.com/wikiid/_blank" </w:instrText>
      </w:r>
      <w:r>
        <w:fldChar w:fldCharType="separate"/>
      </w:r>
      <w:r>
        <w:rPr>
          <w:u w:val="none"/>
        </w:rPr>
        <w:t>薇菜</w:t>
      </w:r>
      <w:r>
        <w:rPr>
          <w:u w:val="none"/>
        </w:rPr>
        <w:fldChar w:fldCharType="end"/>
      </w:r>
      <w:r>
        <w:rPr>
          <w:u w:val="none"/>
        </w:rPr>
        <w:t>等野生山产品，野生药材</w:t>
      </w:r>
      <w:r>
        <w:rPr>
          <w:rFonts w:hint="eastAsia"/>
          <w:u w:val="none"/>
        </w:rPr>
        <w:t>主</w:t>
      </w:r>
      <w:r>
        <w:rPr>
          <w:u w:val="none"/>
        </w:rPr>
        <w:t>要有人参、</w:t>
      </w:r>
      <w:r>
        <w:fldChar w:fldCharType="begin"/>
      </w:r>
      <w:r>
        <w:instrText xml:space="preserve"> HYPERLINK "https://www.baike.com/wikiid/1807971511261079029?from=wiki_content&amp;prd=innerlink" \t "https://www.baike.com/wikiid/_blank" </w:instrText>
      </w:r>
      <w:r>
        <w:fldChar w:fldCharType="separate"/>
      </w:r>
      <w:r>
        <w:rPr>
          <w:u w:val="none"/>
        </w:rPr>
        <w:t>五味子</w:t>
      </w:r>
      <w:r>
        <w:rPr>
          <w:u w:val="none"/>
        </w:rPr>
        <w:fldChar w:fldCharType="end"/>
      </w:r>
      <w:r>
        <w:rPr>
          <w:u w:val="none"/>
        </w:rPr>
        <w:t>、</w:t>
      </w:r>
      <w:r>
        <w:fldChar w:fldCharType="begin"/>
      </w:r>
      <w:r>
        <w:instrText xml:space="preserve"> HYPERLINK "https://www.baike.com/wikiid/5117029526412627721?from=wiki_content&amp;prd=innerlink" \t "https://www.baike.com/wikiid/_blank" </w:instrText>
      </w:r>
      <w:r>
        <w:fldChar w:fldCharType="separate"/>
      </w:r>
      <w:r>
        <w:rPr>
          <w:u w:val="none"/>
        </w:rPr>
        <w:t>刺五加</w:t>
      </w:r>
      <w:r>
        <w:rPr>
          <w:u w:val="none"/>
        </w:rPr>
        <w:fldChar w:fldCharType="end"/>
      </w:r>
      <w:r>
        <w:rPr>
          <w:u w:val="none"/>
        </w:rPr>
        <w:t>、</w:t>
      </w:r>
      <w:r>
        <w:fldChar w:fldCharType="begin"/>
      </w:r>
      <w:r>
        <w:instrText xml:space="preserve"> HYPERLINK "https://www.baike.com/wikiid/8734403673513132983?from=wiki_content&amp;prd=innerlink" \t "https://www.baike.com/wikiid/_blank" </w:instrText>
      </w:r>
      <w:r>
        <w:fldChar w:fldCharType="separate"/>
      </w:r>
      <w:r>
        <w:rPr>
          <w:u w:val="none"/>
        </w:rPr>
        <w:t>冬青</w:t>
      </w:r>
      <w:r>
        <w:rPr>
          <w:u w:val="none"/>
        </w:rPr>
        <w:fldChar w:fldCharType="end"/>
      </w:r>
      <w:r>
        <w:rPr>
          <w:u w:val="none"/>
        </w:rPr>
        <w:t>等，建设以农业种植、农副产品加工以及集散为主的集镇。统筹杨岗镇、八五六农场、云山农场建设农副产品区。</w:t>
      </w:r>
    </w:p>
    <w:p w14:paraId="0A3BCE75">
      <w:pPr>
        <w:rPr>
          <w:u w:val="none"/>
        </w:rPr>
      </w:pPr>
      <w:r>
        <w:rPr>
          <w:rFonts w:ascii="楷体_GB2312" w:hAnsi="楷体_GB2312" w:eastAsia="楷体_GB2312" w:cs="楷体_GB2312"/>
          <w:u w:val="none"/>
        </w:rPr>
        <w:t>八五六农场：</w:t>
      </w:r>
      <w:r>
        <w:rPr>
          <w:u w:val="none"/>
        </w:rPr>
        <w:t>八五六农场区域内地势平坦，土质肥沃，自然资源丰富，发展潜力巨大。主要盛产水稻、大小麦、大豆、玉米、青贮饲料等</w:t>
      </w:r>
      <w:r>
        <w:fldChar w:fldCharType="begin"/>
      </w:r>
      <w:r>
        <w:instrText xml:space="preserve"> HYPERLINK "https://wapbaike.baidu.com/item/%E7%BB%8F%E6%B5%8E%E4%BD%9C%E7%89%A9/6442251" </w:instrText>
      </w:r>
      <w:r>
        <w:fldChar w:fldCharType="separate"/>
      </w:r>
      <w:r>
        <w:rPr>
          <w:u w:val="none"/>
        </w:rPr>
        <w:t>经济作物</w:t>
      </w:r>
      <w:r>
        <w:rPr>
          <w:u w:val="none"/>
        </w:rPr>
        <w:fldChar w:fldCharType="end"/>
      </w:r>
      <w:r>
        <w:rPr>
          <w:u w:val="none"/>
        </w:rPr>
        <w:t>。建设以农业种植、农副产品加工以及集散为主的集镇。统筹杨岗镇、八五</w:t>
      </w:r>
      <w:r>
        <w:rPr>
          <w:rFonts w:hint="eastAsia" w:ascii="宋体" w:hAnsi="宋体" w:eastAsia="宋体" w:cs="宋体"/>
          <w:u w:val="none"/>
        </w:rPr>
        <w:t>〇</w:t>
      </w:r>
      <w:r>
        <w:rPr>
          <w:u w:val="none"/>
        </w:rPr>
        <w:t>农场、云山农场建设农副产品区。</w:t>
      </w:r>
    </w:p>
    <w:p w14:paraId="60EFA12F">
      <w:pPr>
        <w:rPr>
          <w:u w:val="none"/>
        </w:rPr>
      </w:pPr>
      <w:r>
        <w:rPr>
          <w:rFonts w:ascii="楷体_GB2312" w:hAnsi="楷体_GB2312" w:eastAsia="楷体_GB2312" w:cs="楷体_GB2312"/>
          <w:u w:val="none"/>
        </w:rPr>
        <w:t>新乐乡：</w:t>
      </w:r>
      <w:r>
        <w:rPr>
          <w:u w:val="none"/>
        </w:rPr>
        <w:t>重在完善优化集镇综合服务功能，提升教育、文化、医疗等公共服务设施品质，改善人居环境，建设以建材加工、农副产品加工、集散为主的集镇。融入中心城区核心经济圈，统筹基础设施建设，优化人居环境，打造幸福集镇。</w:t>
      </w:r>
    </w:p>
    <w:p w14:paraId="12C5F554">
      <w:pPr>
        <w:rPr>
          <w:u w:val="none"/>
        </w:rPr>
      </w:pPr>
      <w:r>
        <w:rPr>
          <w:rFonts w:ascii="楷体_GB2312" w:hAnsi="楷体_GB2312" w:eastAsia="楷体_GB2312" w:cs="楷体_GB2312"/>
          <w:u w:val="none"/>
        </w:rPr>
        <w:t>伟光乡：</w:t>
      </w:r>
      <w:r>
        <w:rPr>
          <w:u w:val="none"/>
        </w:rPr>
        <w:t>重在完善优化集镇综合服务功能，提升教育、文化、医疗等公共服务设施品质，改善人居环境，建设农副产品加工、集散为主的集镇。融入中心城区核心经济圈，统筹基础设施建设，优化人居环境，打造幸福集镇。</w:t>
      </w:r>
    </w:p>
    <w:p w14:paraId="086D0A78">
      <w:pPr>
        <w:rPr>
          <w:u w:val="none"/>
        </w:rPr>
      </w:pPr>
      <w:r>
        <w:rPr>
          <w:rFonts w:ascii="楷体_GB2312" w:hAnsi="楷体_GB2312" w:eastAsia="楷体_GB2312" w:cs="楷体_GB2312"/>
          <w:u w:val="none"/>
        </w:rPr>
        <w:t>阿北乡：</w:t>
      </w:r>
      <w:r>
        <w:rPr>
          <w:u w:val="none"/>
        </w:rPr>
        <w:t>立足本乡实际，调结构、强基础、抓党建、促民生，结合主题教育活动，积极谋划明年工作思路，农副产品加工、集散为主的集镇。统筹迎春镇（八五四农场、迎春林业局）、东方红镇（东方红林业局）建设北药山林蜂药区。</w:t>
      </w:r>
    </w:p>
    <w:p w14:paraId="4F6A1F4C">
      <w:pPr>
        <w:rPr>
          <w:u w:val="none"/>
        </w:rPr>
      </w:pPr>
      <w:r>
        <w:rPr>
          <w:rFonts w:ascii="楷体_GB2312" w:hAnsi="楷体_GB2312" w:eastAsia="楷体_GB2312" w:cs="楷体_GB2312"/>
          <w:u w:val="none"/>
        </w:rPr>
        <w:t>东诚镇：</w:t>
      </w:r>
      <w:r>
        <w:rPr>
          <w:u w:val="none"/>
        </w:rPr>
        <w:t>重在完善优化集镇综合服务功能，提升教育、文化、医疗等公共服务设施品质，改善人居环境，建设以食品加工、农副产品加工、特色种植养殖、集散为主的城镇。助力中心城区建设核心经济圈。</w:t>
      </w:r>
    </w:p>
    <w:p w14:paraId="45882C9E">
      <w:pPr>
        <w:rPr>
          <w:u w:val="none"/>
        </w:rPr>
      </w:pPr>
      <w:r>
        <w:rPr>
          <w:rFonts w:ascii="楷体_GB2312" w:hAnsi="楷体_GB2312" w:eastAsia="楷体_GB2312" w:cs="楷体_GB2312"/>
          <w:u w:val="none"/>
        </w:rPr>
        <w:t>庆丰农场：</w:t>
      </w:r>
      <w:r>
        <w:rPr>
          <w:u w:val="none"/>
        </w:rPr>
        <w:t>落实高质量发展要求，坚持稳中求进总基调，统筹推进稳增长、促改革、调结构、惠民生等举措。建设庆丰以农业种植、农副产品加工以及集散为主的集镇。协调融入虎林市核心经济圈。另外庆丰农场与虎林市中心城区距离较近，基础设施整体统筹建设。</w:t>
      </w:r>
    </w:p>
    <w:p w14:paraId="1C1FD9DA">
      <w:pPr>
        <w:pStyle w:val="5"/>
        <w:spacing w:before="120" w:after="120"/>
        <w:rPr>
          <w:snapToGrid w:val="0"/>
        </w:rPr>
      </w:pPr>
      <w:r>
        <w:rPr>
          <w:snapToGrid w:val="0"/>
        </w:rPr>
        <w:t>第</w:t>
      </w:r>
      <w:r>
        <w:rPr>
          <w:rFonts w:hint="eastAsia"/>
          <w:snapToGrid w:val="0"/>
        </w:rPr>
        <w:t>1</w:t>
      </w:r>
      <w:r>
        <w:rPr>
          <w:rFonts w:hint="eastAsia"/>
          <w:snapToGrid w:val="0"/>
          <w:lang w:val="en-US" w:eastAsia="zh-CN"/>
        </w:rPr>
        <w:t>81</w:t>
      </w:r>
      <w:r>
        <w:rPr>
          <w:snapToGrid w:val="0"/>
        </w:rPr>
        <w:t>条 对专项规划传导指引</w:t>
      </w:r>
      <w:bookmarkEnd w:id="582"/>
      <w:bookmarkEnd w:id="583"/>
      <w:bookmarkEnd w:id="584"/>
    </w:p>
    <w:p w14:paraId="65C8C651">
      <w:pPr>
        <w:rPr>
          <w:u w:val="none"/>
        </w:rPr>
      </w:pPr>
      <w:r>
        <w:rPr>
          <w:u w:val="none"/>
        </w:rPr>
        <w:t>市县国土空间总体规划应提出需要编制的相关专项规划及任务要求，明确专项规划深化细化的方向和重点，切实发挥总体规划对各相关专项规划的指导约束作用。自然保护地等特定区域（流域），跨县（市）组群城市或城镇圈，交通、能源、水利、农业、信息、市政等基础设施，各类公共服务设施，军事设施，以及涉及生态环境保护修复、历史文化和文物保护、国土整治、矿产资源保护利用、安全防灾等需在空间上进行细化安排的特定领域，应当编制专项规划。</w:t>
      </w:r>
    </w:p>
    <w:p w14:paraId="679801A3">
      <w:pPr>
        <w:pStyle w:val="5"/>
        <w:spacing w:before="120" w:after="120"/>
        <w:rPr>
          <w:snapToGrid w:val="0"/>
        </w:rPr>
      </w:pPr>
      <w:bookmarkStart w:id="585" w:name="_Toc31690"/>
      <w:bookmarkStart w:id="586" w:name="_Toc11126"/>
      <w:bookmarkStart w:id="587" w:name="_Toc4958"/>
      <w:r>
        <w:rPr>
          <w:snapToGrid w:val="0"/>
        </w:rPr>
        <w:t>第</w:t>
      </w:r>
      <w:r>
        <w:rPr>
          <w:rFonts w:hint="eastAsia"/>
          <w:snapToGrid w:val="0"/>
        </w:rPr>
        <w:t>1</w:t>
      </w:r>
      <w:r>
        <w:rPr>
          <w:rFonts w:hint="eastAsia"/>
          <w:snapToGrid w:val="0"/>
          <w:lang w:val="en-US" w:eastAsia="zh-CN"/>
        </w:rPr>
        <w:t>82</w:t>
      </w:r>
      <w:r>
        <w:rPr>
          <w:snapToGrid w:val="0"/>
        </w:rPr>
        <w:t>条 详细规划传导指引</w:t>
      </w:r>
      <w:bookmarkEnd w:id="585"/>
      <w:bookmarkEnd w:id="586"/>
      <w:bookmarkEnd w:id="587"/>
    </w:p>
    <w:p w14:paraId="2FED4459">
      <w:pPr>
        <w:rPr>
          <w:u w:val="none"/>
        </w:rPr>
      </w:pPr>
      <w:r>
        <w:rPr>
          <w:u w:val="none"/>
        </w:rPr>
        <w:t>明确需要向各编制单元传导的功能定位、核心指标、管控边界和要求。其中建设用地规模、容积率、建筑密度以及绿地和水域面积、道路网密度等应作为约束性指标向下传递，城市黄线、蓝线、绿线、紫线以及城市快速路和主次干路的走向、红线宽度应作为刚性要素层层落实。总体规划层面无法具体落位的公共服务设施和市政基础设施，应对总量、结构、布局等提出分解落实要求。根据不同编制单元主导功能，提出差异化的引导要求，生活区应突出不同等级社区生活圈的构建，生产区应突出土地效能的提升，生态区应突出生态价值的发挥。还应对高度、风貌等空间形态、历史遗产保护、城市设计及其他内容提出控制引导要求。</w:t>
      </w:r>
    </w:p>
    <w:p w14:paraId="11AEB237">
      <w:pPr>
        <w:pStyle w:val="5"/>
        <w:spacing w:before="120" w:after="120"/>
        <w:rPr>
          <w:snapToGrid w:val="0"/>
        </w:rPr>
      </w:pPr>
      <w:bookmarkStart w:id="588" w:name="_Toc18023"/>
      <w:bookmarkStart w:id="589" w:name="_Toc1617"/>
      <w:bookmarkStart w:id="590" w:name="_Toc26594"/>
      <w:r>
        <w:rPr>
          <w:snapToGrid w:val="0"/>
        </w:rPr>
        <w:t>第</w:t>
      </w:r>
      <w:r>
        <w:rPr>
          <w:rFonts w:hint="eastAsia"/>
          <w:snapToGrid w:val="0"/>
        </w:rPr>
        <w:t>18</w:t>
      </w:r>
      <w:r>
        <w:rPr>
          <w:rFonts w:hint="eastAsia"/>
          <w:snapToGrid w:val="0"/>
          <w:lang w:val="en-US" w:eastAsia="zh-CN"/>
        </w:rPr>
        <w:t>3</w:t>
      </w:r>
      <w:r>
        <w:rPr>
          <w:snapToGrid w:val="0"/>
        </w:rPr>
        <w:t>条 “三区三线”传导指引</w:t>
      </w:r>
      <w:bookmarkEnd w:id="588"/>
      <w:bookmarkEnd w:id="589"/>
      <w:bookmarkEnd w:id="590"/>
    </w:p>
    <w:p w14:paraId="77D97F84">
      <w:pPr>
        <w:rPr>
          <w:u w:val="none"/>
        </w:rPr>
      </w:pPr>
      <w:r>
        <w:rPr>
          <w:u w:val="none"/>
        </w:rPr>
        <w:t>统筹优化生态、农业和城镇三类空间以及生态保护红线、永久基本农田保护红线和城镇开发边界的空间控制线的基础上，根据不同控制线的空间耦合关系和管控要求对全域进行分区分类引导，重点针对生态保护红线内区域、非集中建设区和城镇开发边界内区域三类重点地区进行落实，确保约束性指标和管控要求向下位规划进行传导。</w:t>
      </w:r>
    </w:p>
    <w:p w14:paraId="289862C4">
      <w:pPr>
        <w:rPr>
          <w:u w:val="none"/>
        </w:rPr>
      </w:pPr>
      <w:r>
        <w:rPr>
          <w:u w:val="none"/>
        </w:rPr>
        <w:t>1.生态保护红线区域的规划传导</w:t>
      </w:r>
    </w:p>
    <w:p w14:paraId="2312D7F6">
      <w:pPr>
        <w:rPr>
          <w:u w:val="none"/>
        </w:rPr>
      </w:pPr>
      <w:r>
        <w:rPr>
          <w:u w:val="none"/>
        </w:rPr>
        <w:t>对生态保护红线内的重要生态格局要素，建立“名录+边界+指标”的基数管理工具框架，拟定“管控要求+职责清单+实施主体的”行政事权清单及各级法律法规、规章制度清单。边界管控是对各类需要明确界定的保护区、保护红线、政策区域等，通过定界、立桩、挂牌等综合技术手段落实边界线。指标管控是对管控工作实施的量化安排和考核的依据。名录管控是指将重点的保护区、管控区等各类生态要素进行登记、造册、建档。</w:t>
      </w:r>
    </w:p>
    <w:p w14:paraId="0B9A4091">
      <w:pPr>
        <w:rPr>
          <w:u w:val="none"/>
        </w:rPr>
      </w:pPr>
      <w:r>
        <w:rPr>
          <w:u w:val="none"/>
        </w:rPr>
        <w:t>2.非集中建设区</w:t>
      </w:r>
    </w:p>
    <w:p w14:paraId="62F8994C">
      <w:pPr>
        <w:rPr>
          <w:u w:val="none"/>
        </w:rPr>
      </w:pPr>
      <w:r>
        <w:rPr>
          <w:u w:val="none"/>
        </w:rPr>
        <w:t>非集中建设区的管控政策，在生态空间构建合理的生态安全格局下，制定相应的生态保护和修复对策；而对于农业空间则应合理保证</w:t>
      </w:r>
      <w:r>
        <w:rPr>
          <w:rFonts w:hint="eastAsia"/>
          <w:u w:val="none"/>
        </w:rPr>
        <w:t>农产品</w:t>
      </w:r>
      <w:r>
        <w:rPr>
          <w:u w:val="none"/>
        </w:rPr>
        <w:t>生产区主体功能，服务于合理的城乡统筹，在对农转用制定政策约束的基础上合理支撑大农业体系构建和乡村振兴发展。在非集中建设区应实现“全域结构性规划</w:t>
      </w:r>
      <w:r>
        <w:rPr>
          <w:rFonts w:hint="eastAsia"/>
          <w:u w:val="none"/>
        </w:rPr>
        <w:t>—</w:t>
      </w:r>
      <w:r>
        <w:rPr>
          <w:u w:val="none"/>
        </w:rPr>
        <w:t>片区导则</w:t>
      </w:r>
      <w:r>
        <w:rPr>
          <w:rFonts w:hint="eastAsia"/>
          <w:u w:val="none"/>
        </w:rPr>
        <w:t>—</w:t>
      </w:r>
      <w:r>
        <w:rPr>
          <w:u w:val="none"/>
        </w:rPr>
        <w:t>项目策划”三层次规划指引和管控体系。</w:t>
      </w:r>
    </w:p>
    <w:p w14:paraId="2D841844">
      <w:pPr>
        <w:rPr>
          <w:u w:val="none"/>
        </w:rPr>
      </w:pPr>
      <w:r>
        <w:rPr>
          <w:u w:val="none"/>
        </w:rPr>
        <w:t>3.城镇开发边界区</w:t>
      </w:r>
    </w:p>
    <w:p w14:paraId="5F0494E7">
      <w:pPr>
        <w:rPr>
          <w:u w:val="none"/>
        </w:rPr>
      </w:pPr>
      <w:r>
        <w:rPr>
          <w:u w:val="none"/>
        </w:rPr>
        <w:t>城镇开发边界内区域的管控重点是有序管控土地开发进程，优化城镇空间布局，提高土地利用集约性和利用效率，确保保障城市服务功能和公众利益的设施</w:t>
      </w:r>
      <w:r>
        <w:rPr>
          <w:rFonts w:hint="eastAsia"/>
          <w:u w:val="none"/>
        </w:rPr>
        <w:t>能够及时</w:t>
      </w:r>
      <w:r>
        <w:rPr>
          <w:u w:val="none"/>
        </w:rPr>
        <w:t>落地。加强对发展单元的功能引导、城市设计和开发强度引导。将片区功能、城市特色空间格局、开发强度管控和城市设计要求细化到发展单元引导中，进一步彰显不同发展单元的文化和生态特色。</w:t>
      </w:r>
    </w:p>
    <w:p w14:paraId="2BD5C1D8">
      <w:pPr>
        <w:pStyle w:val="4"/>
        <w:widowControl w:val="0"/>
        <w:snapToGrid/>
        <w:spacing w:before="120" w:beforeLines="50" w:after="120" w:afterLines="50" w:line="600" w:lineRule="exact"/>
        <w:ind w:firstLine="0" w:firstLineChars="0"/>
        <w:rPr>
          <w:b w:val="0"/>
          <w:bCs w:val="0"/>
          <w:color w:val="auto"/>
          <w:u w:val="none"/>
        </w:rPr>
      </w:pPr>
      <w:bookmarkStart w:id="591" w:name="_Toc181784493"/>
      <w:bookmarkStart w:id="592" w:name="_Toc181784703"/>
      <w:bookmarkStart w:id="593" w:name="_Toc7112"/>
      <w:bookmarkStart w:id="594" w:name="_Toc181784633"/>
      <w:r>
        <w:rPr>
          <w:rFonts w:hint="eastAsia"/>
          <w:b w:val="0"/>
          <w:bCs w:val="0"/>
          <w:color w:val="auto"/>
          <w:u w:val="none"/>
        </w:rPr>
        <w:t>第六节 近期行动计划</w:t>
      </w:r>
      <w:bookmarkEnd w:id="591"/>
      <w:bookmarkEnd w:id="592"/>
      <w:bookmarkEnd w:id="593"/>
      <w:bookmarkEnd w:id="594"/>
    </w:p>
    <w:p w14:paraId="3095FF97">
      <w:pPr>
        <w:pStyle w:val="5"/>
        <w:spacing w:before="120" w:after="120"/>
        <w:rPr>
          <w:snapToGrid w:val="0"/>
        </w:rPr>
      </w:pPr>
      <w:bookmarkStart w:id="595" w:name="_Toc6135"/>
      <w:bookmarkStart w:id="596" w:name="_Toc16978"/>
      <w:bookmarkStart w:id="597" w:name="_Toc11601"/>
      <w:r>
        <w:rPr>
          <w:snapToGrid w:val="0"/>
        </w:rPr>
        <w:t>第</w:t>
      </w:r>
      <w:r>
        <w:rPr>
          <w:rFonts w:hint="eastAsia"/>
          <w:snapToGrid w:val="0"/>
        </w:rPr>
        <w:t>18</w:t>
      </w:r>
      <w:r>
        <w:rPr>
          <w:rFonts w:hint="eastAsia"/>
          <w:snapToGrid w:val="0"/>
          <w:lang w:val="en-US" w:eastAsia="zh-CN"/>
        </w:rPr>
        <w:t>4</w:t>
      </w:r>
      <w:r>
        <w:rPr>
          <w:snapToGrid w:val="0"/>
        </w:rPr>
        <w:t>条 分期实施目标与重点任务</w:t>
      </w:r>
      <w:bookmarkEnd w:id="595"/>
      <w:bookmarkEnd w:id="596"/>
      <w:bookmarkEnd w:id="597"/>
    </w:p>
    <w:p w14:paraId="294A1F30">
      <w:pPr>
        <w:rPr>
          <w:rFonts w:eastAsia="仿宋"/>
          <w:u w:val="none"/>
        </w:rPr>
      </w:pPr>
      <w:r>
        <w:rPr>
          <w:u w:val="none"/>
        </w:rPr>
        <w:t>虎林中心城区近期发展以西岗区建设和老城区改造并重，建设完善铁南工业园区。</w:t>
      </w:r>
    </w:p>
    <w:p w14:paraId="324019A2">
      <w:pPr>
        <w:rPr>
          <w:u w:val="none"/>
        </w:rPr>
      </w:pPr>
      <w:r>
        <w:rPr>
          <w:u w:val="none"/>
        </w:rPr>
        <w:t>加强国土规划与各项规划的协调，按照规划确定的近期目标要求，按照规定进行城市体检评估工作，确保近期安排项目的实施。</w:t>
      </w:r>
    </w:p>
    <w:p w14:paraId="2AD0FF3D">
      <w:pPr>
        <w:rPr>
          <w:u w:val="none"/>
        </w:rPr>
      </w:pPr>
      <w:r>
        <w:rPr>
          <w:u w:val="none"/>
        </w:rPr>
        <w:t>1.居住区建设</w:t>
      </w:r>
    </w:p>
    <w:p w14:paraId="4476FFFE">
      <w:pPr>
        <w:rPr>
          <w:u w:val="none"/>
        </w:rPr>
      </w:pPr>
      <w:r>
        <w:rPr>
          <w:u w:val="none"/>
        </w:rPr>
        <w:t>主要以老城片区改造为主，重点为棚户区改造，完善原有小区配套建设。加强居住区环境改善和绿化建设。西岗片区重点为西大沟与市政府周边的小区开发。</w:t>
      </w:r>
    </w:p>
    <w:p w14:paraId="79420BBE">
      <w:pPr>
        <w:rPr>
          <w:u w:val="none"/>
        </w:rPr>
      </w:pPr>
      <w:r>
        <w:rPr>
          <w:u w:val="none"/>
        </w:rPr>
        <w:t>2.公共服务设施建设</w:t>
      </w:r>
    </w:p>
    <w:p w14:paraId="46F1854E">
      <w:pPr>
        <w:rPr>
          <w:u w:val="none"/>
        </w:rPr>
      </w:pPr>
      <w:r>
        <w:rPr>
          <w:u w:val="none"/>
        </w:rPr>
        <w:t>重点对老城区市级行政办公建筑主要进行立面整饰，改善城市街道立面景观。结合市政府聚集，建设西岗区的市级行政中心。</w:t>
      </w:r>
    </w:p>
    <w:p w14:paraId="163A80B2">
      <w:pPr>
        <w:rPr>
          <w:u w:val="none"/>
        </w:rPr>
      </w:pPr>
      <w:r>
        <w:rPr>
          <w:u w:val="none"/>
        </w:rPr>
        <w:t>近期在实验小学原址建设老城区大型商贸中心，打造西岗片区级商业中心。改造马路市场，退路进厅，规划在城市东入口临近苗圃处设置农资农机具交易市场。</w:t>
      </w:r>
    </w:p>
    <w:p w14:paraId="1D911779">
      <w:pPr>
        <w:rPr>
          <w:u w:val="none"/>
        </w:rPr>
      </w:pPr>
      <w:r>
        <w:rPr>
          <w:u w:val="none"/>
        </w:rPr>
        <w:t>改造、修缮影剧院，建立老城区的多功能群众活动中心；在西岗区与老城区临近处建立以博物馆、图书馆为主的综合性文化活动中心；完善老城区文化中心。</w:t>
      </w:r>
    </w:p>
    <w:p w14:paraId="756B74E6">
      <w:pPr>
        <w:rPr>
          <w:u w:val="none"/>
        </w:rPr>
      </w:pPr>
      <w:r>
        <w:rPr>
          <w:u w:val="none"/>
        </w:rPr>
        <w:t>规划在现有体育场北部预留扩建场地，在西岗区新建体育场馆。</w:t>
      </w:r>
    </w:p>
    <w:p w14:paraId="23101968">
      <w:pPr>
        <w:rPr>
          <w:u w:val="none"/>
        </w:rPr>
      </w:pPr>
      <w:r>
        <w:rPr>
          <w:u w:val="none"/>
        </w:rPr>
        <w:t>规划进一步改善现有医院的条件，扩建人民医院，在各居住区建设相应的社区医院和专类医院。</w:t>
      </w:r>
    </w:p>
    <w:p w14:paraId="460B8209">
      <w:pPr>
        <w:rPr>
          <w:u w:val="none"/>
        </w:rPr>
      </w:pPr>
      <w:r>
        <w:rPr>
          <w:u w:val="none"/>
        </w:rPr>
        <w:t>推动建设职中教育规模，实现专业技术人才的培养。</w:t>
      </w:r>
    </w:p>
    <w:p w14:paraId="11E9C286">
      <w:pPr>
        <w:rPr>
          <w:u w:val="none"/>
        </w:rPr>
      </w:pPr>
      <w:r>
        <w:rPr>
          <w:u w:val="none"/>
        </w:rPr>
        <w:t>3.工业区建设</w:t>
      </w:r>
    </w:p>
    <w:p w14:paraId="1E16BC47">
      <w:pPr>
        <w:rPr>
          <w:u w:val="none"/>
        </w:rPr>
      </w:pPr>
      <w:r>
        <w:rPr>
          <w:u w:val="none"/>
        </w:rPr>
        <w:t>加快实施老城区工业用地的升级改造和功能置换，对无污染的工业可以继续保留；对有一定污染的工业应限制其发展规模，严格做到达标排放；限制城区内部二、三类工业的发展。</w:t>
      </w:r>
    </w:p>
    <w:p w14:paraId="3961E16F">
      <w:pPr>
        <w:rPr>
          <w:u w:val="none"/>
        </w:rPr>
      </w:pPr>
      <w:r>
        <w:rPr>
          <w:u w:val="none"/>
        </w:rPr>
        <w:t>改造西岗区的热电厂、齿轮厂、乌苏里江制药厂，对废水废气进行相应的处理，厂区内部大面积绿化，厂区外种植防护林带；禁止城区内部二、三类工业的发展。</w:t>
      </w:r>
    </w:p>
    <w:p w14:paraId="74B521B1">
      <w:pPr>
        <w:rPr>
          <w:u w:val="none"/>
        </w:rPr>
      </w:pPr>
      <w:r>
        <w:rPr>
          <w:u w:val="none"/>
        </w:rPr>
        <w:t>加快铁南工业园区的建设，加快建设东部新兴的沿边开放的药业发展加工基地、绿色食品加工基地和商贸物流基地。</w:t>
      </w:r>
    </w:p>
    <w:p w14:paraId="7CCFCE8F">
      <w:pPr>
        <w:rPr>
          <w:u w:val="none"/>
        </w:rPr>
      </w:pPr>
      <w:r>
        <w:rPr>
          <w:u w:val="none"/>
        </w:rPr>
        <w:t>4.道路交通建设</w:t>
      </w:r>
    </w:p>
    <w:p w14:paraId="200D592C">
      <w:pPr>
        <w:rPr>
          <w:u w:val="none"/>
        </w:rPr>
      </w:pPr>
      <w:r>
        <w:rPr>
          <w:u w:val="none"/>
        </w:rPr>
        <w:t>改造现有的铁路客站，包括铁路客运站与周边建筑的立面改造，站前广场改造。</w:t>
      </w:r>
    </w:p>
    <w:p w14:paraId="7B0E145D">
      <w:pPr>
        <w:rPr>
          <w:u w:val="none"/>
        </w:rPr>
      </w:pPr>
      <w:r>
        <w:rPr>
          <w:u w:val="none"/>
        </w:rPr>
        <w:t>近期修建爱民西街西部延长线、北兴街西部延长线（平安路</w:t>
      </w:r>
      <w:r>
        <w:rPr>
          <w:rFonts w:hint="eastAsia"/>
          <w:u w:val="none"/>
        </w:rPr>
        <w:t>—</w:t>
      </w:r>
      <w:r>
        <w:rPr>
          <w:u w:val="none"/>
        </w:rPr>
        <w:t>振兴路），西岗区新建致富路；工业街改造拓宽建设工程。</w:t>
      </w:r>
    </w:p>
    <w:p w14:paraId="3AF2171E">
      <w:pPr>
        <w:rPr>
          <w:u w:val="none"/>
        </w:rPr>
      </w:pPr>
      <w:r>
        <w:rPr>
          <w:u w:val="none"/>
        </w:rPr>
        <w:t>加快城市道路网络建设，完善老区路网改造。新建电业街、希望街、保健路东部延长线和西部改造拓宽、育才路改造拓宽；老城区局部支路建设和改造。继续铁南工业园区道路建设和改造。近期在老城北部规划一处公交场站用地，兼做公共停车场；加强在旧城中心区的主要商业区（胜利街）、带状绿地（东沟、西沟带状公园）的步行空间建设，构建连续的步行空间。</w:t>
      </w:r>
    </w:p>
    <w:p w14:paraId="67416A49">
      <w:pPr>
        <w:rPr>
          <w:u w:val="none"/>
        </w:rPr>
      </w:pPr>
      <w:r>
        <w:rPr>
          <w:u w:val="none"/>
        </w:rPr>
        <w:t>加强中心区停车场地的建设，停车场主要分布在火车站、人民医院、体育场、三中以及步行街附近，附近没有公共停车场的公共建筑应参照《停车场规划设计规范（试行）》建设停车场。</w:t>
      </w:r>
    </w:p>
    <w:p w14:paraId="36DCDFCC">
      <w:pPr>
        <w:rPr>
          <w:u w:val="none"/>
        </w:rPr>
      </w:pPr>
      <w:r>
        <w:rPr>
          <w:u w:val="none"/>
        </w:rPr>
        <w:t>5.园林绿地建设</w:t>
      </w:r>
    </w:p>
    <w:p w14:paraId="09531FF7">
      <w:pPr>
        <w:rPr>
          <w:u w:val="none"/>
        </w:rPr>
      </w:pPr>
      <w:r>
        <w:rPr>
          <w:u w:val="none"/>
        </w:rPr>
        <w:t>通过东山公园的扩建，北兴公园的建设，以及一系列小型街头绿地的插建，推动铁北区绿地初步形成网络结构。</w:t>
      </w:r>
    </w:p>
    <w:p w14:paraId="15341FA1">
      <w:pPr>
        <w:rPr>
          <w:u w:val="none"/>
        </w:rPr>
      </w:pPr>
      <w:bookmarkStart w:id="598" w:name="_Toc272587668"/>
      <w:r>
        <w:rPr>
          <w:u w:val="none"/>
        </w:rPr>
        <w:t>通过西沟启动区的带状公园和水上公园的建设，进一步拉动城市向西岗区发展</w:t>
      </w:r>
      <w:bookmarkEnd w:id="598"/>
      <w:r>
        <w:rPr>
          <w:u w:val="none"/>
        </w:rPr>
        <w:t>，通过知青公园、学子公园、市政公园的进一步建设、完善，带动西岗区的发展，提升城市形象和品位。</w:t>
      </w:r>
    </w:p>
    <w:p w14:paraId="117D2950">
      <w:pPr>
        <w:rPr>
          <w:u w:val="none"/>
        </w:rPr>
      </w:pPr>
      <w:bookmarkStart w:id="599" w:name="_Toc272587669"/>
      <w:r>
        <w:rPr>
          <w:u w:val="none"/>
        </w:rPr>
        <w:t>铁南区</w:t>
      </w:r>
      <w:bookmarkEnd w:id="599"/>
      <w:r>
        <w:rPr>
          <w:u w:val="none"/>
        </w:rPr>
        <w:t>通过各类用地的发展带动铁南公园、桦树公园等绿地的建设，对于居住区与工业区之间用地做好卫生防护工作。</w:t>
      </w:r>
    </w:p>
    <w:p w14:paraId="78C33B7F">
      <w:pPr>
        <w:rPr>
          <w:u w:val="none"/>
        </w:rPr>
      </w:pPr>
      <w:r>
        <w:rPr>
          <w:u w:val="none"/>
        </w:rPr>
        <w:t>6.生态修复和国土综合整治近期重点</w:t>
      </w:r>
    </w:p>
    <w:p w14:paraId="0D5154EE">
      <w:pPr>
        <w:rPr>
          <w:u w:val="none"/>
        </w:rPr>
      </w:pPr>
      <w:r>
        <w:rPr>
          <w:u w:val="none"/>
        </w:rPr>
        <w:t>近期生态修复以水土流失综合治理为主，采取必要的人工措施进行生境修复和综合治理，加强侵蚀沟治理，开展河道岸线整治、河道治理等，逐步恢复自然景观。着力推进粮食生产功能区和重要农产品生产保护区建设，采取政府财政性资金、市场化融资资金、政府专项债券等方式，扩大资金来源渠道、资金筹措方式，积极推进高标准农田建设，实施耕地质量保护与提升行动，提倡轮作、轮休等耕作模式，不断优化种植结构，保障国家粮食安全和重要农产品有效供给。坚持尊重保护优先，自然恢复和适度人工修复相结合，坚持因矿施策、分类治理，加大废弃矿山修复治理力度。严格落实矿山地质环境治理恢复责任，加快注销矿山修复，推进矿山综合修复治理工程。</w:t>
      </w:r>
      <w:bookmarkStart w:id="600" w:name="_bookmark75"/>
      <w:bookmarkEnd w:id="600"/>
    </w:p>
    <w:p w14:paraId="03AEC1AD">
      <w:pPr>
        <w:pStyle w:val="3"/>
        <w:widowControl w:val="0"/>
        <w:snapToGrid/>
        <w:spacing w:before="10" w:after="10" w:line="600" w:lineRule="exact"/>
        <w:ind w:firstLine="0" w:firstLineChars="0"/>
        <w:jc w:val="center"/>
        <w:rPr>
          <w:rFonts w:ascii="Times New Roman" w:hAnsi="Times New Roman" w:eastAsia="方正小标宋简体"/>
          <w:b w:val="0"/>
          <w:bCs w:val="0"/>
          <w:color w:val="auto"/>
          <w:sz w:val="36"/>
          <w:u w:val="none"/>
        </w:rPr>
      </w:pPr>
      <w:bookmarkStart w:id="601" w:name="_Toc26649_WPSOffice_Level1"/>
      <w:bookmarkStart w:id="602" w:name="_Toc11449_WPSOffice_Level1"/>
      <w:bookmarkStart w:id="603" w:name="_Toc181784704"/>
      <w:bookmarkStart w:id="604" w:name="_Toc25909_WPSOffice_Level1"/>
      <w:bookmarkStart w:id="605" w:name="_Toc21549_WPSOffice_Level1"/>
      <w:bookmarkStart w:id="606" w:name="_Toc32703_WPSOffice_Level1"/>
      <w:bookmarkStart w:id="607" w:name="_Toc26640"/>
      <w:bookmarkStart w:id="608" w:name="_Toc181784634"/>
      <w:bookmarkStart w:id="609" w:name="_Toc132827696"/>
      <w:bookmarkStart w:id="610" w:name="_Toc181784494"/>
      <w:r>
        <w:rPr>
          <w:rFonts w:ascii="Times New Roman" w:hAnsi="Times New Roman" w:eastAsia="方正小标宋简体"/>
          <w:b w:val="0"/>
          <w:bCs w:val="0"/>
          <w:color w:val="auto"/>
          <w:sz w:val="36"/>
          <w:u w:val="none"/>
        </w:rPr>
        <w:t>第十</w:t>
      </w:r>
      <w:r>
        <w:rPr>
          <w:rFonts w:hint="eastAsia" w:ascii="Times New Roman" w:hAnsi="Times New Roman" w:eastAsia="方正小标宋简体"/>
          <w:b w:val="0"/>
          <w:bCs w:val="0"/>
          <w:color w:val="auto"/>
          <w:sz w:val="36"/>
          <w:u w:val="none"/>
        </w:rPr>
        <w:t>二</w:t>
      </w:r>
      <w:r>
        <w:rPr>
          <w:rFonts w:ascii="Times New Roman" w:hAnsi="Times New Roman" w:eastAsia="方正小标宋简体"/>
          <w:b w:val="0"/>
          <w:bCs w:val="0"/>
          <w:color w:val="auto"/>
          <w:sz w:val="36"/>
          <w:u w:val="none"/>
        </w:rPr>
        <w:t>章 附则</w:t>
      </w:r>
      <w:bookmarkEnd w:id="601"/>
      <w:bookmarkEnd w:id="602"/>
      <w:bookmarkEnd w:id="603"/>
      <w:bookmarkEnd w:id="604"/>
      <w:bookmarkEnd w:id="605"/>
      <w:bookmarkEnd w:id="606"/>
      <w:bookmarkEnd w:id="607"/>
      <w:bookmarkEnd w:id="608"/>
      <w:bookmarkEnd w:id="609"/>
      <w:bookmarkEnd w:id="610"/>
    </w:p>
    <w:p w14:paraId="49B5CE66">
      <w:pPr>
        <w:pStyle w:val="5"/>
        <w:spacing w:before="120" w:after="120"/>
        <w:rPr>
          <w:snapToGrid w:val="0"/>
        </w:rPr>
      </w:pPr>
      <w:r>
        <w:rPr>
          <w:snapToGrid w:val="0"/>
        </w:rPr>
        <w:t>第</w:t>
      </w:r>
      <w:r>
        <w:rPr>
          <w:rFonts w:hint="eastAsia"/>
          <w:snapToGrid w:val="0"/>
        </w:rPr>
        <w:t>18</w:t>
      </w:r>
      <w:r>
        <w:rPr>
          <w:rFonts w:hint="eastAsia"/>
          <w:snapToGrid w:val="0"/>
          <w:lang w:val="en-US" w:eastAsia="zh-CN"/>
        </w:rPr>
        <w:t>5</w:t>
      </w:r>
      <w:r>
        <w:rPr>
          <w:snapToGrid w:val="0"/>
        </w:rPr>
        <w:t>条 规划实施</w:t>
      </w:r>
    </w:p>
    <w:p w14:paraId="3497A625">
      <w:pPr>
        <w:rPr>
          <w:u w:val="none"/>
        </w:rPr>
      </w:pPr>
      <w:r>
        <w:rPr>
          <w:u w:val="none"/>
        </w:rPr>
        <w:t>《虎林市国土空间总体规划（2021</w:t>
      </w:r>
      <w:r>
        <w:rPr>
          <w:rFonts w:hint="eastAsia"/>
          <w:u w:val="none"/>
        </w:rPr>
        <w:t>—</w:t>
      </w:r>
      <w:r>
        <w:rPr>
          <w:u w:val="none"/>
        </w:rPr>
        <w:t>2035年）》经黑龙江省人民政府批准后，由虎林市人民政府组织实施。虎林市自然资源局作为《虎林市国土空间总体规划（2021</w:t>
      </w:r>
      <w:r>
        <w:rPr>
          <w:rFonts w:hint="eastAsia"/>
          <w:u w:val="none"/>
        </w:rPr>
        <w:t>—</w:t>
      </w:r>
      <w:r>
        <w:rPr>
          <w:u w:val="none"/>
        </w:rPr>
        <w:t>2035年）》具体实施的管理和监督机构，对《虎林市国土空间总体规划（2021</w:t>
      </w:r>
      <w:r>
        <w:rPr>
          <w:rFonts w:hint="eastAsia"/>
          <w:u w:val="none"/>
        </w:rPr>
        <w:t>—</w:t>
      </w:r>
      <w:r>
        <w:rPr>
          <w:u w:val="none"/>
        </w:rPr>
        <w:t>2035年）》的执行和实施情况要进行检查、监督，并向虎林市人民政府报告。</w:t>
      </w:r>
    </w:p>
    <w:p w14:paraId="6501DAF2">
      <w:pPr>
        <w:pStyle w:val="5"/>
        <w:spacing w:before="120" w:after="120"/>
        <w:rPr>
          <w:snapToGrid w:val="0"/>
        </w:rPr>
      </w:pPr>
      <w:r>
        <w:rPr>
          <w:snapToGrid w:val="0"/>
        </w:rPr>
        <w:t>第</w:t>
      </w:r>
      <w:r>
        <w:rPr>
          <w:rFonts w:hint="eastAsia"/>
          <w:snapToGrid w:val="0"/>
        </w:rPr>
        <w:t>18</w:t>
      </w:r>
      <w:r>
        <w:rPr>
          <w:rFonts w:hint="eastAsia"/>
          <w:snapToGrid w:val="0"/>
          <w:lang w:val="en-US" w:eastAsia="zh-CN"/>
        </w:rPr>
        <w:t>6</w:t>
      </w:r>
      <w:r>
        <w:rPr>
          <w:snapToGrid w:val="0"/>
        </w:rPr>
        <w:t>条 规划修改</w:t>
      </w:r>
    </w:p>
    <w:p w14:paraId="7BEF67D7">
      <w:pPr>
        <w:rPr>
          <w:u w:val="none"/>
        </w:rPr>
      </w:pPr>
      <w:r>
        <w:rPr>
          <w:u w:val="none"/>
        </w:rPr>
        <w:t>《虎林市国土空间总体规划（2021</w:t>
      </w:r>
      <w:r>
        <w:rPr>
          <w:rFonts w:hint="eastAsia"/>
          <w:u w:val="none"/>
        </w:rPr>
        <w:t>—</w:t>
      </w:r>
      <w:r>
        <w:rPr>
          <w:u w:val="none"/>
        </w:rPr>
        <w:t>2035年）》一经批复，必须严格执行，任何部门和个人不得随意修改、违规变更。因国家重大战略调整、重大项目建设或行政区划调整等确需修改规划的，须先经规划审批机关同意后，方可按法定程序进行修改。对国土空间规划编制和实施过程中的违规违纪违法行为，要严格追究责任。</w:t>
      </w:r>
    </w:p>
    <w:p w14:paraId="37B46206">
      <w:pPr>
        <w:pStyle w:val="2"/>
        <w:ind w:firstLine="199" w:firstLineChars="83"/>
        <w:rPr>
          <w:rFonts w:hint="eastAsia"/>
        </w:rPr>
      </w:pPr>
    </w:p>
    <w:p w14:paraId="698C6635">
      <w:pPr>
        <w:rPr>
          <w:rFonts w:hint="eastAsia"/>
        </w:rPr>
      </w:pPr>
    </w:p>
    <w:p w14:paraId="134B1891">
      <w:pPr>
        <w:pStyle w:val="2"/>
        <w:ind w:firstLine="480"/>
        <w:rPr>
          <w:rFonts w:hint="eastAsia"/>
        </w:rPr>
      </w:pPr>
    </w:p>
    <w:p w14:paraId="68208173">
      <w:pPr>
        <w:rPr>
          <w:rFonts w:hint="eastAsia"/>
        </w:rPr>
      </w:pPr>
    </w:p>
    <w:p w14:paraId="1CF26BC0">
      <w:pPr>
        <w:pStyle w:val="2"/>
        <w:ind w:firstLine="480"/>
        <w:rPr>
          <w:rFonts w:hint="eastAsia"/>
        </w:rPr>
      </w:pPr>
    </w:p>
    <w:p w14:paraId="1A825908">
      <w:pPr>
        <w:sectPr>
          <w:headerReference r:id="rId7" w:type="default"/>
          <w:footerReference r:id="rId8" w:type="default"/>
          <w:pgSz w:w="11906" w:h="16839"/>
          <w:pgMar w:top="1440" w:right="1797" w:bottom="1440" w:left="1797" w:header="850" w:footer="850" w:gutter="0"/>
          <w:pgNumType w:start="1"/>
          <w:cols w:space="720" w:num="1"/>
        </w:sectPr>
      </w:pPr>
    </w:p>
    <w:p w14:paraId="62EB8969">
      <w:pPr>
        <w:rPr>
          <w:rFonts w:hint="eastAsia"/>
        </w:rPr>
      </w:pPr>
    </w:p>
    <w:p w14:paraId="7B42EE53">
      <w:pPr>
        <w:pStyle w:val="2"/>
        <w:ind w:firstLine="480"/>
      </w:pPr>
    </w:p>
    <w:p w14:paraId="28CDA596"/>
    <w:p w14:paraId="392EA5A4">
      <w:pPr>
        <w:pStyle w:val="25"/>
        <w:ind w:left="420" w:firstLine="480"/>
        <w:rPr>
          <w:rFonts w:hAnsi="Times New Roman"/>
        </w:rPr>
      </w:pPr>
    </w:p>
    <w:p w14:paraId="346E5F3B">
      <w:pPr>
        <w:pStyle w:val="25"/>
        <w:ind w:left="420" w:firstLine="480"/>
        <w:rPr>
          <w:rFonts w:hAnsi="Times New Roman"/>
        </w:rPr>
      </w:pPr>
    </w:p>
    <w:p w14:paraId="282077CE">
      <w:pPr>
        <w:pStyle w:val="25"/>
        <w:ind w:left="420" w:firstLine="480"/>
        <w:rPr>
          <w:rFonts w:hAnsi="Times New Roman"/>
        </w:rPr>
      </w:pPr>
    </w:p>
    <w:p w14:paraId="29FB05E8">
      <w:pPr>
        <w:pStyle w:val="25"/>
        <w:ind w:left="420" w:firstLine="480"/>
        <w:rPr>
          <w:rFonts w:hAnsi="Times New Roman"/>
        </w:rPr>
      </w:pPr>
    </w:p>
    <w:p w14:paraId="5C33F3D3">
      <w:pPr>
        <w:pStyle w:val="25"/>
        <w:ind w:left="420" w:firstLine="480"/>
        <w:rPr>
          <w:rFonts w:hAnsi="Times New Roman"/>
        </w:rPr>
      </w:pPr>
    </w:p>
    <w:p w14:paraId="10CED1D9">
      <w:pPr>
        <w:pStyle w:val="25"/>
        <w:ind w:left="420" w:firstLine="480"/>
        <w:rPr>
          <w:rFonts w:hAnsi="Times New Roman"/>
        </w:rPr>
      </w:pPr>
    </w:p>
    <w:p w14:paraId="2A30D46A">
      <w:pPr>
        <w:pStyle w:val="25"/>
        <w:ind w:left="420" w:firstLine="480"/>
        <w:rPr>
          <w:rFonts w:hAnsi="Times New Roman"/>
        </w:rPr>
      </w:pPr>
    </w:p>
    <w:p w14:paraId="6EB20AFC">
      <w:pPr>
        <w:pStyle w:val="25"/>
        <w:ind w:left="420" w:firstLine="480"/>
        <w:rPr>
          <w:rFonts w:hAnsi="Times New Roman"/>
        </w:rPr>
      </w:pPr>
    </w:p>
    <w:p w14:paraId="238AEC18">
      <w:pPr>
        <w:pStyle w:val="25"/>
        <w:ind w:left="420" w:firstLine="480"/>
        <w:rPr>
          <w:rFonts w:hAnsi="Times New Roman"/>
        </w:rPr>
      </w:pPr>
    </w:p>
    <w:p w14:paraId="31AFBFF3">
      <w:pPr>
        <w:pStyle w:val="25"/>
        <w:ind w:left="420" w:firstLine="480"/>
        <w:rPr>
          <w:rFonts w:hAnsi="Times New Roman"/>
        </w:rPr>
      </w:pPr>
    </w:p>
    <w:p w14:paraId="54A52C51">
      <w:pPr>
        <w:pStyle w:val="25"/>
        <w:ind w:left="420" w:firstLine="480"/>
        <w:rPr>
          <w:rFonts w:hAnsi="Times New Roman"/>
        </w:rPr>
      </w:pPr>
    </w:p>
    <w:p w14:paraId="19F8078E">
      <w:pPr>
        <w:pStyle w:val="25"/>
        <w:ind w:left="420" w:firstLine="480"/>
        <w:rPr>
          <w:rFonts w:hAnsi="Times New Roman"/>
        </w:rPr>
      </w:pPr>
    </w:p>
    <w:p w14:paraId="2807573C">
      <w:pPr>
        <w:pStyle w:val="25"/>
        <w:ind w:left="420" w:firstLine="480"/>
        <w:rPr>
          <w:rFonts w:hAnsi="Times New Roman"/>
        </w:rPr>
      </w:pPr>
    </w:p>
    <w:p w14:paraId="0D2953F9">
      <w:pPr>
        <w:pStyle w:val="25"/>
        <w:ind w:left="420" w:firstLine="480"/>
        <w:rPr>
          <w:rFonts w:hAnsi="Times New Roman"/>
        </w:rPr>
      </w:pPr>
    </w:p>
    <w:p w14:paraId="1865CA28">
      <w:pPr>
        <w:pStyle w:val="25"/>
        <w:ind w:left="420" w:firstLine="480"/>
        <w:rPr>
          <w:rFonts w:hAnsi="Times New Roman"/>
        </w:rPr>
      </w:pPr>
    </w:p>
    <w:p w14:paraId="604376CA">
      <w:pPr>
        <w:pStyle w:val="25"/>
        <w:ind w:left="420" w:firstLine="480"/>
        <w:rPr>
          <w:rFonts w:hAnsi="Times New Roman"/>
        </w:rPr>
      </w:pPr>
    </w:p>
    <w:p w14:paraId="6E9D56D1">
      <w:pPr>
        <w:pStyle w:val="25"/>
        <w:ind w:left="420" w:firstLine="480"/>
        <w:rPr>
          <w:rFonts w:hAnsi="Times New Roman"/>
        </w:rPr>
      </w:pPr>
    </w:p>
    <w:p w14:paraId="53672B63">
      <w:pPr>
        <w:widowControl w:val="0"/>
        <w:snapToGrid/>
        <w:spacing w:line="240" w:lineRule="auto"/>
        <w:ind w:firstLine="0" w:firstLineChars="0"/>
        <w:rPr>
          <w:rFonts w:eastAsia="宋体"/>
          <w:color w:val="auto"/>
          <w:sz w:val="21"/>
          <w:szCs w:val="24"/>
          <w:u w:val="none"/>
        </w:rPr>
      </w:pPr>
    </w:p>
    <w:p w14:paraId="6D98C742">
      <w:pPr>
        <w:widowControl w:val="0"/>
        <w:snapToGrid/>
        <w:spacing w:line="240" w:lineRule="auto"/>
        <w:ind w:firstLine="0" w:firstLineChars="0"/>
        <w:rPr>
          <w:rFonts w:eastAsia="宋体"/>
          <w:color w:val="auto"/>
          <w:sz w:val="21"/>
          <w:szCs w:val="24"/>
          <w:u w:val="none"/>
        </w:rPr>
      </w:pPr>
    </w:p>
    <w:p w14:paraId="4E08409E">
      <w:pPr>
        <w:pStyle w:val="13"/>
        <w:widowControl w:val="0"/>
        <w:snapToGrid/>
        <w:spacing w:line="500" w:lineRule="exact"/>
        <w:ind w:firstLine="0" w:firstLineChars="0"/>
        <w:rPr>
          <w:rFonts w:hint="eastAsia" w:ascii="Times New Roman" w:hAnsi="Times New Roman"/>
          <w:color w:val="000000"/>
          <w:sz w:val="28"/>
          <w:szCs w:val="28"/>
          <w:highlight w:val="none"/>
          <w:u w:val="none"/>
        </w:rPr>
      </w:pPr>
      <w:r>
        <w:rPr>
          <w:rFonts w:hint="eastAsia" w:ascii="Times New Roman" w:hAnsi="Times New Roman"/>
          <w:color w:val="000000"/>
          <w:sz w:val="28"/>
          <w:szCs w:val="28"/>
          <w:highlight w:val="none"/>
          <w:u w:val="none"/>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600700" cy="0"/>
                <wp:effectExtent l="0" t="0" r="0" b="0"/>
                <wp:wrapNone/>
                <wp:docPr id="2" name="Line 3"/>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3" o:spid="_x0000_s1026" o:spt="20" style="position:absolute;left:0pt;margin-left:0pt;margin-top:0pt;height:0pt;width:441pt;z-index:251659264;mso-width-relative:page;mso-height-relative:page;" filled="f" stroked="t" coordsize="21600,21600" o:gfxdata="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S566i0AAAAAIBAAAPAAAAAAAAAAEAIAAAACIAAABkcnMv&#10;ZG93bnJldi54bWxQSwECFAAUAAAACACHTuJABc18jtIBAADNAwAADgAAAAAAAAABACAAAAAfAQAA&#10;ZHJzL2Uyb0RvYy54bWxQSwUGAAAAAAYABgBZAQAAYwUAAAAA&#10;">
                <v:fill on="f" focussize="0,0"/>
                <v:stroke color="#000000" joinstyle="round"/>
                <v:imagedata o:title=""/>
                <o:lock v:ext="edit" aspectratio="f"/>
              </v:line>
            </w:pict>
          </mc:Fallback>
        </mc:AlternateContent>
      </w:r>
      <w:r>
        <w:rPr>
          <w:rFonts w:hint="eastAsia" w:ascii="Times New Roman" w:hAnsi="Times New Roman"/>
          <w:color w:val="000000"/>
          <w:sz w:val="28"/>
          <w:szCs w:val="28"/>
          <w:highlight w:val="none"/>
          <w:u w:val="none"/>
        </w:rPr>
        <w:t>抄送：    市委办。</w:t>
      </w:r>
    </w:p>
    <w:p w14:paraId="78C47879">
      <w:pPr>
        <w:pStyle w:val="13"/>
        <w:widowControl w:val="0"/>
        <w:snapToGrid/>
        <w:spacing w:line="500" w:lineRule="exact"/>
        <w:ind w:firstLine="1120" w:firstLineChars="400"/>
        <w:rPr>
          <w:rFonts w:hint="eastAsia" w:ascii="楷体_GB2312" w:hAnsi="Times New Roman" w:eastAsia="楷体_GB2312"/>
          <w:color w:val="auto"/>
          <w:sz w:val="28"/>
          <w:szCs w:val="28"/>
          <w:highlight w:val="none"/>
          <w:u w:val="none"/>
        </w:rPr>
      </w:pPr>
      <w:r>
        <w:rPr>
          <w:rFonts w:ascii="Times New Roman" w:hAnsi="Times New Roman"/>
          <w:color w:val="000000"/>
          <w:sz w:val="28"/>
          <w:szCs w:val="28"/>
          <w:highlight w:val="none"/>
          <w:u w:val="none"/>
        </w:rPr>
        <mc:AlternateContent>
          <mc:Choice Requires="wps">
            <w:drawing>
              <wp:anchor distT="0" distB="0" distL="114300" distR="114300" simplePos="0" relativeHeight="251661312" behindDoc="0" locked="0" layoutInCell="1" allowOverlap="1">
                <wp:simplePos x="0" y="0"/>
                <wp:positionH relativeFrom="column">
                  <wp:posOffset>-10160</wp:posOffset>
                </wp:positionH>
                <wp:positionV relativeFrom="paragraph">
                  <wp:posOffset>305435</wp:posOffset>
                </wp:positionV>
                <wp:extent cx="5600700" cy="0"/>
                <wp:effectExtent l="0" t="0" r="19050" b="19050"/>
                <wp:wrapNone/>
                <wp:docPr id="5" name="Line 5"/>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5" o:spid="_x0000_s1026" o:spt="20" style="position:absolute;left:0pt;margin-left:-0.8pt;margin-top:24.05pt;height:0pt;width:441pt;z-index:251661312;mso-width-relative:page;mso-height-relative:page;" filled="f" stroked="t" coordsize="21600,21600" o:gfxdata="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HudPCzVAAAACAEAAA8AAAAAAAAAAQAgAAAAIgAA&#10;AGRycy9kb3ducmV2LnhtbFBLAQIUABQAAAAIAIdO4kCS0Wpv0gEAAM0DAAAOAAAAAAAAAAEAIAAA&#10;ACQBAABkcnMvZTJvRG9jLnhtbFBLBQYAAAAABgAGAFkBAABoBQAAAAA=&#10;">
                <v:fill on="f" focussize="0,0"/>
                <v:stroke color="#000000" joinstyle="round"/>
                <v:imagedata o:title=""/>
                <o:lock v:ext="edit" aspectratio="f"/>
              </v:line>
            </w:pict>
          </mc:Fallback>
        </mc:AlternateContent>
      </w:r>
      <w:r>
        <w:rPr>
          <w:rFonts w:hint="eastAsia" w:ascii="Times New Roman" w:hAnsi="Times New Roman"/>
          <w:color w:val="000000"/>
          <w:sz w:val="28"/>
          <w:szCs w:val="28"/>
          <w:highlight w:val="none"/>
          <w:u w:val="none"/>
        </w:rPr>
        <w:t>市人大办，市政协办，市法院，市检察院</w:t>
      </w:r>
      <w:r>
        <w:rPr>
          <w:rFonts w:hint="eastAsia" w:ascii="楷体_GB2312" w:hAnsi="Times New Roman" w:eastAsia="楷体_GB2312"/>
          <w:color w:val="auto"/>
          <w:sz w:val="28"/>
          <w:szCs w:val="28"/>
          <w:highlight w:val="none"/>
          <w:u w:val="none"/>
        </w:rPr>
        <w:t>。</w:t>
      </w:r>
    </w:p>
    <w:p w14:paraId="0F7DEA17">
      <w:pPr>
        <w:pStyle w:val="13"/>
        <w:widowControl w:val="0"/>
        <w:snapToGrid/>
        <w:spacing w:line="500" w:lineRule="exact"/>
        <w:ind w:firstLine="0" w:firstLineChars="0"/>
        <w:rPr>
          <w:rFonts w:ascii="Times New Roman" w:hAnsi="Times New Roman"/>
          <w:color w:val="000000"/>
          <w:sz w:val="28"/>
          <w:szCs w:val="28"/>
          <w:highlight w:val="none"/>
          <w:u w:val="none"/>
        </w:rPr>
      </w:pPr>
      <w:r>
        <w:rPr>
          <w:rFonts w:hint="eastAsia" w:ascii="Times New Roman" w:hAnsi="Times New Roman"/>
          <w:color w:val="000000"/>
          <w:sz w:val="28"/>
          <w:szCs w:val="28"/>
          <w:highlight w:val="none"/>
          <w:u w:val="none"/>
        </w:rPr>
        <w:t>虎林市人民政府办公室</w:t>
      </w:r>
      <w:r>
        <w:rPr>
          <w:rFonts w:ascii="Times New Roman" w:hAnsi="Times New Roman"/>
          <w:color w:val="000000"/>
          <w:sz w:val="28"/>
          <w:szCs w:val="28"/>
          <w:highlight w:val="none"/>
          <w:u w:val="none"/>
        </w:rPr>
        <w:t xml:space="preserve">                   </w:t>
      </w:r>
      <w:r>
        <w:rPr>
          <w:rFonts w:hint="eastAsia" w:ascii="Times New Roman" w:hAnsi="Times New Roman"/>
          <w:color w:val="000000"/>
          <w:sz w:val="28"/>
          <w:szCs w:val="28"/>
          <w:highlight w:val="none"/>
          <w:u w:val="none"/>
        </w:rPr>
        <w:t xml:space="preserve">                            </w:t>
      </w:r>
      <w:r>
        <w:rPr>
          <w:rFonts w:ascii="Times New Roman" w:hAnsi="Times New Roman"/>
          <w:color w:val="000000"/>
          <w:sz w:val="28"/>
          <w:szCs w:val="28"/>
          <w:highlight w:val="none"/>
          <w:u w:val="none"/>
        </w:rPr>
        <w:t xml:space="preserve"> 2024</w:t>
      </w:r>
      <w:r>
        <w:rPr>
          <w:rFonts w:hint="eastAsia" w:ascii="Times New Roman" w:hAnsi="Times New Roman"/>
          <w:color w:val="000000"/>
          <w:sz w:val="28"/>
          <w:szCs w:val="28"/>
          <w:highlight w:val="none"/>
          <w:u w:val="none"/>
        </w:rPr>
        <w:t>年</w:t>
      </w:r>
      <w:r>
        <w:rPr>
          <w:rFonts w:hint="eastAsia" w:ascii="Times New Roman" w:hAnsi="Times New Roman"/>
          <w:color w:val="000000"/>
          <w:sz w:val="28"/>
          <w:szCs w:val="28"/>
          <w:highlight w:val="none"/>
          <w:u w:val="none"/>
          <w:lang w:val="en-US" w:eastAsia="zh-CN"/>
        </w:rPr>
        <w:t>11</w:t>
      </w:r>
      <w:r>
        <w:rPr>
          <w:rFonts w:hint="eastAsia" w:ascii="Times New Roman" w:hAnsi="Times New Roman"/>
          <w:color w:val="000000"/>
          <w:sz w:val="28"/>
          <w:szCs w:val="28"/>
          <w:highlight w:val="none"/>
          <w:u w:val="none"/>
        </w:rPr>
        <w:t>月</w:t>
      </w:r>
      <w:r>
        <w:rPr>
          <w:rFonts w:hint="eastAsia" w:ascii="Times New Roman" w:hAnsi="Times New Roman"/>
          <w:color w:val="000000"/>
          <w:sz w:val="28"/>
          <w:szCs w:val="28"/>
          <w:highlight w:val="none"/>
          <w:u w:val="none"/>
          <w:lang w:val="en-US" w:eastAsia="zh-CN"/>
        </w:rPr>
        <w:t>12</w:t>
      </w:r>
      <w:r>
        <w:rPr>
          <w:rFonts w:hint="eastAsia" w:ascii="Times New Roman" w:hAnsi="Times New Roman"/>
          <w:color w:val="000000"/>
          <w:sz w:val="28"/>
          <w:szCs w:val="28"/>
          <w:highlight w:val="none"/>
          <w:u w:val="none"/>
        </w:rPr>
        <w:t>日印发</w:t>
      </w:r>
    </w:p>
    <w:p w14:paraId="52E17BFF">
      <w:pPr>
        <w:widowControl w:val="0"/>
        <w:snapToGrid/>
        <w:spacing w:line="240" w:lineRule="auto"/>
        <w:ind w:firstLine="0" w:firstLineChars="0"/>
        <w:rPr>
          <w:rFonts w:ascii="楷体_GB2312" w:eastAsia="楷体_GB2312"/>
          <w:color w:val="auto"/>
          <w:sz w:val="28"/>
          <w:szCs w:val="28"/>
          <w:highlight w:val="none"/>
          <w:u w:val="none"/>
        </w:rPr>
      </w:pPr>
      <w:r>
        <w:rPr>
          <w:rFonts w:ascii="楷体_GB2312" w:eastAsia="楷体_GB2312"/>
          <w:color w:val="auto"/>
          <w:sz w:val="28"/>
          <w:szCs w:val="28"/>
          <w:highlight w:val="none"/>
          <w:u w:val="none"/>
        </w:rPr>
        <mc:AlternateContent>
          <mc:Choice Requires="wps">
            <w:drawing>
              <wp:anchor distT="0" distB="0" distL="114300" distR="114300" simplePos="0" relativeHeight="251660288" behindDoc="0" locked="0" layoutInCell="1" allowOverlap="1">
                <wp:simplePos x="0" y="0"/>
                <wp:positionH relativeFrom="column">
                  <wp:posOffset>-19685</wp:posOffset>
                </wp:positionH>
                <wp:positionV relativeFrom="paragraph">
                  <wp:posOffset>65405</wp:posOffset>
                </wp:positionV>
                <wp:extent cx="5600700" cy="0"/>
                <wp:effectExtent l="0" t="0" r="19050" b="19050"/>
                <wp:wrapNone/>
                <wp:docPr id="3" name="Line 4"/>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 4" o:spid="_x0000_s1026" o:spt="20" style="position:absolute;left:0pt;margin-left:-1.55pt;margin-top:5.15pt;height:0pt;width:441pt;z-index:251660288;mso-width-relative:page;mso-height-relative:page;" filled="f" stroked="t" coordsize="21600,21600" o:gfxdata="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vtaFl1QAAAAgBAAAPAAAAAAAAAAEAIAAAACIA&#10;AABkcnMvZG93bnJldi54bWxQSwECFAAUAAAACACHTuJAHQXV0NMBAADNAwAADgAAAAAAAAABACAA&#10;AAAkAQAAZHJzL2Uyb0RvYy54bWxQSwUGAAAAAAYABgBZAQAAaQUAAAAA&#10;">
                <v:fill on="f" focussize="0,0"/>
                <v:stroke color="#000000" joinstyle="round"/>
                <v:imagedata o:title=""/>
                <o:lock v:ext="edit" aspectratio="f"/>
              </v:line>
            </w:pict>
          </mc:Fallback>
        </mc:AlternateContent>
      </w:r>
    </w:p>
    <w:sectPr>
      <w:footerReference r:id="rId9" w:type="default"/>
      <w:pgSz w:w="11906" w:h="16839"/>
      <w:pgMar w:top="1134" w:right="1134" w:bottom="1134" w:left="1134" w:header="851" w:footer="851"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2E47AB5-7F3E-48A9-89C3-EB119129169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C9D3920-A329-46D0-8D4E-C17D763FE413}"/>
  </w:font>
  <w:font w:name="仿宋_GB2312">
    <w:panose1 w:val="02010609030101010101"/>
    <w:charset w:val="86"/>
    <w:family w:val="auto"/>
    <w:pitch w:val="default"/>
    <w:sig w:usb0="00000001" w:usb1="080E0000" w:usb2="00000000" w:usb3="00000000" w:csb0="00040000" w:csb1="00000000"/>
    <w:embedRegular r:id="rId3" w:fontKey="{C8DBFAD2-F7C3-47D5-BDED-9AB2797A2F73}"/>
  </w:font>
  <w:font w:name="楷体_GB2312">
    <w:panose1 w:val="02010609030101010101"/>
    <w:charset w:val="86"/>
    <w:family w:val="modern"/>
    <w:pitch w:val="default"/>
    <w:sig w:usb0="00000001" w:usb1="080E0000" w:usb2="00000000" w:usb3="00000000" w:csb0="00040000" w:csb1="00000000"/>
    <w:embedRegular r:id="rId4" w:fontKey="{EC74D115-AB19-4080-BB3D-A0211D376A47}"/>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embedRegular r:id="rId5" w:fontKey="{0A1651FC-B1B7-4B1F-881D-8582B42EEDCD}"/>
  </w:font>
  <w:font w:name="方正小标宋简体">
    <w:panose1 w:val="02000000000000000000"/>
    <w:charset w:val="86"/>
    <w:family w:val="script"/>
    <w:pitch w:val="default"/>
    <w:sig w:usb0="00000001" w:usb1="08000000" w:usb2="00000000" w:usb3="00000000" w:csb0="00040000" w:csb1="00000000"/>
    <w:embedRegular r:id="rId6" w:fontKey="{7297C8BD-81CC-48C5-A714-462CDBD34F26}"/>
  </w:font>
  <w:font w:name="仿宋">
    <w:panose1 w:val="02010609060101010101"/>
    <w:charset w:val="86"/>
    <w:family w:val="modern"/>
    <w:pitch w:val="default"/>
    <w:sig w:usb0="800002BF" w:usb1="38CF7CFA" w:usb2="00000016" w:usb3="00000000" w:csb0="00040001" w:csb1="00000000"/>
    <w:embedRegular r:id="rId7" w:fontKey="{06AD5D89-2599-4276-9858-8B19A8663B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41BA4">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06643358"/>
      <w:docPartObj>
        <w:docPartGallery w:val="autotext"/>
      </w:docPartObj>
    </w:sdtPr>
    <w:sdtContent>
      <w:p w14:paraId="4644789F">
        <w:pPr>
          <w:pStyle w:val="16"/>
          <w:ind w:firstLine="360"/>
          <w:jc w:val="center"/>
        </w:pPr>
        <w:r>
          <w:fldChar w:fldCharType="begin"/>
        </w:r>
        <w:r>
          <w:instrText xml:space="preserve">PAGE   \* MERGEFORMAT</w:instrText>
        </w:r>
        <w:r>
          <w:fldChar w:fldCharType="separate"/>
        </w:r>
        <w:r>
          <w:rPr>
            <w:lang w:val="zh-CN"/>
          </w:rPr>
          <w:t>198</w:t>
        </w:r>
        <w:r>
          <w:fldChar w:fldCharType="end"/>
        </w:r>
      </w:p>
    </w:sdtContent>
  </w:sdt>
  <w:p w14:paraId="7F4DF5A7">
    <w:pPr>
      <w:pStyle w:val="16"/>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65C56">
    <w:pPr>
      <w:pStyle w:val="16"/>
      <w:ind w:firstLine="360"/>
      <w:jc w:val="center"/>
    </w:pPr>
  </w:p>
  <w:p w14:paraId="055A7AC4">
    <w:pPr>
      <w:pStyle w:val="16"/>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0A232">
    <w:pPr>
      <w:pStyle w:val="1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EEE47">
    <w:pPr>
      <w:pStyle w:val="1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899598"/>
    <w:multiLevelType w:val="singleLevel"/>
    <w:tmpl w:val="F5899598"/>
    <w:lvl w:ilvl="0" w:tentative="0">
      <w:start w:val="1"/>
      <w:numFmt w:val="decimal"/>
      <w:pStyle w:val="52"/>
      <w:suff w:val="nothing"/>
      <w:lvlText w:val="第%1条 "/>
      <w:lvlJc w:val="left"/>
      <w:pPr>
        <w:ind w:left="0" w:firstLine="420"/>
      </w:pPr>
      <w:rPr>
        <w:rFonts w:hint="default" w:ascii="楷体" w:hAnsi="楷体" w:eastAsia="楷体" w:cs="楷体"/>
        <w:sz w:val="32"/>
        <w:szCs w:val="32"/>
      </w:rPr>
    </w:lvl>
  </w:abstractNum>
  <w:abstractNum w:abstractNumId="1">
    <w:nsid w:val="4F302902"/>
    <w:multiLevelType w:val="multilevel"/>
    <w:tmpl w:val="4F302902"/>
    <w:lvl w:ilvl="0" w:tentative="0">
      <w:start w:val="1"/>
      <w:numFmt w:val="none"/>
      <w:pStyle w:val="37"/>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1"/>
  <w:bordersDoNotSurroundFooter w:val="1"/>
  <w:hideSpellingErrors/>
  <w:documentProtection w:enforcement="0"/>
  <w:defaultTabStop w:val="420"/>
  <w:noPunctuationKerning w:val="1"/>
  <w:characterSpacingControl w:val="doNotCompress"/>
  <w:footnotePr>
    <w:footnote w:id="0"/>
    <w:footnote w:id="1"/>
  </w:footnotePr>
  <w:endnotePr>
    <w:endnote w:id="0"/>
    <w:endnote w:id="1"/>
  </w:endnotePr>
  <w:compat>
    <w:spaceForUL/>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yNzQyMTBlM2I2YzZjZjFiMjMxOGFlNThiNmY4ZjEifQ=="/>
    <w:docVar w:name="KSO_WPS_MARK_KEY" w:val="f522944b-f6c3-4549-8f9b-f6a18d72be38"/>
  </w:docVars>
  <w:rsids>
    <w:rsidRoot w:val="00F13407"/>
    <w:rsid w:val="000165D0"/>
    <w:rsid w:val="0004069B"/>
    <w:rsid w:val="0004753D"/>
    <w:rsid w:val="000526EA"/>
    <w:rsid w:val="00074CAF"/>
    <w:rsid w:val="00081078"/>
    <w:rsid w:val="00092CC7"/>
    <w:rsid w:val="000A2908"/>
    <w:rsid w:val="000B3D4A"/>
    <w:rsid w:val="000D1909"/>
    <w:rsid w:val="000D3578"/>
    <w:rsid w:val="00113B03"/>
    <w:rsid w:val="00146F24"/>
    <w:rsid w:val="00151F85"/>
    <w:rsid w:val="00153F6D"/>
    <w:rsid w:val="0019391E"/>
    <w:rsid w:val="0019395E"/>
    <w:rsid w:val="00193AD6"/>
    <w:rsid w:val="001A7DEB"/>
    <w:rsid w:val="001B099C"/>
    <w:rsid w:val="001B33F1"/>
    <w:rsid w:val="001D284F"/>
    <w:rsid w:val="001D59AC"/>
    <w:rsid w:val="001F4C0E"/>
    <w:rsid w:val="00214923"/>
    <w:rsid w:val="0022427F"/>
    <w:rsid w:val="002628C6"/>
    <w:rsid w:val="002649D8"/>
    <w:rsid w:val="0027094B"/>
    <w:rsid w:val="00282892"/>
    <w:rsid w:val="0028431F"/>
    <w:rsid w:val="002846CB"/>
    <w:rsid w:val="00286A7A"/>
    <w:rsid w:val="00294F71"/>
    <w:rsid w:val="0029749A"/>
    <w:rsid w:val="002C0326"/>
    <w:rsid w:val="002C4D27"/>
    <w:rsid w:val="002D0CC1"/>
    <w:rsid w:val="002D13E9"/>
    <w:rsid w:val="002D30BA"/>
    <w:rsid w:val="002E01DF"/>
    <w:rsid w:val="00313FF2"/>
    <w:rsid w:val="00316B08"/>
    <w:rsid w:val="00323284"/>
    <w:rsid w:val="0035204B"/>
    <w:rsid w:val="0037676A"/>
    <w:rsid w:val="003A7F4C"/>
    <w:rsid w:val="003C4229"/>
    <w:rsid w:val="003D6C87"/>
    <w:rsid w:val="0040694A"/>
    <w:rsid w:val="00406E2F"/>
    <w:rsid w:val="00442562"/>
    <w:rsid w:val="004452F8"/>
    <w:rsid w:val="004607EF"/>
    <w:rsid w:val="004877C1"/>
    <w:rsid w:val="004902E1"/>
    <w:rsid w:val="004B7198"/>
    <w:rsid w:val="004E733E"/>
    <w:rsid w:val="00506D3C"/>
    <w:rsid w:val="00552137"/>
    <w:rsid w:val="00570967"/>
    <w:rsid w:val="0057425A"/>
    <w:rsid w:val="00583B72"/>
    <w:rsid w:val="005973D0"/>
    <w:rsid w:val="005D3CB4"/>
    <w:rsid w:val="005E0C07"/>
    <w:rsid w:val="005E160A"/>
    <w:rsid w:val="006073E4"/>
    <w:rsid w:val="0061104A"/>
    <w:rsid w:val="00637843"/>
    <w:rsid w:val="006424C4"/>
    <w:rsid w:val="0065197F"/>
    <w:rsid w:val="00651E39"/>
    <w:rsid w:val="00662D35"/>
    <w:rsid w:val="00667C49"/>
    <w:rsid w:val="00674D86"/>
    <w:rsid w:val="006A501F"/>
    <w:rsid w:val="006B1CE1"/>
    <w:rsid w:val="006C20C5"/>
    <w:rsid w:val="006C5098"/>
    <w:rsid w:val="006E10EE"/>
    <w:rsid w:val="006E4424"/>
    <w:rsid w:val="006F2AE2"/>
    <w:rsid w:val="006F5586"/>
    <w:rsid w:val="007178CD"/>
    <w:rsid w:val="0072620D"/>
    <w:rsid w:val="00730029"/>
    <w:rsid w:val="0073796F"/>
    <w:rsid w:val="00744186"/>
    <w:rsid w:val="0075304E"/>
    <w:rsid w:val="007A0B0B"/>
    <w:rsid w:val="007A3464"/>
    <w:rsid w:val="007A5FBB"/>
    <w:rsid w:val="007F45E2"/>
    <w:rsid w:val="008127AD"/>
    <w:rsid w:val="0082302A"/>
    <w:rsid w:val="00847C5F"/>
    <w:rsid w:val="008710DC"/>
    <w:rsid w:val="00887879"/>
    <w:rsid w:val="00890E93"/>
    <w:rsid w:val="008910E3"/>
    <w:rsid w:val="008B39E4"/>
    <w:rsid w:val="008B6B06"/>
    <w:rsid w:val="008C0B5E"/>
    <w:rsid w:val="008C2702"/>
    <w:rsid w:val="008D5DBC"/>
    <w:rsid w:val="00902E95"/>
    <w:rsid w:val="009220F6"/>
    <w:rsid w:val="00940E74"/>
    <w:rsid w:val="00951FEE"/>
    <w:rsid w:val="0095332B"/>
    <w:rsid w:val="00982A69"/>
    <w:rsid w:val="009B38AA"/>
    <w:rsid w:val="009C0A8E"/>
    <w:rsid w:val="009C5094"/>
    <w:rsid w:val="009E0703"/>
    <w:rsid w:val="009E0AA6"/>
    <w:rsid w:val="00A12509"/>
    <w:rsid w:val="00A13CB8"/>
    <w:rsid w:val="00A26F45"/>
    <w:rsid w:val="00A348CD"/>
    <w:rsid w:val="00A43448"/>
    <w:rsid w:val="00A557C5"/>
    <w:rsid w:val="00A627AF"/>
    <w:rsid w:val="00A64903"/>
    <w:rsid w:val="00A73B58"/>
    <w:rsid w:val="00A979DC"/>
    <w:rsid w:val="00AA37B5"/>
    <w:rsid w:val="00AA489E"/>
    <w:rsid w:val="00AE6489"/>
    <w:rsid w:val="00B01B66"/>
    <w:rsid w:val="00B0568C"/>
    <w:rsid w:val="00B21D96"/>
    <w:rsid w:val="00B257E4"/>
    <w:rsid w:val="00B33990"/>
    <w:rsid w:val="00B343A5"/>
    <w:rsid w:val="00B36031"/>
    <w:rsid w:val="00B53554"/>
    <w:rsid w:val="00B70C9B"/>
    <w:rsid w:val="00B73D5A"/>
    <w:rsid w:val="00B75C44"/>
    <w:rsid w:val="00B8512A"/>
    <w:rsid w:val="00BE48E3"/>
    <w:rsid w:val="00C21E77"/>
    <w:rsid w:val="00C52864"/>
    <w:rsid w:val="00C840F7"/>
    <w:rsid w:val="00C9375F"/>
    <w:rsid w:val="00CA5E1B"/>
    <w:rsid w:val="00CA7D41"/>
    <w:rsid w:val="00CB143F"/>
    <w:rsid w:val="00CC4190"/>
    <w:rsid w:val="00CC673A"/>
    <w:rsid w:val="00CD4F95"/>
    <w:rsid w:val="00CE75D4"/>
    <w:rsid w:val="00CF56F7"/>
    <w:rsid w:val="00D01207"/>
    <w:rsid w:val="00D03959"/>
    <w:rsid w:val="00D34956"/>
    <w:rsid w:val="00D57199"/>
    <w:rsid w:val="00D638F0"/>
    <w:rsid w:val="00D66D9F"/>
    <w:rsid w:val="00D71953"/>
    <w:rsid w:val="00D84D8F"/>
    <w:rsid w:val="00D91326"/>
    <w:rsid w:val="00D9344D"/>
    <w:rsid w:val="00DA5781"/>
    <w:rsid w:val="00DA7B7A"/>
    <w:rsid w:val="00DB1B8B"/>
    <w:rsid w:val="00DD4A26"/>
    <w:rsid w:val="00DF3169"/>
    <w:rsid w:val="00DF4EC3"/>
    <w:rsid w:val="00E4586F"/>
    <w:rsid w:val="00E47624"/>
    <w:rsid w:val="00E51192"/>
    <w:rsid w:val="00E60BEE"/>
    <w:rsid w:val="00E634C9"/>
    <w:rsid w:val="00E74BA5"/>
    <w:rsid w:val="00E87288"/>
    <w:rsid w:val="00E954D8"/>
    <w:rsid w:val="00EA679A"/>
    <w:rsid w:val="00EC0B19"/>
    <w:rsid w:val="00EC6809"/>
    <w:rsid w:val="00ED0B0D"/>
    <w:rsid w:val="00ED4D1F"/>
    <w:rsid w:val="00EE31DA"/>
    <w:rsid w:val="00F038AF"/>
    <w:rsid w:val="00F040B2"/>
    <w:rsid w:val="00F126CF"/>
    <w:rsid w:val="00F13407"/>
    <w:rsid w:val="00F2721B"/>
    <w:rsid w:val="00F30763"/>
    <w:rsid w:val="00F32448"/>
    <w:rsid w:val="00F52A84"/>
    <w:rsid w:val="00F546A3"/>
    <w:rsid w:val="00F600B8"/>
    <w:rsid w:val="00F64EB7"/>
    <w:rsid w:val="00F946A7"/>
    <w:rsid w:val="00FB6581"/>
    <w:rsid w:val="00FC06D3"/>
    <w:rsid w:val="01362F1D"/>
    <w:rsid w:val="01417B3D"/>
    <w:rsid w:val="01447A73"/>
    <w:rsid w:val="01797379"/>
    <w:rsid w:val="017E3E57"/>
    <w:rsid w:val="018F5729"/>
    <w:rsid w:val="019D4E4A"/>
    <w:rsid w:val="022D1862"/>
    <w:rsid w:val="026E67DA"/>
    <w:rsid w:val="027B5E21"/>
    <w:rsid w:val="0294377E"/>
    <w:rsid w:val="02976150"/>
    <w:rsid w:val="02AD3579"/>
    <w:rsid w:val="02BE582C"/>
    <w:rsid w:val="02DA6AC8"/>
    <w:rsid w:val="02DB4F32"/>
    <w:rsid w:val="030B48D5"/>
    <w:rsid w:val="03133D7E"/>
    <w:rsid w:val="032E56B3"/>
    <w:rsid w:val="03316412"/>
    <w:rsid w:val="033E4BBF"/>
    <w:rsid w:val="0371161F"/>
    <w:rsid w:val="03870314"/>
    <w:rsid w:val="039253C9"/>
    <w:rsid w:val="03A8060D"/>
    <w:rsid w:val="0418043B"/>
    <w:rsid w:val="04425CD3"/>
    <w:rsid w:val="04755B3A"/>
    <w:rsid w:val="047D2ACD"/>
    <w:rsid w:val="04921FC1"/>
    <w:rsid w:val="04B34E6A"/>
    <w:rsid w:val="04FF1F65"/>
    <w:rsid w:val="050C51FC"/>
    <w:rsid w:val="05214D4A"/>
    <w:rsid w:val="05725DDE"/>
    <w:rsid w:val="05971356"/>
    <w:rsid w:val="05AA3415"/>
    <w:rsid w:val="05C005D1"/>
    <w:rsid w:val="05D830A9"/>
    <w:rsid w:val="05E67FE1"/>
    <w:rsid w:val="064D67D9"/>
    <w:rsid w:val="06706F52"/>
    <w:rsid w:val="06AB0A70"/>
    <w:rsid w:val="06FC4B75"/>
    <w:rsid w:val="07071880"/>
    <w:rsid w:val="07127066"/>
    <w:rsid w:val="0717005F"/>
    <w:rsid w:val="07474BBF"/>
    <w:rsid w:val="07C42FC7"/>
    <w:rsid w:val="07DE1EE3"/>
    <w:rsid w:val="07E07FF3"/>
    <w:rsid w:val="07E306BD"/>
    <w:rsid w:val="084420A7"/>
    <w:rsid w:val="087E1200"/>
    <w:rsid w:val="0894513D"/>
    <w:rsid w:val="089928FC"/>
    <w:rsid w:val="08B1672C"/>
    <w:rsid w:val="090E1D92"/>
    <w:rsid w:val="09594501"/>
    <w:rsid w:val="09A77A83"/>
    <w:rsid w:val="09AB7A86"/>
    <w:rsid w:val="09CE6E60"/>
    <w:rsid w:val="09DF007F"/>
    <w:rsid w:val="0A4C0D82"/>
    <w:rsid w:val="0A792199"/>
    <w:rsid w:val="0AA2280C"/>
    <w:rsid w:val="0AA277E2"/>
    <w:rsid w:val="0AB66DBA"/>
    <w:rsid w:val="0AF53184"/>
    <w:rsid w:val="0AF618DB"/>
    <w:rsid w:val="0B05584A"/>
    <w:rsid w:val="0B0D489C"/>
    <w:rsid w:val="0B17746E"/>
    <w:rsid w:val="0B5C0EA1"/>
    <w:rsid w:val="0B664197"/>
    <w:rsid w:val="0B7B7D63"/>
    <w:rsid w:val="0B80677C"/>
    <w:rsid w:val="0BBF1375"/>
    <w:rsid w:val="0BC32DDE"/>
    <w:rsid w:val="0BE74308"/>
    <w:rsid w:val="0C163517"/>
    <w:rsid w:val="0C4C5C80"/>
    <w:rsid w:val="0C6C152D"/>
    <w:rsid w:val="0C7A6AF1"/>
    <w:rsid w:val="0C7C70AF"/>
    <w:rsid w:val="0C8C551C"/>
    <w:rsid w:val="0CAA2EE5"/>
    <w:rsid w:val="0CBE62A3"/>
    <w:rsid w:val="0CFB3117"/>
    <w:rsid w:val="0D0425DB"/>
    <w:rsid w:val="0D295D83"/>
    <w:rsid w:val="0D36374D"/>
    <w:rsid w:val="0D4941C0"/>
    <w:rsid w:val="0D52072F"/>
    <w:rsid w:val="0D547BE2"/>
    <w:rsid w:val="0D940759"/>
    <w:rsid w:val="0D9E50D4"/>
    <w:rsid w:val="0D9E5D0B"/>
    <w:rsid w:val="0DB2346D"/>
    <w:rsid w:val="0DDB1D04"/>
    <w:rsid w:val="0DDB5AA7"/>
    <w:rsid w:val="0DF04D08"/>
    <w:rsid w:val="0E0F1FED"/>
    <w:rsid w:val="0E18320E"/>
    <w:rsid w:val="0E6D565D"/>
    <w:rsid w:val="0E80608C"/>
    <w:rsid w:val="0E941156"/>
    <w:rsid w:val="0EC06B68"/>
    <w:rsid w:val="0EC06EA1"/>
    <w:rsid w:val="0ED57167"/>
    <w:rsid w:val="0F081C15"/>
    <w:rsid w:val="0F1B23BF"/>
    <w:rsid w:val="0F4D4BD5"/>
    <w:rsid w:val="0F9A5C4C"/>
    <w:rsid w:val="0FD22338"/>
    <w:rsid w:val="0FF7412C"/>
    <w:rsid w:val="0FF75D1E"/>
    <w:rsid w:val="10160EE0"/>
    <w:rsid w:val="102F0049"/>
    <w:rsid w:val="10835E98"/>
    <w:rsid w:val="11056C00"/>
    <w:rsid w:val="111C661C"/>
    <w:rsid w:val="112371A2"/>
    <w:rsid w:val="1153496F"/>
    <w:rsid w:val="116E377F"/>
    <w:rsid w:val="119C5CF3"/>
    <w:rsid w:val="11CE2727"/>
    <w:rsid w:val="12424174"/>
    <w:rsid w:val="12515408"/>
    <w:rsid w:val="126C1032"/>
    <w:rsid w:val="12766926"/>
    <w:rsid w:val="12C95030"/>
    <w:rsid w:val="12EB0245"/>
    <w:rsid w:val="13277BE9"/>
    <w:rsid w:val="134F1D72"/>
    <w:rsid w:val="135A08F4"/>
    <w:rsid w:val="13B51820"/>
    <w:rsid w:val="13BB5EE6"/>
    <w:rsid w:val="13C20EF5"/>
    <w:rsid w:val="144B23E2"/>
    <w:rsid w:val="149A1582"/>
    <w:rsid w:val="14AA0041"/>
    <w:rsid w:val="1513098D"/>
    <w:rsid w:val="15305587"/>
    <w:rsid w:val="157375A4"/>
    <w:rsid w:val="159D65F3"/>
    <w:rsid w:val="15ED6834"/>
    <w:rsid w:val="15F25CA7"/>
    <w:rsid w:val="15FB7032"/>
    <w:rsid w:val="16A32D72"/>
    <w:rsid w:val="16CC0B0C"/>
    <w:rsid w:val="16DC051F"/>
    <w:rsid w:val="16EB1622"/>
    <w:rsid w:val="16F41AB6"/>
    <w:rsid w:val="16F506D8"/>
    <w:rsid w:val="175677F5"/>
    <w:rsid w:val="175E3FFB"/>
    <w:rsid w:val="17677D4C"/>
    <w:rsid w:val="17982698"/>
    <w:rsid w:val="17990373"/>
    <w:rsid w:val="17EC02FB"/>
    <w:rsid w:val="18425483"/>
    <w:rsid w:val="188B5D59"/>
    <w:rsid w:val="18A17EE1"/>
    <w:rsid w:val="18F338FE"/>
    <w:rsid w:val="18FE1ABA"/>
    <w:rsid w:val="19104EAF"/>
    <w:rsid w:val="19170C7E"/>
    <w:rsid w:val="191F64A1"/>
    <w:rsid w:val="19263CD4"/>
    <w:rsid w:val="192B6CFA"/>
    <w:rsid w:val="194C2063"/>
    <w:rsid w:val="197E58BE"/>
    <w:rsid w:val="199E5E23"/>
    <w:rsid w:val="19A65FB7"/>
    <w:rsid w:val="19A74E14"/>
    <w:rsid w:val="19AC0CB4"/>
    <w:rsid w:val="19C13E11"/>
    <w:rsid w:val="19C54542"/>
    <w:rsid w:val="19CE714A"/>
    <w:rsid w:val="19EB1517"/>
    <w:rsid w:val="1A0137D2"/>
    <w:rsid w:val="1A4071C0"/>
    <w:rsid w:val="1A5F02DA"/>
    <w:rsid w:val="1AA11864"/>
    <w:rsid w:val="1AA80041"/>
    <w:rsid w:val="1AB57D03"/>
    <w:rsid w:val="1AD21415"/>
    <w:rsid w:val="1AEE143A"/>
    <w:rsid w:val="1B445586"/>
    <w:rsid w:val="1B60261B"/>
    <w:rsid w:val="1B990F59"/>
    <w:rsid w:val="1B9C027D"/>
    <w:rsid w:val="1BA21266"/>
    <w:rsid w:val="1C3E187F"/>
    <w:rsid w:val="1C8D22AC"/>
    <w:rsid w:val="1D635249"/>
    <w:rsid w:val="1D94623D"/>
    <w:rsid w:val="1E0D1F6D"/>
    <w:rsid w:val="1E206457"/>
    <w:rsid w:val="1E406E86"/>
    <w:rsid w:val="1E4A2212"/>
    <w:rsid w:val="1E5A0E67"/>
    <w:rsid w:val="1E5C5ED1"/>
    <w:rsid w:val="1E9B246D"/>
    <w:rsid w:val="1EB216C0"/>
    <w:rsid w:val="1EF02EA7"/>
    <w:rsid w:val="1F6E31E4"/>
    <w:rsid w:val="1FC31633"/>
    <w:rsid w:val="203B6980"/>
    <w:rsid w:val="20492062"/>
    <w:rsid w:val="204A7214"/>
    <w:rsid w:val="205021B4"/>
    <w:rsid w:val="20816208"/>
    <w:rsid w:val="20882360"/>
    <w:rsid w:val="208C2213"/>
    <w:rsid w:val="20E7347D"/>
    <w:rsid w:val="20EA250D"/>
    <w:rsid w:val="20FA1CCE"/>
    <w:rsid w:val="212B294C"/>
    <w:rsid w:val="217241E5"/>
    <w:rsid w:val="217B255A"/>
    <w:rsid w:val="21A5351C"/>
    <w:rsid w:val="21B005DE"/>
    <w:rsid w:val="21C820CD"/>
    <w:rsid w:val="22094748"/>
    <w:rsid w:val="222A326B"/>
    <w:rsid w:val="222F4CFF"/>
    <w:rsid w:val="2238786B"/>
    <w:rsid w:val="2251412F"/>
    <w:rsid w:val="225F4343"/>
    <w:rsid w:val="22871576"/>
    <w:rsid w:val="22B75604"/>
    <w:rsid w:val="22BC568A"/>
    <w:rsid w:val="22C35463"/>
    <w:rsid w:val="22CF4AAF"/>
    <w:rsid w:val="22DB78DD"/>
    <w:rsid w:val="2318643B"/>
    <w:rsid w:val="23530B52"/>
    <w:rsid w:val="236628BC"/>
    <w:rsid w:val="23A81A8B"/>
    <w:rsid w:val="23BA50BC"/>
    <w:rsid w:val="23F76998"/>
    <w:rsid w:val="23FB1670"/>
    <w:rsid w:val="240E6DCA"/>
    <w:rsid w:val="243D24C4"/>
    <w:rsid w:val="24665070"/>
    <w:rsid w:val="24724271"/>
    <w:rsid w:val="24875396"/>
    <w:rsid w:val="249653A7"/>
    <w:rsid w:val="24B91EA0"/>
    <w:rsid w:val="24C820E3"/>
    <w:rsid w:val="250A5740"/>
    <w:rsid w:val="252D60A4"/>
    <w:rsid w:val="25481BC4"/>
    <w:rsid w:val="25B14FE8"/>
    <w:rsid w:val="25CB4399"/>
    <w:rsid w:val="260314EB"/>
    <w:rsid w:val="265C2B87"/>
    <w:rsid w:val="26744797"/>
    <w:rsid w:val="268838D8"/>
    <w:rsid w:val="268A68BB"/>
    <w:rsid w:val="26B648E9"/>
    <w:rsid w:val="26B6725B"/>
    <w:rsid w:val="26B9616A"/>
    <w:rsid w:val="275379F5"/>
    <w:rsid w:val="279040F9"/>
    <w:rsid w:val="27921916"/>
    <w:rsid w:val="28283E2A"/>
    <w:rsid w:val="284E66B4"/>
    <w:rsid w:val="28502F16"/>
    <w:rsid w:val="28836BEF"/>
    <w:rsid w:val="28D07983"/>
    <w:rsid w:val="28FF53CC"/>
    <w:rsid w:val="29156F80"/>
    <w:rsid w:val="29667338"/>
    <w:rsid w:val="298D5DFE"/>
    <w:rsid w:val="2A0B125B"/>
    <w:rsid w:val="2A125739"/>
    <w:rsid w:val="2A160B91"/>
    <w:rsid w:val="2A211624"/>
    <w:rsid w:val="2A2A36F9"/>
    <w:rsid w:val="2A58372E"/>
    <w:rsid w:val="2A720B27"/>
    <w:rsid w:val="2A881D60"/>
    <w:rsid w:val="2AA1765E"/>
    <w:rsid w:val="2ABC5DCE"/>
    <w:rsid w:val="2AD678DB"/>
    <w:rsid w:val="2AE17A5A"/>
    <w:rsid w:val="2B065C01"/>
    <w:rsid w:val="2B14320B"/>
    <w:rsid w:val="2B2D0EF2"/>
    <w:rsid w:val="2B3332B7"/>
    <w:rsid w:val="2B447B17"/>
    <w:rsid w:val="2B512467"/>
    <w:rsid w:val="2B9B1DD1"/>
    <w:rsid w:val="2BBA6924"/>
    <w:rsid w:val="2C0A3184"/>
    <w:rsid w:val="2C5F332D"/>
    <w:rsid w:val="2C851ABC"/>
    <w:rsid w:val="2C9164FF"/>
    <w:rsid w:val="2CA74090"/>
    <w:rsid w:val="2CB54349"/>
    <w:rsid w:val="2CBA08BD"/>
    <w:rsid w:val="2D164CD3"/>
    <w:rsid w:val="2D5E3404"/>
    <w:rsid w:val="2D83304B"/>
    <w:rsid w:val="2D885944"/>
    <w:rsid w:val="2DD5454F"/>
    <w:rsid w:val="2DFD104F"/>
    <w:rsid w:val="2E516871"/>
    <w:rsid w:val="2E8E1CA7"/>
    <w:rsid w:val="2E9526F1"/>
    <w:rsid w:val="2EA72CDD"/>
    <w:rsid w:val="2EAA09AC"/>
    <w:rsid w:val="2EE86B89"/>
    <w:rsid w:val="2F6E2099"/>
    <w:rsid w:val="2F9C6646"/>
    <w:rsid w:val="2FF41FDE"/>
    <w:rsid w:val="304C45D3"/>
    <w:rsid w:val="3055200F"/>
    <w:rsid w:val="305807BF"/>
    <w:rsid w:val="30731155"/>
    <w:rsid w:val="30DD0CC4"/>
    <w:rsid w:val="31136097"/>
    <w:rsid w:val="313F57CA"/>
    <w:rsid w:val="31730075"/>
    <w:rsid w:val="31C5591A"/>
    <w:rsid w:val="31EF7DF7"/>
    <w:rsid w:val="31F07EC0"/>
    <w:rsid w:val="320377A9"/>
    <w:rsid w:val="32713C47"/>
    <w:rsid w:val="327C0AE2"/>
    <w:rsid w:val="329138F9"/>
    <w:rsid w:val="329639BC"/>
    <w:rsid w:val="32A90C5D"/>
    <w:rsid w:val="32CD7010"/>
    <w:rsid w:val="333E69E6"/>
    <w:rsid w:val="33534368"/>
    <w:rsid w:val="33557997"/>
    <w:rsid w:val="338F49D9"/>
    <w:rsid w:val="33C3132F"/>
    <w:rsid w:val="33CA7D00"/>
    <w:rsid w:val="340D1A3B"/>
    <w:rsid w:val="348674BA"/>
    <w:rsid w:val="34891BDA"/>
    <w:rsid w:val="348A3613"/>
    <w:rsid w:val="348F0312"/>
    <w:rsid w:val="349319F6"/>
    <w:rsid w:val="35085632"/>
    <w:rsid w:val="351F125E"/>
    <w:rsid w:val="355C0078"/>
    <w:rsid w:val="35C30488"/>
    <w:rsid w:val="35F70CE5"/>
    <w:rsid w:val="35FA5ECB"/>
    <w:rsid w:val="360D1A92"/>
    <w:rsid w:val="36167049"/>
    <w:rsid w:val="36193C6C"/>
    <w:rsid w:val="3639110F"/>
    <w:rsid w:val="364F4816"/>
    <w:rsid w:val="366D35F3"/>
    <w:rsid w:val="368E4F3A"/>
    <w:rsid w:val="36927746"/>
    <w:rsid w:val="36B349A1"/>
    <w:rsid w:val="36BF7635"/>
    <w:rsid w:val="36D47077"/>
    <w:rsid w:val="36D55166"/>
    <w:rsid w:val="370C7437"/>
    <w:rsid w:val="37193AF1"/>
    <w:rsid w:val="371E6BF3"/>
    <w:rsid w:val="37647A49"/>
    <w:rsid w:val="37883594"/>
    <w:rsid w:val="37AB28AC"/>
    <w:rsid w:val="37D56B99"/>
    <w:rsid w:val="37E53077"/>
    <w:rsid w:val="37F573D3"/>
    <w:rsid w:val="38337204"/>
    <w:rsid w:val="385F6350"/>
    <w:rsid w:val="387C0733"/>
    <w:rsid w:val="389B3DA9"/>
    <w:rsid w:val="38A46075"/>
    <w:rsid w:val="38A503CD"/>
    <w:rsid w:val="38F14D3E"/>
    <w:rsid w:val="394639C3"/>
    <w:rsid w:val="395F2BBE"/>
    <w:rsid w:val="397830B3"/>
    <w:rsid w:val="3995213C"/>
    <w:rsid w:val="39E72428"/>
    <w:rsid w:val="3A085860"/>
    <w:rsid w:val="3A321EF0"/>
    <w:rsid w:val="3A3C19A3"/>
    <w:rsid w:val="3A4931E5"/>
    <w:rsid w:val="3A726921"/>
    <w:rsid w:val="3AAB5C37"/>
    <w:rsid w:val="3AC773B9"/>
    <w:rsid w:val="3ACC68F0"/>
    <w:rsid w:val="3AD0010E"/>
    <w:rsid w:val="3AF01AD2"/>
    <w:rsid w:val="3B821261"/>
    <w:rsid w:val="3B977B9B"/>
    <w:rsid w:val="3BB164CD"/>
    <w:rsid w:val="3BD76466"/>
    <w:rsid w:val="3BDC257E"/>
    <w:rsid w:val="3BED0394"/>
    <w:rsid w:val="3C0176BF"/>
    <w:rsid w:val="3C0D07E4"/>
    <w:rsid w:val="3C1E4976"/>
    <w:rsid w:val="3C912C11"/>
    <w:rsid w:val="3D18471B"/>
    <w:rsid w:val="3D1D5464"/>
    <w:rsid w:val="3D6819C4"/>
    <w:rsid w:val="3D7604D6"/>
    <w:rsid w:val="3D7F51F8"/>
    <w:rsid w:val="3D95721E"/>
    <w:rsid w:val="3DCC6ADF"/>
    <w:rsid w:val="3E087FF3"/>
    <w:rsid w:val="3E3D3B33"/>
    <w:rsid w:val="3E785368"/>
    <w:rsid w:val="3EAA6689"/>
    <w:rsid w:val="3EAD4FEB"/>
    <w:rsid w:val="3EB87669"/>
    <w:rsid w:val="3EE80F60"/>
    <w:rsid w:val="3F00676D"/>
    <w:rsid w:val="3F2E3162"/>
    <w:rsid w:val="3F35149F"/>
    <w:rsid w:val="3F3E491F"/>
    <w:rsid w:val="3F551394"/>
    <w:rsid w:val="3F886CE0"/>
    <w:rsid w:val="3FE25E6D"/>
    <w:rsid w:val="40026549"/>
    <w:rsid w:val="401958C6"/>
    <w:rsid w:val="40284D6D"/>
    <w:rsid w:val="4030120D"/>
    <w:rsid w:val="403D72FB"/>
    <w:rsid w:val="404448BC"/>
    <w:rsid w:val="40840E72"/>
    <w:rsid w:val="40A553B8"/>
    <w:rsid w:val="40B87AF8"/>
    <w:rsid w:val="41205104"/>
    <w:rsid w:val="4140573F"/>
    <w:rsid w:val="414601C0"/>
    <w:rsid w:val="415C43DB"/>
    <w:rsid w:val="41BD60EC"/>
    <w:rsid w:val="41C061C4"/>
    <w:rsid w:val="41F81060"/>
    <w:rsid w:val="42914BDB"/>
    <w:rsid w:val="429E219E"/>
    <w:rsid w:val="42F233C1"/>
    <w:rsid w:val="431018E9"/>
    <w:rsid w:val="43360C82"/>
    <w:rsid w:val="433A2609"/>
    <w:rsid w:val="43515CE6"/>
    <w:rsid w:val="43AF3571"/>
    <w:rsid w:val="43C24CFB"/>
    <w:rsid w:val="43C709BA"/>
    <w:rsid w:val="43CE2142"/>
    <w:rsid w:val="4463568F"/>
    <w:rsid w:val="449563AF"/>
    <w:rsid w:val="44CB7557"/>
    <w:rsid w:val="45846D78"/>
    <w:rsid w:val="45AD4CB1"/>
    <w:rsid w:val="45DD669D"/>
    <w:rsid w:val="46182E14"/>
    <w:rsid w:val="462D1505"/>
    <w:rsid w:val="465F7108"/>
    <w:rsid w:val="46AA46AF"/>
    <w:rsid w:val="46EC4E76"/>
    <w:rsid w:val="46F766F4"/>
    <w:rsid w:val="470F5B39"/>
    <w:rsid w:val="47295F54"/>
    <w:rsid w:val="473A4323"/>
    <w:rsid w:val="475A2D73"/>
    <w:rsid w:val="4798688B"/>
    <w:rsid w:val="47C05B6A"/>
    <w:rsid w:val="47DD66CD"/>
    <w:rsid w:val="481A4AE3"/>
    <w:rsid w:val="48217291"/>
    <w:rsid w:val="482639A0"/>
    <w:rsid w:val="48286871"/>
    <w:rsid w:val="483079F3"/>
    <w:rsid w:val="487F5F9B"/>
    <w:rsid w:val="48B944C4"/>
    <w:rsid w:val="48BF14DB"/>
    <w:rsid w:val="48CE7303"/>
    <w:rsid w:val="48DB47B2"/>
    <w:rsid w:val="4905336D"/>
    <w:rsid w:val="49401CCB"/>
    <w:rsid w:val="499618FC"/>
    <w:rsid w:val="49C600F0"/>
    <w:rsid w:val="49D34CA5"/>
    <w:rsid w:val="49D722FD"/>
    <w:rsid w:val="4A326A60"/>
    <w:rsid w:val="4A642AD5"/>
    <w:rsid w:val="4A7E7B74"/>
    <w:rsid w:val="4AA2290B"/>
    <w:rsid w:val="4AF21D48"/>
    <w:rsid w:val="4B06550F"/>
    <w:rsid w:val="4B26415C"/>
    <w:rsid w:val="4BEB0728"/>
    <w:rsid w:val="4BF76463"/>
    <w:rsid w:val="4C207F8B"/>
    <w:rsid w:val="4C2F6590"/>
    <w:rsid w:val="4C4772DB"/>
    <w:rsid w:val="4C5D11DF"/>
    <w:rsid w:val="4C9316C5"/>
    <w:rsid w:val="4C972972"/>
    <w:rsid w:val="4C973D9D"/>
    <w:rsid w:val="4CC86179"/>
    <w:rsid w:val="4CD73761"/>
    <w:rsid w:val="4D302867"/>
    <w:rsid w:val="4D3C7046"/>
    <w:rsid w:val="4D761294"/>
    <w:rsid w:val="4D845A25"/>
    <w:rsid w:val="4D872138"/>
    <w:rsid w:val="4D8A2FC8"/>
    <w:rsid w:val="4DB0533F"/>
    <w:rsid w:val="4DC01E49"/>
    <w:rsid w:val="4DD27D71"/>
    <w:rsid w:val="4E46575F"/>
    <w:rsid w:val="4E6F6FA8"/>
    <w:rsid w:val="4EA20AE9"/>
    <w:rsid w:val="4EA67A73"/>
    <w:rsid w:val="4ECA4BB6"/>
    <w:rsid w:val="4F5F526E"/>
    <w:rsid w:val="4F674123"/>
    <w:rsid w:val="4F706C54"/>
    <w:rsid w:val="4F805BDD"/>
    <w:rsid w:val="4F8A78B3"/>
    <w:rsid w:val="4F98252E"/>
    <w:rsid w:val="4FD224B2"/>
    <w:rsid w:val="4FDA101C"/>
    <w:rsid w:val="4FE95BFF"/>
    <w:rsid w:val="4FEE0189"/>
    <w:rsid w:val="50183A6B"/>
    <w:rsid w:val="50211978"/>
    <w:rsid w:val="50384E5C"/>
    <w:rsid w:val="50882E50"/>
    <w:rsid w:val="508D6D32"/>
    <w:rsid w:val="5090439F"/>
    <w:rsid w:val="509943D8"/>
    <w:rsid w:val="50B25872"/>
    <w:rsid w:val="50F03FCE"/>
    <w:rsid w:val="50F639B0"/>
    <w:rsid w:val="510F6143"/>
    <w:rsid w:val="5137206F"/>
    <w:rsid w:val="51594074"/>
    <w:rsid w:val="515B6D00"/>
    <w:rsid w:val="518D681C"/>
    <w:rsid w:val="51F050F1"/>
    <w:rsid w:val="51F3365B"/>
    <w:rsid w:val="52004A24"/>
    <w:rsid w:val="52411B58"/>
    <w:rsid w:val="52475142"/>
    <w:rsid w:val="52595D95"/>
    <w:rsid w:val="5272271F"/>
    <w:rsid w:val="52837B8E"/>
    <w:rsid w:val="52AB4AE5"/>
    <w:rsid w:val="52B35120"/>
    <w:rsid w:val="52B62DE6"/>
    <w:rsid w:val="52D63C23"/>
    <w:rsid w:val="52F12681"/>
    <w:rsid w:val="533E4E87"/>
    <w:rsid w:val="53450845"/>
    <w:rsid w:val="538C7236"/>
    <w:rsid w:val="53A4192C"/>
    <w:rsid w:val="543D25ED"/>
    <w:rsid w:val="543D69F8"/>
    <w:rsid w:val="54A84FC1"/>
    <w:rsid w:val="54BB7743"/>
    <w:rsid w:val="54D44008"/>
    <w:rsid w:val="54D45E2B"/>
    <w:rsid w:val="550167C3"/>
    <w:rsid w:val="55263C77"/>
    <w:rsid w:val="552B0272"/>
    <w:rsid w:val="55313209"/>
    <w:rsid w:val="55352AE2"/>
    <w:rsid w:val="556F1555"/>
    <w:rsid w:val="557C7222"/>
    <w:rsid w:val="55874E19"/>
    <w:rsid w:val="558A49D4"/>
    <w:rsid w:val="55917DB1"/>
    <w:rsid w:val="55B42C8A"/>
    <w:rsid w:val="55FB1B75"/>
    <w:rsid w:val="564766E2"/>
    <w:rsid w:val="5648302F"/>
    <w:rsid w:val="564E1B99"/>
    <w:rsid w:val="5651429D"/>
    <w:rsid w:val="56A143BE"/>
    <w:rsid w:val="56A96DCF"/>
    <w:rsid w:val="56DB291A"/>
    <w:rsid w:val="57033860"/>
    <w:rsid w:val="571F0C9D"/>
    <w:rsid w:val="573D43C3"/>
    <w:rsid w:val="57494369"/>
    <w:rsid w:val="579C7689"/>
    <w:rsid w:val="57A81671"/>
    <w:rsid w:val="57B417C9"/>
    <w:rsid w:val="57B45052"/>
    <w:rsid w:val="57DB65D5"/>
    <w:rsid w:val="57EC3417"/>
    <w:rsid w:val="5814047B"/>
    <w:rsid w:val="58397D2F"/>
    <w:rsid w:val="584C1567"/>
    <w:rsid w:val="587A45FE"/>
    <w:rsid w:val="587D49B7"/>
    <w:rsid w:val="590B6521"/>
    <w:rsid w:val="59263E6A"/>
    <w:rsid w:val="59303BC6"/>
    <w:rsid w:val="59403CBE"/>
    <w:rsid w:val="594828CF"/>
    <w:rsid w:val="595C39E5"/>
    <w:rsid w:val="59717FFC"/>
    <w:rsid w:val="5989600D"/>
    <w:rsid w:val="59BF6DEC"/>
    <w:rsid w:val="59D02D90"/>
    <w:rsid w:val="59F436CA"/>
    <w:rsid w:val="5A042C95"/>
    <w:rsid w:val="5A1421CF"/>
    <w:rsid w:val="5A290775"/>
    <w:rsid w:val="5A2E4CDF"/>
    <w:rsid w:val="5A3612C1"/>
    <w:rsid w:val="5A5A525D"/>
    <w:rsid w:val="5A7476F4"/>
    <w:rsid w:val="5AE27268"/>
    <w:rsid w:val="5AE85AFD"/>
    <w:rsid w:val="5B386F7B"/>
    <w:rsid w:val="5B8050D7"/>
    <w:rsid w:val="5BAF7B56"/>
    <w:rsid w:val="5BB33823"/>
    <w:rsid w:val="5BD64B07"/>
    <w:rsid w:val="5BDA6DF9"/>
    <w:rsid w:val="5C2A1707"/>
    <w:rsid w:val="5C6B7CDD"/>
    <w:rsid w:val="5CA57D0C"/>
    <w:rsid w:val="5CC96E17"/>
    <w:rsid w:val="5D6C741F"/>
    <w:rsid w:val="5D962FB8"/>
    <w:rsid w:val="5DBA0C2C"/>
    <w:rsid w:val="5DC11B99"/>
    <w:rsid w:val="5E1205D4"/>
    <w:rsid w:val="5E2B4CB8"/>
    <w:rsid w:val="5E457D25"/>
    <w:rsid w:val="5E473A9D"/>
    <w:rsid w:val="5E6908F7"/>
    <w:rsid w:val="5E69693E"/>
    <w:rsid w:val="5E9336B8"/>
    <w:rsid w:val="5E963A70"/>
    <w:rsid w:val="5EA42C9D"/>
    <w:rsid w:val="5EF6124E"/>
    <w:rsid w:val="5F0511CD"/>
    <w:rsid w:val="5F6D782E"/>
    <w:rsid w:val="5F860B68"/>
    <w:rsid w:val="5FAB70B0"/>
    <w:rsid w:val="5FB46F10"/>
    <w:rsid w:val="5FB6663B"/>
    <w:rsid w:val="60473530"/>
    <w:rsid w:val="605E1392"/>
    <w:rsid w:val="60C76FC9"/>
    <w:rsid w:val="60E400FC"/>
    <w:rsid w:val="60E534AD"/>
    <w:rsid w:val="61296359"/>
    <w:rsid w:val="613D788E"/>
    <w:rsid w:val="6145637E"/>
    <w:rsid w:val="615C33BC"/>
    <w:rsid w:val="619073AA"/>
    <w:rsid w:val="61A71564"/>
    <w:rsid w:val="61B10FA5"/>
    <w:rsid w:val="61BB31EE"/>
    <w:rsid w:val="61D2367E"/>
    <w:rsid w:val="61F44B90"/>
    <w:rsid w:val="61FF0EEF"/>
    <w:rsid w:val="6202238A"/>
    <w:rsid w:val="6247515F"/>
    <w:rsid w:val="627D251E"/>
    <w:rsid w:val="627D5CDF"/>
    <w:rsid w:val="62853EDB"/>
    <w:rsid w:val="62CF2FBC"/>
    <w:rsid w:val="62D201FC"/>
    <w:rsid w:val="62F53B0F"/>
    <w:rsid w:val="633E4C4B"/>
    <w:rsid w:val="634A1846"/>
    <w:rsid w:val="634E31D8"/>
    <w:rsid w:val="63B975DC"/>
    <w:rsid w:val="63D16084"/>
    <w:rsid w:val="64153CF6"/>
    <w:rsid w:val="64173E84"/>
    <w:rsid w:val="642E6B65"/>
    <w:rsid w:val="644071D4"/>
    <w:rsid w:val="64446389"/>
    <w:rsid w:val="64806EC2"/>
    <w:rsid w:val="649E0BD2"/>
    <w:rsid w:val="64A11468"/>
    <w:rsid w:val="64A21774"/>
    <w:rsid w:val="64AD641D"/>
    <w:rsid w:val="64B955BE"/>
    <w:rsid w:val="64C14E4F"/>
    <w:rsid w:val="64F953C5"/>
    <w:rsid w:val="65266FE0"/>
    <w:rsid w:val="65515ACC"/>
    <w:rsid w:val="65A83F37"/>
    <w:rsid w:val="65BF3655"/>
    <w:rsid w:val="65CE50F5"/>
    <w:rsid w:val="66360CC1"/>
    <w:rsid w:val="66387AA5"/>
    <w:rsid w:val="664248C0"/>
    <w:rsid w:val="666F617C"/>
    <w:rsid w:val="668B78D8"/>
    <w:rsid w:val="66902FD2"/>
    <w:rsid w:val="66A36544"/>
    <w:rsid w:val="66C977B2"/>
    <w:rsid w:val="66C97BE1"/>
    <w:rsid w:val="66EC0A3F"/>
    <w:rsid w:val="66F75934"/>
    <w:rsid w:val="67C1703B"/>
    <w:rsid w:val="67CF2049"/>
    <w:rsid w:val="67E21620"/>
    <w:rsid w:val="68117ACE"/>
    <w:rsid w:val="681F3395"/>
    <w:rsid w:val="6842136E"/>
    <w:rsid w:val="686D4F91"/>
    <w:rsid w:val="688C25B0"/>
    <w:rsid w:val="688E409E"/>
    <w:rsid w:val="68C47A98"/>
    <w:rsid w:val="68F104C7"/>
    <w:rsid w:val="68FD36D6"/>
    <w:rsid w:val="69002CE9"/>
    <w:rsid w:val="69587577"/>
    <w:rsid w:val="69602A3B"/>
    <w:rsid w:val="698906F6"/>
    <w:rsid w:val="698E3788"/>
    <w:rsid w:val="69C43AE8"/>
    <w:rsid w:val="69C65B76"/>
    <w:rsid w:val="69C75B1F"/>
    <w:rsid w:val="6A1014CB"/>
    <w:rsid w:val="6A29397F"/>
    <w:rsid w:val="6A337688"/>
    <w:rsid w:val="6A4C041E"/>
    <w:rsid w:val="6A714114"/>
    <w:rsid w:val="6A91636C"/>
    <w:rsid w:val="6AB15E00"/>
    <w:rsid w:val="6AD56779"/>
    <w:rsid w:val="6B5935BA"/>
    <w:rsid w:val="6B5C6FEE"/>
    <w:rsid w:val="6B653650"/>
    <w:rsid w:val="6B823B7A"/>
    <w:rsid w:val="6BA265C3"/>
    <w:rsid w:val="6BC36EEA"/>
    <w:rsid w:val="6BD31CFB"/>
    <w:rsid w:val="6C065406"/>
    <w:rsid w:val="6C307743"/>
    <w:rsid w:val="6C401ABF"/>
    <w:rsid w:val="6C926714"/>
    <w:rsid w:val="6C9473C7"/>
    <w:rsid w:val="6C9C74A4"/>
    <w:rsid w:val="6C9D2ADA"/>
    <w:rsid w:val="6CBE317C"/>
    <w:rsid w:val="6CD00483"/>
    <w:rsid w:val="6CEE7C32"/>
    <w:rsid w:val="6D6B5DC9"/>
    <w:rsid w:val="6D8617C0"/>
    <w:rsid w:val="6D8F2D6B"/>
    <w:rsid w:val="6DC9002B"/>
    <w:rsid w:val="6DD312F8"/>
    <w:rsid w:val="6E165128"/>
    <w:rsid w:val="6E211AD2"/>
    <w:rsid w:val="6E307C6F"/>
    <w:rsid w:val="6E552534"/>
    <w:rsid w:val="6E6442A9"/>
    <w:rsid w:val="6E871C36"/>
    <w:rsid w:val="6EBA6E02"/>
    <w:rsid w:val="6ECE0F7A"/>
    <w:rsid w:val="6F06256A"/>
    <w:rsid w:val="6F560452"/>
    <w:rsid w:val="6F5F6707"/>
    <w:rsid w:val="70141305"/>
    <w:rsid w:val="70344206"/>
    <w:rsid w:val="704158C2"/>
    <w:rsid w:val="70692A0C"/>
    <w:rsid w:val="70E138DD"/>
    <w:rsid w:val="70F43A87"/>
    <w:rsid w:val="71267542"/>
    <w:rsid w:val="71347140"/>
    <w:rsid w:val="713F1985"/>
    <w:rsid w:val="71475A69"/>
    <w:rsid w:val="716705C7"/>
    <w:rsid w:val="71C64881"/>
    <w:rsid w:val="71CA1284"/>
    <w:rsid w:val="71D50566"/>
    <w:rsid w:val="71F5040C"/>
    <w:rsid w:val="71FF15EC"/>
    <w:rsid w:val="720F02EF"/>
    <w:rsid w:val="7244225A"/>
    <w:rsid w:val="726447C6"/>
    <w:rsid w:val="72731633"/>
    <w:rsid w:val="72D27AA7"/>
    <w:rsid w:val="72D27E9A"/>
    <w:rsid w:val="731A26B8"/>
    <w:rsid w:val="736E32C5"/>
    <w:rsid w:val="73BE2D48"/>
    <w:rsid w:val="73E86D31"/>
    <w:rsid w:val="73F255A1"/>
    <w:rsid w:val="73FE698E"/>
    <w:rsid w:val="747236B3"/>
    <w:rsid w:val="74B820FA"/>
    <w:rsid w:val="74FD39EA"/>
    <w:rsid w:val="751C68DD"/>
    <w:rsid w:val="754B6CD1"/>
    <w:rsid w:val="754E0D48"/>
    <w:rsid w:val="756B594D"/>
    <w:rsid w:val="757840E4"/>
    <w:rsid w:val="759578A1"/>
    <w:rsid w:val="75FE6408"/>
    <w:rsid w:val="764A4547"/>
    <w:rsid w:val="76845AA4"/>
    <w:rsid w:val="76845BC0"/>
    <w:rsid w:val="769A6A08"/>
    <w:rsid w:val="769B6E5D"/>
    <w:rsid w:val="76AC2BC0"/>
    <w:rsid w:val="76C2663F"/>
    <w:rsid w:val="770F339E"/>
    <w:rsid w:val="771714FB"/>
    <w:rsid w:val="777A05EB"/>
    <w:rsid w:val="77833279"/>
    <w:rsid w:val="778D3C93"/>
    <w:rsid w:val="77933457"/>
    <w:rsid w:val="77C11D73"/>
    <w:rsid w:val="77D53EB0"/>
    <w:rsid w:val="77EE1735"/>
    <w:rsid w:val="781B792E"/>
    <w:rsid w:val="782D528F"/>
    <w:rsid w:val="7835773A"/>
    <w:rsid w:val="784A5C76"/>
    <w:rsid w:val="78573975"/>
    <w:rsid w:val="785920C1"/>
    <w:rsid w:val="78605253"/>
    <w:rsid w:val="789E60B6"/>
    <w:rsid w:val="78AC6E79"/>
    <w:rsid w:val="78E568E6"/>
    <w:rsid w:val="792E50F3"/>
    <w:rsid w:val="795C2893"/>
    <w:rsid w:val="7A6E70CD"/>
    <w:rsid w:val="7A7255A6"/>
    <w:rsid w:val="7A7B123A"/>
    <w:rsid w:val="7AA50F4D"/>
    <w:rsid w:val="7B991FBB"/>
    <w:rsid w:val="7BAF53F0"/>
    <w:rsid w:val="7BB05890"/>
    <w:rsid w:val="7BB65CEF"/>
    <w:rsid w:val="7BF64152"/>
    <w:rsid w:val="7BF70459"/>
    <w:rsid w:val="7C154D7C"/>
    <w:rsid w:val="7C53682C"/>
    <w:rsid w:val="7C7B7C1A"/>
    <w:rsid w:val="7C8751F2"/>
    <w:rsid w:val="7C946B58"/>
    <w:rsid w:val="7C946C56"/>
    <w:rsid w:val="7CCC49B9"/>
    <w:rsid w:val="7CD9208C"/>
    <w:rsid w:val="7CDB7433"/>
    <w:rsid w:val="7CDD79D8"/>
    <w:rsid w:val="7D014EB6"/>
    <w:rsid w:val="7D1E05E9"/>
    <w:rsid w:val="7D1E1A15"/>
    <w:rsid w:val="7D4A24A8"/>
    <w:rsid w:val="7D511680"/>
    <w:rsid w:val="7DDE14C5"/>
    <w:rsid w:val="7DE15C43"/>
    <w:rsid w:val="7DF13365"/>
    <w:rsid w:val="7DF93E9F"/>
    <w:rsid w:val="7E621001"/>
    <w:rsid w:val="7E9444EC"/>
    <w:rsid w:val="7E955D07"/>
    <w:rsid w:val="7EFA493A"/>
    <w:rsid w:val="7F29035F"/>
    <w:rsid w:val="7F2B084F"/>
    <w:rsid w:val="7F3114A1"/>
    <w:rsid w:val="7F3D4E96"/>
    <w:rsid w:val="7F4B4C72"/>
    <w:rsid w:val="7F6270AB"/>
    <w:rsid w:val="7F811D66"/>
    <w:rsid w:val="7F8E2FC1"/>
    <w:rsid w:val="7F9151C0"/>
    <w:rsid w:val="7F967F89"/>
    <w:rsid w:val="7FD76095"/>
    <w:rsid w:val="7FD8234F"/>
    <w:rsid w:val="7FE367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napToGrid w:val="0"/>
      <w:spacing w:line="600" w:lineRule="exact"/>
      <w:ind w:firstLine="640" w:firstLineChars="200"/>
      <w:jc w:val="both"/>
    </w:pPr>
    <w:rPr>
      <w:rFonts w:ascii="Times New Roman" w:hAnsi="Times New Roman" w:eastAsia="仿宋_GB2312" w:cs="Times New Roman"/>
      <w:color w:val="000000" w:themeColor="text1"/>
      <w:kern w:val="2"/>
      <w:sz w:val="32"/>
      <w:szCs w:val="32"/>
      <w:u w:val="single"/>
      <w:lang w:val="en-US" w:eastAsia="zh-CN" w:bidi="ar-SA"/>
      <w14:textFill>
        <w14:solidFill>
          <w14:schemeClr w14:val="tx1"/>
        </w14:solidFill>
      </w14:textFill>
    </w:rPr>
  </w:style>
  <w:style w:type="paragraph" w:styleId="3">
    <w:name w:val="heading 1"/>
    <w:basedOn w:val="1"/>
    <w:next w:val="1"/>
    <w:qFormat/>
    <w:uiPriority w:val="0"/>
    <w:pPr>
      <w:keepNext/>
      <w:keepLines/>
      <w:pageBreakBefore/>
      <w:spacing w:before="340" w:after="330" w:line="578" w:lineRule="auto"/>
      <w:outlineLvl w:val="0"/>
    </w:pPr>
    <w:rPr>
      <w:rFonts w:ascii="Calibri" w:hAnsi="Calibri" w:eastAsia="宋体"/>
      <w:b/>
      <w:bCs/>
      <w:kern w:val="44"/>
      <w:sz w:val="44"/>
      <w:szCs w:val="44"/>
    </w:rPr>
  </w:style>
  <w:style w:type="paragraph" w:styleId="4">
    <w:name w:val="heading 2"/>
    <w:basedOn w:val="1"/>
    <w:next w:val="1"/>
    <w:link w:val="60"/>
    <w:qFormat/>
    <w:uiPriority w:val="9"/>
    <w:pPr>
      <w:keepNext/>
      <w:keepLines/>
      <w:spacing w:before="260" w:after="260" w:line="360" w:lineRule="auto"/>
      <w:jc w:val="center"/>
      <w:outlineLvl w:val="1"/>
    </w:pPr>
    <w:rPr>
      <w:rFonts w:eastAsia="黑体"/>
      <w:b/>
      <w:bCs/>
    </w:rPr>
  </w:style>
  <w:style w:type="paragraph" w:styleId="5">
    <w:name w:val="heading 3"/>
    <w:basedOn w:val="1"/>
    <w:next w:val="1"/>
    <w:link w:val="59"/>
    <w:qFormat/>
    <w:uiPriority w:val="9"/>
    <w:pPr>
      <w:keepNext/>
      <w:keepLines/>
      <w:widowControl w:val="0"/>
      <w:snapToGrid/>
      <w:spacing w:beforeLines="50" w:afterLines="50"/>
      <w:ind w:firstLine="0" w:firstLineChars="0"/>
      <w:outlineLvl w:val="2"/>
    </w:pPr>
    <w:rPr>
      <w:rFonts w:ascii="楷体_GB2312" w:eastAsia="楷体_GB2312"/>
      <w:color w:val="auto"/>
      <w:u w:val="none"/>
    </w:rPr>
  </w:style>
  <w:style w:type="paragraph" w:styleId="6">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line="360" w:lineRule="auto"/>
      <w:ind w:firstLine="200"/>
    </w:pPr>
    <w:rPr>
      <w:sz w:val="24"/>
    </w:rPr>
  </w:style>
  <w:style w:type="paragraph" w:styleId="7">
    <w:name w:val="toc 7"/>
    <w:basedOn w:val="1"/>
    <w:next w:val="1"/>
    <w:qFormat/>
    <w:uiPriority w:val="39"/>
    <w:pPr>
      <w:ind w:left="1920"/>
      <w:jc w:val="left"/>
    </w:pPr>
    <w:rPr>
      <w:rFonts w:asciiTheme="minorHAnsi" w:hAnsiTheme="minorHAnsi" w:cstheme="minorHAnsi"/>
      <w:sz w:val="18"/>
      <w:szCs w:val="18"/>
      <w:u w:val="none"/>
    </w:rPr>
  </w:style>
  <w:style w:type="paragraph" w:styleId="8">
    <w:name w:val="Normal Indent"/>
    <w:basedOn w:val="1"/>
    <w:qFormat/>
    <w:uiPriority w:val="0"/>
    <w:pPr>
      <w:spacing w:beforeLines="15" w:afterLines="15" w:line="360" w:lineRule="auto"/>
      <w:ind w:firstLine="480"/>
    </w:pPr>
    <w:rPr>
      <w:rFonts w:ascii="宋体" w:hAnsi="宋体" w:eastAsia="宋体"/>
      <w:sz w:val="24"/>
      <w:szCs w:val="24"/>
    </w:rPr>
  </w:style>
  <w:style w:type="paragraph" w:styleId="9">
    <w:name w:val="Document Map"/>
    <w:basedOn w:val="1"/>
    <w:link w:val="61"/>
    <w:qFormat/>
    <w:uiPriority w:val="0"/>
    <w:rPr>
      <w:rFonts w:ascii="宋体" w:eastAsia="宋体"/>
      <w:sz w:val="18"/>
      <w:szCs w:val="18"/>
    </w:rPr>
  </w:style>
  <w:style w:type="paragraph" w:styleId="10">
    <w:name w:val="Body Text Indent"/>
    <w:basedOn w:val="1"/>
    <w:qFormat/>
    <w:uiPriority w:val="0"/>
    <w:pPr>
      <w:spacing w:line="500" w:lineRule="exact"/>
      <w:ind w:firstLine="560"/>
    </w:pPr>
    <w:rPr>
      <w:sz w:val="28"/>
      <w:szCs w:val="20"/>
    </w:rPr>
  </w:style>
  <w:style w:type="paragraph" w:styleId="11">
    <w:name w:val="toc 5"/>
    <w:basedOn w:val="1"/>
    <w:next w:val="1"/>
    <w:qFormat/>
    <w:uiPriority w:val="39"/>
    <w:pPr>
      <w:ind w:left="1280"/>
      <w:jc w:val="left"/>
    </w:pPr>
    <w:rPr>
      <w:rFonts w:asciiTheme="minorHAnsi" w:hAnsiTheme="minorHAnsi" w:cstheme="minorHAnsi"/>
      <w:sz w:val="18"/>
      <w:szCs w:val="18"/>
      <w:u w:val="none"/>
    </w:rPr>
  </w:style>
  <w:style w:type="paragraph" w:styleId="12">
    <w:name w:val="toc 3"/>
    <w:basedOn w:val="1"/>
    <w:next w:val="1"/>
    <w:qFormat/>
    <w:uiPriority w:val="39"/>
    <w:pPr>
      <w:ind w:left="640"/>
      <w:jc w:val="left"/>
    </w:pPr>
    <w:rPr>
      <w:rFonts w:asciiTheme="minorHAnsi" w:hAnsiTheme="minorHAnsi" w:cstheme="minorHAnsi"/>
      <w:i/>
      <w:iCs/>
      <w:sz w:val="20"/>
      <w:szCs w:val="20"/>
      <w:u w:val="none"/>
    </w:rPr>
  </w:style>
  <w:style w:type="paragraph" w:styleId="13">
    <w:name w:val="Plain Text"/>
    <w:basedOn w:val="1"/>
    <w:link w:val="62"/>
    <w:qFormat/>
    <w:uiPriority w:val="99"/>
    <w:rPr>
      <w:rFonts w:ascii="宋体" w:hAnsi="Courier New"/>
    </w:rPr>
  </w:style>
  <w:style w:type="paragraph" w:styleId="14">
    <w:name w:val="toc 8"/>
    <w:basedOn w:val="1"/>
    <w:next w:val="1"/>
    <w:qFormat/>
    <w:uiPriority w:val="39"/>
    <w:pPr>
      <w:ind w:left="2240"/>
      <w:jc w:val="left"/>
    </w:pPr>
    <w:rPr>
      <w:rFonts w:asciiTheme="minorHAnsi" w:hAnsiTheme="minorHAnsi" w:cstheme="minorHAnsi"/>
      <w:sz w:val="18"/>
      <w:szCs w:val="18"/>
      <w:u w:val="none"/>
    </w:rPr>
  </w:style>
  <w:style w:type="paragraph" w:styleId="15">
    <w:name w:val="Balloon Text"/>
    <w:basedOn w:val="1"/>
    <w:link w:val="58"/>
    <w:qFormat/>
    <w:uiPriority w:val="0"/>
    <w:rPr>
      <w:sz w:val="18"/>
      <w:szCs w:val="18"/>
    </w:rPr>
  </w:style>
  <w:style w:type="paragraph" w:styleId="16">
    <w:name w:val="footer"/>
    <w:basedOn w:val="1"/>
    <w:link w:val="64"/>
    <w:qFormat/>
    <w:uiPriority w:val="99"/>
    <w:pPr>
      <w:tabs>
        <w:tab w:val="center" w:pos="4153"/>
        <w:tab w:val="right" w:pos="8306"/>
      </w:tabs>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pPr>
    <w:rPr>
      <w:sz w:val="18"/>
    </w:rPr>
  </w:style>
  <w:style w:type="paragraph" w:styleId="18">
    <w:name w:val="toc 1"/>
    <w:basedOn w:val="1"/>
    <w:next w:val="1"/>
    <w:qFormat/>
    <w:uiPriority w:val="99"/>
    <w:pPr>
      <w:spacing w:before="120" w:after="120"/>
      <w:jc w:val="left"/>
    </w:pPr>
    <w:rPr>
      <w:rFonts w:asciiTheme="minorHAnsi" w:hAnsiTheme="minorHAnsi" w:cstheme="minorHAnsi"/>
      <w:b/>
      <w:bCs/>
      <w:caps/>
      <w:sz w:val="20"/>
      <w:szCs w:val="20"/>
      <w:u w:val="none"/>
    </w:rPr>
  </w:style>
  <w:style w:type="paragraph" w:styleId="19">
    <w:name w:val="toc 4"/>
    <w:basedOn w:val="1"/>
    <w:next w:val="1"/>
    <w:qFormat/>
    <w:uiPriority w:val="39"/>
    <w:pPr>
      <w:ind w:left="960"/>
      <w:jc w:val="left"/>
    </w:pPr>
    <w:rPr>
      <w:rFonts w:asciiTheme="minorHAnsi" w:hAnsiTheme="minorHAnsi" w:cstheme="minorHAnsi"/>
      <w:sz w:val="18"/>
      <w:szCs w:val="18"/>
      <w:u w:val="none"/>
    </w:rPr>
  </w:style>
  <w:style w:type="paragraph" w:styleId="20">
    <w:name w:val="toc 6"/>
    <w:basedOn w:val="1"/>
    <w:next w:val="1"/>
    <w:qFormat/>
    <w:uiPriority w:val="39"/>
    <w:pPr>
      <w:ind w:left="1600"/>
      <w:jc w:val="left"/>
    </w:pPr>
    <w:rPr>
      <w:rFonts w:asciiTheme="minorHAnsi" w:hAnsiTheme="minorHAnsi" w:cstheme="minorHAnsi"/>
      <w:sz w:val="18"/>
      <w:szCs w:val="18"/>
      <w:u w:val="none"/>
    </w:rPr>
  </w:style>
  <w:style w:type="paragraph" w:styleId="21">
    <w:name w:val="toc 2"/>
    <w:basedOn w:val="1"/>
    <w:next w:val="1"/>
    <w:qFormat/>
    <w:uiPriority w:val="39"/>
    <w:pPr>
      <w:ind w:left="320"/>
      <w:jc w:val="left"/>
    </w:pPr>
    <w:rPr>
      <w:rFonts w:asciiTheme="minorHAnsi" w:hAnsiTheme="minorHAnsi" w:cstheme="minorHAnsi"/>
      <w:smallCaps/>
      <w:sz w:val="20"/>
      <w:szCs w:val="20"/>
      <w:u w:val="none"/>
    </w:rPr>
  </w:style>
  <w:style w:type="paragraph" w:styleId="22">
    <w:name w:val="toc 9"/>
    <w:basedOn w:val="1"/>
    <w:next w:val="1"/>
    <w:qFormat/>
    <w:uiPriority w:val="39"/>
    <w:pPr>
      <w:ind w:left="2560"/>
      <w:jc w:val="left"/>
    </w:pPr>
    <w:rPr>
      <w:rFonts w:asciiTheme="minorHAnsi" w:hAnsiTheme="minorHAnsi" w:cstheme="minorHAnsi"/>
      <w:sz w:val="18"/>
      <w:szCs w:val="18"/>
      <w:u w:val="none"/>
    </w:rPr>
  </w:style>
  <w:style w:type="paragraph" w:styleId="23">
    <w:name w:val="Normal (Web)"/>
    <w:basedOn w:val="1"/>
    <w:qFormat/>
    <w:uiPriority w:val="99"/>
    <w:pPr>
      <w:spacing w:before="100" w:beforeAutospacing="1" w:after="100" w:afterAutospacing="1"/>
    </w:pPr>
    <w:rPr>
      <w:rFonts w:ascii="宋体" w:hAnsi="Calibri" w:eastAsia="宋体" w:cs="宋体"/>
    </w:rPr>
  </w:style>
  <w:style w:type="paragraph" w:styleId="24">
    <w:name w:val="Body Text First Indent"/>
    <w:basedOn w:val="2"/>
    <w:qFormat/>
    <w:uiPriority w:val="99"/>
    <w:pPr>
      <w:ind w:firstLine="420" w:firstLineChars="100"/>
    </w:pPr>
  </w:style>
  <w:style w:type="paragraph" w:styleId="25">
    <w:name w:val="Body Text First Indent 2"/>
    <w:basedOn w:val="10"/>
    <w:link w:val="30"/>
    <w:qFormat/>
    <w:uiPriority w:val="99"/>
    <w:pPr>
      <w:ind w:firstLine="420"/>
    </w:pPr>
    <w:rPr>
      <w:rFonts w:hAnsi="仿宋_GB2312" w:eastAsia="宋体"/>
      <w:sz w:val="24"/>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Hyperlink"/>
    <w:basedOn w:val="28"/>
    <w:qFormat/>
    <w:uiPriority w:val="99"/>
    <w:rPr>
      <w:color w:val="0000FF"/>
      <w:u w:val="single"/>
    </w:rPr>
  </w:style>
  <w:style w:type="character" w:customStyle="1" w:styleId="30">
    <w:name w:val="正文首行缩进 2 Char"/>
    <w:link w:val="25"/>
    <w:qFormat/>
    <w:uiPriority w:val="99"/>
    <w:rPr>
      <w:rFonts w:ascii="Arial" w:hAnsi="仿宋_GB2312" w:cs="Arial"/>
      <w:snapToGrid w:val="0"/>
      <w:color w:val="000000"/>
      <w:sz w:val="24"/>
    </w:rPr>
  </w:style>
  <w:style w:type="paragraph" w:customStyle="1" w:styleId="31">
    <w:name w:val="列出段落1"/>
    <w:basedOn w:val="1"/>
    <w:qFormat/>
    <w:uiPriority w:val="99"/>
    <w:pPr>
      <w:ind w:firstLine="420"/>
    </w:pPr>
  </w:style>
  <w:style w:type="paragraph" w:customStyle="1" w:styleId="32">
    <w:name w:val="0正文"/>
    <w:basedOn w:val="1"/>
    <w:qFormat/>
    <w:uiPriority w:val="99"/>
    <w:rPr>
      <w:color w:val="0000FF"/>
      <w:sz w:val="24"/>
    </w:rPr>
  </w:style>
  <w:style w:type="table" w:customStyle="1" w:styleId="33">
    <w:name w:val="Table Normal"/>
    <w:semiHidden/>
    <w:unhideWhenUsed/>
    <w:qFormat/>
    <w:uiPriority w:val="0"/>
    <w:tblPr>
      <w:tblCellMar>
        <w:top w:w="0" w:type="dxa"/>
        <w:left w:w="0" w:type="dxa"/>
        <w:bottom w:w="0" w:type="dxa"/>
        <w:right w:w="0" w:type="dxa"/>
      </w:tblCellMar>
    </w:tblPr>
  </w:style>
  <w:style w:type="paragraph" w:customStyle="1" w:styleId="34">
    <w:name w:val="BodyText"/>
    <w:basedOn w:val="1"/>
    <w:qFormat/>
    <w:uiPriority w:val="0"/>
    <w:pPr>
      <w:spacing w:after="120"/>
    </w:pPr>
    <w:rPr>
      <w:rFonts w:ascii="Calibri" w:hAnsi="Calibri" w:eastAsia="宋体"/>
    </w:rPr>
  </w:style>
  <w:style w:type="character" w:customStyle="1" w:styleId="35">
    <w:name w:val="NormalCharacter"/>
    <w:qFormat/>
    <w:uiPriority w:val="0"/>
    <w:rPr>
      <w:rFonts w:asciiTheme="minorHAnsi" w:hAnsiTheme="minorHAnsi" w:eastAsiaTheme="minorEastAsia" w:cstheme="minorBidi"/>
      <w:kern w:val="2"/>
      <w:sz w:val="21"/>
      <w:szCs w:val="22"/>
      <w:lang w:val="en-US" w:eastAsia="zh-CN" w:bidi="ar-SA"/>
    </w:rPr>
  </w:style>
  <w:style w:type="paragraph" w:customStyle="1" w:styleId="36">
    <w:name w:val="_Style 1"/>
    <w:basedOn w:val="1"/>
    <w:qFormat/>
    <w:uiPriority w:val="0"/>
    <w:pPr>
      <w:ind w:firstLine="420"/>
    </w:pPr>
    <w:rPr>
      <w:rFonts w:ascii="Calibri" w:hAnsi="Calibri" w:eastAsia="宋体"/>
      <w:szCs w:val="24"/>
    </w:rPr>
  </w:style>
  <w:style w:type="paragraph" w:customStyle="1" w:styleId="37">
    <w:name w:val="附录表标题"/>
    <w:next w:val="1"/>
    <w:qFormat/>
    <w:uiPriority w:val="0"/>
    <w:pPr>
      <w:numPr>
        <w:ilvl w:val="0"/>
        <w:numId w:val="1"/>
      </w:numPr>
      <w:jc w:val="center"/>
      <w:textAlignment w:val="baseline"/>
    </w:pPr>
    <w:rPr>
      <w:rFonts w:ascii="黑体" w:hAnsi="Times New Roman" w:eastAsia="黑体" w:cs="Times New Roman"/>
      <w:kern w:val="21"/>
      <w:sz w:val="21"/>
      <w:lang w:val="en-US" w:eastAsia="zh-CN" w:bidi="ar-SA"/>
    </w:rPr>
  </w:style>
  <w:style w:type="character" w:customStyle="1" w:styleId="38">
    <w:name w:val="专栏标题"/>
    <w:qFormat/>
    <w:uiPriority w:val="1"/>
    <w:rPr>
      <w:rFonts w:eastAsia="楷体"/>
      <w:b/>
      <w:sz w:val="24"/>
      <w:lang w:val="zh-CN"/>
    </w:rPr>
  </w:style>
  <w:style w:type="paragraph" w:customStyle="1" w:styleId="39">
    <w:name w:val="专栏文字"/>
    <w:basedOn w:val="40"/>
    <w:qFormat/>
    <w:uiPriority w:val="0"/>
    <w:rPr>
      <w:rFonts w:ascii="楷体" w:hAnsi="楷体" w:eastAsia="楷体"/>
      <w:sz w:val="22"/>
    </w:rPr>
  </w:style>
  <w:style w:type="paragraph" w:customStyle="1" w:styleId="40">
    <w:name w:val="表格文字"/>
    <w:basedOn w:val="1"/>
    <w:qFormat/>
    <w:uiPriority w:val="0"/>
    <w:pPr>
      <w:spacing w:beforeLines="10" w:afterLines="10"/>
    </w:pPr>
    <w:rPr>
      <w:rFonts w:ascii="Calibri" w:hAnsi="Calibri" w:cs="Calibri"/>
      <w:szCs w:val="24"/>
    </w:rPr>
  </w:style>
  <w:style w:type="character" w:customStyle="1" w:styleId="41">
    <w:name w:val="font01"/>
    <w:basedOn w:val="28"/>
    <w:qFormat/>
    <w:uiPriority w:val="0"/>
    <w:rPr>
      <w:rFonts w:hint="default" w:ascii="Times New Roman" w:hAnsi="Times New Roman" w:cs="Times New Roman"/>
      <w:color w:val="000000"/>
      <w:sz w:val="18"/>
      <w:szCs w:val="18"/>
      <w:u w:val="none"/>
    </w:rPr>
  </w:style>
  <w:style w:type="character" w:customStyle="1" w:styleId="42">
    <w:name w:val="font21"/>
    <w:basedOn w:val="28"/>
    <w:qFormat/>
    <w:uiPriority w:val="0"/>
    <w:rPr>
      <w:rFonts w:hint="default" w:ascii="仿宋_GB2312" w:eastAsia="仿宋_GB2312" w:cs="仿宋_GB2312"/>
      <w:color w:val="000000"/>
      <w:sz w:val="18"/>
      <w:szCs w:val="18"/>
      <w:u w:val="none"/>
    </w:rPr>
  </w:style>
  <w:style w:type="paragraph" w:customStyle="1" w:styleId="43">
    <w:name w:val="WPSOffice手动目录 1"/>
    <w:qFormat/>
    <w:uiPriority w:val="0"/>
    <w:rPr>
      <w:rFonts w:ascii="Times New Roman" w:hAnsi="Times New Roman" w:eastAsia="宋体" w:cs="Times New Roman"/>
      <w:lang w:val="en-US" w:eastAsia="zh-CN" w:bidi="ar-SA"/>
    </w:rPr>
  </w:style>
  <w:style w:type="paragraph" w:customStyle="1" w:styleId="4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5">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46">
    <w:name w:val="font31"/>
    <w:basedOn w:val="28"/>
    <w:qFormat/>
    <w:uiPriority w:val="0"/>
    <w:rPr>
      <w:rFonts w:hint="default" w:ascii="Times New Roman" w:hAnsi="Times New Roman" w:cs="Times New Roman"/>
      <w:color w:val="000000"/>
      <w:sz w:val="21"/>
      <w:szCs w:val="21"/>
      <w:u w:val="none"/>
    </w:rPr>
  </w:style>
  <w:style w:type="character" w:customStyle="1" w:styleId="47">
    <w:name w:val="font61"/>
    <w:basedOn w:val="28"/>
    <w:qFormat/>
    <w:uiPriority w:val="0"/>
    <w:rPr>
      <w:rFonts w:ascii="Arial" w:hAnsi="Arial" w:cs="Arial"/>
      <w:color w:val="000000"/>
      <w:sz w:val="20"/>
      <w:szCs w:val="20"/>
      <w:u w:val="none"/>
    </w:rPr>
  </w:style>
  <w:style w:type="character" w:customStyle="1" w:styleId="48">
    <w:name w:val="font51"/>
    <w:basedOn w:val="28"/>
    <w:qFormat/>
    <w:uiPriority w:val="0"/>
    <w:rPr>
      <w:rFonts w:hint="eastAsia" w:ascii="宋体" w:hAnsi="宋体" w:eastAsia="宋体" w:cs="宋体"/>
      <w:color w:val="000000"/>
      <w:sz w:val="20"/>
      <w:szCs w:val="20"/>
      <w:u w:val="none"/>
    </w:rPr>
  </w:style>
  <w:style w:type="paragraph" w:customStyle="1" w:styleId="49">
    <w:name w:val="Table Paragraph"/>
    <w:basedOn w:val="1"/>
    <w:qFormat/>
    <w:uiPriority w:val="1"/>
  </w:style>
  <w:style w:type="paragraph" w:customStyle="1" w:styleId="50">
    <w:name w:val="3正文"/>
    <w:basedOn w:val="1"/>
    <w:qFormat/>
    <w:uiPriority w:val="0"/>
    <w:pPr>
      <w:ind w:firstLine="200"/>
    </w:pPr>
    <w:rPr>
      <w:rFonts w:ascii="仿宋_GB2312" w:hAnsi="仿宋_GB2312" w:cs="仿宋_GB2312"/>
      <w:color w:val="C00000"/>
    </w:rPr>
  </w:style>
  <w:style w:type="paragraph" w:customStyle="1" w:styleId="51">
    <w:name w:val="1章标题"/>
    <w:basedOn w:val="1"/>
    <w:qFormat/>
    <w:uiPriority w:val="0"/>
    <w:pPr>
      <w:pageBreakBefore/>
      <w:ind w:firstLine="200"/>
      <w:jc w:val="center"/>
      <w:outlineLvl w:val="0"/>
    </w:pPr>
    <w:rPr>
      <w:rFonts w:ascii="仿宋_GB2312" w:hAnsi="仿宋_GB2312" w:eastAsia="方正小标宋简体" w:cs="仿宋_GB2312"/>
      <w:color w:val="ED7D31"/>
      <w:sz w:val="36"/>
    </w:rPr>
  </w:style>
  <w:style w:type="paragraph" w:customStyle="1" w:styleId="52">
    <w:name w:val="2.2条标题"/>
    <w:basedOn w:val="50"/>
    <w:qFormat/>
    <w:uiPriority w:val="0"/>
    <w:pPr>
      <w:numPr>
        <w:ilvl w:val="0"/>
        <w:numId w:val="2"/>
      </w:numPr>
      <w:outlineLvl w:val="2"/>
    </w:pPr>
    <w:rPr>
      <w:rFonts w:ascii="楷体" w:hAnsi="楷体" w:eastAsia="楷体" w:cs="楷体"/>
      <w:color w:val="70AD47"/>
    </w:rPr>
  </w:style>
  <w:style w:type="paragraph" w:customStyle="1" w:styleId="53">
    <w:name w:val="8附件正文"/>
    <w:basedOn w:val="1"/>
    <w:qFormat/>
    <w:uiPriority w:val="0"/>
    <w:pPr>
      <w:jc w:val="center"/>
    </w:pPr>
    <w:rPr>
      <w:rFonts w:ascii="仿宋_GB2312" w:hAnsi="仿宋_GB2312" w:cs="仿宋_GB2312"/>
    </w:rPr>
  </w:style>
  <w:style w:type="character" w:customStyle="1" w:styleId="54">
    <w:name w:val="font11"/>
    <w:basedOn w:val="28"/>
    <w:qFormat/>
    <w:uiPriority w:val="0"/>
    <w:rPr>
      <w:rFonts w:hint="default" w:ascii="仿宋_GB2312" w:eastAsia="仿宋_GB2312" w:cs="仿宋_GB2312"/>
      <w:color w:val="000000"/>
      <w:sz w:val="20"/>
      <w:szCs w:val="20"/>
      <w:u w:val="none"/>
    </w:rPr>
  </w:style>
  <w:style w:type="paragraph" w:customStyle="1" w:styleId="55">
    <w:name w:val="nj正文"/>
    <w:basedOn w:val="1"/>
    <w:link w:val="63"/>
    <w:qFormat/>
    <w:uiPriority w:val="99"/>
    <w:pPr>
      <w:spacing w:line="360" w:lineRule="auto"/>
      <w:ind w:firstLine="560"/>
    </w:pPr>
    <w:rPr>
      <w:rFonts w:ascii="宋体"/>
    </w:rPr>
  </w:style>
  <w:style w:type="paragraph" w:customStyle="1" w:styleId="56">
    <w:name w:val="专栏文字格式"/>
    <w:basedOn w:val="55"/>
    <w:qFormat/>
    <w:uiPriority w:val="0"/>
    <w:pPr>
      <w:spacing w:line="480" w:lineRule="exact"/>
      <w:ind w:firstLine="200"/>
    </w:pPr>
    <w:rPr>
      <w:rFonts w:ascii="Times New Roman" w:eastAsia="宋体"/>
      <w:sz w:val="28"/>
    </w:rPr>
  </w:style>
  <w:style w:type="paragraph" w:customStyle="1" w:styleId="57">
    <w:name w:val="2节标题"/>
    <w:basedOn w:val="1"/>
    <w:qFormat/>
    <w:uiPriority w:val="0"/>
    <w:pPr>
      <w:keepNext/>
      <w:spacing w:beforeLines="50" w:afterLines="50"/>
      <w:jc w:val="center"/>
      <w:outlineLvl w:val="1"/>
    </w:pPr>
    <w:rPr>
      <w:rFonts w:eastAsia="黑体"/>
      <w:color w:val="FFC000"/>
    </w:rPr>
  </w:style>
  <w:style w:type="character" w:customStyle="1" w:styleId="58">
    <w:name w:val="批注框文本 Char"/>
    <w:basedOn w:val="28"/>
    <w:link w:val="15"/>
    <w:qFormat/>
    <w:uiPriority w:val="0"/>
    <w:rPr>
      <w:rFonts w:ascii="Arial" w:hAnsi="Arial" w:eastAsia="Arial" w:cs="Arial"/>
      <w:snapToGrid w:val="0"/>
      <w:color w:val="000000"/>
      <w:sz w:val="18"/>
      <w:szCs w:val="18"/>
    </w:rPr>
  </w:style>
  <w:style w:type="character" w:customStyle="1" w:styleId="59">
    <w:name w:val="标题 3 Char"/>
    <w:basedOn w:val="28"/>
    <w:link w:val="5"/>
    <w:qFormat/>
    <w:uiPriority w:val="9"/>
    <w:rPr>
      <w:rFonts w:ascii="楷体_GB2312" w:eastAsia="楷体_GB2312"/>
      <w:kern w:val="2"/>
      <w:sz w:val="32"/>
      <w:szCs w:val="32"/>
    </w:rPr>
  </w:style>
  <w:style w:type="character" w:customStyle="1" w:styleId="60">
    <w:name w:val="标题 2 Char"/>
    <w:basedOn w:val="28"/>
    <w:link w:val="4"/>
    <w:qFormat/>
    <w:uiPriority w:val="9"/>
    <w:rPr>
      <w:rFonts w:eastAsia="黑体"/>
      <w:b/>
      <w:bCs/>
      <w:color w:val="000000" w:themeColor="text1"/>
      <w:kern w:val="2"/>
      <w:sz w:val="32"/>
      <w:szCs w:val="32"/>
      <w:u w:val="single"/>
      <w14:textFill>
        <w14:solidFill>
          <w14:schemeClr w14:val="tx1"/>
        </w14:solidFill>
      </w14:textFill>
    </w:rPr>
  </w:style>
  <w:style w:type="character" w:customStyle="1" w:styleId="61">
    <w:name w:val="文档结构图 Char"/>
    <w:basedOn w:val="28"/>
    <w:link w:val="9"/>
    <w:qFormat/>
    <w:uiPriority w:val="0"/>
    <w:rPr>
      <w:rFonts w:ascii="宋体"/>
      <w:color w:val="000000" w:themeColor="text1"/>
      <w:kern w:val="2"/>
      <w:sz w:val="18"/>
      <w:szCs w:val="18"/>
      <w:u w:val="single"/>
      <w14:textFill>
        <w14:solidFill>
          <w14:schemeClr w14:val="tx1"/>
        </w14:solidFill>
      </w14:textFill>
    </w:rPr>
  </w:style>
  <w:style w:type="character" w:customStyle="1" w:styleId="62">
    <w:name w:val="纯文本 Char"/>
    <w:basedOn w:val="28"/>
    <w:link w:val="13"/>
    <w:qFormat/>
    <w:locked/>
    <w:uiPriority w:val="99"/>
    <w:rPr>
      <w:rFonts w:ascii="宋体" w:hAnsi="Courier New" w:eastAsia="仿宋_GB2312"/>
      <w:color w:val="000000" w:themeColor="text1"/>
      <w:kern w:val="2"/>
      <w:sz w:val="32"/>
      <w:szCs w:val="32"/>
      <w:u w:val="single"/>
      <w14:textFill>
        <w14:solidFill>
          <w14:schemeClr w14:val="tx1"/>
        </w14:solidFill>
      </w14:textFill>
    </w:rPr>
  </w:style>
  <w:style w:type="character" w:customStyle="1" w:styleId="63">
    <w:name w:val="nj正文 字符"/>
    <w:basedOn w:val="28"/>
    <w:link w:val="55"/>
    <w:qFormat/>
    <w:locked/>
    <w:uiPriority w:val="99"/>
    <w:rPr>
      <w:rFonts w:ascii="宋体" w:eastAsia="仿宋_GB2312"/>
      <w:color w:val="000000" w:themeColor="text1"/>
      <w:kern w:val="2"/>
      <w:sz w:val="32"/>
      <w:szCs w:val="32"/>
      <w:u w:val="single"/>
      <w14:textFill>
        <w14:solidFill>
          <w14:schemeClr w14:val="tx1"/>
        </w14:solidFill>
      </w14:textFill>
    </w:rPr>
  </w:style>
  <w:style w:type="character" w:customStyle="1" w:styleId="64">
    <w:name w:val="页脚 Char"/>
    <w:basedOn w:val="28"/>
    <w:link w:val="16"/>
    <w:qFormat/>
    <w:uiPriority w:val="99"/>
    <w:rPr>
      <w:rFonts w:eastAsia="仿宋_GB2312"/>
      <w:color w:val="000000" w:themeColor="text1"/>
      <w:kern w:val="2"/>
      <w:sz w:val="18"/>
      <w:szCs w:val="32"/>
      <w:u w:val="single"/>
      <w14:textFill>
        <w14:solidFill>
          <w14:schemeClr w14:val="tx1"/>
        </w14:solidFill>
      </w14:textFill>
    </w:rPr>
  </w:style>
  <w:style w:type="paragraph" w:styleId="65">
    <w:name w:val="List Paragraph"/>
    <w:basedOn w:val="1"/>
    <w:qFormat/>
    <w:uiPriority w:val="99"/>
    <w:pPr>
      <w:widowControl w:val="0"/>
      <w:snapToGrid/>
      <w:spacing w:line="240" w:lineRule="auto"/>
      <w:ind w:firstLine="420"/>
    </w:pPr>
    <w:rPr>
      <w:rFonts w:ascii="Calibri" w:hAnsi="Calibri" w:eastAsia="宋体"/>
      <w:color w:val="auto"/>
      <w:sz w:val="21"/>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200</Pages>
  <Words>21348</Words>
  <Characters>21529</Characters>
  <Lines>604</Lines>
  <Paragraphs>170</Paragraphs>
  <TotalTime>3</TotalTime>
  <ScaleCrop>false</ScaleCrop>
  <LinksUpToDate>false</LinksUpToDate>
  <CharactersWithSpaces>21693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2024-11-06T03:05:00Z</dcterms:created>
  <dc:creator>zfs</dc:creator>
  <cp:lastModifiedBy>高帅</cp:lastModifiedBy>
  <dcterms:modified xsi:type="dcterms:W3CDTF">2024-11-19T02:41:57Z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2023-02-23T15:11:27Z</vt:filetime>
  </property>
  <property fmtid="{D5CDD505-2E9C-101B-9397-08002B2CF9AE}" pid="4" name="KSOProductBuildVer">
    <vt:lpwstr>2052-12.1.0.18608</vt:lpwstr>
  </property>
  <property fmtid="{D5CDD505-2E9C-101B-9397-08002B2CF9AE}" pid="5" name="ICV">
    <vt:lpwstr>AC170340B26346E08B1B74363392DF6B_13</vt:lpwstr>
  </property>
</Properties>
</file>